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A75C2E" w14:textId="77777777" w:rsidR="001C7DB2" w:rsidRPr="0072768E" w:rsidRDefault="00264677" w:rsidP="00E000FF">
      <w:pPr>
        <w:bidi/>
        <w:spacing w:after="0" w:line="360" w:lineRule="auto"/>
        <w:ind w:hanging="283"/>
        <w:jc w:val="center"/>
        <w:rPr>
          <w:rFonts w:ascii="Simplified Arabic" w:hAnsi="Simplified Arabic" w:cs="Simplified Arabic"/>
          <w:b/>
          <w:bCs/>
          <w:sz w:val="28"/>
          <w:szCs w:val="28"/>
        </w:rPr>
      </w:pPr>
      <w:r>
        <w:rPr>
          <w:rFonts w:ascii="Traditional Arabic" w:hAnsi="Traditional Arabic" w:cs="Traditional Arabic"/>
          <w:b/>
          <w:noProof/>
          <w:sz w:val="24"/>
          <w:szCs w:val="24"/>
          <w:rtl/>
        </w:rPr>
        <w:drawing>
          <wp:anchor distT="0" distB="0" distL="114300" distR="114300" simplePos="0" relativeHeight="251658240" behindDoc="0" locked="0" layoutInCell="1" allowOverlap="1" wp14:anchorId="20E6F61A" wp14:editId="33087387">
            <wp:simplePos x="0" y="0"/>
            <wp:positionH relativeFrom="margin">
              <wp:posOffset>-798271</wp:posOffset>
            </wp:positionH>
            <wp:positionV relativeFrom="margin">
              <wp:posOffset>-587960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3E882575" w14:textId="77777777" w:rsidR="00E000FF" w:rsidRDefault="00E000FF" w:rsidP="00E000FF">
      <w:pPr>
        <w:bidi/>
        <w:spacing w:after="0" w:line="360" w:lineRule="auto"/>
        <w:jc w:val="center"/>
        <w:rPr>
          <w:rFonts w:ascii="Traditional Arabic" w:hAnsi="Traditional Arabic" w:cs="Traditional Arabic"/>
          <w:b/>
          <w:bCs/>
          <w:sz w:val="28"/>
          <w:szCs w:val="28"/>
          <w:rtl/>
        </w:rPr>
      </w:pPr>
    </w:p>
    <w:p w14:paraId="0811BDB1" w14:textId="77777777" w:rsidR="005D691F" w:rsidRDefault="00F4227D" w:rsidP="00E000FF">
      <w:pPr>
        <w:bidi/>
        <w:spacing w:after="0" w:line="360" w:lineRule="auto"/>
        <w:jc w:val="center"/>
      </w:pPr>
      <w:r>
        <w:rPr>
          <w:rFonts w:ascii="Traditional Arabic" w:hAnsi="Traditional Arabic" w:cs="Traditional Arabic"/>
          <w:b/>
          <w:bCs/>
          <w:sz w:val="28"/>
          <w:szCs w:val="28"/>
          <w:rtl/>
        </w:rPr>
        <w:t>جامعة ميدأوشن</w:t>
      </w:r>
    </w:p>
    <w:p w14:paraId="2BA6EE04" w14:textId="77777777" w:rsidR="005D691F" w:rsidRDefault="00F4227D" w:rsidP="00E000FF">
      <w:pPr>
        <w:bidi/>
        <w:spacing w:after="0" w:line="360" w:lineRule="auto"/>
        <w:jc w:val="center"/>
      </w:pPr>
      <w:r>
        <w:rPr>
          <w:rFonts w:ascii="Traditional Arabic" w:hAnsi="Traditional Arabic" w:cs="Traditional Arabic"/>
          <w:b/>
          <w:bCs/>
          <w:sz w:val="24"/>
          <w:szCs w:val="24"/>
          <w:rtl/>
        </w:rPr>
        <w:t>كلية الإدارة</w:t>
      </w:r>
    </w:p>
    <w:p w14:paraId="3E05EA91" w14:textId="77777777" w:rsidR="005D691F" w:rsidRDefault="005D691F" w:rsidP="00E000FF">
      <w:pPr>
        <w:bidi/>
        <w:spacing w:after="0" w:line="360" w:lineRule="auto"/>
      </w:pPr>
    </w:p>
    <w:p w14:paraId="040491B9" w14:textId="77777777" w:rsidR="005D691F" w:rsidRDefault="00F4227D" w:rsidP="00E000FF">
      <w:pPr>
        <w:bidi/>
        <w:spacing w:after="0" w:line="360" w:lineRule="auto"/>
        <w:jc w:val="center"/>
      </w:pPr>
      <w:r>
        <w:rPr>
          <w:rFonts w:ascii="Traditional Arabic" w:hAnsi="Traditional Arabic" w:cs="Traditional Arabic"/>
          <w:b/>
          <w:bCs/>
          <w:sz w:val="36"/>
          <w:szCs w:val="36"/>
          <w:rtl/>
        </w:rPr>
        <w:t>أثر تقنية الترميز على الأمن السيبراني وكفاءة العمليات المالية في المؤسسات المالية السعودية</w:t>
      </w:r>
    </w:p>
    <w:p w14:paraId="3E571FE7" w14:textId="77777777" w:rsidR="005D691F" w:rsidRDefault="00F4227D" w:rsidP="00E000FF">
      <w:pPr>
        <w:bidi/>
        <w:spacing w:after="0" w:line="360" w:lineRule="auto"/>
        <w:jc w:val="center"/>
      </w:pPr>
      <w:r>
        <w:rPr>
          <w:rFonts w:ascii="Traditional Arabic" w:hAnsi="Traditional Arabic" w:cs="Traditional Arabic"/>
          <w:b/>
          <w:bCs/>
          <w:sz w:val="28"/>
          <w:szCs w:val="28"/>
          <w:rtl/>
        </w:rPr>
        <w:t>دراسة تحليلية وفق رؤية المملكة 2030</w:t>
      </w:r>
    </w:p>
    <w:p w14:paraId="2F6FB583" w14:textId="77777777" w:rsidR="005D691F" w:rsidRDefault="005D691F" w:rsidP="00E000FF">
      <w:pPr>
        <w:bidi/>
        <w:spacing w:after="0" w:line="360" w:lineRule="auto"/>
      </w:pPr>
    </w:p>
    <w:p w14:paraId="6B933F33" w14:textId="77777777" w:rsidR="005D691F" w:rsidRDefault="00F4227D" w:rsidP="00E000FF">
      <w:pPr>
        <w:bidi/>
        <w:spacing w:after="0" w:line="360" w:lineRule="auto"/>
        <w:jc w:val="center"/>
      </w:pPr>
      <w:r>
        <w:rPr>
          <w:rFonts w:ascii="Traditional Arabic" w:hAnsi="Traditional Arabic" w:cs="Traditional Arabic"/>
          <w:b/>
          <w:bCs/>
          <w:sz w:val="28"/>
          <w:szCs w:val="28"/>
          <w:rtl/>
        </w:rPr>
        <w:t>إعداد</w:t>
      </w:r>
    </w:p>
    <w:p w14:paraId="0AEC74DA" w14:textId="77777777" w:rsidR="005D691F" w:rsidRDefault="00F4227D" w:rsidP="00E000FF">
      <w:pPr>
        <w:bidi/>
        <w:spacing w:after="0" w:line="360" w:lineRule="auto"/>
        <w:jc w:val="center"/>
      </w:pPr>
      <w:r>
        <w:rPr>
          <w:rFonts w:ascii="Traditional Arabic" w:hAnsi="Traditional Arabic" w:cs="Traditional Arabic"/>
          <w:b/>
          <w:bCs/>
          <w:sz w:val="28"/>
          <w:szCs w:val="28"/>
          <w:rtl/>
        </w:rPr>
        <w:t>فيصل معيض الشريف</w:t>
      </w:r>
    </w:p>
    <w:p w14:paraId="2C4B8346" w14:textId="77777777" w:rsidR="005D691F" w:rsidRDefault="00F4227D" w:rsidP="00E000FF">
      <w:pPr>
        <w:bidi/>
        <w:spacing w:after="0" w:line="360" w:lineRule="auto"/>
        <w:jc w:val="center"/>
      </w:pPr>
      <w:r>
        <w:rPr>
          <w:rFonts w:ascii="Traditional Arabic" w:hAnsi="Traditional Arabic" w:cs="Traditional Arabic"/>
          <w:b/>
          <w:bCs/>
          <w:sz w:val="24"/>
          <w:szCs w:val="24"/>
          <w:rtl/>
        </w:rPr>
        <w:t>المملكة العربية السعودية</w:t>
      </w:r>
    </w:p>
    <w:p w14:paraId="67F7D11F" w14:textId="77777777" w:rsidR="005D691F" w:rsidRDefault="005D691F" w:rsidP="00E000FF">
      <w:pPr>
        <w:bidi/>
        <w:spacing w:after="0" w:line="360" w:lineRule="auto"/>
      </w:pPr>
    </w:p>
    <w:p w14:paraId="291E710C" w14:textId="77777777" w:rsidR="005D691F" w:rsidRPr="00E000FF" w:rsidRDefault="00F4227D" w:rsidP="00E000FF">
      <w:pPr>
        <w:bidi/>
        <w:spacing w:after="0" w:line="360" w:lineRule="auto"/>
        <w:jc w:val="center"/>
        <w:rPr>
          <w:sz w:val="26"/>
          <w:szCs w:val="26"/>
        </w:rPr>
      </w:pPr>
      <w:r>
        <w:rPr>
          <w:rFonts w:ascii="Traditional Arabic" w:hAnsi="Traditional Arabic" w:cs="Traditional Arabic"/>
          <w:b/>
          <w:bCs/>
          <w:sz w:val="28"/>
          <w:szCs w:val="28"/>
          <w:rtl/>
        </w:rPr>
        <w:t>رسالة مقدمة لجامعة ميدأوشن لاستكمال متطلبات نيل درجة الدكتوراه في الفلسفة</w:t>
      </w:r>
    </w:p>
    <w:p w14:paraId="0FE3AA96" w14:textId="77777777" w:rsidR="005D691F" w:rsidRPr="00E000FF" w:rsidRDefault="00F4227D" w:rsidP="00E000FF">
      <w:pPr>
        <w:bidi/>
        <w:spacing w:after="0" w:line="360" w:lineRule="auto"/>
        <w:jc w:val="center"/>
        <w:rPr>
          <w:sz w:val="26"/>
          <w:szCs w:val="26"/>
        </w:rPr>
      </w:pPr>
      <w:r>
        <w:rPr>
          <w:rFonts w:ascii="Traditional Arabic" w:hAnsi="Traditional Arabic" w:cs="Traditional Arabic"/>
          <w:b/>
          <w:bCs/>
          <w:sz w:val="28"/>
          <w:szCs w:val="28"/>
          <w:rtl/>
        </w:rPr>
        <w:t>في</w:t>
      </w:r>
    </w:p>
    <w:p w14:paraId="2C13EC13" w14:textId="77777777" w:rsidR="005D691F" w:rsidRPr="00E000FF" w:rsidRDefault="00F4227D" w:rsidP="00E000FF">
      <w:pPr>
        <w:bidi/>
        <w:spacing w:after="0" w:line="360" w:lineRule="auto"/>
        <w:jc w:val="center"/>
        <w:rPr>
          <w:sz w:val="26"/>
          <w:szCs w:val="26"/>
        </w:rPr>
      </w:pPr>
      <w:r>
        <w:rPr>
          <w:rFonts w:ascii="Traditional Arabic" w:hAnsi="Traditional Arabic" w:cs="Traditional Arabic"/>
          <w:b/>
          <w:bCs/>
          <w:sz w:val="28"/>
          <w:szCs w:val="28"/>
          <w:rtl/>
        </w:rPr>
        <w:t>الإدارة</w:t>
      </w:r>
    </w:p>
    <w:p w14:paraId="1354557E" w14:textId="77777777" w:rsidR="005D691F" w:rsidRPr="00E000FF" w:rsidRDefault="005D691F" w:rsidP="00E000FF">
      <w:pPr>
        <w:bidi/>
        <w:spacing w:after="0" w:line="360" w:lineRule="auto"/>
        <w:rPr>
          <w:sz w:val="26"/>
          <w:szCs w:val="26"/>
        </w:rPr>
      </w:pPr>
    </w:p>
    <w:p w14:paraId="25608C48" w14:textId="77777777" w:rsidR="005D691F" w:rsidRPr="00E000FF" w:rsidRDefault="00F4227D" w:rsidP="00E000FF">
      <w:pPr>
        <w:bidi/>
        <w:spacing w:after="0" w:line="360" w:lineRule="auto"/>
        <w:jc w:val="center"/>
        <w:rPr>
          <w:sz w:val="26"/>
          <w:szCs w:val="26"/>
        </w:rPr>
      </w:pPr>
      <w:r>
        <w:rPr>
          <w:rFonts w:ascii="Traditional Arabic" w:hAnsi="Traditional Arabic" w:cs="Traditional Arabic"/>
          <w:sz w:val="20"/>
          <w:szCs w:val="20"/>
          <w:rtl/>
        </w:rPr>
        <w:t>1447 هـ - 2025 م</w:t>
      </w:r>
    </w:p>
    <w:p w14:paraId="03F260E7" w14:textId="77777777" w:rsidR="005D691F" w:rsidRDefault="00F4227D" w:rsidP="00E000FF">
      <w:pPr>
        <w:bidi/>
        <w:spacing w:after="0"/>
      </w:pPr>
      <w:r>
        <w:br w:type="page"/>
      </w:r>
    </w:p>
    <w:p w14:paraId="047C40FC" w14:textId="77777777" w:rsidR="005D691F" w:rsidRDefault="00F4227D" w:rsidP="00E000FF">
      <w:pPr>
        <w:spacing w:after="0" w:line="360" w:lineRule="auto"/>
        <w:jc w:val="center"/>
      </w:pPr>
      <w:r>
        <w:rPr>
          <w:rFonts w:ascii="Times New Roman" w:hAnsi="Times New Roman" w:cs="Times New Roman"/>
          <w:b/>
          <w:bCs/>
          <w:sz w:val="28"/>
          <w:szCs w:val="28"/>
        </w:rPr>
        <w:lastRenderedPageBreak/>
        <w:t>MIDOCEAN UNIVERSITY</w:t>
      </w:r>
    </w:p>
    <w:p w14:paraId="2DD5A677" w14:textId="77777777" w:rsidR="005D691F" w:rsidRDefault="00F4227D" w:rsidP="00E000FF">
      <w:pPr>
        <w:spacing w:after="0" w:line="360" w:lineRule="auto"/>
        <w:jc w:val="center"/>
      </w:pPr>
      <w:r>
        <w:rPr>
          <w:rFonts w:ascii="Times New Roman" w:hAnsi="Times New Roman" w:cs="Times New Roman"/>
          <w:b/>
          <w:bCs/>
          <w:sz w:val="24"/>
          <w:szCs w:val="24"/>
        </w:rPr>
        <w:t>College of Management</w:t>
      </w:r>
    </w:p>
    <w:p w14:paraId="785FEF6E" w14:textId="77777777" w:rsidR="005D691F" w:rsidRDefault="005D691F" w:rsidP="00E000FF">
      <w:pPr>
        <w:bidi/>
        <w:spacing w:after="0" w:line="360" w:lineRule="auto"/>
      </w:pPr>
    </w:p>
    <w:p w14:paraId="137144C0" w14:textId="77777777" w:rsidR="005D691F" w:rsidRDefault="00F4227D" w:rsidP="00E000FF">
      <w:pPr>
        <w:spacing w:after="0" w:line="360" w:lineRule="auto"/>
        <w:jc w:val="center"/>
      </w:pPr>
      <w:r>
        <w:rPr>
          <w:rFonts w:ascii="Times New Roman" w:hAnsi="Times New Roman" w:cs="Times New Roman"/>
          <w:b/>
          <w:bCs/>
          <w:sz w:val="36"/>
          <w:szCs w:val="36"/>
        </w:rPr>
        <w:t>THE IMPACT OF TOKENIZATION ON CYBERSECURITY AND FINANCIAL OPERATIONS EFFICIENCY IN SAUDI FINANCIAL INSTITUTIONS</w:t>
      </w:r>
    </w:p>
    <w:p w14:paraId="7B6741E7" w14:textId="77777777" w:rsidR="005D691F" w:rsidRDefault="00F4227D" w:rsidP="00E000FF">
      <w:pPr>
        <w:spacing w:after="0" w:line="360" w:lineRule="auto"/>
        <w:jc w:val="center"/>
      </w:pPr>
      <w:r>
        <w:rPr>
          <w:rFonts w:ascii="Times New Roman" w:hAnsi="Times New Roman" w:cs="Times New Roman"/>
          <w:b/>
          <w:bCs/>
          <w:sz w:val="28"/>
          <w:szCs w:val="28"/>
        </w:rPr>
        <w:t>An Analytical Study in Light of Saudi Vision 2030</w:t>
      </w:r>
    </w:p>
    <w:p w14:paraId="4358380C" w14:textId="77777777" w:rsidR="005D691F" w:rsidRDefault="005D691F" w:rsidP="00E000FF">
      <w:pPr>
        <w:bidi/>
        <w:spacing w:after="0" w:line="360" w:lineRule="auto"/>
      </w:pPr>
    </w:p>
    <w:p w14:paraId="2A6B0B63" w14:textId="77777777" w:rsidR="005D691F" w:rsidRDefault="00F4227D" w:rsidP="00E000FF">
      <w:pPr>
        <w:spacing w:after="0" w:line="360" w:lineRule="auto"/>
        <w:jc w:val="center"/>
      </w:pPr>
      <w:r>
        <w:rPr>
          <w:rFonts w:ascii="Times New Roman" w:hAnsi="Times New Roman" w:cs="Times New Roman"/>
          <w:b/>
          <w:bCs/>
          <w:sz w:val="28"/>
          <w:szCs w:val="28"/>
        </w:rPr>
        <w:t>By</w:t>
      </w:r>
    </w:p>
    <w:p w14:paraId="67A0A570" w14:textId="77777777" w:rsidR="005D691F" w:rsidRDefault="00F4227D" w:rsidP="00E000FF">
      <w:pPr>
        <w:spacing w:after="0" w:line="360" w:lineRule="auto"/>
        <w:jc w:val="center"/>
      </w:pPr>
      <w:r>
        <w:rPr>
          <w:rFonts w:ascii="Times New Roman" w:hAnsi="Times New Roman" w:cs="Times New Roman"/>
          <w:b/>
          <w:bCs/>
          <w:sz w:val="28"/>
          <w:szCs w:val="28"/>
        </w:rPr>
        <w:t>FAISAL MUAID AL-SHARIF</w:t>
      </w:r>
    </w:p>
    <w:p w14:paraId="18F796AD" w14:textId="77777777" w:rsidR="005D691F" w:rsidRDefault="00F4227D" w:rsidP="00E000FF">
      <w:pPr>
        <w:spacing w:after="0" w:line="360" w:lineRule="auto"/>
        <w:jc w:val="center"/>
      </w:pPr>
      <w:r>
        <w:rPr>
          <w:rFonts w:ascii="Times New Roman" w:hAnsi="Times New Roman" w:cs="Times New Roman"/>
          <w:b/>
          <w:bCs/>
          <w:sz w:val="24"/>
          <w:szCs w:val="24"/>
        </w:rPr>
        <w:t>Saudi Arabia</w:t>
      </w:r>
    </w:p>
    <w:p w14:paraId="6D5C2E48" w14:textId="77777777" w:rsidR="005D691F" w:rsidRDefault="005D691F" w:rsidP="00E000FF">
      <w:pPr>
        <w:bidi/>
        <w:spacing w:after="0" w:line="360" w:lineRule="auto"/>
      </w:pPr>
    </w:p>
    <w:p w14:paraId="04686C48" w14:textId="77777777" w:rsidR="005D691F" w:rsidRDefault="00F4227D" w:rsidP="00E000FF">
      <w:pPr>
        <w:spacing w:after="0" w:line="360" w:lineRule="auto"/>
        <w:jc w:val="center"/>
      </w:pPr>
      <w:r>
        <w:rPr>
          <w:rFonts w:ascii="Times New Roman" w:hAnsi="Times New Roman" w:cs="Times New Roman"/>
          <w:b/>
          <w:bCs/>
          <w:sz w:val="24"/>
          <w:szCs w:val="24"/>
        </w:rPr>
        <w:t>Submitted to Midocean University in partial fulfillment of the requirements for the degree of Doctor of Philosophy</w:t>
      </w:r>
    </w:p>
    <w:p w14:paraId="350EBDD4" w14:textId="77777777" w:rsidR="005D691F" w:rsidRDefault="00F4227D" w:rsidP="00E000FF">
      <w:pPr>
        <w:spacing w:after="0" w:line="360" w:lineRule="auto"/>
        <w:jc w:val="center"/>
      </w:pPr>
      <w:r>
        <w:rPr>
          <w:rFonts w:ascii="Times New Roman" w:hAnsi="Times New Roman" w:cs="Times New Roman"/>
          <w:b/>
          <w:bCs/>
          <w:sz w:val="24"/>
          <w:szCs w:val="24"/>
        </w:rPr>
        <w:t>in</w:t>
      </w:r>
    </w:p>
    <w:p w14:paraId="11954649" w14:textId="77777777" w:rsidR="005D691F" w:rsidRDefault="00F4227D" w:rsidP="00E000FF">
      <w:pPr>
        <w:spacing w:after="0" w:line="360" w:lineRule="auto"/>
        <w:jc w:val="center"/>
      </w:pPr>
      <w:r>
        <w:rPr>
          <w:rFonts w:ascii="Times New Roman" w:hAnsi="Times New Roman" w:cs="Times New Roman"/>
          <w:b/>
          <w:bCs/>
          <w:sz w:val="24"/>
          <w:szCs w:val="24"/>
        </w:rPr>
        <w:t>MANAGEMENT</w:t>
      </w:r>
    </w:p>
    <w:p w14:paraId="26B610F3" w14:textId="77777777" w:rsidR="005D691F" w:rsidRDefault="005D691F" w:rsidP="00E000FF">
      <w:pPr>
        <w:bidi/>
        <w:spacing w:after="0" w:line="360" w:lineRule="auto"/>
      </w:pPr>
    </w:p>
    <w:p w14:paraId="31B4F71F" w14:textId="77777777" w:rsidR="005D691F" w:rsidRDefault="00F4227D" w:rsidP="00E000FF">
      <w:pPr>
        <w:spacing w:after="0" w:line="360" w:lineRule="auto"/>
        <w:jc w:val="center"/>
      </w:pPr>
      <w:r>
        <w:rPr>
          <w:rFonts w:ascii="Times New Roman" w:hAnsi="Times New Roman" w:cs="Times New Roman"/>
          <w:sz w:val="16"/>
          <w:szCs w:val="16"/>
        </w:rPr>
        <w:t>2025</w:t>
      </w:r>
    </w:p>
    <w:p w14:paraId="067926A0" w14:textId="77777777" w:rsidR="005D691F" w:rsidRDefault="005D691F" w:rsidP="00E000FF">
      <w:pPr>
        <w:bidi/>
        <w:spacing w:after="0"/>
      </w:pPr>
    </w:p>
    <w:p w14:paraId="70CB6ABD" w14:textId="77777777" w:rsidR="00DF1676" w:rsidRDefault="006E2853" w:rsidP="00E000FF">
      <w:pPr>
        <w:pStyle w:val="1"/>
        <w:numPr>
          <w:ilvl w:val="0"/>
          <w:numId w:val="0"/>
        </w:numPr>
        <w:bidi/>
        <w:spacing w:before="0" w:line="360" w:lineRule="auto"/>
        <w:ind w:left="432" w:hanging="432"/>
        <w:rPr>
          <w:rFonts w:ascii="Simplified Arabic" w:hAnsi="Simplified Arabic" w:cs="Simplified Arabic"/>
          <w:b/>
          <w:bCs/>
          <w:color w:val="auto"/>
          <w:sz w:val="28"/>
          <w:szCs w:val="28"/>
          <w:u w:val="single"/>
        </w:rPr>
      </w:pPr>
      <w:r>
        <w:rPr>
          <w:rFonts w:ascii="Traditional Arabic" w:hAnsi="Traditional Arabic" w:cs="Traditional Arabic"/>
          <w:b/>
          <w:bCs/>
          <w:color w:val="auto"/>
          <w:u w:val="single"/>
          <w:rtl/>
        </w:rPr>
        <w:br w:type="page"/>
      </w:r>
      <w:bookmarkStart w:id="0" w:name="_Toc224563911"/>
      <w:bookmarkStart w:id="1" w:name="_Toc234424105"/>
      <w:r>
        <w:rPr>
          <w:rFonts w:ascii="Traditional Arabic" w:hAnsi="Traditional Arabic" w:cs="Traditional Arabic" w:hint="cs"/>
          <w:b/>
          <w:bCs/>
          <w:color w:val="auto"/>
          <w:u w:val="single"/>
          <w:rtl/>
        </w:rPr>
        <w:lastRenderedPageBreak/>
        <w:t>المحتويات</w:t>
      </w:r>
      <w:bookmarkEnd w:id="0"/>
      <w:bookmarkEnd w:id="1"/>
    </w:p>
    <w:p w14:paraId="46CAD1B7" w14:textId="77777777" w:rsidR="005D691F" w:rsidRDefault="00F4227D" w:rsidP="00E000FF">
      <w:pPr>
        <w:bidi/>
        <w:spacing w:after="0"/>
      </w:pPr>
      <w:r>
        <w:fldChar w:fldCharType="begin"/>
      </w:r>
      <w:r>
        <w:instrText xml:space="preserve">TOC \t "Hd1,1" \h \z \u </w:instrText>
      </w:r>
      <w:r>
        <w:fldChar w:fldCharType="separate"/>
      </w:r>
      <w:r>
        <w:rPr>
          <w:b/>
          <w:bCs/>
          <w:noProof/>
        </w:rPr>
        <w:t>No table of contents entries found.</w:t>
      </w:r>
      <w:r>
        <w:fldChar w:fldCharType="end"/>
      </w:r>
    </w:p>
    <w:p w14:paraId="6DDC3976" w14:textId="77777777" w:rsidR="00DF1676" w:rsidRDefault="006E2853" w:rsidP="00E000FF">
      <w:pPr>
        <w:pStyle w:val="1"/>
        <w:numPr>
          <w:ilvl w:val="0"/>
          <w:numId w:val="0"/>
        </w:numPr>
        <w:bidi/>
        <w:spacing w:before="0" w:line="360" w:lineRule="auto"/>
        <w:ind w:left="432" w:hanging="432"/>
        <w:rPr>
          <w:rFonts w:ascii="Simplified Arabic" w:hAnsi="Simplified Arabic" w:cs="Simplified Arabic"/>
          <w:b/>
          <w:bCs/>
          <w:color w:val="auto"/>
          <w:sz w:val="28"/>
          <w:szCs w:val="28"/>
          <w:u w:val="single"/>
        </w:rPr>
      </w:pPr>
      <w:r>
        <w:rPr>
          <w:rFonts w:ascii="Traditional Arabic" w:hAnsi="Traditional Arabic" w:cs="Traditional Arabic"/>
          <w:b/>
          <w:bCs/>
          <w:color w:val="auto"/>
          <w:u w:val="single"/>
          <w:rtl/>
        </w:rPr>
        <w:t>قائمة الجداول</w:t>
      </w:r>
    </w:p>
    <w:p w14:paraId="349557DB" w14:textId="77777777" w:rsidR="005D691F" w:rsidRDefault="00F4227D" w:rsidP="00E000FF">
      <w:pPr>
        <w:bidi/>
        <w:spacing w:after="0"/>
      </w:pPr>
      <w:r>
        <w:fldChar w:fldCharType="begin"/>
      </w:r>
      <w:r>
        <w:instrText xml:space="preserve">TOC \t "TblCap,1" \h \z \u </w:instrText>
      </w:r>
      <w:r>
        <w:fldChar w:fldCharType="separate"/>
      </w:r>
      <w:r>
        <w:rPr>
          <w:b/>
          <w:bCs/>
          <w:noProof/>
        </w:rPr>
        <w:t>No table of contents entries found.</w:t>
      </w:r>
      <w:r>
        <w:fldChar w:fldCharType="end"/>
      </w:r>
    </w:p>
    <w:p w14:paraId="60584D4A" w14:textId="77777777" w:rsidR="00DF1676" w:rsidRDefault="006E2853" w:rsidP="00E000FF">
      <w:pPr>
        <w:pStyle w:val="1"/>
        <w:numPr>
          <w:ilvl w:val="0"/>
          <w:numId w:val="0"/>
        </w:numPr>
        <w:bidi/>
        <w:spacing w:before="0" w:line="360" w:lineRule="auto"/>
        <w:ind w:left="432" w:hanging="432"/>
        <w:rPr>
          <w:rFonts w:ascii="Simplified Arabic" w:hAnsi="Simplified Arabic" w:cs="Simplified Arabic"/>
          <w:b/>
          <w:bCs/>
          <w:color w:val="auto"/>
          <w:sz w:val="28"/>
          <w:szCs w:val="28"/>
          <w:u w:val="single"/>
        </w:rPr>
      </w:pPr>
      <w:r>
        <w:rPr>
          <w:rFonts w:ascii="Traditional Arabic" w:hAnsi="Traditional Arabic" w:cs="Traditional Arabic"/>
          <w:b/>
          <w:bCs/>
          <w:color w:val="auto"/>
          <w:u w:val="single"/>
          <w:rtl/>
        </w:rPr>
        <w:t>قائمة الأشكال</w:t>
      </w:r>
    </w:p>
    <w:p w14:paraId="3699FCD4" w14:textId="77777777" w:rsidR="005D691F" w:rsidRDefault="00F4227D" w:rsidP="00E000FF">
      <w:pPr>
        <w:bidi/>
        <w:spacing w:after="0"/>
      </w:pPr>
      <w:r>
        <w:fldChar w:fldCharType="begin"/>
      </w:r>
      <w:r>
        <w:instrText xml:space="preserve">TOC \t "FigCap,1" \h \z \u </w:instrText>
      </w:r>
      <w:r>
        <w:fldChar w:fldCharType="separate"/>
      </w:r>
      <w:r>
        <w:rPr>
          <w:b/>
          <w:bCs/>
          <w:noProof/>
        </w:rPr>
        <w:t>No table of contents entries found.</w:t>
      </w:r>
      <w:r>
        <w:fldChar w:fldCharType="end"/>
      </w:r>
    </w:p>
    <w:p w14:paraId="4C852EE6" w14:textId="77777777" w:rsidR="00C6300C" w:rsidRPr="00AD7D4E" w:rsidRDefault="00DF1676" w:rsidP="00E000FF">
      <w:pPr>
        <w:pStyle w:val="HeadingTOCEntry"/>
        <w:bidi/>
        <w:spacing w:after="0" w:line="360" w:lineRule="auto"/>
        <w:rPr>
          <w:rFonts w:ascii="Simplified Arabic" w:hAnsi="Simplified Arabic" w:cs="Simplified Arabic"/>
          <w:b/>
          <w:bCs/>
          <w:sz w:val="28"/>
          <w:szCs w:val="28"/>
          <w:u w:val="single"/>
        </w:rPr>
      </w:pPr>
      <w:bookmarkStart w:id="2" w:name="_Toc224563912"/>
      <w:bookmarkStart w:id="3" w:name="_Toc234424106"/>
      <w:r>
        <w:rPr>
          <w:rFonts w:ascii="Traditional Arabic" w:hAnsi="Traditional Arabic" w:cs="Traditional Arabic"/>
          <w:b/>
          <w:bCs/>
          <w:sz w:val="32"/>
          <w:szCs w:val="32"/>
          <w:u w:val="single"/>
          <w:rtl/>
        </w:rPr>
        <w:t>الملخص (بالعربية)</w:t>
      </w:r>
      <w:bookmarkEnd w:id="2"/>
      <w:bookmarkEnd w:id="3"/>
    </w:p>
    <w:p w14:paraId="2C651E40" w14:textId="77777777" w:rsidR="00C6300C" w:rsidRPr="00AD7D4E" w:rsidRDefault="00C6300C" w:rsidP="00E000FF">
      <w:pPr>
        <w:pStyle w:val="21"/>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lastRenderedPageBreak/>
        <w:t>تهدف هذه الدراسة إلى تحليل وتقييم أثر تقنية الترميز على تعزيز الأمن السيبراني وتحسين كفاءة العمليات المالية في المؤسسات المالية السعودية، في إطار رؤية المملكة 2030 للتحول الرقمي وتطوير القطاع المالي. تكتسب هذه الدراسة أهمية بالغة في ظل التحديات المتزايدة التي تواجه القطاع المالي السعودي من ناحية الهجمات السيبرانية المتصاعدة، والحاجة الملحة لتحسين كفاءة المعاملات المالية لتحقيق مستهدفات الرؤية.</w:t>
      </w:r>
    </w:p>
    <w:p w14:paraId="3E4637EB" w14:textId="77777777" w:rsidR="00C6300C" w:rsidRPr="00AD7D4E" w:rsidRDefault="00C6300C" w:rsidP="00E000FF">
      <w:pPr>
        <w:pStyle w:val="21"/>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تتمثل أهداف الدراسة في قياس تأثير تقنية الترميز على مؤشرات الأمن السيبراني مثل معدلات الاختراقات الأمنية وحوادث سرقة البيانات والامتثال للمعايير الأمنية، بالإضافة إلى تحليل تأثيرها على كفاءة العمليات المالية من حيث تقليل وقت المعاملات وخفض التكاليف التشغيلية وتحسين تجربة العملاء. كما تهدف إلى تحديد الفروق في التأثير حسب حجم ونوع المؤسسات المالية، واستكشاف التحديات التي تواجه تبني هذه التقنية.</w:t>
      </w:r>
    </w:p>
    <w:p w14:paraId="26DC14D4" w14:textId="77777777" w:rsidR="00C6300C" w:rsidRPr="00AD7D4E" w:rsidRDefault="00C6300C" w:rsidP="00E000FF">
      <w:pPr>
        <w:pStyle w:val="21"/>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اعتمدت الدراسة المنهج الكمي الوصفي التحليلي، وطُبِّقت استبانة إلكترونية على عينة قصدية بلغت (196) مستجيباً من العاملين في وظائف تقنية المعلومات والأمن السيبراني والعمليات المالية والامتثال داخل المؤسسات المالية السعودية. وحُلِّلت البيانات بأساليب إحصائية لامعلمية شملت معامل ارتباط سبيرمان، واختبار مان-ويتني U، واختبار كروسكال-واليس، والانحدار المنقّح (Robust Regression)، وذلك بعد التحقق من انحراف البيانات عن التوزيع الطبيعي وعدم تجانس التباين.</w:t>
      </w:r>
    </w:p>
    <w:p w14:paraId="6417D66A" w14:textId="77777777" w:rsidR="00AD7D4E" w:rsidRDefault="00C6300C" w:rsidP="00E000FF">
      <w:pPr>
        <w:pStyle w:val="21"/>
        <w:bidi/>
        <w:spacing w:before="0" w:line="360" w:lineRule="auto"/>
        <w:jc w:val="both"/>
        <w:rPr>
          <w:rFonts w:ascii="Traditional Arabic" w:hAnsi="Traditional Arabic" w:cs="Traditional Arabic"/>
          <w:b/>
          <w:bCs/>
          <w:color w:val="auto"/>
          <w:sz w:val="28"/>
          <w:szCs w:val="28"/>
          <w:rtl/>
        </w:rPr>
      </w:pPr>
      <w:r>
        <w:rPr>
          <w:rFonts w:ascii="Traditional Arabic" w:hAnsi="Traditional Arabic" w:cs="Traditional Arabic"/>
          <w:b/>
          <w:bCs/>
          <w:color w:val="auto"/>
          <w:sz w:val="28"/>
          <w:szCs w:val="28"/>
          <w:rtl/>
        </w:rPr>
        <w:t>أظهرت النتائج وجود علاقة طردية دالة إحصائياً بين تطبيق تقنية الترميز ومستوى الأمن السيبراني المؤسسي (r = 0.641، p &lt; 0.001)، وبين تطبيق التقنية وكفاءة العمليات المالية (r = 0.625، p &lt; 0.001). كما فسّر نموذجا الانحدار المنقّح ما نسبته (78.3%) من التباين في الأمن السيبراني المؤسسي و(74.7%) من التباين في الكفاءة التشغيلية المالية. وكشفت النتائج عن فروق دالة إحصائياً تُعزى إلى مستوى تبنّي المؤسسة للتقنية ولنوع المؤسسة المالية. وتوصي الدراسة بتوسيع نطاق تطبيق الترميز وربطه بمنظومة الامتثال للمعايير الدولية بوصفه ممكِّناً لأهداف رؤية 2030.</w:t>
      </w:r>
    </w:p>
    <w:p w14:paraId="018992B4" w14:textId="77777777" w:rsidR="0005531B" w:rsidRDefault="0005531B" w:rsidP="0005531B">
      <w:pPr>
        <w:bidi/>
        <w:rPr>
          <w:rtl/>
        </w:rPr>
      </w:pPr>
    </w:p>
    <w:p w14:paraId="15CDAFFA" w14:textId="77777777" w:rsidR="0005531B" w:rsidRPr="0005531B" w:rsidRDefault="0005531B" w:rsidP="0005531B">
      <w:pPr>
        <w:bidi/>
      </w:pPr>
    </w:p>
    <w:p w14:paraId="0EE4C039" w14:textId="77777777" w:rsidR="00AD7D4E" w:rsidRPr="00AD7D4E" w:rsidRDefault="00AD7D4E" w:rsidP="00E000FF">
      <w:pPr>
        <w:bidi/>
        <w:spacing w:after="0" w:line="360" w:lineRule="auto"/>
      </w:pPr>
    </w:p>
    <w:p w14:paraId="78AF04BC" w14:textId="77777777" w:rsidR="0005778F" w:rsidRDefault="00F443A5" w:rsidP="00E000FF">
      <w:pPr>
        <w:pStyle w:val="HeadingTOCEntry"/>
        <w:spacing w:after="0" w:line="360" w:lineRule="auto"/>
        <w:rPr>
          <w:rFonts w:ascii="Traditional Arabic" w:hAnsi="Traditional Arabic" w:cs="Traditional Arabic"/>
          <w:b/>
          <w:bCs/>
          <w:sz w:val="32"/>
          <w:szCs w:val="32"/>
          <w:u w:val="single"/>
        </w:rPr>
      </w:pPr>
      <w:r>
        <w:rPr>
          <w:rFonts w:ascii="Traditional Arabic" w:hAnsi="Traditional Arabic" w:cs="Traditional Arabic"/>
          <w:b/>
          <w:bCs/>
          <w:sz w:val="32"/>
          <w:szCs w:val="32"/>
          <w:u w:val="single"/>
        </w:rPr>
        <w:lastRenderedPageBreak/>
        <w:t>Abstract (English)</w:t>
      </w:r>
    </w:p>
    <w:p w14:paraId="6D55A76D" w14:textId="77777777" w:rsidR="0005778F" w:rsidRPr="00F277A5" w:rsidRDefault="00F630BE" w:rsidP="00E000FF">
      <w:pPr>
        <w:pStyle w:val="HeadingTOCEntry"/>
        <w:spacing w:after="0" w:line="360" w:lineRule="auto"/>
        <w:jc w:val="both"/>
        <w:rPr>
          <w:rFonts w:ascii="Traditional Arabic" w:hAnsi="Traditional Arabic" w:cs="Traditional Arabic"/>
          <w:sz w:val="28"/>
          <w:szCs w:val="28"/>
        </w:rPr>
      </w:pPr>
      <w:r>
        <w:rPr>
          <w:rFonts w:ascii="Traditional Arabic" w:hAnsi="Traditional Arabic" w:cs="Traditional Arabic"/>
          <w:sz w:val="28"/>
          <w:szCs w:val="28"/>
        </w:rPr>
        <w:t>This study aims to analyze and evaluate the impact of tokenization technology on enhancing cybersecurity and improving financial operations efficiency in Saudi financial institutions, within the framework of Saudi Vision 2030 for digital transformation and financial sector development. The study gains significant importance amid the escalating challenges facing the Saudi financial sector regarding increasing cyber-attacks and the urgent need to improve financial transaction efficiency to achieve Vision targets.</w:t>
      </w:r>
    </w:p>
    <w:p w14:paraId="0A050440" w14:textId="77777777" w:rsidR="0005778F" w:rsidRPr="00F277A5" w:rsidRDefault="00F630BE" w:rsidP="00E000FF">
      <w:pPr>
        <w:pStyle w:val="HeadingTOCEntry"/>
        <w:spacing w:after="0" w:line="360" w:lineRule="auto"/>
        <w:jc w:val="both"/>
        <w:rPr>
          <w:rFonts w:ascii="Traditional Arabic" w:hAnsi="Traditional Arabic" w:cs="Traditional Arabic"/>
          <w:sz w:val="28"/>
          <w:szCs w:val="28"/>
        </w:rPr>
      </w:pPr>
      <w:r>
        <w:rPr>
          <w:rFonts w:ascii="Traditional Arabic" w:hAnsi="Traditional Arabic" w:cs="Traditional Arabic"/>
          <w:sz w:val="28"/>
          <w:szCs w:val="28"/>
        </w:rPr>
        <w:t>The study objectives include measuring tokenization technology's impact on cybersecurity indicators such as security breach rates, data theft incidents, and compliance with security standards, in addition to analyzing its effect on financial operations efficiency in terms of reducing transaction time, lowering operational costs, and improving customer experience. It also aims to identify differences in impact according to the size and type of financial institutions and explore challenges facing the adoption of this technology.</w:t>
      </w:r>
    </w:p>
    <w:p w14:paraId="7D80C444" w14:textId="77777777" w:rsidR="00F630BE" w:rsidRPr="00F277A5" w:rsidRDefault="00F630BE" w:rsidP="00E000FF">
      <w:pPr>
        <w:pStyle w:val="HeadingTOCEntry"/>
        <w:spacing w:after="0" w:line="360" w:lineRule="auto"/>
        <w:jc w:val="both"/>
        <w:rPr>
          <w:rFonts w:ascii="Traditional Arabic" w:hAnsi="Traditional Arabic" w:cs="Traditional Arabic"/>
          <w:sz w:val="28"/>
          <w:szCs w:val="28"/>
        </w:rPr>
      </w:pPr>
      <w:r>
        <w:rPr>
          <w:rFonts w:ascii="Traditional Arabic" w:hAnsi="Traditional Arabic" w:cs="Traditional Arabic"/>
          <w:sz w:val="28"/>
          <w:szCs w:val="28"/>
        </w:rPr>
        <w:t>The study adopted a quantitative descriptive-analytical approach. An electronic questionnaire was administered to a purposive sample of 196 respondents working in information technology, cybersecurity, financial operations and compliance functions within Saudi financial institutions. Data were analysed using non-parametric methods: Spearman rank correlation, Mann-Whitney U, Kruskal-Wallis, and Robust Regression, following confirmation of non-normality and heterogeneity of variance.</w:t>
      </w:r>
    </w:p>
    <w:p w14:paraId="4FF66DAC" w14:textId="77777777" w:rsidR="00C6300C" w:rsidRPr="00F277A5" w:rsidRDefault="00F630BE" w:rsidP="00E000FF">
      <w:pPr>
        <w:pStyle w:val="21"/>
        <w:spacing w:before="0" w:line="360" w:lineRule="auto"/>
        <w:jc w:val="both"/>
        <w:rPr>
          <w:rFonts w:ascii="Simplified Arabic" w:hAnsi="Simplified Arabic" w:cs="Simplified Arabic"/>
          <w:color w:val="auto"/>
          <w:sz w:val="28"/>
          <w:szCs w:val="28"/>
          <w:rtl/>
        </w:rPr>
      </w:pPr>
      <w:r>
        <w:rPr>
          <w:rFonts w:ascii="Traditional Arabic" w:eastAsiaTheme="minorHAnsi" w:hAnsi="Traditional Arabic" w:cs="Traditional Arabic"/>
          <w:color w:val="auto"/>
          <w:sz w:val="28"/>
          <w:szCs w:val="28"/>
        </w:rPr>
        <w:lastRenderedPageBreak/>
        <w:t>Results revealed a statistically significant positive relationship between tokenization adoption and institutional cybersecurity (r = 0.641, p &lt; 0.001), and between tokenization and financial operations efficiency (r = 0.625, p &lt; 0.001). The robust regression models explained 78.3% of the variance in institutional cybersecurity and 74.7% of the variance in financial operational efficiency. Significant differences were found according to the institution's adoption level and institution type. The study recommends expanding tokenization coverage and linking it to international compliance frameworks as an enabler of Vision 2030 objectives.</w:t>
      </w:r>
    </w:p>
    <w:p w14:paraId="3BDA3AD3" w14:textId="77777777" w:rsidR="0005531B" w:rsidRDefault="0005531B">
      <w:pPr>
        <w:spacing w:after="200" w:line="276" w:lineRule="auto"/>
        <w:rPr>
          <w:rFonts w:ascii="Traditional Arabic" w:hAnsi="Traditional Arabic" w:cs="Traditional Arabic"/>
          <w:b/>
          <w:bCs/>
          <w:sz w:val="92"/>
          <w:szCs w:val="92"/>
          <w:rtl/>
        </w:rPr>
      </w:pPr>
      <w:bookmarkStart w:id="4" w:name="_Toc224563914"/>
      <w:bookmarkStart w:id="5" w:name="_Toc234424108"/>
      <w:r>
        <w:rPr>
          <w:rFonts w:ascii="Traditional Arabic" w:hAnsi="Traditional Arabic" w:cs="Traditional Arabic"/>
          <w:b/>
          <w:bCs/>
          <w:sz w:val="92"/>
          <w:szCs w:val="92"/>
          <w:rtl/>
        </w:rPr>
        <w:br w:type="page"/>
      </w:r>
    </w:p>
    <w:p w14:paraId="3E0F743D" w14:textId="77777777" w:rsidR="0005531B" w:rsidRDefault="0005531B" w:rsidP="00E000FF">
      <w:pPr>
        <w:pStyle w:val="HeadingTOCEntry"/>
        <w:bidi/>
        <w:spacing w:after="0" w:line="360" w:lineRule="auto"/>
        <w:ind w:left="432" w:hanging="432"/>
        <w:jc w:val="center"/>
        <w:rPr>
          <w:rFonts w:ascii="Traditional Arabic" w:hAnsi="Traditional Arabic" w:cs="Traditional Arabic"/>
          <w:b/>
          <w:bCs/>
          <w:sz w:val="92"/>
          <w:szCs w:val="92"/>
          <w:rtl/>
        </w:rPr>
      </w:pPr>
    </w:p>
    <w:p w14:paraId="71EB1BDA" w14:textId="77777777" w:rsidR="0005531B" w:rsidRDefault="0005531B" w:rsidP="0005531B">
      <w:pPr>
        <w:pStyle w:val="HeadingTOCEntry"/>
        <w:bidi/>
        <w:spacing w:after="0" w:line="360" w:lineRule="auto"/>
        <w:ind w:left="432" w:hanging="432"/>
        <w:jc w:val="center"/>
        <w:rPr>
          <w:rFonts w:ascii="Traditional Arabic" w:hAnsi="Traditional Arabic" w:cs="Traditional Arabic"/>
          <w:b/>
          <w:bCs/>
          <w:sz w:val="92"/>
          <w:szCs w:val="92"/>
          <w:rtl/>
        </w:rPr>
      </w:pPr>
    </w:p>
    <w:p w14:paraId="63987646" w14:textId="77777777" w:rsidR="0005531B" w:rsidRDefault="0005531B" w:rsidP="0005531B">
      <w:pPr>
        <w:pStyle w:val="HeadingTOCEntry"/>
        <w:bidi/>
        <w:spacing w:after="0" w:line="360" w:lineRule="auto"/>
        <w:ind w:left="432" w:hanging="432"/>
        <w:jc w:val="center"/>
        <w:rPr>
          <w:rFonts w:ascii="Traditional Arabic" w:hAnsi="Traditional Arabic" w:cs="Traditional Arabic"/>
          <w:b/>
          <w:bCs/>
          <w:sz w:val="92"/>
          <w:szCs w:val="92"/>
          <w:rtl/>
        </w:rPr>
      </w:pPr>
    </w:p>
    <w:p w14:paraId="6AFE53D6" w14:textId="77777777" w:rsidR="00D370C1" w:rsidRPr="000C2DBF" w:rsidRDefault="00D370C1" w:rsidP="0005531B">
      <w:pPr>
        <w:pStyle w:val="HeadingTOCEntry"/>
        <w:bidi/>
        <w:spacing w:after="0" w:line="360" w:lineRule="auto"/>
        <w:ind w:left="432" w:hanging="432"/>
        <w:jc w:val="center"/>
        <w:rPr>
          <w:rFonts w:ascii="Simplified Arabic" w:hAnsi="Simplified Arabic" w:cs="Simplified Arabic"/>
          <w:b/>
          <w:bCs/>
          <w:sz w:val="96"/>
          <w:szCs w:val="96"/>
          <w:rtl/>
        </w:rPr>
      </w:pPr>
      <w:r>
        <w:rPr>
          <w:rFonts w:ascii="Traditional Arabic" w:hAnsi="Traditional Arabic" w:cs="Traditional Arabic" w:hint="cs"/>
          <w:b/>
          <w:bCs/>
          <w:sz w:val="92"/>
          <w:szCs w:val="92"/>
          <w:rtl/>
        </w:rPr>
        <w:t>الفصل الأول</w:t>
      </w:r>
      <w:bookmarkEnd w:id="4"/>
      <w:bookmarkEnd w:id="5"/>
      <w:r>
        <w:rPr>
          <w:rFonts w:ascii="Traditional Arabic" w:hAnsi="Traditional Arabic" w:cs="Traditional Arabic" w:hint="cs"/>
          <w:b/>
          <w:bCs/>
          <w:sz w:val="92"/>
          <w:szCs w:val="92"/>
          <w:rtl/>
        </w:rPr>
        <w:t xml:space="preserve"> </w:t>
      </w:r>
    </w:p>
    <w:p w14:paraId="39E334F9" w14:textId="77777777" w:rsidR="00D370C1" w:rsidRPr="0005778F" w:rsidRDefault="00D370C1" w:rsidP="00E000FF">
      <w:pPr>
        <w:bidi/>
        <w:spacing w:after="0" w:line="360" w:lineRule="auto"/>
        <w:jc w:val="center"/>
        <w:rPr>
          <w:rFonts w:ascii="Traditional Arabic" w:hAnsi="Traditional Arabic" w:cs="Traditional Arabic"/>
          <w:b/>
          <w:bCs/>
          <w:sz w:val="92"/>
          <w:szCs w:val="92"/>
          <w:rtl/>
        </w:rPr>
      </w:pPr>
      <w:r>
        <w:rPr>
          <w:rFonts w:ascii="Traditional Arabic" w:hAnsi="Traditional Arabic" w:cs="Traditional Arabic" w:hint="cs"/>
          <w:b/>
          <w:bCs/>
          <w:sz w:val="92"/>
          <w:szCs w:val="92"/>
          <w:rtl/>
        </w:rPr>
        <w:t>الإطار العام</w:t>
      </w:r>
    </w:p>
    <w:p w14:paraId="5C741497" w14:textId="77777777" w:rsidR="0005778F" w:rsidRPr="0005778F" w:rsidRDefault="0005778F" w:rsidP="00E000FF">
      <w:pPr>
        <w:spacing w:after="0" w:line="276" w:lineRule="auto"/>
        <w:rPr>
          <w:rFonts w:ascii="Traditional Arabic" w:hAnsi="Traditional Arabic" w:cs="Traditional Arabic"/>
          <w:b/>
          <w:bCs/>
          <w:sz w:val="32"/>
          <w:szCs w:val="32"/>
          <w:rtl/>
        </w:rPr>
      </w:pPr>
      <w:r>
        <w:rPr>
          <w:rFonts w:ascii="Traditional Arabic" w:hAnsi="Traditional Arabic" w:cs="Traditional Arabic"/>
          <w:b/>
          <w:bCs/>
          <w:sz w:val="32"/>
          <w:szCs w:val="32"/>
          <w:rtl/>
        </w:rPr>
        <w:br w:type="page"/>
      </w:r>
    </w:p>
    <w:p w14:paraId="6C46C06A" w14:textId="77777777" w:rsidR="0005778F" w:rsidRDefault="00C11026" w:rsidP="00E000FF">
      <w:pPr>
        <w:pStyle w:val="HeadingTOCEntry"/>
        <w:bidi/>
        <w:spacing w:after="0" w:line="360" w:lineRule="auto"/>
        <w:ind w:left="432" w:hanging="432"/>
        <w:rPr>
          <w:rFonts w:ascii="Traditional Arabic" w:hAnsi="Traditional Arabic" w:cs="Traditional Arabic"/>
          <w:b/>
          <w:bCs/>
          <w:sz w:val="32"/>
          <w:szCs w:val="32"/>
          <w:u w:val="single"/>
          <w:rtl/>
        </w:rPr>
      </w:pPr>
      <w:r>
        <w:rPr>
          <w:rFonts w:ascii="Traditional Arabic" w:hAnsi="Traditional Arabic" w:cs="Traditional Arabic"/>
          <w:b/>
          <w:bCs/>
          <w:sz w:val="32"/>
          <w:szCs w:val="32"/>
          <w:u w:val="single"/>
          <w:rtl/>
        </w:rPr>
        <w:lastRenderedPageBreak/>
        <w:t>1.1 مقدمة الدراسة</w:t>
      </w:r>
    </w:p>
    <w:p w14:paraId="7150A15C" w14:textId="77777777" w:rsidR="00D46A37" w:rsidRPr="0005531B" w:rsidRDefault="00D46A37" w:rsidP="00E000FF">
      <w:pPr>
        <w:bidi/>
        <w:spacing w:after="0" w:line="360" w:lineRule="auto"/>
        <w:jc w:val="both"/>
        <w:rPr>
          <w:rFonts w:ascii="Traditional Arabic" w:hAnsi="Traditional Arabic" w:cs="Traditional Arabic"/>
          <w:sz w:val="28"/>
          <w:szCs w:val="28"/>
        </w:rPr>
      </w:pPr>
      <w:r>
        <w:rPr>
          <w:rFonts w:ascii="Traditional Arabic" w:hAnsi="Traditional Arabic" w:cs="Traditional Arabic"/>
          <w:sz w:val="28"/>
          <w:szCs w:val="28"/>
          <w:rtl/>
        </w:rPr>
        <w:t>يشهد العالم تحولات متسارعة في قطاع التكنولوجيا المالية (</w:t>
      </w:r>
      <w:r>
        <w:rPr>
          <w:rFonts w:ascii="Traditional Arabic" w:hAnsi="Traditional Arabic" w:cs="Traditional Arabic"/>
          <w:sz w:val="28"/>
          <w:szCs w:val="28"/>
        </w:rPr>
        <w:t>Fintech</w:t>
      </w:r>
      <w:r>
        <w:rPr>
          <w:rFonts w:ascii="Traditional Arabic" w:hAnsi="Traditional Arabic" w:cs="Traditional Arabic"/>
          <w:sz w:val="28"/>
          <w:szCs w:val="28"/>
          <w:rtl/>
        </w:rPr>
        <w:t>) وتطبيقاتها المتنوعة، حيث برزت تقنية الترميز (</w:t>
      </w:r>
      <w:r>
        <w:rPr>
          <w:rFonts w:ascii="Traditional Arabic" w:hAnsi="Traditional Arabic" w:cs="Traditional Arabic"/>
          <w:sz w:val="28"/>
          <w:szCs w:val="28"/>
        </w:rPr>
        <w:t>Tokenization</w:t>
      </w:r>
      <w:r>
        <w:rPr>
          <w:rFonts w:ascii="Traditional Arabic" w:hAnsi="Traditional Arabic" w:cs="Traditional Arabic"/>
          <w:sz w:val="28"/>
          <w:szCs w:val="28"/>
          <w:rtl/>
        </w:rPr>
        <w:t>) كأحد أهم الابتكارات التقنية التي تؤثر بشكل مباشر على مستقبل القطاع المالي. تعتبر هذه التقنية محورية في تعزيز الأمن السيبراني وتحسين كفاءة المعاملات المالية في ظل التحديات المتزايدة التي تواجهها المؤسسات المالية عالمياً.</w:t>
      </w:r>
    </w:p>
    <w:p w14:paraId="3D4B3431" w14:textId="77777777" w:rsidR="00D46A37" w:rsidRPr="0005531B" w:rsidRDefault="00D46A37" w:rsidP="00E000FF">
      <w:pPr>
        <w:bidi/>
        <w:spacing w:after="0" w:line="360" w:lineRule="auto"/>
        <w:jc w:val="both"/>
        <w:rPr>
          <w:rFonts w:ascii="Traditional Arabic" w:hAnsi="Traditional Arabic" w:cs="Traditional Arabic"/>
          <w:sz w:val="28"/>
          <w:szCs w:val="28"/>
        </w:rPr>
      </w:pPr>
      <w:r>
        <w:rPr>
          <w:rFonts w:ascii="Traditional Arabic" w:hAnsi="Traditional Arabic" w:cs="Traditional Arabic"/>
          <w:sz w:val="28"/>
          <w:szCs w:val="28"/>
          <w:rtl/>
        </w:rPr>
        <w:t>في المملكة العربية السعودية، تكتسب تقنية الترميز أهمية استراتيجية خاصة في إطار رؤية 2030 التي تستهدف تحقيق تحول رقمي شامل وتطوير القطاع المالي ليصبح أكثر تنوعاً واستقراراً. وقد أكد "برنامج تطوير القطاع المالي" كأحد برامج تحقيق الرؤية على أهمية تبني التقنيات المالية الحديثة لتعزيز الابتكار وزيادة الشمول المالي وتحسين تجربة العملاء.</w:t>
      </w:r>
    </w:p>
    <w:p w14:paraId="091E19B1" w14:textId="77777777" w:rsidR="00D46A37" w:rsidRPr="0005531B" w:rsidRDefault="00D46A37" w:rsidP="00E000FF">
      <w:pPr>
        <w:bidi/>
        <w:spacing w:after="0" w:line="360" w:lineRule="auto"/>
        <w:jc w:val="both"/>
        <w:rPr>
          <w:rFonts w:ascii="Traditional Arabic" w:hAnsi="Traditional Arabic" w:cs="Traditional Arabic"/>
          <w:sz w:val="28"/>
          <w:szCs w:val="28"/>
        </w:rPr>
      </w:pPr>
      <w:r>
        <w:rPr>
          <w:rFonts w:ascii="Traditional Arabic" w:hAnsi="Traditional Arabic" w:cs="Traditional Arabic"/>
          <w:sz w:val="28"/>
          <w:szCs w:val="28"/>
          <w:rtl/>
        </w:rPr>
        <w:t xml:space="preserve">وفقاً لتقرير "فنتك السعودية" الصادر عن برنامج تطوير القطاع المالي (2023)، شهد حجم الاستثمار في قطاع التقنية المالية بالمملكة نمواً استثنائياً بنسبة 79% مقارنة بالعام السابق، حيث بلغ إجمالي الاستثمارات في هذا القطاع ما يقارب 3.1 مليار ريال سعودي. وتشير دراسات متخصصة صادرة عن مؤسسة </w:t>
      </w:r>
      <w:r>
        <w:rPr>
          <w:rFonts w:ascii="Traditional Arabic" w:hAnsi="Traditional Arabic" w:cs="Traditional Arabic"/>
          <w:sz w:val="28"/>
          <w:szCs w:val="28"/>
        </w:rPr>
        <w:t>Mordor Intelligence</w:t>
      </w:r>
      <w:r>
        <w:rPr>
          <w:rFonts w:ascii="Traditional Arabic" w:hAnsi="Traditional Arabic" w:cs="Traditional Arabic"/>
          <w:sz w:val="28"/>
          <w:szCs w:val="28"/>
          <w:rtl/>
        </w:rPr>
        <w:t xml:space="preserve"> (2023) إلى أن سوق الترميز العالمي يتوقع أن ينمو بمعدل سنوي مركب قدره 22.5% خلال الفترة 2024-2029، مدفوعاً بالزيادة المقلقة في معدلات الاحتيال الإلكتروني التي وصلت إلى 45% في عام 2023 ويُتوقع أن تصل إلى 60% بحلول عام 2026.</w:t>
      </w:r>
    </w:p>
    <w:p w14:paraId="62CC3F44" w14:textId="77777777" w:rsidR="00D46A37" w:rsidRPr="0005531B" w:rsidRDefault="00D46A37" w:rsidP="00E000FF">
      <w:pPr>
        <w:bidi/>
        <w:spacing w:after="0" w:line="360" w:lineRule="auto"/>
        <w:jc w:val="both"/>
        <w:rPr>
          <w:rFonts w:ascii="Traditional Arabic" w:hAnsi="Traditional Arabic" w:cs="Traditional Arabic"/>
          <w:sz w:val="28"/>
          <w:szCs w:val="28"/>
        </w:rPr>
      </w:pPr>
      <w:r>
        <w:rPr>
          <w:rFonts w:ascii="Traditional Arabic" w:hAnsi="Traditional Arabic" w:cs="Traditional Arabic"/>
          <w:sz w:val="28"/>
          <w:szCs w:val="28"/>
          <w:rtl/>
        </w:rPr>
        <w:t>ويتزامن هذا النمو مع تصاعد التهديدات السيبرانية التي تستهدف القطاع المالي. فقد كشف تقرير المركز الوطني للأمن السيبراني (2023) أن القطاع المالي السعودي يعد من أكثر القطاعات استهدافاً بالهجمات السيبرانية، حيث تعرض لأكثر من 57,000 محاولة اختراق خلال عام 2023 وحده، بزيادة قدرها 37% عن العام السابق.</w:t>
      </w:r>
    </w:p>
    <w:p w14:paraId="50A3F4BC" w14:textId="77777777" w:rsidR="00D46A37" w:rsidRPr="0005531B" w:rsidRDefault="00D46A37" w:rsidP="00E000FF">
      <w:pPr>
        <w:bidi/>
        <w:spacing w:after="0" w:line="360" w:lineRule="auto"/>
        <w:jc w:val="both"/>
        <w:rPr>
          <w:rFonts w:ascii="Traditional Arabic" w:hAnsi="Traditional Arabic" w:cs="Traditional Arabic"/>
          <w:sz w:val="28"/>
          <w:szCs w:val="28"/>
        </w:rPr>
      </w:pPr>
      <w:r>
        <w:rPr>
          <w:rFonts w:ascii="Traditional Arabic" w:hAnsi="Traditional Arabic" w:cs="Traditional Arabic"/>
          <w:sz w:val="28"/>
          <w:szCs w:val="28"/>
          <w:rtl/>
        </w:rPr>
        <w:t xml:space="preserve">في ظل هذه التحديات، تبرز تقنية الترميز كحل واعد يمكن أن يساهم في تعزيز الأمن السيبراني من خلال استبدال البيانات الحساسة برموز رقمية، كما تسهم في تحسين كفاءة المعاملات المالية من خلال تقليل وقت المعالجة وخفض التكاليف التشغيلية. وقد أكدت دراسة حديثة لشركة </w:t>
      </w:r>
      <w:r>
        <w:rPr>
          <w:rFonts w:ascii="Traditional Arabic" w:hAnsi="Traditional Arabic" w:cs="Traditional Arabic"/>
          <w:sz w:val="28"/>
          <w:szCs w:val="28"/>
        </w:rPr>
        <w:t>PwC</w:t>
      </w:r>
      <w:r>
        <w:rPr>
          <w:rFonts w:ascii="Traditional Arabic" w:hAnsi="Traditional Arabic" w:cs="Traditional Arabic"/>
          <w:sz w:val="28"/>
          <w:szCs w:val="28"/>
          <w:rtl/>
        </w:rPr>
        <w:t xml:space="preserve"> (2022) أن المؤسسات المالية التي تطبق تقنيات الترميز بشكل فعال تشهد انخفاضاً في معدلات الاختراق بنسبة تصل إلى 73% وتحسناً في كفاءة المعاملات بنسبة 62%.</w:t>
      </w:r>
    </w:p>
    <w:p w14:paraId="3CF0B2C1" w14:textId="77777777" w:rsidR="00D46A37" w:rsidRPr="0005531B" w:rsidRDefault="00D46A37" w:rsidP="00E000FF">
      <w:pPr>
        <w:bidi/>
        <w:spacing w:after="0" w:line="360" w:lineRule="auto"/>
        <w:jc w:val="both"/>
        <w:rPr>
          <w:rFonts w:ascii="Traditional Arabic" w:hAnsi="Traditional Arabic" w:cs="Traditional Arabic"/>
          <w:sz w:val="28"/>
          <w:szCs w:val="28"/>
        </w:rPr>
      </w:pPr>
      <w:r>
        <w:rPr>
          <w:rFonts w:ascii="Traditional Arabic" w:hAnsi="Traditional Arabic" w:cs="Traditional Arabic"/>
          <w:sz w:val="28"/>
          <w:szCs w:val="28"/>
          <w:rtl/>
        </w:rPr>
        <w:lastRenderedPageBreak/>
        <w:t>تواجه المؤسسات المالية السعودية تحديات متعددة الأبعاد في تبني هذه التقنية المبتكرة. فعلى المستوى التنظيمي والتشريعي، تظهر الحاجة لتطوير لوائح أكثر تفصيلاً تحكم استخدام تقنيات الترميز في القطاع المالي، خاصة مع المعايير المحدثة للبنك المركزي السعودي في 2023 التي تتطلب مستويات عالية من الامتثال لحماية البيانات المالية. وعلى الصعيد الثقافي والاجتماعي، تشير دراسة مركز الملك عبد العزيز للحوار الوطني (2023) إلى أن 42% من المواطنين السعوديين لا يزالون يشعرون بالقلق حول مشاركة معلوماتهم المالية رقمياً، مما يتطلب برامج توعية شاملة لبناء الثقة المجتمعية. أما من الناحية التقنية والبشرية، فتواجه المؤسسات نقصاً في المواهب الوطنية المتخصصة بنسبة تقدر بـ 35% وفقاً لتقرير وزارة الموارد البشرية والتنمية الاجتماعية (2023)، بالإضافة إلى تحديات تكامل أنظمة الترميز الحديثة مع الأنظمة التقليدية القائمة.</w:t>
      </w:r>
    </w:p>
    <w:p w14:paraId="79066383" w14:textId="77777777" w:rsidR="00CF3CD3" w:rsidRPr="0005531B" w:rsidRDefault="00D46A37" w:rsidP="00E000FF">
      <w:pPr>
        <w:bidi/>
        <w:spacing w:after="0" w:line="360" w:lineRule="auto"/>
        <w:jc w:val="both"/>
        <w:rPr>
          <w:rFonts w:ascii="Traditional Arabic" w:hAnsi="Traditional Arabic" w:cs="Traditional Arabic"/>
          <w:sz w:val="28"/>
          <w:szCs w:val="28"/>
          <w:rtl/>
        </w:rPr>
      </w:pPr>
      <w:r>
        <w:rPr>
          <w:rFonts w:ascii="Traditional Arabic" w:hAnsi="Traditional Arabic" w:cs="Traditional Arabic"/>
          <w:sz w:val="28"/>
          <w:szCs w:val="28"/>
          <w:rtl/>
        </w:rPr>
        <w:t>وفي ضوء ما تقدَّم من نمو متسارع في القطاع المالي السعودي، وتصاعد في التهديدات السيبرانية، وحضور متزايد لتقنية الترميز بوصفها أحد الحلول التقنية المطروحة، تبرز الحاجة إلى فحص علمي منضبط لأثر هذه التقنية على الأمن السيبراني وكفاءة العمليات المالية داخل المؤسسات المالية السعودية، وهو ما يتناوله المبحث التالي في إطار تحديد مشكلة الدراسة.</w:t>
      </w:r>
    </w:p>
    <w:p w14:paraId="05248AC9" w14:textId="77777777" w:rsidR="00D46A37" w:rsidRPr="0072768E" w:rsidRDefault="00D46A37" w:rsidP="00E000FF">
      <w:pPr>
        <w:bidi/>
        <w:spacing w:after="0" w:line="360" w:lineRule="auto"/>
        <w:jc w:val="both"/>
        <w:rPr>
          <w:rtl/>
        </w:rPr>
      </w:pPr>
    </w:p>
    <w:p w14:paraId="65ECED9A" w14:textId="77777777" w:rsidR="00D46A37" w:rsidRDefault="00883E09" w:rsidP="00E000FF">
      <w:pPr>
        <w:pStyle w:val="HeadingTOCEntry"/>
        <w:bidi/>
        <w:spacing w:after="0" w:line="360" w:lineRule="auto"/>
        <w:ind w:left="432" w:hanging="432"/>
        <w:jc w:val="both"/>
        <w:rPr>
          <w:rFonts w:ascii="Traditional Arabic" w:hAnsi="Traditional Arabic" w:cs="Traditional Arabic"/>
          <w:b/>
          <w:bCs/>
          <w:sz w:val="32"/>
          <w:szCs w:val="32"/>
          <w:u w:val="single"/>
          <w:rtl/>
        </w:rPr>
      </w:pPr>
      <w:r>
        <w:rPr>
          <w:rFonts w:ascii="Traditional Arabic" w:hAnsi="Traditional Arabic" w:cs="Traditional Arabic"/>
          <w:b/>
          <w:bCs/>
          <w:sz w:val="32"/>
          <w:szCs w:val="32"/>
          <w:u w:val="single"/>
          <w:rtl/>
        </w:rPr>
        <w:t>1.2 مشكلة الدراسة</w:t>
      </w:r>
    </w:p>
    <w:p w14:paraId="4D6409B5" w14:textId="77777777" w:rsidR="00D46A37" w:rsidRPr="0005531B" w:rsidRDefault="00D46A37" w:rsidP="00E000FF">
      <w:pPr>
        <w:bidi/>
        <w:spacing w:after="0" w:line="360" w:lineRule="auto"/>
        <w:jc w:val="both"/>
        <w:rPr>
          <w:rFonts w:ascii="Traditional Arabic" w:hAnsi="Traditional Arabic" w:cs="Traditional Arabic"/>
          <w:sz w:val="28"/>
          <w:szCs w:val="28"/>
        </w:rPr>
      </w:pPr>
      <w:r>
        <w:rPr>
          <w:rFonts w:ascii="Traditional Arabic" w:hAnsi="Traditional Arabic" w:cs="Traditional Arabic"/>
          <w:sz w:val="28"/>
          <w:szCs w:val="28"/>
          <w:rtl/>
        </w:rPr>
        <w:t>وتتضح خطورة هذا الواقع عند النظر إلى انعكاساته المباشرة على ثقة عملاء المؤسسات المالية وعلى كفاءة عملياتها التشغيلية، وهو ما تكشفه المؤشرات الآتية.</w:t>
      </w:r>
    </w:p>
    <w:p w14:paraId="11D539A7" w14:textId="77777777" w:rsidR="00F277A5" w:rsidRPr="0005531B" w:rsidRDefault="00F277A5" w:rsidP="00E000FF">
      <w:pPr>
        <w:bidi/>
        <w:spacing w:after="0" w:line="360" w:lineRule="auto"/>
        <w:jc w:val="both"/>
        <w:rPr>
          <w:rFonts w:ascii="Traditional Arabic" w:hAnsi="Traditional Arabic" w:cs="Traditional Arabic"/>
          <w:sz w:val="28"/>
          <w:szCs w:val="28"/>
        </w:rPr>
      </w:pPr>
      <w:r>
        <w:rPr>
          <w:rFonts w:ascii="Traditional Arabic" w:hAnsi="Traditional Arabic" w:cs="Traditional Arabic"/>
          <w:sz w:val="28"/>
          <w:szCs w:val="28"/>
          <w:rtl/>
        </w:rPr>
        <w:t xml:space="preserve">وتعكس هذه التهديدات تأثيراً مباشراً على ثقة المستهلكين، حيث يشير تقرير </w:t>
      </w:r>
      <w:r>
        <w:rPr>
          <w:rFonts w:ascii="Traditional Arabic" w:hAnsi="Traditional Arabic" w:cs="Traditional Arabic"/>
          <w:sz w:val="28"/>
          <w:szCs w:val="28"/>
        </w:rPr>
        <w:t>Saudi Payments</w:t>
      </w:r>
      <w:r>
        <w:rPr>
          <w:rFonts w:ascii="Traditional Arabic" w:hAnsi="Traditional Arabic" w:cs="Traditional Arabic"/>
          <w:sz w:val="28"/>
          <w:szCs w:val="28"/>
          <w:rtl/>
        </w:rPr>
        <w:t xml:space="preserve"> (2023) إلى أن 62% من المستهلكين السعوديين أصبحوا أكثر قلقاً بشأن أمن معاملاتهم المالية الرقمية، وأن 47% منهم واجهوا شكلاً من أشكال الاحتيال أو محاولات الاختراق خلال العام الماضي. وتُقدر الخسائر المالية الناتجة عن الاحتيال الإلكتروني في القطاع المالي السعودي بحوالي 1.5 مليار ريال سعودي سنوياً (البنك المركزي السعودي، 2023).</w:t>
      </w:r>
    </w:p>
    <w:p w14:paraId="3C11676D" w14:textId="77777777" w:rsidR="00F277A5" w:rsidRPr="0005531B" w:rsidRDefault="00F277A5" w:rsidP="00E000FF">
      <w:pPr>
        <w:bidi/>
        <w:spacing w:after="0" w:line="360" w:lineRule="auto"/>
        <w:jc w:val="both"/>
        <w:rPr>
          <w:rFonts w:ascii="Traditional Arabic" w:hAnsi="Traditional Arabic" w:cs="Traditional Arabic"/>
          <w:sz w:val="28"/>
          <w:szCs w:val="28"/>
        </w:rPr>
      </w:pPr>
      <w:r>
        <w:rPr>
          <w:rFonts w:ascii="Traditional Arabic" w:hAnsi="Traditional Arabic" w:cs="Traditional Arabic"/>
          <w:sz w:val="28"/>
          <w:szCs w:val="28"/>
          <w:rtl/>
        </w:rPr>
        <w:t xml:space="preserve">من جهة أخرى، تواجه المؤسسات المالية السعودية فجوة حقيقية في كفاءة المعاملات المالية، حيث تكشف دراسة أجرتها شركة ديلويت (2022) أن معالجة المعاملات المالية التقليدية تستغرق في المتوسط 2-3 أيام عمل، وتكلف ما بين </w:t>
      </w:r>
      <w:r>
        <w:rPr>
          <w:rFonts w:ascii="Traditional Arabic" w:hAnsi="Traditional Arabic" w:cs="Traditional Arabic"/>
          <w:sz w:val="28"/>
          <w:szCs w:val="28"/>
          <w:rtl/>
        </w:rPr>
        <w:lastRenderedPageBreak/>
        <w:t>15-20 ريالاً للمعاملة الواحدة، بالإضافة إلى استهلاك موارد بشرية كبيرة للتحقق والمصادقة، مما يؤثر سلباً على تنافسية هذه المؤسسات وتجربة العملاء.</w:t>
      </w:r>
    </w:p>
    <w:p w14:paraId="02B99D70" w14:textId="77777777" w:rsidR="00F277A5" w:rsidRPr="0005531B" w:rsidRDefault="00F277A5" w:rsidP="00E000FF">
      <w:pPr>
        <w:bidi/>
        <w:spacing w:after="0" w:line="360" w:lineRule="auto"/>
        <w:jc w:val="both"/>
        <w:rPr>
          <w:rFonts w:ascii="Traditional Arabic" w:hAnsi="Traditional Arabic" w:cs="Traditional Arabic"/>
          <w:sz w:val="28"/>
          <w:szCs w:val="28"/>
        </w:rPr>
      </w:pPr>
      <w:r>
        <w:rPr>
          <w:rFonts w:ascii="Traditional Arabic" w:hAnsi="Traditional Arabic" w:cs="Traditional Arabic"/>
          <w:sz w:val="28"/>
          <w:szCs w:val="28"/>
          <w:rtl/>
        </w:rPr>
        <w:t>وفي ظل هذا الواقع، تبرز تقنية الترميز كحل تقني واعد يمكن أن يعالج هذه التحديات المزدوجة، حيث تشير دراسة معهد ماكينزي العالمي (2023) إلى إمكانية تقليل مخاطر الاختراق الأمني بنسبة تصل إلى 80%، وخفض تكاليف المعاملات بنسبة 35-45%، وتقليص وقت المعالجة من أيام إلى دقائق في بعض الحالات. كما أكد تقرير البنك الدولي للتسويات (2023) أن "تقنية الترميز تمثل إحدى التقنيات الواعدة التي يمكن أن تحدث تحولاً جذرياً في طريقة عمل الأسواق المالية، من خلال تقليل المخاطر وتعزيز الكفاءة وزيادة الشفافية".</w:t>
      </w:r>
    </w:p>
    <w:p w14:paraId="25D98730" w14:textId="77777777" w:rsidR="00F277A5" w:rsidRPr="0005531B" w:rsidRDefault="00F277A5" w:rsidP="00E000FF">
      <w:pPr>
        <w:bidi/>
        <w:spacing w:after="0" w:line="360" w:lineRule="auto"/>
        <w:jc w:val="both"/>
        <w:rPr>
          <w:rFonts w:ascii="Traditional Arabic" w:hAnsi="Traditional Arabic" w:cs="Traditional Arabic"/>
          <w:sz w:val="28"/>
          <w:szCs w:val="28"/>
        </w:rPr>
      </w:pPr>
      <w:r>
        <w:rPr>
          <w:rFonts w:ascii="Traditional Arabic" w:hAnsi="Traditional Arabic" w:cs="Traditional Arabic"/>
          <w:sz w:val="28"/>
          <w:szCs w:val="28"/>
          <w:rtl/>
        </w:rPr>
        <w:t>غير أن تبني تقنية الترميز في القطاع المالي السعودي لا يزال في مراحله الأولى، وهناك نقص واضح في الدراسات والأبحاث التي تتناول تأثير هذه التقنية على الأمن والكفاءة المالية في السياق السعودي تحديداً، كما أكدت دراسة المنتدى الاقتصادي العالمي (</w:t>
      </w:r>
      <w:r>
        <w:rPr>
          <w:rFonts w:ascii="Traditional Arabic" w:hAnsi="Traditional Arabic" w:cs="Traditional Arabic"/>
          <w:sz w:val="28"/>
          <w:szCs w:val="28"/>
        </w:rPr>
        <w:t>World Economic Forum, 2024</w:t>
      </w:r>
      <w:r>
        <w:rPr>
          <w:rFonts w:ascii="Traditional Arabic" w:hAnsi="Traditional Arabic" w:cs="Traditional Arabic"/>
          <w:sz w:val="28"/>
          <w:szCs w:val="28"/>
          <w:rtl/>
        </w:rPr>
        <w:t>) حول فجوات البحث في تقنيات التمويل الرقمي بالأسواق الناشئة. وقد كشف استطلاع أجرته مؤسسة فنتك السعودية (2023) أن 68% من المؤسسات المالية السعودية تخطط لزيادة استثماراتها في تقنيات الترميز خلال السنوات الثلاث القادمة، لكن 57% منها تواجه تحديات في فهم الآثار الكاملة لهذه التقنية على عملياتها، خاصة فيما يتعلق بالأمن السيبراني والكفاءة التشغيلية والامتثال للمتطلبات التنظيمية.</w:t>
      </w:r>
    </w:p>
    <w:p w14:paraId="25240A71" w14:textId="77777777" w:rsidR="00F277A5" w:rsidRPr="0005531B" w:rsidRDefault="00F277A5" w:rsidP="00E000FF">
      <w:pPr>
        <w:bidi/>
        <w:spacing w:after="0" w:line="360" w:lineRule="auto"/>
        <w:jc w:val="both"/>
        <w:rPr>
          <w:rFonts w:ascii="Traditional Arabic" w:hAnsi="Traditional Arabic" w:cs="Traditional Arabic"/>
          <w:sz w:val="28"/>
          <w:szCs w:val="28"/>
        </w:rPr>
      </w:pPr>
      <w:r>
        <w:rPr>
          <w:rFonts w:ascii="Traditional Arabic" w:hAnsi="Traditional Arabic" w:cs="Traditional Arabic"/>
          <w:sz w:val="28"/>
          <w:szCs w:val="28"/>
          <w:rtl/>
        </w:rPr>
        <w:t>رغم هذه التحديات، تظهر فجوة بحثية واضحة تتمثل في ندرة الدراسات العلمية التي تتناول تأثير تقنية الترميز في السياق السعودي تحديداً، وكيفية مساهمتها في تعزيز الأمن السيبراني وتحسين كفاءة العمليات المالية في المؤسسات السعودية بما يتوافق مع مستهدفات رؤية 2030. وتزداد أهمية هذه الفجوة في ظل خصوصية البيئة التنظيمية والتشريعية السعودية، والتحديات الثقافية والتقنية التي قد تؤثر على تبني هذه التقنية وفعاليتها.</w:t>
      </w:r>
    </w:p>
    <w:p w14:paraId="72B15EE6" w14:textId="77777777" w:rsidR="00F277A5" w:rsidRPr="0005531B" w:rsidRDefault="00F277A5" w:rsidP="00E000FF">
      <w:pPr>
        <w:bidi/>
        <w:spacing w:after="0" w:line="360" w:lineRule="auto"/>
        <w:jc w:val="both"/>
        <w:rPr>
          <w:rFonts w:ascii="Traditional Arabic" w:hAnsi="Traditional Arabic" w:cs="Traditional Arabic"/>
          <w:sz w:val="28"/>
          <w:szCs w:val="28"/>
          <w:rtl/>
        </w:rPr>
      </w:pPr>
      <w:r>
        <w:rPr>
          <w:rFonts w:ascii="Traditional Arabic" w:hAnsi="Traditional Arabic" w:cs="Traditional Arabic"/>
          <w:sz w:val="28"/>
          <w:szCs w:val="28"/>
          <w:rtl/>
        </w:rPr>
        <w:t>وبناءً على ما سبق، تتبلور مشكلة الدراسة في وجود فجوة معرفية بين التوسع العملي في تطبيق تقنية الترميز داخل المؤسسات المالية السعودية من جهة، وندرة الأدلة الميدانية الكمية التي تقيس أثر هذا التطبيق وأثر الامتثال للمعايير الدولية على الأمن السيبراني المؤسسي وكفاءة العمليات المالية في البيئة السعودية من جهة أخرى، وتُصاغ هذه المشكلة في سؤال رئيس يُعرَض ضمن أسئلة الدراسة في المبحث التالي.</w:t>
      </w:r>
    </w:p>
    <w:p w14:paraId="19929332" w14:textId="77777777" w:rsidR="000F651A" w:rsidRPr="0072768E" w:rsidRDefault="000F651A" w:rsidP="00E000FF">
      <w:pPr>
        <w:pStyle w:val="1"/>
        <w:numPr>
          <w:ilvl w:val="0"/>
          <w:numId w:val="0"/>
        </w:numPr>
        <w:bidi/>
        <w:spacing w:before="0" w:line="360" w:lineRule="auto"/>
        <w:ind w:left="432" w:hanging="432"/>
        <w:rPr>
          <w:rFonts w:ascii="Simplified Arabic" w:hAnsi="Simplified Arabic" w:cs="Simplified Arabic"/>
          <w:b/>
          <w:bCs/>
          <w:color w:val="auto"/>
          <w:sz w:val="28"/>
          <w:szCs w:val="28"/>
          <w:u w:val="single"/>
          <w:rtl/>
        </w:rPr>
        <w:sectPr w:rsidR="000F651A" w:rsidRPr="0072768E" w:rsidSect="006E2853">
          <w:headerReference w:type="even" r:id="rId12"/>
          <w:headerReference w:type="default" r:id="rId13"/>
          <w:footerReference w:type="default" r:id="rId14"/>
          <w:headerReference w:type="first" r:id="rId15"/>
          <w:footerReference w:type="first" r:id="rId16"/>
          <w:pgSz w:w="11906" w:h="16838"/>
          <w:pgMar w:top="1440" w:right="1800" w:bottom="1440" w:left="1800" w:header="708" w:footer="144" w:gutter="0"/>
          <w:cols w:space="708"/>
          <w:titlePg/>
          <w:bidi/>
          <w:rtlGutter/>
          <w:docGrid w:linePitch="360"/>
        </w:sectPr>
      </w:pPr>
    </w:p>
    <w:p w14:paraId="27259F89" w14:textId="77777777" w:rsidR="00D64F3E" w:rsidRPr="0072768E" w:rsidRDefault="004C6F90" w:rsidP="00E000FF">
      <w:pPr>
        <w:pStyle w:val="HeadingTOCEntry"/>
        <w:bidi/>
        <w:spacing w:after="0" w:line="360" w:lineRule="auto"/>
        <w:ind w:left="432" w:hanging="432"/>
        <w:rPr>
          <w:rFonts w:ascii="Simplified Arabic" w:hAnsi="Simplified Arabic" w:cs="Simplified Arabic"/>
          <w:b/>
          <w:bCs/>
          <w:sz w:val="28"/>
          <w:szCs w:val="28"/>
          <w:u w:val="single"/>
          <w:rtl/>
        </w:rPr>
      </w:pPr>
      <w:r>
        <w:rPr>
          <w:rFonts w:ascii="Traditional Arabic" w:hAnsi="Traditional Arabic" w:cs="Traditional Arabic" w:hint="cs"/>
          <w:b/>
          <w:bCs/>
          <w:sz w:val="32"/>
          <w:szCs w:val="32"/>
          <w:u w:val="single"/>
          <w:rtl/>
        </w:rPr>
        <w:lastRenderedPageBreak/>
        <w:t>1.3 أسئلة الدراسة</w:t>
      </w:r>
    </w:p>
    <w:p w14:paraId="6966115A" w14:textId="77777777" w:rsidR="00091751" w:rsidRPr="0072768E" w:rsidRDefault="00091751" w:rsidP="00E000FF">
      <w:pPr>
        <w:pStyle w:val="21"/>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تسعى هذه الدراسة إلى الإجابة على التساؤل الرئيسي التالي:</w:t>
      </w:r>
    </w:p>
    <w:p w14:paraId="0BB48795" w14:textId="77777777" w:rsidR="00091751" w:rsidRPr="0072768E" w:rsidRDefault="00091751" w:rsidP="00E000FF">
      <w:pPr>
        <w:pStyle w:val="21"/>
        <w:bidi/>
        <w:spacing w:before="0" w:line="360" w:lineRule="auto"/>
        <w:jc w:val="both"/>
        <w:rPr>
          <w:rFonts w:ascii="Simplified Arabic" w:hAnsi="Simplified Arabic" w:cs="Simplified Arabic"/>
          <w:b/>
          <w:bCs/>
          <w:color w:val="auto"/>
          <w:sz w:val="28"/>
          <w:szCs w:val="28"/>
          <w:rtl/>
        </w:rPr>
      </w:pPr>
      <w:r>
        <w:rPr>
          <w:rFonts w:ascii="Traditional Arabic" w:hAnsi="Traditional Arabic" w:cs="Traditional Arabic"/>
          <w:b/>
          <w:bCs/>
          <w:color w:val="auto"/>
          <w:sz w:val="28"/>
          <w:szCs w:val="28"/>
          <w:rtl/>
        </w:rPr>
        <w:t>ما أثر تطبيق تقنية الترميز والامتثال للمعايير الدولية على الأمن السيبراني المؤسسي وكفاءة العمليات المالية في المؤسسات المالية السعودية؟</w:t>
      </w:r>
    </w:p>
    <w:p w14:paraId="27C22976" w14:textId="77777777" w:rsidR="004A6241" w:rsidRPr="004A6241" w:rsidRDefault="004A6241" w:rsidP="00E000FF">
      <w:pPr>
        <w:pStyle w:val="1"/>
        <w:numPr>
          <w:ilvl w:val="0"/>
          <w:numId w:val="0"/>
        </w:numPr>
        <w:bidi/>
        <w:spacing w:before="0" w:line="360" w:lineRule="auto"/>
        <w:jc w:val="both"/>
        <w:rPr>
          <w:rFonts w:ascii="Simplified Arabic" w:hAnsi="Simplified Arabic" w:cs="Simplified Arabic"/>
          <w:color w:val="auto"/>
          <w:sz w:val="28"/>
          <w:szCs w:val="28"/>
        </w:rPr>
      </w:pPr>
      <w:bookmarkStart w:id="6" w:name="_Toc217927615"/>
      <w:bookmarkStart w:id="7" w:name="_Toc224563918"/>
      <w:bookmarkStart w:id="8" w:name="_Toc224563975"/>
      <w:bookmarkStart w:id="9" w:name="_Toc234424112"/>
      <w:r>
        <w:rPr>
          <w:rFonts w:ascii="Traditional Arabic" w:hAnsi="Traditional Arabic" w:cs="Traditional Arabic"/>
          <w:b/>
          <w:bCs/>
          <w:color w:val="auto"/>
          <w:rtl/>
        </w:rPr>
        <w:t>وفي ضوء مشكلة الدراسة والتساؤل الرئيسي، يمكن تحديد التساؤلات البحثية الفرعية التالية:</w:t>
      </w:r>
      <w:bookmarkEnd w:id="6"/>
      <w:bookmarkEnd w:id="7"/>
      <w:bookmarkEnd w:id="8"/>
      <w:bookmarkEnd w:id="9"/>
    </w:p>
    <w:p w14:paraId="5EBD4E89" w14:textId="77777777" w:rsidR="004A6241" w:rsidRPr="004A6241" w:rsidRDefault="004A6241" w:rsidP="00E000FF">
      <w:pPr>
        <w:pStyle w:val="1"/>
        <w:numPr>
          <w:ilvl w:val="0"/>
          <w:numId w:val="0"/>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rtl/>
        </w:rPr>
        <w:t>التساؤل البحثي الأول: ما أثر تطبيق تقنية الترميز والامتثال للمعايير الدولية على الأمن السيبراني المؤسسي في المؤسسات المالية السعودية؟</w:t>
      </w:r>
    </w:p>
    <w:p w14:paraId="1F7AC03A" w14:textId="77777777" w:rsidR="004A6241" w:rsidRPr="004A6241" w:rsidRDefault="004A6241" w:rsidP="00E000FF">
      <w:pPr>
        <w:pStyle w:val="1"/>
        <w:numPr>
          <w:ilvl w:val="0"/>
          <w:numId w:val="0"/>
        </w:numPr>
        <w:bidi/>
        <w:spacing w:before="0" w:line="360" w:lineRule="auto"/>
        <w:jc w:val="both"/>
        <w:rPr>
          <w:rFonts w:ascii="Simplified Arabic" w:hAnsi="Simplified Arabic" w:cs="Simplified Arabic"/>
          <w:color w:val="auto"/>
          <w:sz w:val="28"/>
          <w:szCs w:val="28"/>
        </w:rPr>
      </w:pPr>
      <w:bookmarkStart w:id="10" w:name="_Toc217927617"/>
      <w:bookmarkStart w:id="11" w:name="_Toc224563920"/>
      <w:bookmarkStart w:id="12" w:name="_Toc224563977"/>
      <w:bookmarkStart w:id="13" w:name="_Toc234424114"/>
      <w:r>
        <w:rPr>
          <w:rFonts w:ascii="Traditional Arabic" w:hAnsi="Traditional Arabic" w:cs="Traditional Arabic"/>
          <w:b/>
          <w:bCs/>
          <w:color w:val="auto"/>
          <w:rtl/>
        </w:rPr>
        <w:t>الأسئلة الفرعية:</w:t>
      </w:r>
      <w:bookmarkEnd w:id="10"/>
      <w:bookmarkEnd w:id="11"/>
      <w:bookmarkEnd w:id="12"/>
      <w:bookmarkEnd w:id="13"/>
    </w:p>
    <w:p w14:paraId="432D3E79" w14:textId="77777777" w:rsidR="004A6241" w:rsidRPr="004A6241" w:rsidRDefault="004A6241" w:rsidP="00E000FF">
      <w:pPr>
        <w:pStyle w:val="1"/>
        <w:numPr>
          <w:ilvl w:val="0"/>
          <w:numId w:val="50"/>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rtl/>
        </w:rPr>
        <w:t>ما أثر تطبيق تقنية الترميز الأمني للبيانات على الأمن السيبراني المؤسسي في المؤسسات المالية السعودية؟</w:t>
      </w:r>
    </w:p>
    <w:p w14:paraId="39C273C9" w14:textId="77777777" w:rsidR="004A6241" w:rsidRPr="004A6241" w:rsidRDefault="004A6241" w:rsidP="00E000FF">
      <w:pPr>
        <w:pStyle w:val="1"/>
        <w:numPr>
          <w:ilvl w:val="0"/>
          <w:numId w:val="50"/>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rtl/>
        </w:rPr>
        <w:t>ما أثر مستوى الامتثال للمعايير الدولية للترميز وأمن البيانات على الأمن السيبراني المؤسسي في المؤسسات المالية السعودية؟</w:t>
      </w:r>
    </w:p>
    <w:p w14:paraId="73E0B8F6" w14:textId="77777777" w:rsidR="004A6241" w:rsidRPr="004A6241" w:rsidRDefault="004A6241" w:rsidP="00E000FF">
      <w:pPr>
        <w:pStyle w:val="HeadingTOCEntry"/>
        <w:bidi/>
        <w:spacing w:after="0" w:line="360" w:lineRule="auto"/>
        <w:ind w:left="432" w:hanging="432"/>
        <w:jc w:val="both"/>
        <w:rPr>
          <w:rFonts w:ascii="Simplified Arabic" w:hAnsi="Simplified Arabic" w:cs="Simplified Arabic"/>
          <w:sz w:val="28"/>
          <w:szCs w:val="28"/>
        </w:rPr>
      </w:pPr>
      <w:r>
        <w:rPr>
          <w:rFonts w:ascii="Traditional Arabic" w:hAnsi="Traditional Arabic" w:cs="Traditional Arabic"/>
          <w:b/>
          <w:bCs/>
          <w:sz w:val="32"/>
          <w:szCs w:val="32"/>
          <w:rtl/>
        </w:rPr>
        <w:t>التساؤل البحثي الثاني: ما أثر تطبيق تقنية الترميز والامتثال للمعايير الدولية على كفاءة العمليات المالية في المؤسسات المالية السعودية؟</w:t>
      </w:r>
    </w:p>
    <w:p w14:paraId="0F24B87F" w14:textId="77777777" w:rsidR="004A6241" w:rsidRPr="004A6241" w:rsidRDefault="004A6241" w:rsidP="00E000FF">
      <w:pPr>
        <w:pStyle w:val="1"/>
        <w:numPr>
          <w:ilvl w:val="0"/>
          <w:numId w:val="0"/>
        </w:numPr>
        <w:bidi/>
        <w:spacing w:before="0" w:line="360" w:lineRule="auto"/>
        <w:ind w:left="432" w:hanging="432"/>
        <w:jc w:val="both"/>
        <w:rPr>
          <w:rFonts w:ascii="Simplified Arabic" w:hAnsi="Simplified Arabic" w:cs="Simplified Arabic"/>
          <w:color w:val="auto"/>
          <w:sz w:val="28"/>
          <w:szCs w:val="28"/>
        </w:rPr>
      </w:pPr>
      <w:bookmarkStart w:id="14" w:name="_Toc217927622"/>
      <w:bookmarkStart w:id="15" w:name="_Toc224563925"/>
      <w:bookmarkStart w:id="16" w:name="_Toc224563982"/>
      <w:bookmarkStart w:id="17" w:name="_Toc234424119"/>
      <w:r>
        <w:rPr>
          <w:rFonts w:ascii="Traditional Arabic" w:hAnsi="Traditional Arabic" w:cs="Traditional Arabic"/>
          <w:b/>
          <w:bCs/>
          <w:color w:val="auto"/>
          <w:rtl/>
        </w:rPr>
        <w:lastRenderedPageBreak/>
        <w:t>الأسئلة الفرعية:</w:t>
      </w:r>
      <w:bookmarkEnd w:id="14"/>
      <w:bookmarkEnd w:id="15"/>
      <w:bookmarkEnd w:id="16"/>
      <w:bookmarkEnd w:id="17"/>
    </w:p>
    <w:p w14:paraId="0EC68ED2" w14:textId="77777777" w:rsidR="004A6241" w:rsidRPr="004A6241" w:rsidRDefault="004A6241" w:rsidP="00E000FF">
      <w:pPr>
        <w:pStyle w:val="1"/>
        <w:numPr>
          <w:ilvl w:val="0"/>
          <w:numId w:val="51"/>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rtl/>
        </w:rPr>
        <w:t>ما أثر تطبيق تقنية الترميز الأمني للبيانات على كفاءة العمليات المالية في المؤسسات المالية السعودية؟</w:t>
      </w:r>
    </w:p>
    <w:p w14:paraId="7261C7FB" w14:textId="77777777" w:rsidR="004A6241" w:rsidRPr="004A6241" w:rsidRDefault="004A6241" w:rsidP="00E000FF">
      <w:pPr>
        <w:pStyle w:val="1"/>
        <w:numPr>
          <w:ilvl w:val="0"/>
          <w:numId w:val="51"/>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rtl/>
        </w:rPr>
        <w:t>ما أثر مستوى الامتثال للمعايير الدولية للترميز وأمن البيانات على كفاءة العمليات المالية في المؤسسات المالية السعودية؟</w:t>
      </w:r>
    </w:p>
    <w:p w14:paraId="2C41E324" w14:textId="77777777" w:rsidR="00E4583A" w:rsidRDefault="00000000">
      <w:pPr>
        <w:pStyle w:val="HeadingTOCEntry"/>
        <w:bidi/>
        <w:spacing w:after="0" w:line="360" w:lineRule="auto"/>
        <w:ind w:left="432" w:hanging="432"/>
        <w:jc w:val="both"/>
        <w:rPr>
          <w:rFonts w:ascii="Simplified Arabic" w:hAnsi="Simplified Arabic" w:cs="Simplified Arabic"/>
          <w:sz w:val="28"/>
          <w:szCs w:val="28"/>
        </w:rPr>
      </w:pPr>
      <w:r>
        <w:rPr>
          <w:rFonts w:ascii="Traditional Arabic" w:hAnsi="Traditional Arabic" w:cs="Traditional Arabic"/>
          <w:b/>
          <w:bCs/>
          <w:sz w:val="32"/>
          <w:szCs w:val="32"/>
          <w:rtl/>
        </w:rPr>
        <w:t>التساؤل البحثي الثالث: هل توجد فروق ذات دلالة إحصائية بين متوسطات استجابات أفراد عينة الدراسة حول (كفاءة العمليات المالية / الأمن السيبراني المؤسسي / تطبيق تقنية الترميز الأمني للبيانات) تُعزى إلى نوع المؤسسة المالية؟</w:t>
      </w:r>
    </w:p>
    <w:p w14:paraId="76B3B8C3" w14:textId="77777777" w:rsidR="00E4583A" w:rsidRDefault="00000000">
      <w:pPr>
        <w:pStyle w:val="HeadingTOCEntry"/>
        <w:bidi/>
        <w:spacing w:after="0" w:line="360" w:lineRule="auto"/>
        <w:ind w:left="432" w:hanging="432"/>
        <w:jc w:val="both"/>
        <w:rPr>
          <w:rFonts w:ascii="Simplified Arabic" w:hAnsi="Simplified Arabic" w:cs="Simplified Arabic"/>
          <w:sz w:val="28"/>
          <w:szCs w:val="28"/>
        </w:rPr>
      </w:pPr>
      <w:r>
        <w:rPr>
          <w:rFonts w:ascii="Traditional Arabic" w:hAnsi="Traditional Arabic" w:cs="Traditional Arabic"/>
          <w:b/>
          <w:bCs/>
          <w:sz w:val="32"/>
          <w:szCs w:val="32"/>
          <w:rtl/>
        </w:rPr>
        <w:t>التساؤل البحثي الرابع: هل توجد فروق ذات دلالة إحصائية بين متوسطات استجابات أفراد عينة الدراسة حول (كفاءة العمليات المالية / الأمن السيبراني المؤسسي / تطبيق تقنية الترميز الأمني للبيانات) تُعزى إلى سنوات الخبرة في المجال؟</w:t>
      </w:r>
    </w:p>
    <w:p w14:paraId="67C40520" w14:textId="77777777" w:rsidR="00E4583A" w:rsidRDefault="00000000">
      <w:pPr>
        <w:pStyle w:val="HeadingTOCEntry"/>
        <w:bidi/>
        <w:spacing w:after="0" w:line="360" w:lineRule="auto"/>
        <w:ind w:left="432" w:hanging="432"/>
        <w:jc w:val="both"/>
        <w:rPr>
          <w:rFonts w:ascii="Simplified Arabic" w:hAnsi="Simplified Arabic" w:cs="Simplified Arabic"/>
          <w:sz w:val="28"/>
          <w:szCs w:val="28"/>
        </w:rPr>
      </w:pPr>
      <w:r>
        <w:rPr>
          <w:rFonts w:ascii="Traditional Arabic" w:hAnsi="Traditional Arabic" w:cs="Traditional Arabic"/>
          <w:b/>
          <w:bCs/>
          <w:sz w:val="32"/>
          <w:szCs w:val="32"/>
          <w:rtl/>
        </w:rPr>
        <w:t>التساؤل البحثي الخامس: هل توجد فروق ذات دلالة إحصائية بين متوسطات استجابات أفراد عينة الدراسة حول (كفاءة العمليات المالية / الأمن السيبراني المؤسسي / تطبيق تقنية الترميز الأمني للبيانات) تُعزى إلى المستوى الوظيفي؟</w:t>
      </w:r>
    </w:p>
    <w:p w14:paraId="6605993B" w14:textId="77777777" w:rsidR="00E4583A" w:rsidRDefault="00000000">
      <w:pPr>
        <w:pStyle w:val="HeadingTOCEntry"/>
        <w:bidi/>
        <w:spacing w:after="0" w:line="360" w:lineRule="auto"/>
        <w:ind w:left="432" w:hanging="432"/>
        <w:jc w:val="both"/>
        <w:rPr>
          <w:rFonts w:ascii="Simplified Arabic" w:hAnsi="Simplified Arabic" w:cs="Simplified Arabic"/>
          <w:sz w:val="28"/>
          <w:szCs w:val="28"/>
        </w:rPr>
      </w:pPr>
      <w:r>
        <w:rPr>
          <w:rFonts w:ascii="Traditional Arabic" w:hAnsi="Traditional Arabic" w:cs="Traditional Arabic"/>
          <w:b/>
          <w:bCs/>
          <w:sz w:val="32"/>
          <w:szCs w:val="32"/>
          <w:rtl/>
        </w:rPr>
        <w:t>التساؤل البحثي السادس: هل توجد فروق ذات دلالة إحصائية بين متوسطات استجابات أفراد عينة الدراسة حول (كفاءة العمليات المالية / الأمن السيبراني المؤسسي / تطبيق تقنية الترميز الأمني للبيانات) تُعزى إلى المؤهل العلمي؟</w:t>
      </w:r>
    </w:p>
    <w:p w14:paraId="7FD448E4" w14:textId="77777777" w:rsidR="00E4583A" w:rsidRDefault="00000000">
      <w:pPr>
        <w:pStyle w:val="HeadingTOCEntry"/>
        <w:bidi/>
        <w:spacing w:after="0" w:line="360" w:lineRule="auto"/>
        <w:ind w:left="432" w:hanging="432"/>
        <w:jc w:val="both"/>
        <w:rPr>
          <w:rFonts w:ascii="Simplified Arabic" w:hAnsi="Simplified Arabic" w:cs="Simplified Arabic"/>
          <w:sz w:val="28"/>
          <w:szCs w:val="28"/>
        </w:rPr>
      </w:pPr>
      <w:r>
        <w:rPr>
          <w:rFonts w:ascii="Traditional Arabic" w:hAnsi="Traditional Arabic" w:cs="Traditional Arabic"/>
          <w:b/>
          <w:bCs/>
          <w:sz w:val="32"/>
          <w:szCs w:val="32"/>
          <w:rtl/>
        </w:rPr>
        <w:lastRenderedPageBreak/>
        <w:t>التساؤل البحثي السابع: هل توجد فروق ذات دلالة إحصائية بين متوسطات استجابات أفراد عينة الدراسة حول (كفاءة العمليات المالية / الأمن السيبراني المؤسسي / تطبيق تقنية الترميز الأمني للبيانات) تُعزى إلى مجال التخصص؟</w:t>
      </w:r>
    </w:p>
    <w:p w14:paraId="0DFD5894" w14:textId="77777777" w:rsidR="003306B7" w:rsidRDefault="00C11026" w:rsidP="00E000FF">
      <w:pPr>
        <w:pStyle w:val="HeadingTOCEntry"/>
        <w:bidi/>
        <w:spacing w:after="0" w:line="360" w:lineRule="auto"/>
        <w:ind w:left="432" w:hanging="432"/>
        <w:rPr>
          <w:rFonts w:ascii="Traditional Arabic" w:hAnsi="Traditional Arabic" w:cs="Traditional Arabic"/>
          <w:b/>
          <w:bCs/>
          <w:sz w:val="32"/>
          <w:szCs w:val="32"/>
          <w:u w:val="single"/>
          <w:rtl/>
        </w:rPr>
      </w:pPr>
      <w:r>
        <w:rPr>
          <w:rFonts w:ascii="Traditional Arabic" w:hAnsi="Traditional Arabic" w:cs="Traditional Arabic"/>
          <w:b/>
          <w:bCs/>
          <w:sz w:val="32"/>
          <w:szCs w:val="32"/>
          <w:u w:val="single"/>
          <w:rtl/>
        </w:rPr>
        <w:t>1.4 أهمية الدراسة</w:t>
      </w:r>
    </w:p>
    <w:p w14:paraId="4B3BE215" w14:textId="77777777" w:rsidR="0005531B" w:rsidRDefault="003306B7" w:rsidP="0005531B">
      <w:pPr>
        <w:pStyle w:val="HeadingTOCEntry"/>
        <w:bidi/>
        <w:spacing w:after="0" w:line="360" w:lineRule="auto"/>
        <w:ind w:left="-58"/>
        <w:rPr>
          <w:rFonts w:ascii="Traditional Arabic" w:hAnsi="Traditional Arabic" w:cs="Traditional Arabic"/>
          <w:b/>
          <w:bCs/>
          <w:sz w:val="28"/>
          <w:szCs w:val="28"/>
          <w:rtl/>
        </w:rPr>
      </w:pPr>
      <w:r>
        <w:rPr>
          <w:rFonts w:ascii="Traditional Arabic" w:hAnsi="Traditional Arabic" w:cs="Traditional Arabic"/>
          <w:b/>
          <w:bCs/>
          <w:sz w:val="28"/>
          <w:szCs w:val="28"/>
          <w:rtl/>
        </w:rPr>
        <w:t>تكتسب هذه الدراسة أهمية كبيرة من الناحيتين النظرية والتطبيقية، وتستمد هذه الأهمية من الدور المحوري الذي تلعبه تقنية الترميز في تعزيز الأمن السيبراني وتحسين كفاءة العمليات المالية، وارتباط ذلك بأهداف رؤية المملكة 2030. وفيما يلي توضيح تفصيلي لأهمية الدراسة:</w:t>
      </w:r>
    </w:p>
    <w:p w14:paraId="535D21EF" w14:textId="77777777" w:rsidR="0005531B" w:rsidRDefault="00421EDA" w:rsidP="0005531B">
      <w:pPr>
        <w:pStyle w:val="HeadingTOCEntry"/>
        <w:bidi/>
        <w:spacing w:after="0" w:line="360" w:lineRule="auto"/>
        <w:ind w:left="-58"/>
        <w:rPr>
          <w:rFonts w:ascii="Traditional Arabic" w:hAnsi="Traditional Arabic" w:cs="Traditional Arabic"/>
          <w:b/>
          <w:bCs/>
          <w:sz w:val="28"/>
          <w:szCs w:val="28"/>
          <w:rtl/>
        </w:rPr>
      </w:pPr>
      <w:r>
        <w:rPr>
          <w:rFonts w:ascii="Traditional Arabic" w:hAnsi="Traditional Arabic" w:cs="Traditional Arabic"/>
          <w:b/>
          <w:bCs/>
          <w:sz w:val="28"/>
          <w:szCs w:val="28"/>
          <w:rtl/>
        </w:rPr>
        <w:t>1.4.1 الأهمية النظرية</w:t>
      </w:r>
    </w:p>
    <w:p w14:paraId="36EBB3A7" w14:textId="77777777" w:rsidR="0005531B" w:rsidRDefault="00986114" w:rsidP="0005531B">
      <w:pPr>
        <w:pStyle w:val="HeadingTOCEntry"/>
        <w:bidi/>
        <w:spacing w:after="0" w:line="360" w:lineRule="auto"/>
        <w:ind w:left="-58"/>
        <w:rPr>
          <w:rFonts w:ascii="Traditional Arabic" w:hAnsi="Traditional Arabic" w:cs="Traditional Arabic"/>
          <w:b/>
          <w:bCs/>
          <w:sz w:val="28"/>
          <w:szCs w:val="28"/>
          <w:rtl/>
        </w:rPr>
      </w:pPr>
      <w:r>
        <w:rPr>
          <w:rFonts w:ascii="Traditional Arabic" w:hAnsi="Traditional Arabic" w:cs="Traditional Arabic"/>
          <w:b/>
          <w:bCs/>
          <w:sz w:val="28"/>
          <w:szCs w:val="28"/>
          <w:rtl/>
        </w:rPr>
        <w:t xml:space="preserve">إثراء المعرفة العلمية: تساهم هذه الدراسة في إثراء المعرفة العلمية حول تقنية الترميز وتأثيرها على الأمن والكفاءة المالية، خاصة في ظل ندرة الدراسات العربية التي تناولت هذا الموضوع. وتشير مراجعة الأدبيات السابقة إلى وجود فجوة معرفية كبيرة في فهم تطبيقات هذه التقنية في السياق السعودي تحديداً، مما يجعل هذه الدراسة إضافة مهمة للمكتبة العربية في مجال التكنولوجيا المالية والأمن السيبراني. </w:t>
      </w:r>
    </w:p>
    <w:p w14:paraId="0B57E1BE" w14:textId="77777777" w:rsidR="0005531B" w:rsidRDefault="00986114" w:rsidP="0005531B">
      <w:pPr>
        <w:pStyle w:val="HeadingTOCEntry"/>
        <w:bidi/>
        <w:spacing w:after="0" w:line="360" w:lineRule="auto"/>
        <w:ind w:left="-58"/>
        <w:rPr>
          <w:rFonts w:ascii="Traditional Arabic" w:hAnsi="Traditional Arabic" w:cs="Traditional Arabic"/>
          <w:b/>
          <w:bCs/>
          <w:sz w:val="28"/>
          <w:szCs w:val="28"/>
          <w:rtl/>
        </w:rPr>
      </w:pPr>
      <w:r>
        <w:rPr>
          <w:rFonts w:ascii="Traditional Arabic" w:hAnsi="Traditional Arabic" w:cs="Traditional Arabic"/>
          <w:b/>
          <w:bCs/>
          <w:sz w:val="28"/>
          <w:szCs w:val="28"/>
          <w:rtl/>
        </w:rPr>
        <w:t>تطوير الأطر النظرية: تُسهم الدراسة في توظيف نظرية التقنية والتنظيم والبيئة (TOE) لتفسير العلاقة بين متغيري الدراسة المستقلين (تطبيق تقنية الترميز، والامتثال للمعايير الدولية) والمتغيرين التابعين (الأمن السيبراني المؤسسي، وكفاءة العمليات المالية) داخل البيئة المالية السعودية.</w:t>
      </w:r>
    </w:p>
    <w:p w14:paraId="457BE1DB" w14:textId="77777777" w:rsidR="006C4DA5" w:rsidRDefault="00986114" w:rsidP="0005531B">
      <w:pPr>
        <w:pStyle w:val="HeadingTOCEntry"/>
        <w:bidi/>
        <w:spacing w:after="0" w:line="360" w:lineRule="auto"/>
        <w:ind w:left="-58"/>
        <w:rPr>
          <w:rFonts w:ascii="Traditional Arabic" w:hAnsi="Traditional Arabic" w:cs="Traditional Arabic"/>
          <w:b/>
          <w:bCs/>
          <w:sz w:val="28"/>
          <w:szCs w:val="28"/>
          <w:rtl/>
        </w:rPr>
      </w:pPr>
      <w:r>
        <w:rPr>
          <w:rFonts w:ascii="Traditional Arabic" w:hAnsi="Traditional Arabic" w:cs="Traditional Arabic"/>
          <w:b/>
          <w:bCs/>
          <w:sz w:val="28"/>
          <w:szCs w:val="28"/>
          <w:rtl/>
        </w:rPr>
        <w:t>تحديد مؤشرات قياس: توفر الدراسة مؤشرات علمية دقيقة لقياس تأثير تقنية الترميز على الأمن والكفاءة المالية، مما يساعد الباحثين على إجراء دراسات تقييمية في المستقبل. وتشمل هذه المؤشرات معدلات الاختراق الأمني، وقت معالجة المعاملات، التكاليف التشغيلية، ومستويات رضا العملاء، وغيرها من المقاييس الكمية والنوعية.</w:t>
      </w:r>
    </w:p>
    <w:p w14:paraId="3C94725D" w14:textId="77777777" w:rsidR="00986114" w:rsidRPr="0072768E" w:rsidRDefault="00986114" w:rsidP="006C4DA5">
      <w:pPr>
        <w:pStyle w:val="HeadingTOCEntry"/>
        <w:bidi/>
        <w:spacing w:after="0" w:line="360" w:lineRule="auto"/>
        <w:ind w:left="-58"/>
        <w:rPr>
          <w:rFonts w:ascii="Simplified Arabic" w:hAnsi="Simplified Arabic" w:cs="Simplified Arabic"/>
          <w:sz w:val="28"/>
          <w:szCs w:val="28"/>
        </w:rPr>
      </w:pPr>
      <w:r>
        <w:rPr>
          <w:rFonts w:ascii="Traditional Arabic" w:hAnsi="Traditional Arabic" w:cs="Traditional Arabic"/>
          <w:b/>
          <w:bCs/>
          <w:sz w:val="28"/>
          <w:szCs w:val="28"/>
          <w:rtl/>
        </w:rPr>
        <w:t xml:space="preserve">تأصيل المفاهيم العلمية: تساهم الدراسة في تأصيل المفاهيم العلمية المرتبطة بتقنية الترميز وتطبيقاتها المختلفة (ترميز البيانات الحساسة، ترميز المدفوعات، ترميز الأصول، الترميز غير القابل للاستبدال) باللغة العربية، مما يثري المحتوى العربي في هذا المجال التقني المتخصص. </w:t>
      </w:r>
    </w:p>
    <w:p w14:paraId="25F43187" w14:textId="77777777" w:rsidR="00986114" w:rsidRPr="0072768E" w:rsidRDefault="00986114" w:rsidP="00E000FF">
      <w:pPr>
        <w:pStyle w:val="21"/>
        <w:bidi/>
        <w:spacing w:before="0" w:line="360" w:lineRule="auto"/>
        <w:jc w:val="both"/>
        <w:rPr>
          <w:rFonts w:ascii="Simplified Arabic" w:hAnsi="Simplified Arabic" w:cs="Simplified Arabic"/>
          <w:color w:val="auto"/>
          <w:sz w:val="28"/>
          <w:szCs w:val="28"/>
          <w:rtl/>
        </w:rPr>
      </w:pPr>
      <w:r>
        <w:rPr>
          <w:rFonts w:ascii="Traditional Arabic" w:hAnsi="Traditional Arabic" w:cs="Traditional Arabic"/>
          <w:b/>
          <w:bCs/>
          <w:color w:val="auto"/>
          <w:sz w:val="28"/>
          <w:szCs w:val="28"/>
          <w:rtl/>
        </w:rPr>
        <w:lastRenderedPageBreak/>
        <w:t>إنشاء قاعدة معرفية: تساهم الدراسة في إنشاء قاعدة معرفية متكاملة يمكن أن تستفيد منها الدراسات المستقبلية في مجال التكنولوجيا المالية والأمن السيبراني، من خلال توثيق التجارب الحالية والدروس المستفادة والتحديات التي تواجه تطبيق تقنية الترميز في المؤسسات المالية السعودية.</w:t>
      </w:r>
    </w:p>
    <w:p w14:paraId="241CD66C" w14:textId="77777777" w:rsidR="00421EDA" w:rsidRPr="0072768E" w:rsidRDefault="00421EDA" w:rsidP="00E000FF">
      <w:pPr>
        <w:pStyle w:val="HeadingTOCEntry"/>
        <w:bidi/>
        <w:spacing w:line="360" w:lineRule="auto"/>
        <w:rPr>
          <w:rFonts w:ascii="Simplified Arabic" w:hAnsi="Simplified Arabic" w:cs="Simplified Arabic"/>
          <w:b/>
          <w:bCs/>
          <w:sz w:val="28"/>
          <w:szCs w:val="28"/>
          <w:rtl/>
        </w:rPr>
      </w:pPr>
      <w:r>
        <w:rPr>
          <w:rFonts w:ascii="Traditional Arabic" w:hAnsi="Traditional Arabic" w:cs="Traditional Arabic"/>
          <w:b/>
          <w:bCs/>
          <w:sz w:val="28"/>
          <w:szCs w:val="28"/>
          <w:rtl/>
        </w:rPr>
        <w:t>1.4.2 الأهمية التطبيقية</w:t>
      </w:r>
    </w:p>
    <w:p w14:paraId="015AA090" w14:textId="77777777" w:rsidR="00491655" w:rsidRPr="0072768E" w:rsidRDefault="00491655" w:rsidP="00E000FF">
      <w:pPr>
        <w:pStyle w:val="21"/>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 xml:space="preserve">دعم صناع القرار: توفر الدراسة معلومات وتحليلات استراتيجية يمكن أن تساعد صناع القرار في القطاعين العام والخاص على فهم أهمية تقنية الترميز ودورها في تعزيز الأمن والكفاءة المالية. وتقدم توصيات عملية تستند إلى أدلة علمية حول كيفية تبني هذه التقنية بفعالية وتعظيم فوائدها. </w:t>
      </w:r>
    </w:p>
    <w:p w14:paraId="0CCE780D" w14:textId="77777777" w:rsidR="00491655" w:rsidRPr="0072768E" w:rsidRDefault="00491655" w:rsidP="00E000FF">
      <w:pPr>
        <w:pStyle w:val="21"/>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تحديد أولويات التطبيق: تُبيّن نتائج الدراسة أيّ متغيرات الدراسة المستقلة أقوى أثراً في الأمن السيبراني وكفاءة العمليات، بما يمكّن المؤسسات المالية من ترتيب أولوياتها التنفيذية عند التوسع في تطبيق الترميز.</w:t>
      </w:r>
    </w:p>
    <w:p w14:paraId="67E045FD" w14:textId="77777777" w:rsidR="006C71F6" w:rsidRPr="0072768E" w:rsidRDefault="006C71F6" w:rsidP="00E000FF">
      <w:pPr>
        <w:pStyle w:val="21"/>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 xml:space="preserve">دعم الابتكار: تشجع الدراسة على الابتكار في القطاع المالي من خلال استكشاف إمكانات تقنية الترميز وتطبيقاتها المختلفة، مما يساهم في تطوير منتجات وخدمات مالية جديدة تلبي احتياجات العملاء وتحسن تجربتهم. وتدعم الدراسة مبادرة "فنتك السعودية" التي تهدف إلى جعل المملكة مركزاً رائداً للابتكار في مجال التكنولوجيا المالية. </w:t>
      </w:r>
    </w:p>
    <w:p w14:paraId="21E9FA41" w14:textId="77777777" w:rsidR="0080377D" w:rsidRPr="0072768E" w:rsidRDefault="0080377D" w:rsidP="00E000FF">
      <w:pPr>
        <w:pStyle w:val="1"/>
        <w:numPr>
          <w:ilvl w:val="0"/>
          <w:numId w:val="0"/>
        </w:numPr>
        <w:bidi/>
        <w:spacing w:before="0" w:line="360" w:lineRule="auto"/>
        <w:ind w:left="432" w:hanging="432"/>
        <w:rPr>
          <w:rFonts w:ascii="Simplified Arabic" w:hAnsi="Simplified Arabic" w:cs="Simplified Arabic"/>
          <w:b/>
          <w:bCs/>
          <w:color w:val="auto"/>
          <w:sz w:val="28"/>
          <w:szCs w:val="28"/>
          <w:u w:val="single"/>
          <w:rtl/>
        </w:rPr>
        <w:sectPr w:rsidR="0080377D" w:rsidRPr="0072768E" w:rsidSect="006E2853">
          <w:pgSz w:w="11906" w:h="16838"/>
          <w:pgMar w:top="1440" w:right="1800" w:bottom="1440" w:left="1800" w:header="708" w:footer="144" w:gutter="0"/>
          <w:cols w:space="708"/>
          <w:titlePg/>
          <w:bidi/>
          <w:rtlGutter/>
          <w:docGrid w:linePitch="360"/>
        </w:sectPr>
      </w:pPr>
    </w:p>
    <w:p w14:paraId="28324AA9" w14:textId="77777777" w:rsidR="00E000FF" w:rsidRDefault="00C11026" w:rsidP="00E000FF">
      <w:pPr>
        <w:pStyle w:val="HeadingTOCEntry"/>
        <w:bidi/>
        <w:spacing w:after="0" w:line="360" w:lineRule="auto"/>
        <w:ind w:left="432" w:hanging="432"/>
        <w:rPr>
          <w:rFonts w:ascii="Traditional Arabic" w:hAnsi="Traditional Arabic" w:cs="Traditional Arabic"/>
          <w:b/>
          <w:bCs/>
          <w:sz w:val="32"/>
          <w:szCs w:val="32"/>
          <w:u w:val="single"/>
          <w:rtl/>
        </w:rPr>
      </w:pPr>
      <w:r>
        <w:rPr>
          <w:rFonts w:ascii="Traditional Arabic" w:hAnsi="Traditional Arabic" w:cs="Traditional Arabic"/>
          <w:b/>
          <w:bCs/>
          <w:sz w:val="32"/>
          <w:szCs w:val="32"/>
          <w:u w:val="single"/>
          <w:rtl/>
        </w:rPr>
        <w:lastRenderedPageBreak/>
        <w:t>1.5 أهداف الدراسة</w:t>
      </w:r>
    </w:p>
    <w:p w14:paraId="2C66EDF8" w14:textId="77777777" w:rsidR="00A34BF0" w:rsidRPr="0072768E" w:rsidRDefault="00A34BF0" w:rsidP="00E000FF">
      <w:pPr>
        <w:pStyle w:val="HeadingTOCEntry"/>
        <w:bidi/>
        <w:spacing w:after="0" w:line="360" w:lineRule="auto"/>
        <w:rPr>
          <w:rFonts w:ascii="Simplified Arabic" w:hAnsi="Simplified Arabic" w:cs="Simplified Arabic"/>
          <w:sz w:val="28"/>
          <w:szCs w:val="28"/>
        </w:rPr>
      </w:pPr>
      <w:r>
        <w:rPr>
          <w:rFonts w:ascii="Traditional Arabic" w:hAnsi="Traditional Arabic" w:cs="Traditional Arabic"/>
          <w:b/>
          <w:bCs/>
          <w:sz w:val="28"/>
          <w:szCs w:val="28"/>
          <w:rtl/>
        </w:rPr>
        <w:t>تهدف هذه الدراسة بشكل عام إلى تحليل وتقييم تأثير تقنية الترميز على تعزيز الأمن السيبراني وتحسين كفاءة المعاملات المالية في القطاع المالي السعودي، ودورها في دعم تحقيق أهداف رؤية المملكة 2030. وتتمثل الأهداف التفصيلية للدراسة فيما يلي:</w:t>
      </w:r>
    </w:p>
    <w:p w14:paraId="03C3FBE5" w14:textId="77777777" w:rsidR="00E04048" w:rsidRPr="0072768E" w:rsidRDefault="00E04048" w:rsidP="00E000FF">
      <w:pPr>
        <w:pStyle w:val="21"/>
        <w:numPr>
          <w:ilvl w:val="0"/>
          <w:numId w:val="3"/>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lastRenderedPageBreak/>
        <w:t>قياس وتحليل تأثير تقنية الترميز على مؤشرات الأمن السيبراني في المؤسسات المالية السعودية، بما يشمل</w:t>
      </w:r>
      <w:r>
        <w:rPr>
          <w:rFonts w:ascii="Traditional Arabic" w:hAnsi="Traditional Arabic" w:cs="Traditional Arabic" w:hint="cs"/>
          <w:b/>
          <w:bCs/>
          <w:color w:val="auto"/>
          <w:sz w:val="28"/>
          <w:szCs w:val="28"/>
          <w:rtl/>
        </w:rPr>
        <w:t>:</w:t>
      </w:r>
    </w:p>
    <w:p w14:paraId="10A32788" w14:textId="77777777" w:rsidR="00A35F9B" w:rsidRPr="0072768E" w:rsidRDefault="00E04048" w:rsidP="00E000FF">
      <w:pPr>
        <w:pStyle w:val="21"/>
        <w:numPr>
          <w:ilvl w:val="0"/>
          <w:numId w:val="4"/>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تحليل تأثيرها على معدلات الاختراقات الأمنية وحوادث سرقة البيانات</w:t>
      </w:r>
      <w:r>
        <w:rPr>
          <w:rFonts w:ascii="Traditional Arabic" w:hAnsi="Traditional Arabic" w:cs="Traditional Arabic" w:hint="cs"/>
          <w:b/>
          <w:bCs/>
          <w:color w:val="auto"/>
          <w:sz w:val="28"/>
          <w:szCs w:val="28"/>
          <w:rtl/>
        </w:rPr>
        <w:t>.</w:t>
      </w:r>
    </w:p>
    <w:p w14:paraId="5E304DBE" w14:textId="77777777" w:rsidR="00A35F9B" w:rsidRPr="0072768E" w:rsidRDefault="00E04048" w:rsidP="00E000FF">
      <w:pPr>
        <w:pStyle w:val="21"/>
        <w:numPr>
          <w:ilvl w:val="0"/>
          <w:numId w:val="4"/>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قياس أثر مستوى الامتثال للمعايير الدولية للترميز وأمن البيانات على الأمن السيبراني المؤسسي في المؤسسات المالية السعودية.</w:t>
      </w:r>
    </w:p>
    <w:p w14:paraId="7E235AD8" w14:textId="77777777" w:rsidR="001058D2" w:rsidRPr="0072768E" w:rsidRDefault="00E04048" w:rsidP="00E000FF">
      <w:pPr>
        <w:pStyle w:val="21"/>
        <w:numPr>
          <w:ilvl w:val="0"/>
          <w:numId w:val="4"/>
        </w:numPr>
        <w:bidi/>
        <w:spacing w:before="0" w:line="360" w:lineRule="auto"/>
        <w:jc w:val="both"/>
        <w:rPr>
          <w:rFonts w:ascii="Simplified Arabic" w:hAnsi="Simplified Arabic" w:cs="Simplified Arabic"/>
          <w:color w:val="auto"/>
          <w:sz w:val="28"/>
          <w:szCs w:val="28"/>
          <w:rtl/>
        </w:rPr>
      </w:pPr>
      <w:r>
        <w:rPr>
          <w:rFonts w:ascii="Traditional Arabic" w:hAnsi="Traditional Arabic" w:cs="Traditional Arabic"/>
          <w:b/>
          <w:bCs/>
          <w:color w:val="auto"/>
          <w:sz w:val="28"/>
          <w:szCs w:val="28"/>
          <w:rtl/>
        </w:rPr>
        <w:t>قياس فعاليتها في تعزيز القدرة على اكتشاف والتصدي للهجمات السيبرانية</w:t>
      </w:r>
      <w:r>
        <w:rPr>
          <w:rFonts w:ascii="Traditional Arabic" w:hAnsi="Traditional Arabic" w:cs="Traditional Arabic" w:hint="cs"/>
          <w:b/>
          <w:bCs/>
          <w:color w:val="auto"/>
          <w:sz w:val="28"/>
          <w:szCs w:val="28"/>
          <w:rtl/>
        </w:rPr>
        <w:t>.</w:t>
      </w:r>
    </w:p>
    <w:p w14:paraId="2D611518" w14:textId="77777777" w:rsidR="00D16538" w:rsidRPr="0072768E" w:rsidRDefault="00D16538" w:rsidP="00E000FF">
      <w:pPr>
        <w:pStyle w:val="21"/>
        <w:numPr>
          <w:ilvl w:val="0"/>
          <w:numId w:val="3"/>
        </w:numPr>
        <w:bidi/>
        <w:spacing w:before="0" w:line="360" w:lineRule="auto"/>
        <w:jc w:val="both"/>
        <w:rPr>
          <w:rFonts w:ascii="Simplified Arabic" w:hAnsi="Simplified Arabic" w:cs="Simplified Arabic"/>
          <w:b/>
          <w:bCs/>
          <w:color w:val="auto"/>
          <w:sz w:val="28"/>
          <w:szCs w:val="28"/>
        </w:rPr>
      </w:pPr>
      <w:r>
        <w:rPr>
          <w:rFonts w:ascii="Traditional Arabic" w:hAnsi="Traditional Arabic" w:cs="Traditional Arabic"/>
          <w:b/>
          <w:bCs/>
          <w:color w:val="auto"/>
          <w:sz w:val="28"/>
          <w:szCs w:val="28"/>
          <w:rtl/>
        </w:rPr>
        <w:t>تحليل مساهمة تقنية الترميز في تحسين كفاءة العمليات المالية في القطاع المالي السعودي من حيث</w:t>
      </w:r>
      <w:r>
        <w:rPr>
          <w:rFonts w:ascii="Traditional Arabic" w:hAnsi="Traditional Arabic" w:cs="Traditional Arabic" w:hint="cs"/>
          <w:b/>
          <w:bCs/>
          <w:color w:val="auto"/>
          <w:sz w:val="28"/>
          <w:szCs w:val="28"/>
          <w:rtl/>
        </w:rPr>
        <w:t>:</w:t>
      </w:r>
    </w:p>
    <w:p w14:paraId="007300AE" w14:textId="77777777" w:rsidR="009365EF" w:rsidRPr="0072768E" w:rsidRDefault="00D16538" w:rsidP="00E000FF">
      <w:pPr>
        <w:pStyle w:val="21"/>
        <w:numPr>
          <w:ilvl w:val="0"/>
          <w:numId w:val="4"/>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تقليل وقت معالجة المعاملات المالية</w:t>
      </w:r>
      <w:r>
        <w:rPr>
          <w:rFonts w:ascii="Traditional Arabic" w:hAnsi="Traditional Arabic" w:cs="Traditional Arabic" w:hint="cs"/>
          <w:b/>
          <w:bCs/>
          <w:color w:val="auto"/>
          <w:sz w:val="28"/>
          <w:szCs w:val="28"/>
          <w:rtl/>
        </w:rPr>
        <w:t>.</w:t>
      </w:r>
    </w:p>
    <w:p w14:paraId="56EDC736" w14:textId="77777777" w:rsidR="009365EF" w:rsidRPr="0072768E" w:rsidRDefault="00D16538" w:rsidP="00E000FF">
      <w:pPr>
        <w:pStyle w:val="21"/>
        <w:numPr>
          <w:ilvl w:val="0"/>
          <w:numId w:val="4"/>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خفض تكاليف العمليات التشغيلية</w:t>
      </w:r>
      <w:r>
        <w:rPr>
          <w:rFonts w:ascii="Traditional Arabic" w:hAnsi="Traditional Arabic" w:cs="Traditional Arabic" w:hint="cs"/>
          <w:b/>
          <w:bCs/>
          <w:color w:val="auto"/>
          <w:sz w:val="28"/>
          <w:szCs w:val="28"/>
          <w:rtl/>
        </w:rPr>
        <w:t>.</w:t>
      </w:r>
    </w:p>
    <w:p w14:paraId="7B003EB4" w14:textId="77777777" w:rsidR="009365EF" w:rsidRPr="0072768E" w:rsidRDefault="00D16538" w:rsidP="00E000FF">
      <w:pPr>
        <w:pStyle w:val="21"/>
        <w:numPr>
          <w:ilvl w:val="0"/>
          <w:numId w:val="4"/>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تحسين مستويات السيولة والوصول إلى الخدمات المالية</w:t>
      </w:r>
      <w:r>
        <w:rPr>
          <w:rFonts w:ascii="Traditional Arabic" w:hAnsi="Traditional Arabic" w:cs="Traditional Arabic" w:hint="cs"/>
          <w:b/>
          <w:bCs/>
          <w:color w:val="auto"/>
          <w:sz w:val="28"/>
          <w:szCs w:val="28"/>
          <w:rtl/>
        </w:rPr>
        <w:t>.</w:t>
      </w:r>
    </w:p>
    <w:p w14:paraId="53726DC2" w14:textId="77777777" w:rsidR="00D16538" w:rsidRPr="0072768E" w:rsidRDefault="00D16538" w:rsidP="00E000FF">
      <w:pPr>
        <w:pStyle w:val="21"/>
        <w:numPr>
          <w:ilvl w:val="0"/>
          <w:numId w:val="4"/>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تعزيز تجربة العملاء وزيادة رضاهم.</w:t>
      </w:r>
    </w:p>
    <w:p w14:paraId="67E99ABE" w14:textId="77777777" w:rsidR="00E4583A" w:rsidRDefault="00000000">
      <w:pPr>
        <w:pStyle w:val="21"/>
        <w:numPr>
          <w:ilvl w:val="0"/>
          <w:numId w:val="3"/>
        </w:numPr>
        <w:bidi/>
        <w:spacing w:before="0" w:line="360" w:lineRule="auto"/>
        <w:jc w:val="both"/>
        <w:rPr>
          <w:rFonts w:ascii="Simplified Arabic" w:hAnsi="Simplified Arabic" w:cs="Simplified Arabic"/>
          <w:b/>
          <w:bCs/>
          <w:color w:val="auto"/>
          <w:sz w:val="28"/>
          <w:szCs w:val="28"/>
        </w:rPr>
      </w:pPr>
      <w:r>
        <w:rPr>
          <w:rFonts w:ascii="Traditional Arabic" w:hAnsi="Traditional Arabic" w:cs="Traditional Arabic"/>
          <w:b/>
          <w:bCs/>
          <w:color w:val="auto"/>
          <w:sz w:val="28"/>
          <w:szCs w:val="28"/>
          <w:rtl/>
        </w:rPr>
        <w:t>الكشف عن الفروق ذات الدلالة الإحصائية في كفاءة العمليات المالية والأمن السيبراني المؤسسي وتطبيق تقنية الترميز الأمني للبيانات تبعاً لنوع المؤسسة المالية.</w:t>
      </w:r>
    </w:p>
    <w:p w14:paraId="07E2611D" w14:textId="77777777" w:rsidR="00E4583A" w:rsidRDefault="00000000">
      <w:pPr>
        <w:pStyle w:val="21"/>
        <w:numPr>
          <w:ilvl w:val="0"/>
          <w:numId w:val="3"/>
        </w:numPr>
        <w:bidi/>
        <w:spacing w:before="0" w:line="360" w:lineRule="auto"/>
        <w:jc w:val="both"/>
        <w:rPr>
          <w:rFonts w:ascii="Simplified Arabic" w:hAnsi="Simplified Arabic" w:cs="Simplified Arabic"/>
          <w:b/>
          <w:bCs/>
          <w:color w:val="auto"/>
          <w:sz w:val="28"/>
          <w:szCs w:val="28"/>
        </w:rPr>
      </w:pPr>
      <w:r>
        <w:rPr>
          <w:rFonts w:ascii="Traditional Arabic" w:hAnsi="Traditional Arabic" w:cs="Traditional Arabic"/>
          <w:b/>
          <w:bCs/>
          <w:color w:val="auto"/>
          <w:sz w:val="28"/>
          <w:szCs w:val="28"/>
          <w:rtl/>
        </w:rPr>
        <w:t>الكشف عن الفروق ذات الدلالة الإحصائية في كفاءة العمليات المالية والأمن السيبراني المؤسسي وتطبيق تقنية الترميز الأمني للبيانات تبعاً لسنوات الخبرة في المجال.</w:t>
      </w:r>
    </w:p>
    <w:p w14:paraId="12B45334" w14:textId="77777777" w:rsidR="00E4583A" w:rsidRDefault="00000000">
      <w:pPr>
        <w:pStyle w:val="21"/>
        <w:numPr>
          <w:ilvl w:val="0"/>
          <w:numId w:val="3"/>
        </w:numPr>
        <w:bidi/>
        <w:spacing w:before="0" w:line="360" w:lineRule="auto"/>
        <w:jc w:val="both"/>
        <w:rPr>
          <w:rFonts w:ascii="Simplified Arabic" w:hAnsi="Simplified Arabic" w:cs="Simplified Arabic"/>
          <w:b/>
          <w:bCs/>
          <w:color w:val="auto"/>
          <w:sz w:val="28"/>
          <w:szCs w:val="28"/>
        </w:rPr>
      </w:pPr>
      <w:r>
        <w:rPr>
          <w:rFonts w:ascii="Traditional Arabic" w:hAnsi="Traditional Arabic" w:cs="Traditional Arabic"/>
          <w:b/>
          <w:bCs/>
          <w:color w:val="auto"/>
          <w:sz w:val="28"/>
          <w:szCs w:val="28"/>
          <w:rtl/>
        </w:rPr>
        <w:t>الكشف عن الفروق ذات الدلالة الإحصائية في كفاءة العمليات المالية والأمن السيبراني المؤسسي وتطبيق تقنية الترميز الأمني للبيانات تبعاً للمستوى الوظيفي.</w:t>
      </w:r>
    </w:p>
    <w:p w14:paraId="2AE8B82D" w14:textId="77777777" w:rsidR="00E4583A" w:rsidRDefault="00000000">
      <w:pPr>
        <w:pStyle w:val="21"/>
        <w:numPr>
          <w:ilvl w:val="0"/>
          <w:numId w:val="3"/>
        </w:numPr>
        <w:bidi/>
        <w:spacing w:before="0" w:line="360" w:lineRule="auto"/>
        <w:jc w:val="both"/>
        <w:rPr>
          <w:rFonts w:ascii="Simplified Arabic" w:hAnsi="Simplified Arabic" w:cs="Simplified Arabic"/>
          <w:b/>
          <w:bCs/>
          <w:color w:val="auto"/>
          <w:sz w:val="28"/>
          <w:szCs w:val="28"/>
        </w:rPr>
      </w:pPr>
      <w:r>
        <w:rPr>
          <w:rFonts w:ascii="Traditional Arabic" w:hAnsi="Traditional Arabic" w:cs="Traditional Arabic"/>
          <w:b/>
          <w:bCs/>
          <w:color w:val="auto"/>
          <w:sz w:val="28"/>
          <w:szCs w:val="28"/>
          <w:rtl/>
        </w:rPr>
        <w:t>الكشف عن الفروق ذات الدلالة الإحصائية في كفاءة العمليات المالية والأمن السيبراني المؤسسي وتطبيق تقنية الترميز الأمني للبيانات تبعاً للمؤهل العلمي.</w:t>
      </w:r>
    </w:p>
    <w:p w14:paraId="3CEE585C" w14:textId="77777777" w:rsidR="00E4583A" w:rsidRDefault="00000000">
      <w:pPr>
        <w:pStyle w:val="21"/>
        <w:numPr>
          <w:ilvl w:val="0"/>
          <w:numId w:val="3"/>
        </w:numPr>
        <w:bidi/>
        <w:spacing w:before="0" w:line="360" w:lineRule="auto"/>
        <w:jc w:val="both"/>
        <w:rPr>
          <w:rFonts w:ascii="Simplified Arabic" w:hAnsi="Simplified Arabic" w:cs="Simplified Arabic"/>
          <w:b/>
          <w:bCs/>
          <w:color w:val="auto"/>
          <w:sz w:val="28"/>
          <w:szCs w:val="28"/>
        </w:rPr>
      </w:pPr>
      <w:r>
        <w:rPr>
          <w:rFonts w:ascii="Traditional Arabic" w:hAnsi="Traditional Arabic" w:cs="Traditional Arabic"/>
          <w:b/>
          <w:bCs/>
          <w:color w:val="auto"/>
          <w:sz w:val="28"/>
          <w:szCs w:val="28"/>
          <w:rtl/>
        </w:rPr>
        <w:t>الكشف عن الفروق ذات الدلالة الإحصائية في كفاءة العمليات المالية والأمن السيبراني المؤسسي وتطبيق تقنية الترميز الأمني للبيانات تبعاً لمجال التخصص.</w:t>
      </w:r>
    </w:p>
    <w:p w14:paraId="1EC09C3D" w14:textId="77777777" w:rsidR="009365EF" w:rsidRPr="00C327A0" w:rsidRDefault="00D16538" w:rsidP="00E000FF">
      <w:pPr>
        <w:pStyle w:val="21"/>
        <w:bidi/>
        <w:spacing w:before="0" w:line="360" w:lineRule="auto"/>
        <w:jc w:val="both"/>
        <w:rPr>
          <w:rFonts w:ascii="Simplified Arabic" w:hAnsi="Simplified Arabic" w:cs="Simplified Arabic"/>
          <w:b/>
          <w:bCs/>
          <w:color w:val="auto"/>
          <w:sz w:val="28"/>
          <w:szCs w:val="28"/>
        </w:rPr>
      </w:pPr>
      <w:r>
        <w:rPr>
          <w:rFonts w:ascii="Traditional Arabic" w:hAnsi="Traditional Arabic" w:cs="Traditional Arabic"/>
          <w:b/>
          <w:bCs/>
          <w:color w:val="auto"/>
          <w:sz w:val="28"/>
          <w:szCs w:val="28"/>
          <w:rtl/>
        </w:rPr>
        <w:lastRenderedPageBreak/>
        <w:t>تتميز هذه الأهداف بكونها محددة وقابلة للقياس وقابلة للتحقيق وواقعية ومحددة زمنياً (SMART)، مما يساعد على توجيه الدراسة وضمان تحقيق نتائج ملموسة وعملية يمكن الاستفادة منها في تطوير القطاع المالي السعودي</w:t>
      </w:r>
      <w:r>
        <w:rPr>
          <w:rFonts w:ascii="Traditional Arabic" w:hAnsi="Traditional Arabic" w:cs="Traditional Arabic" w:hint="cs"/>
          <w:b/>
          <w:bCs/>
          <w:color w:val="auto"/>
          <w:sz w:val="28"/>
          <w:szCs w:val="28"/>
          <w:rtl/>
        </w:rPr>
        <w:t>.</w:t>
      </w:r>
    </w:p>
    <w:p w14:paraId="5E368954" w14:textId="77777777" w:rsidR="006C4DA5" w:rsidRDefault="006C4DA5" w:rsidP="00E000FF">
      <w:pPr>
        <w:pStyle w:val="HeadingTOCEntry"/>
        <w:bidi/>
        <w:spacing w:after="0" w:line="360" w:lineRule="auto"/>
        <w:ind w:left="432" w:hanging="432"/>
        <w:rPr>
          <w:rFonts w:ascii="Traditional Arabic" w:hAnsi="Traditional Arabic" w:cs="Traditional Arabic"/>
          <w:b/>
          <w:bCs/>
          <w:sz w:val="32"/>
          <w:szCs w:val="32"/>
          <w:u w:val="single"/>
          <w:rtl/>
        </w:rPr>
      </w:pPr>
    </w:p>
    <w:p w14:paraId="6D3F4C0E" w14:textId="77777777" w:rsidR="006C4DA5" w:rsidRDefault="006C4DA5" w:rsidP="006C4DA5">
      <w:pPr>
        <w:pStyle w:val="HeadingTOCEntry"/>
        <w:bidi/>
        <w:spacing w:after="0" w:line="360" w:lineRule="auto"/>
        <w:ind w:left="432" w:hanging="432"/>
        <w:rPr>
          <w:rFonts w:ascii="Traditional Arabic" w:hAnsi="Traditional Arabic" w:cs="Traditional Arabic"/>
          <w:b/>
          <w:bCs/>
          <w:sz w:val="32"/>
          <w:szCs w:val="32"/>
          <w:u w:val="single"/>
          <w:rtl/>
        </w:rPr>
      </w:pPr>
    </w:p>
    <w:p w14:paraId="3055AE8C" w14:textId="77777777" w:rsidR="00E4583A" w:rsidRDefault="00000000">
      <w:pPr>
        <w:pStyle w:val="HeadingTOCEntry"/>
        <w:bidi/>
        <w:spacing w:after="0" w:line="360" w:lineRule="auto"/>
        <w:ind w:left="432" w:hanging="432"/>
        <w:rPr>
          <w:rFonts w:ascii="Traditional Arabic" w:hAnsi="Traditional Arabic" w:cs="Traditional Arabic"/>
          <w:b/>
          <w:bCs/>
          <w:sz w:val="32"/>
          <w:szCs w:val="32"/>
          <w:u w:val="single"/>
          <w:rtl/>
        </w:rPr>
      </w:pPr>
      <w:r>
        <w:rPr>
          <w:rFonts w:ascii="Traditional Arabic" w:hAnsi="Traditional Arabic" w:cs="Traditional Arabic"/>
          <w:b/>
          <w:bCs/>
          <w:sz w:val="32"/>
          <w:szCs w:val="32"/>
          <w:u w:val="single"/>
          <w:rtl/>
        </w:rPr>
        <w:t>1.6 فرضيات الدراسة</w:t>
      </w:r>
    </w:p>
    <w:p w14:paraId="6215F544" w14:textId="77777777" w:rsidR="00E4583A" w:rsidRDefault="00000000">
      <w:pPr>
        <w:pStyle w:val="HeadingTOCEntry"/>
        <w:bidi/>
        <w:spacing w:after="0" w:line="360" w:lineRule="auto"/>
        <w:rPr>
          <w:rFonts w:ascii="Traditional Arabic" w:hAnsi="Traditional Arabic" w:cs="Traditional Arabic"/>
          <w:b/>
          <w:bCs/>
          <w:sz w:val="28"/>
          <w:szCs w:val="28"/>
          <w:rtl/>
        </w:rPr>
      </w:pPr>
      <w:r>
        <w:rPr>
          <w:rFonts w:ascii="Traditional Arabic" w:hAnsi="Traditional Arabic" w:cs="Traditional Arabic"/>
          <w:b/>
          <w:bCs/>
          <w:sz w:val="28"/>
          <w:szCs w:val="28"/>
          <w:rtl/>
        </w:rPr>
        <w:t>H1: يوجد أثر ذو دلالة إحصائية لتطبيق تقنية الترميز والامتثال للمعايير الدولية على الأمن السيبراني المؤسسي في المؤسسات المالية السعودية.</w:t>
      </w:r>
    </w:p>
    <w:p w14:paraId="7F6F2BAF" w14:textId="77777777" w:rsidR="00E4583A" w:rsidRDefault="00000000">
      <w:pPr>
        <w:pStyle w:val="HeadingTOCEntry"/>
        <w:numPr>
          <w:ilvl w:val="0"/>
          <w:numId w:val="63"/>
        </w:numPr>
        <w:bidi/>
        <w:spacing w:after="0" w:line="360" w:lineRule="auto"/>
        <w:rPr>
          <w:rFonts w:ascii="Traditional Arabic" w:hAnsi="Traditional Arabic" w:cs="Traditional Arabic"/>
          <w:b/>
          <w:bCs/>
          <w:sz w:val="28"/>
          <w:szCs w:val="28"/>
          <w:rtl/>
        </w:rPr>
      </w:pPr>
      <w:r>
        <w:rPr>
          <w:rFonts w:ascii="Traditional Arabic" w:hAnsi="Traditional Arabic" w:cs="Traditional Arabic"/>
          <w:b/>
          <w:bCs/>
          <w:sz w:val="28"/>
          <w:szCs w:val="28"/>
          <w:rtl/>
        </w:rPr>
        <w:t>H1a: يوجد أثر ذو دلالة إحصائية لتطبيق تقنية الترميز الأمني للبيانات على الأمن السيبراني المؤسسي في المؤسسات المالية السعودية.</w:t>
      </w:r>
    </w:p>
    <w:p w14:paraId="66EBCDAF" w14:textId="77777777" w:rsidR="00E4583A" w:rsidRDefault="00000000">
      <w:pPr>
        <w:pStyle w:val="HeadingTOCEntry"/>
        <w:numPr>
          <w:ilvl w:val="0"/>
          <w:numId w:val="63"/>
        </w:numPr>
        <w:bidi/>
        <w:spacing w:after="0" w:line="360" w:lineRule="auto"/>
        <w:rPr>
          <w:rFonts w:ascii="Traditional Arabic" w:hAnsi="Traditional Arabic" w:cs="Traditional Arabic"/>
          <w:b/>
          <w:bCs/>
          <w:sz w:val="28"/>
          <w:szCs w:val="28"/>
          <w:rtl/>
        </w:rPr>
      </w:pPr>
      <w:r>
        <w:rPr>
          <w:rFonts w:ascii="Traditional Arabic" w:hAnsi="Traditional Arabic" w:cs="Traditional Arabic"/>
          <w:b/>
          <w:bCs/>
          <w:sz w:val="28"/>
          <w:szCs w:val="28"/>
          <w:rtl/>
        </w:rPr>
        <w:t>H1b: يوجد أثر ذو دلالة إحصائية لمستوى الامتثال للمعايير الدولية على الأمن السيبراني المؤسسي في المؤسسات المالية السعودية.</w:t>
      </w:r>
    </w:p>
    <w:p w14:paraId="7F3EAF2D" w14:textId="77777777" w:rsidR="00E4583A" w:rsidRDefault="00000000">
      <w:pPr>
        <w:pStyle w:val="HeadingTOCEntry"/>
        <w:numPr>
          <w:ilvl w:val="0"/>
          <w:numId w:val="63"/>
        </w:numPr>
        <w:bidi/>
        <w:spacing w:after="0" w:line="360" w:lineRule="auto"/>
        <w:rPr>
          <w:rFonts w:ascii="Traditional Arabic" w:hAnsi="Traditional Arabic" w:cs="Traditional Arabic"/>
          <w:b/>
          <w:bCs/>
          <w:sz w:val="28"/>
          <w:szCs w:val="28"/>
          <w:rtl/>
        </w:rPr>
      </w:pPr>
      <w:r>
        <w:rPr>
          <w:rFonts w:ascii="Traditional Arabic" w:hAnsi="Traditional Arabic" w:cs="Traditional Arabic"/>
          <w:b/>
          <w:bCs/>
          <w:sz w:val="28"/>
          <w:szCs w:val="28"/>
          <w:rtl/>
        </w:rPr>
        <w:t>H2: يوجد أثر ذو دلالة إحصائية لتطبيق تقنية الترميز والامتثال للمعايير الدولية على كفاءة العمليات المالية في المؤسسات المالية السعودية.</w:t>
      </w:r>
    </w:p>
    <w:p w14:paraId="22D3542D" w14:textId="77777777" w:rsidR="00E4583A" w:rsidRDefault="00000000">
      <w:pPr>
        <w:pStyle w:val="HeadingTOCEntry"/>
        <w:numPr>
          <w:ilvl w:val="0"/>
          <w:numId w:val="63"/>
        </w:numPr>
        <w:bidi/>
        <w:spacing w:after="0" w:line="360" w:lineRule="auto"/>
        <w:rPr>
          <w:rFonts w:ascii="Traditional Arabic" w:hAnsi="Traditional Arabic" w:cs="Traditional Arabic"/>
          <w:b/>
          <w:bCs/>
          <w:sz w:val="28"/>
          <w:szCs w:val="28"/>
          <w:rtl/>
        </w:rPr>
      </w:pPr>
      <w:r>
        <w:rPr>
          <w:rFonts w:ascii="Traditional Arabic" w:hAnsi="Traditional Arabic" w:cs="Traditional Arabic"/>
          <w:b/>
          <w:bCs/>
          <w:sz w:val="28"/>
          <w:szCs w:val="28"/>
          <w:rtl/>
        </w:rPr>
        <w:t>H2a: يوجد أثر ذو دلالة إحصائية لتطبيق تقنية الترميز الأمني للبيانات على كفاءة العمليات المالية في المؤسسات المالية السعودية.</w:t>
      </w:r>
    </w:p>
    <w:p w14:paraId="2050FB85" w14:textId="77777777" w:rsidR="00E4583A" w:rsidRDefault="00000000">
      <w:pPr>
        <w:pStyle w:val="HeadingTOCEntry"/>
        <w:numPr>
          <w:ilvl w:val="0"/>
          <w:numId w:val="63"/>
        </w:numPr>
        <w:bidi/>
        <w:spacing w:after="0" w:line="360" w:lineRule="auto"/>
        <w:rPr>
          <w:rFonts w:ascii="Traditional Arabic" w:hAnsi="Traditional Arabic" w:cs="Traditional Arabic"/>
          <w:b/>
          <w:bCs/>
          <w:sz w:val="28"/>
          <w:szCs w:val="28"/>
          <w:rtl/>
        </w:rPr>
      </w:pPr>
      <w:r>
        <w:rPr>
          <w:rFonts w:ascii="Traditional Arabic" w:hAnsi="Traditional Arabic" w:cs="Traditional Arabic"/>
          <w:b/>
          <w:bCs/>
          <w:sz w:val="28"/>
          <w:szCs w:val="28"/>
          <w:rtl/>
        </w:rPr>
        <w:t>H2b: يوجد أثر ذو دلالة إحصائية لمستوى الامتثال للمعايير الدولية على كفاءة العمليات المالية في المؤسسات المالية السعودية.</w:t>
      </w:r>
    </w:p>
    <w:p w14:paraId="5DCDE77E" w14:textId="77777777" w:rsidR="00E4583A" w:rsidRDefault="00000000">
      <w:pPr>
        <w:pStyle w:val="HeadingTOCEntry"/>
        <w:numPr>
          <w:ilvl w:val="0"/>
          <w:numId w:val="63"/>
        </w:numPr>
        <w:bidi/>
        <w:spacing w:after="0" w:line="360" w:lineRule="auto"/>
        <w:rPr>
          <w:rFonts w:ascii="Traditional Arabic" w:hAnsi="Traditional Arabic" w:cs="Traditional Arabic"/>
          <w:b/>
          <w:bCs/>
          <w:sz w:val="28"/>
          <w:szCs w:val="28"/>
          <w:rtl/>
        </w:rPr>
      </w:pPr>
      <w:r>
        <w:rPr>
          <w:rFonts w:ascii="Traditional Arabic" w:hAnsi="Traditional Arabic" w:cs="Traditional Arabic"/>
          <w:b/>
          <w:bCs/>
          <w:sz w:val="28"/>
          <w:szCs w:val="28"/>
          <w:rtl/>
        </w:rPr>
        <w:t>H3</w:t>
      </w:r>
      <w:commentRangeStart w:id="18"/>
      <w:r>
        <w:rPr>
          <w:rFonts w:ascii="Traditional Arabic" w:hAnsi="Traditional Arabic" w:cs="Traditional Arabic"/>
          <w:b/>
          <w:bCs/>
          <w:sz w:val="28"/>
          <w:szCs w:val="28"/>
          <w:rtl/>
        </w:rPr>
        <w:t>: توجد فروق ذات دلالة إحصائية بين متوسطات استجابات أفراد عينة الدراسة حول (كفاءة العمليات المالية / الأمن السيبراني المؤسسي / تطبيق تقنية الترميز الأمني للبيانات) تُعزى إلى نوع المؤسسة المالية (بنك تجاري تقليدي / بنك رقمي / شركة تقنية مالية).</w:t>
      </w:r>
      <w:commentRangeEnd w:id="18"/>
      <w:r w:rsidR="00236BF8">
        <w:rPr>
          <w:rStyle w:val="affa"/>
          <w:rFonts w:ascii="Traditional Arabic" w:hAnsi="Traditional Arabic" w:cs="Traditional Arabic"/>
          <w:b/>
          <w:bCs/>
          <w:sz w:val="28"/>
          <w:szCs w:val="28"/>
          <w:rtl/>
        </w:rPr>
        <w:commentReference w:id="18"/>
      </w:r>
    </w:p>
    <w:p w14:paraId="3F36C63C" w14:textId="77777777" w:rsidR="00E4583A" w:rsidRDefault="00000000">
      <w:pPr>
        <w:pStyle w:val="HeadingTOCEntry"/>
        <w:numPr>
          <w:ilvl w:val="0"/>
          <w:numId w:val="63"/>
        </w:numPr>
        <w:bidi/>
        <w:spacing w:after="0" w:line="360" w:lineRule="auto"/>
        <w:rPr>
          <w:rFonts w:ascii="Traditional Arabic" w:hAnsi="Traditional Arabic" w:cs="Traditional Arabic"/>
          <w:b/>
          <w:bCs/>
          <w:sz w:val="28"/>
          <w:szCs w:val="28"/>
          <w:rtl/>
        </w:rPr>
      </w:pPr>
      <w:r>
        <w:rPr>
          <w:rFonts w:ascii="Traditional Arabic" w:hAnsi="Traditional Arabic" w:cs="Traditional Arabic"/>
          <w:b/>
          <w:bCs/>
          <w:sz w:val="28"/>
          <w:szCs w:val="28"/>
          <w:rtl/>
        </w:rPr>
        <w:lastRenderedPageBreak/>
        <w:t>H4: توجد فروق ذات دلالة إحصائية بين متوسطات استجابات أفراد عينة الدراسة حول (كفاءة العمليات المالية / الأمن السيبراني المؤسسي / تطبيق تقنية الترميز الأمني للبيانات) تُعزى إلى سنوات الخبرة في المجال.</w:t>
      </w:r>
    </w:p>
    <w:p w14:paraId="335FB022" w14:textId="77777777" w:rsidR="00E4583A" w:rsidRDefault="00000000">
      <w:pPr>
        <w:pStyle w:val="HeadingTOCEntry"/>
        <w:numPr>
          <w:ilvl w:val="0"/>
          <w:numId w:val="63"/>
        </w:numPr>
        <w:bidi/>
        <w:spacing w:after="0" w:line="360" w:lineRule="auto"/>
        <w:rPr>
          <w:rFonts w:ascii="Traditional Arabic" w:hAnsi="Traditional Arabic" w:cs="Traditional Arabic"/>
          <w:b/>
          <w:bCs/>
          <w:sz w:val="28"/>
          <w:szCs w:val="28"/>
          <w:rtl/>
        </w:rPr>
      </w:pPr>
      <w:r>
        <w:rPr>
          <w:rFonts w:ascii="Traditional Arabic" w:hAnsi="Traditional Arabic" w:cs="Traditional Arabic"/>
          <w:b/>
          <w:bCs/>
          <w:sz w:val="28"/>
          <w:szCs w:val="28"/>
          <w:rtl/>
        </w:rPr>
        <w:t>H5: توجد فروق ذات دلالة إحصائية بين متوسطات استجابات أفراد عينة الدراسة حول (كفاءة العمليات المالية / الأمن السيبراني المؤسسي / تطبيق تقنية الترميز الأمني للبيانات) تُعزى إلى المستوى الوظيفي.</w:t>
      </w:r>
    </w:p>
    <w:p w14:paraId="78F4D500" w14:textId="77777777" w:rsidR="00E4583A" w:rsidRDefault="00000000">
      <w:pPr>
        <w:pStyle w:val="HeadingTOCEntry"/>
        <w:numPr>
          <w:ilvl w:val="0"/>
          <w:numId w:val="63"/>
        </w:numPr>
        <w:bidi/>
        <w:spacing w:after="0" w:line="360" w:lineRule="auto"/>
        <w:rPr>
          <w:rFonts w:ascii="Traditional Arabic" w:hAnsi="Traditional Arabic" w:cs="Traditional Arabic"/>
          <w:b/>
          <w:bCs/>
          <w:sz w:val="28"/>
          <w:szCs w:val="28"/>
          <w:rtl/>
        </w:rPr>
      </w:pPr>
      <w:r>
        <w:rPr>
          <w:rFonts w:ascii="Traditional Arabic" w:hAnsi="Traditional Arabic" w:cs="Traditional Arabic"/>
          <w:b/>
          <w:bCs/>
          <w:sz w:val="28"/>
          <w:szCs w:val="28"/>
          <w:rtl/>
        </w:rPr>
        <w:t>H6: توجد فروق ذات دلالة إحصائية بين متوسطات استجابات أفراد عينة الدراسة حول (كفاءة العمليات المالية / الأمن السيبراني المؤسسي / تطبيق تقنية الترميز الأمني للبيانات) تُعزى إلى المؤهل العلمي.</w:t>
      </w:r>
    </w:p>
    <w:p w14:paraId="639C5A3B" w14:textId="77777777" w:rsidR="00E4583A" w:rsidRDefault="00000000">
      <w:pPr>
        <w:pStyle w:val="HeadingTOCEntry"/>
        <w:numPr>
          <w:ilvl w:val="0"/>
          <w:numId w:val="63"/>
        </w:numPr>
        <w:bidi/>
        <w:spacing w:after="0" w:line="360" w:lineRule="auto"/>
        <w:rPr>
          <w:rFonts w:ascii="Traditional Arabic" w:hAnsi="Traditional Arabic" w:cs="Traditional Arabic"/>
          <w:b/>
          <w:bCs/>
          <w:sz w:val="28"/>
          <w:szCs w:val="28"/>
          <w:rtl/>
        </w:rPr>
      </w:pPr>
      <w:r>
        <w:rPr>
          <w:rFonts w:ascii="Traditional Arabic" w:hAnsi="Traditional Arabic" w:cs="Traditional Arabic"/>
          <w:b/>
          <w:bCs/>
          <w:sz w:val="28"/>
          <w:szCs w:val="28"/>
          <w:rtl/>
        </w:rPr>
        <w:t>H7: توجد فروق ذات دلالة إحصائية بين متوسطات استجابات أفراد عينة الدراسة حول (كفاءة العمليات المالية / الأمن السيبراني المؤسسي / تطبيق تقنية الترميز الأمني للبيانات) تُعزى إلى مجال التخصص.</w:t>
      </w:r>
    </w:p>
    <w:p w14:paraId="003E85BE" w14:textId="77777777" w:rsidR="00E4583A" w:rsidRDefault="00000000">
      <w:pPr>
        <w:pStyle w:val="HeadingTOCEntry"/>
        <w:numPr>
          <w:ilvl w:val="0"/>
          <w:numId w:val="63"/>
        </w:numPr>
        <w:bidi/>
        <w:spacing w:after="0" w:line="360" w:lineRule="auto"/>
        <w:rPr>
          <w:rFonts w:ascii="Traditional Arabic" w:hAnsi="Traditional Arabic" w:cs="Traditional Arabic"/>
          <w:b/>
          <w:bCs/>
          <w:sz w:val="28"/>
          <w:szCs w:val="28"/>
          <w:rtl/>
        </w:rPr>
      </w:pPr>
      <w:commentRangeStart w:id="19"/>
      <w:r>
        <w:rPr>
          <w:rFonts w:ascii="Traditional Arabic" w:hAnsi="Traditional Arabic" w:cs="Traditional Arabic"/>
          <w:b/>
          <w:bCs/>
          <w:sz w:val="28"/>
          <w:szCs w:val="28"/>
          <w:rtl/>
        </w:rPr>
        <w:t xml:space="preserve">وتُمثّل هذه الفروض الأحد عشر (H1 وفرعاه H1a وH1b؛ وH2 وفرعاه H2a وH2b؛ وH3، وH4، وH5، وH6، وH7 دون فروع) النسخة المعتمدة الوحيدة للدراسة، ويلتزم نصها وترقيمها بالتطابق التام في الفصل الأول والفصل الثالث والفصل الرابع. وتُختبَر الفروض H1 وH2 وفروعهما بمعامل ارتباط سبيرمان ونموذج الانحدار المنقّح (Robust Regression)، بينما تُختبَر الفروض H3 إلى H7 باختبار كروسكال-واليس (Kruskal-Wallis) اللامعلمي. ويُطبَّق هذا الاختبار على كل فرض من فروض H3 إلى H7 ثلاث مرات منفصلة (على كفاءة العمليات المالية، وعلى الأمن السيبراني المؤسسي، وعلى تطبيق تقنية الترميز الأمني للبيانات على التوالي)، وتُعرَض النتائج الثلاث في جدول واحد تحت الفرض نفسه دون ترقيمها فروعاً منفصلة. وعند ظهور فروق دالة إحصائياً في أي من هذه الاختبارات، تُجرى اختبارات المقارنات البعدية اللامعلمية (Dunn's </w:t>
      </w:r>
      <w:r>
        <w:rPr>
          <w:rFonts w:ascii="Traditional Arabic" w:hAnsi="Traditional Arabic" w:cs="Traditional Arabic"/>
          <w:b/>
          <w:bCs/>
          <w:sz w:val="28"/>
          <w:szCs w:val="28"/>
          <w:rtl/>
        </w:rPr>
        <w:lastRenderedPageBreak/>
        <w:t>Post-Hoc Test) بتصحيح بونفيروني (Bonferroni) لتحديد لصالح أي فئة تُعزى الفروق. ولم تتضمن الدراسة أي متغير وسيط أو معدِّل، ومن ثمّ لم تُجرَ أي اختبارات وساطة أو تعديل.</w:t>
      </w:r>
      <w:commentRangeEnd w:id="19"/>
      <w:r w:rsidR="00236BF8">
        <w:rPr>
          <w:rStyle w:val="affa"/>
          <w:rFonts w:ascii="Traditional Arabic" w:hAnsi="Traditional Arabic" w:cs="Traditional Arabic"/>
          <w:b/>
          <w:bCs/>
          <w:sz w:val="28"/>
          <w:szCs w:val="28"/>
          <w:rtl/>
        </w:rPr>
        <w:commentReference w:id="19"/>
      </w:r>
    </w:p>
    <w:p w14:paraId="799D8A9C" w14:textId="77777777" w:rsidR="00E4583A" w:rsidRDefault="00E4583A">
      <w:pPr>
        <w:pStyle w:val="HeadingTOCEntry"/>
        <w:bidi/>
        <w:spacing w:after="0" w:line="360" w:lineRule="auto"/>
        <w:rPr>
          <w:rFonts w:ascii="Traditional Arabic" w:hAnsi="Traditional Arabic" w:cs="Traditional Arabic"/>
          <w:b/>
          <w:bCs/>
          <w:sz w:val="28"/>
          <w:szCs w:val="28"/>
          <w:rtl/>
        </w:rPr>
      </w:pPr>
    </w:p>
    <w:p w14:paraId="2BDB728B" w14:textId="77777777" w:rsidR="00E4583A" w:rsidRDefault="00E4583A">
      <w:pPr>
        <w:pStyle w:val="HeadingTOCEntry"/>
        <w:bidi/>
        <w:spacing w:after="0" w:line="360" w:lineRule="auto"/>
        <w:rPr>
          <w:rFonts w:ascii="Traditional Arabic" w:hAnsi="Traditional Arabic" w:cs="Traditional Arabic"/>
          <w:b/>
          <w:bCs/>
          <w:sz w:val="28"/>
          <w:szCs w:val="28"/>
          <w:rtl/>
        </w:rPr>
      </w:pPr>
    </w:p>
    <w:p w14:paraId="1CC607B4" w14:textId="77777777" w:rsidR="003C0190" w:rsidRPr="0072768E" w:rsidRDefault="00AD783C" w:rsidP="001276DC">
      <w:pPr>
        <w:pStyle w:val="HeadingTOCEntry"/>
        <w:bidi/>
        <w:spacing w:after="0" w:line="360" w:lineRule="auto"/>
        <w:rPr>
          <w:rFonts w:ascii="Simplified Arabic" w:hAnsi="Simplified Arabic" w:cs="Simplified Arabic"/>
          <w:sz w:val="28"/>
          <w:szCs w:val="28"/>
          <w:rtl/>
        </w:rPr>
      </w:pPr>
      <w:r>
        <w:rPr>
          <w:rFonts w:ascii="Traditional Arabic" w:hAnsi="Traditional Arabic" w:cs="Traditional Arabic"/>
          <w:b/>
          <w:bCs/>
          <w:sz w:val="28"/>
          <w:szCs w:val="28"/>
          <w:u w:val="single"/>
          <w:rtl/>
        </w:rPr>
        <w:t>1.7 نموذج الدراسة</w:t>
      </w:r>
    </w:p>
    <w:p w14:paraId="7422499F" w14:textId="77777777" w:rsidR="002C300C" w:rsidRPr="0072768E" w:rsidRDefault="002C300C" w:rsidP="00E000FF">
      <w:pPr>
        <w:pStyle w:val="21"/>
        <w:bidi/>
        <w:spacing w:before="0" w:line="360" w:lineRule="auto"/>
        <w:jc w:val="both"/>
        <w:rPr>
          <w:rFonts w:ascii="Simplified Arabic" w:hAnsi="Simplified Arabic" w:cs="Simplified Arabic"/>
          <w:color w:val="auto"/>
          <w:sz w:val="28"/>
          <w:szCs w:val="28"/>
          <w:rtl/>
        </w:rPr>
      </w:pPr>
      <w:r>
        <w:rPr>
          <w:rFonts w:ascii="Traditional Arabic" w:hAnsi="Traditional Arabic" w:cs="Traditional Arabic"/>
          <w:b/>
          <w:bCs/>
          <w:color w:val="auto"/>
          <w:sz w:val="28"/>
          <w:szCs w:val="28"/>
          <w:rtl/>
        </w:rPr>
        <w:t>يوضّح نموذج الدراسة العلاقات المفترضة بين متغيراتها، وقد بُني بحيث يتطابق تطابقاً تاماً مع أسئلة الدراسة وفروضها. ويتكوّن النموذج من متغيرين مستقلين، ومتغيرين تابعين، ومجموعة من المتغيرات الضابطة التصنيفية، ولا يتضمن أي متغير وسيط أو معدِّل.</w:t>
      </w:r>
    </w:p>
    <w:p w14:paraId="626F52AB" w14:textId="77777777" w:rsidR="00EE1529" w:rsidRPr="0072768E" w:rsidRDefault="00EE1529" w:rsidP="00E000FF">
      <w:pPr>
        <w:pStyle w:val="21"/>
        <w:bidi/>
        <w:spacing w:before="0" w:line="360" w:lineRule="auto"/>
        <w:rPr>
          <w:color w:val="auto"/>
        </w:rPr>
      </w:pPr>
      <w:r>
        <w:rPr>
          <w:rFonts w:ascii="Traditional Arabic" w:hAnsi="Traditional Arabic" w:cs="Traditional Arabic"/>
          <w:b/>
          <w:bCs/>
          <w:color w:val="auto"/>
          <w:sz w:val="28"/>
          <w:szCs w:val="28"/>
          <w:rtl/>
        </w:rPr>
        <w:t>أولاً: المتغيران المستقلان</w:t>
      </w:r>
    </w:p>
    <w:p w14:paraId="63C35857" w14:textId="77777777" w:rsidR="00EE1529" w:rsidRPr="0072768E" w:rsidRDefault="00EE1529" w:rsidP="00E000FF">
      <w:pPr>
        <w:pStyle w:val="a0"/>
        <w:numPr>
          <w:ilvl w:val="0"/>
          <w:numId w:val="2"/>
        </w:numPr>
        <w:bidi/>
        <w:spacing w:after="0" w:line="360" w:lineRule="auto"/>
        <w:rPr>
          <w:rFonts w:ascii="Simplified Arabic" w:hAnsi="Simplified Arabic" w:cs="Simplified Arabic"/>
          <w:sz w:val="24"/>
          <w:szCs w:val="24"/>
        </w:rPr>
      </w:pPr>
      <w:r>
        <w:rPr>
          <w:rFonts w:ascii="Traditional Arabic" w:hAnsi="Traditional Arabic" w:cs="Traditional Arabic"/>
          <w:sz w:val="24"/>
          <w:szCs w:val="24"/>
          <w:rtl/>
        </w:rPr>
        <w:t>تطبيق تقنية الترميز الأمني للبيانات: ويُقاس بست عبارات تتناول مدى استخدام المؤسسة للترميز في حماية بيانات الدفع والبيانات الحساسة.</w:t>
      </w:r>
    </w:p>
    <w:p w14:paraId="5820E2DC" w14:textId="77777777" w:rsidR="00EE1529" w:rsidRPr="0072768E" w:rsidRDefault="00EE1529" w:rsidP="00E000FF">
      <w:pPr>
        <w:pStyle w:val="a0"/>
        <w:numPr>
          <w:ilvl w:val="0"/>
          <w:numId w:val="2"/>
        </w:numPr>
        <w:bidi/>
        <w:spacing w:after="0" w:line="360" w:lineRule="auto"/>
        <w:rPr>
          <w:rFonts w:ascii="Simplified Arabic" w:hAnsi="Simplified Arabic" w:cs="Simplified Arabic"/>
          <w:sz w:val="24"/>
          <w:szCs w:val="24"/>
        </w:rPr>
      </w:pPr>
      <w:r>
        <w:rPr>
          <w:rFonts w:ascii="Traditional Arabic" w:hAnsi="Traditional Arabic" w:cs="Traditional Arabic"/>
          <w:sz w:val="24"/>
          <w:szCs w:val="24"/>
          <w:rtl/>
        </w:rPr>
        <w:t>الامتثال للمعايير الدولية: ويُقاس بست عبارات تتناول مدى التزام المؤسسة بمتطلبات معايير PCI DSS وISO 27001 والضوابط الصادرة عن الجهات الرقابية الوطنية.</w:t>
      </w:r>
    </w:p>
    <w:p w14:paraId="00AC0949" w14:textId="77777777" w:rsidR="00EE1529" w:rsidRPr="0072768E" w:rsidRDefault="00EE1529" w:rsidP="00E000FF">
      <w:pPr>
        <w:pStyle w:val="21"/>
        <w:bidi/>
        <w:spacing w:before="0" w:line="360" w:lineRule="auto"/>
        <w:rPr>
          <w:rFonts w:ascii="Simplified Arabic" w:hAnsi="Simplified Arabic" w:cs="Simplified Arabic"/>
          <w:b/>
          <w:bCs/>
          <w:color w:val="auto"/>
          <w:sz w:val="28"/>
          <w:szCs w:val="28"/>
        </w:rPr>
      </w:pPr>
      <w:r>
        <w:rPr>
          <w:rFonts w:ascii="Traditional Arabic" w:hAnsi="Traditional Arabic" w:cs="Traditional Arabic"/>
          <w:b/>
          <w:bCs/>
          <w:color w:val="auto"/>
          <w:sz w:val="28"/>
          <w:szCs w:val="28"/>
          <w:rtl/>
        </w:rPr>
        <w:t>ثانياً: المتغيرات الضابطة (التصنيفية)</w:t>
      </w:r>
    </w:p>
    <w:p w14:paraId="62ECF68E" w14:textId="77777777" w:rsidR="00EE1529" w:rsidRPr="0072768E" w:rsidRDefault="00EE1529" w:rsidP="00E000FF">
      <w:pPr>
        <w:pStyle w:val="a0"/>
        <w:numPr>
          <w:ilvl w:val="0"/>
          <w:numId w:val="2"/>
        </w:numPr>
        <w:bidi/>
        <w:spacing w:after="0" w:line="360" w:lineRule="auto"/>
        <w:rPr>
          <w:rFonts w:ascii="Simplified Arabic" w:hAnsi="Simplified Arabic" w:cs="Simplified Arabic"/>
          <w:sz w:val="24"/>
          <w:szCs w:val="24"/>
        </w:rPr>
      </w:pPr>
      <w:r>
        <w:rPr>
          <w:rFonts w:ascii="Traditional Arabic" w:hAnsi="Traditional Arabic" w:cs="Traditional Arabic"/>
          <w:sz w:val="24"/>
          <w:szCs w:val="24"/>
          <w:rtl/>
        </w:rPr>
        <w:t>حجم المؤسسة المالية وعمرها في السوق، وتُستخدَم لوصف خصائص العينة دون اختبار فروض مرتبطة بها مباشرة.</w:t>
      </w:r>
    </w:p>
    <w:p w14:paraId="37BB98E7" w14:textId="77777777" w:rsidR="00EE1529" w:rsidRPr="0072768E" w:rsidRDefault="00EE1529" w:rsidP="00E000FF">
      <w:pPr>
        <w:pStyle w:val="a0"/>
        <w:numPr>
          <w:ilvl w:val="0"/>
          <w:numId w:val="2"/>
        </w:numPr>
        <w:bidi/>
        <w:spacing w:after="0" w:line="360" w:lineRule="auto"/>
        <w:rPr>
          <w:rFonts w:ascii="Simplified Arabic" w:hAnsi="Simplified Arabic" w:cs="Simplified Arabic"/>
          <w:sz w:val="24"/>
          <w:szCs w:val="24"/>
        </w:rPr>
      </w:pPr>
      <w:r>
        <w:rPr>
          <w:rFonts w:ascii="Traditional Arabic" w:hAnsi="Traditional Arabic" w:cs="Traditional Arabic"/>
          <w:sz w:val="24"/>
          <w:szCs w:val="24"/>
          <w:rtl/>
        </w:rPr>
        <w:t>نوع المؤسسة المالية، وسنوات الخبرة في المجال، والمستوى الوظيفي، والمؤهل العلمي، ومجال التخصص، وتُستخدَم لاختبار فروض الفروق H3 إلى H7 باختبار كروسكال-واليس.</w:t>
      </w:r>
    </w:p>
    <w:p w14:paraId="32E5A9C4" w14:textId="77777777" w:rsidR="00EE1529" w:rsidRPr="0072768E" w:rsidRDefault="00EE1529" w:rsidP="00E000FF">
      <w:pPr>
        <w:pStyle w:val="21"/>
        <w:bidi/>
        <w:spacing w:before="0" w:line="360" w:lineRule="auto"/>
        <w:rPr>
          <w:rFonts w:ascii="Simplified Arabic" w:hAnsi="Simplified Arabic" w:cs="Simplified Arabic"/>
          <w:b/>
          <w:bCs/>
          <w:color w:val="auto"/>
          <w:sz w:val="28"/>
          <w:szCs w:val="28"/>
        </w:rPr>
      </w:pPr>
      <w:r>
        <w:rPr>
          <w:rFonts w:ascii="Traditional Arabic" w:hAnsi="Traditional Arabic" w:cs="Traditional Arabic"/>
          <w:b/>
          <w:bCs/>
          <w:color w:val="auto"/>
          <w:sz w:val="28"/>
          <w:szCs w:val="28"/>
          <w:rtl/>
        </w:rPr>
        <w:t>ثالثاً: المتغيران التابعان</w:t>
      </w:r>
    </w:p>
    <w:p w14:paraId="2FAE817F" w14:textId="77777777" w:rsidR="00EE1529" w:rsidRPr="0072768E" w:rsidRDefault="00EE1529" w:rsidP="00E000FF">
      <w:pPr>
        <w:pStyle w:val="a0"/>
        <w:numPr>
          <w:ilvl w:val="0"/>
          <w:numId w:val="2"/>
        </w:numPr>
        <w:bidi/>
        <w:spacing w:after="0" w:line="360" w:lineRule="auto"/>
        <w:rPr>
          <w:rFonts w:ascii="Simplified Arabic" w:hAnsi="Simplified Arabic" w:cs="Simplified Arabic"/>
          <w:sz w:val="24"/>
          <w:szCs w:val="24"/>
        </w:rPr>
      </w:pPr>
      <w:r>
        <w:rPr>
          <w:rFonts w:ascii="Traditional Arabic" w:hAnsi="Traditional Arabic" w:cs="Traditional Arabic"/>
          <w:sz w:val="24"/>
          <w:szCs w:val="24"/>
          <w:rtl/>
        </w:rPr>
        <w:t>الأمن السيبراني المؤسسي: ويُقاس بست عبارات تتناول مستوى الحماية والوقاية والاستجابة للحوادث السيبرانية.</w:t>
      </w:r>
    </w:p>
    <w:p w14:paraId="54AAAEF1" w14:textId="77777777" w:rsidR="00B1069E" w:rsidRPr="0072768E" w:rsidRDefault="00EE1529" w:rsidP="00E000FF">
      <w:pPr>
        <w:pStyle w:val="a0"/>
        <w:numPr>
          <w:ilvl w:val="0"/>
          <w:numId w:val="2"/>
        </w:numPr>
        <w:bidi/>
        <w:spacing w:after="0" w:line="360" w:lineRule="auto"/>
        <w:rPr>
          <w:rFonts w:ascii="Simplified Arabic" w:hAnsi="Simplified Arabic" w:cs="Simplified Arabic"/>
          <w:sz w:val="24"/>
          <w:szCs w:val="24"/>
        </w:rPr>
      </w:pPr>
      <w:r>
        <w:rPr>
          <w:rFonts w:ascii="Traditional Arabic" w:hAnsi="Traditional Arabic" w:cs="Traditional Arabic"/>
          <w:sz w:val="24"/>
          <w:szCs w:val="24"/>
          <w:rtl/>
        </w:rPr>
        <w:t>كفاءة العمليات المالية: وتُقاس بست عبارات تتناول سرعة المعالجة ودقتها وتكلفتها.</w:t>
      </w:r>
    </w:p>
    <w:p w14:paraId="33062A2B" w14:textId="77777777" w:rsidR="00A35F9B" w:rsidRPr="0072768E" w:rsidRDefault="00E04048" w:rsidP="00E000FF">
      <w:pPr>
        <w:pStyle w:val="21"/>
        <w:numPr>
          <w:ilvl w:val="0"/>
          <w:numId w:val="4"/>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رابعاً: الإطار التفسيري</w:t>
      </w:r>
    </w:p>
    <w:p w14:paraId="0E8C8C90" w14:textId="77777777" w:rsidR="00D46A37" w:rsidRPr="0005531B" w:rsidRDefault="00D46A37" w:rsidP="00E000FF">
      <w:pPr>
        <w:bidi/>
        <w:spacing w:after="0" w:line="360" w:lineRule="auto"/>
        <w:jc w:val="both"/>
        <w:rPr>
          <w:rFonts w:ascii="Traditional Arabic" w:hAnsi="Traditional Arabic" w:cs="Traditional Arabic"/>
          <w:sz w:val="28"/>
          <w:szCs w:val="28"/>
        </w:rPr>
      </w:pPr>
      <w:r>
        <w:rPr>
          <w:rFonts w:ascii="Traditional Arabic" w:hAnsi="Traditional Arabic" w:cs="Traditional Arabic"/>
          <w:sz w:val="28"/>
          <w:szCs w:val="28"/>
          <w:rtl/>
        </w:rPr>
        <w:t>يُستخدَم بُعد التوافق مع رؤية المملكة 2030 والتحول الرقمي المالي إطاراً تفسيرياً لقراءة نتائج الدراسة وربطها بالسياق الوطني، ولا يدخل بوصفه متغيراً مستقلاً أو تابعاً ضمن الفروض، ولم تُصَغ له أي فرضية إحصائية.</w:t>
      </w:r>
    </w:p>
    <w:p w14:paraId="40F93B17" w14:textId="77777777" w:rsidR="00B1069E" w:rsidRPr="0072768E" w:rsidRDefault="00B1069E" w:rsidP="00E000FF">
      <w:pPr>
        <w:pStyle w:val="a0"/>
        <w:numPr>
          <w:ilvl w:val="0"/>
          <w:numId w:val="0"/>
        </w:numPr>
        <w:bidi/>
        <w:spacing w:after="0" w:line="360" w:lineRule="auto"/>
        <w:rPr>
          <w:rFonts w:ascii="Simplified Arabic" w:hAnsi="Simplified Arabic" w:cs="Simplified Arabic"/>
          <w:sz w:val="24"/>
          <w:szCs w:val="24"/>
          <w:rtl/>
        </w:rPr>
      </w:pPr>
    </w:p>
    <w:tbl>
      <w:tblPr>
        <w:tblStyle w:val="a9"/>
        <w:bidiVisual/>
        <w:tblW w:w="7600" w:type="dxa"/>
        <w:tblBorders>
          <w:top w:val="single" w:sz="6" w:space="0" w:color="7F9DB9"/>
          <w:left w:val="single" w:sz="6" w:space="0" w:color="7F9DB9"/>
          <w:bottom w:val="single" w:sz="6" w:space="0" w:color="7F9DB9"/>
          <w:right w:val="single" w:sz="6" w:space="0" w:color="7F9DB9"/>
          <w:insideH w:val="single" w:sz="6" w:space="0" w:color="7F9DB9"/>
          <w:insideV w:val="single" w:sz="6" w:space="0" w:color="7F9DB9"/>
        </w:tblBorders>
        <w:tblLook w:val="04A0" w:firstRow="1" w:lastRow="0" w:firstColumn="1" w:lastColumn="0" w:noHBand="0" w:noVBand="1"/>
      </w:tblPr>
      <w:tblGrid>
        <w:gridCol w:w="2960"/>
        <w:gridCol w:w="1681"/>
        <w:gridCol w:w="2959"/>
      </w:tblGrid>
      <w:tr w:rsidR="00827F40" w14:paraId="44C6705F" w14:textId="77777777">
        <w:trPr>
          <w:tblHeader/>
        </w:trPr>
        <w:tc>
          <w:tcPr>
            <w:tcW w:w="3000" w:type="dxa"/>
            <w:shd w:val="clear" w:color="auto" w:fill="DCE9F5"/>
            <w:vAlign w:val="center"/>
          </w:tcPr>
          <w:p w14:paraId="345CC5D6" w14:textId="77777777" w:rsidR="00827F40" w:rsidRDefault="00F03C2E">
            <w:pPr>
              <w:bidi/>
              <w:spacing w:after="0" w:line="280" w:lineRule="auto"/>
              <w:jc w:val="center"/>
            </w:pPr>
            <w:r>
              <w:rPr>
                <w:rFonts w:ascii="Traditional Arabic" w:hAnsi="Traditional Arabic" w:cs="Traditional Arabic"/>
                <w:b/>
                <w:bCs/>
                <w:rtl/>
              </w:rPr>
              <w:t>المتغيران المستقلان</w:t>
            </w:r>
          </w:p>
        </w:tc>
        <w:tc>
          <w:tcPr>
            <w:tcW w:w="1600" w:type="dxa"/>
            <w:shd w:val="clear" w:color="auto" w:fill="DCE9F5"/>
            <w:vAlign w:val="center"/>
          </w:tcPr>
          <w:p w14:paraId="661E6C78" w14:textId="77777777" w:rsidR="00827F40" w:rsidRDefault="00F03C2E">
            <w:pPr>
              <w:bidi/>
              <w:spacing w:after="0" w:line="280" w:lineRule="auto"/>
              <w:jc w:val="center"/>
            </w:pPr>
            <w:r>
              <w:rPr>
                <w:rFonts w:ascii="Traditional Arabic" w:hAnsi="Traditional Arabic" w:cs="Traditional Arabic"/>
                <w:b/>
                <w:bCs/>
                <w:rtl/>
              </w:rPr>
              <w:t>اتجاه الأثر</w:t>
            </w:r>
          </w:p>
        </w:tc>
        <w:tc>
          <w:tcPr>
            <w:tcW w:w="3000" w:type="dxa"/>
            <w:shd w:val="clear" w:color="auto" w:fill="DCE9F5"/>
            <w:vAlign w:val="center"/>
          </w:tcPr>
          <w:p w14:paraId="38342D9B" w14:textId="77777777" w:rsidR="00827F40" w:rsidRDefault="00F03C2E">
            <w:pPr>
              <w:bidi/>
              <w:spacing w:after="0" w:line="280" w:lineRule="auto"/>
              <w:jc w:val="center"/>
            </w:pPr>
            <w:r>
              <w:rPr>
                <w:rFonts w:ascii="Traditional Arabic" w:hAnsi="Traditional Arabic" w:cs="Traditional Arabic"/>
                <w:b/>
                <w:bCs/>
                <w:rtl/>
              </w:rPr>
              <w:t>المتغيران التابعان</w:t>
            </w:r>
          </w:p>
        </w:tc>
      </w:tr>
      <w:tr w:rsidR="00827F40" w14:paraId="45229757" w14:textId="77777777">
        <w:tc>
          <w:tcPr>
            <w:tcW w:w="3000" w:type="dxa"/>
            <w:vAlign w:val="center"/>
          </w:tcPr>
          <w:p w14:paraId="0BD1B6EB" w14:textId="77777777" w:rsidR="00827F40" w:rsidRDefault="00F03C2E">
            <w:pPr>
              <w:bidi/>
              <w:spacing w:after="0" w:line="280" w:lineRule="auto"/>
              <w:jc w:val="right"/>
            </w:pPr>
            <w:r>
              <w:rPr>
                <w:rFonts w:ascii="Traditional Arabic" w:hAnsi="Traditional Arabic" w:cs="Traditional Arabic"/>
                <w:rtl/>
              </w:rPr>
              <w:t>تطبيق تقنية الترميز الأمني للبيانات</w:t>
            </w:r>
          </w:p>
          <w:p w14:paraId="07631703" w14:textId="77777777" w:rsidR="00827F40" w:rsidRDefault="00F03C2E">
            <w:pPr>
              <w:bidi/>
              <w:spacing w:after="0" w:line="280" w:lineRule="auto"/>
              <w:jc w:val="right"/>
            </w:pPr>
            <w:r>
              <w:rPr>
                <w:rFonts w:ascii="Traditional Arabic" w:hAnsi="Traditional Arabic" w:cs="Traditional Arabic"/>
                <w:rtl/>
              </w:rPr>
              <w:t>(H1a، H2a)</w:t>
            </w:r>
          </w:p>
        </w:tc>
        <w:tc>
          <w:tcPr>
            <w:tcW w:w="1600" w:type="dxa"/>
            <w:vAlign w:val="center"/>
          </w:tcPr>
          <w:p w14:paraId="7F76860F" w14:textId="77777777" w:rsidR="00827F40" w:rsidRDefault="00F03C2E">
            <w:pPr>
              <w:bidi/>
              <w:spacing w:after="0" w:line="280" w:lineRule="auto"/>
              <w:jc w:val="right"/>
            </w:pPr>
            <w:r>
              <w:rPr>
                <w:rFonts w:ascii="Traditional Arabic" w:hAnsi="Traditional Arabic" w:cs="Traditional Arabic"/>
                <w:rtl/>
              </w:rPr>
              <w:t>◄────────</w:t>
            </w:r>
          </w:p>
        </w:tc>
        <w:tc>
          <w:tcPr>
            <w:tcW w:w="3000" w:type="dxa"/>
            <w:vAlign w:val="center"/>
          </w:tcPr>
          <w:p w14:paraId="0101E198" w14:textId="77777777" w:rsidR="00827F40" w:rsidRDefault="00F03C2E">
            <w:pPr>
              <w:bidi/>
              <w:spacing w:after="0" w:line="280" w:lineRule="auto"/>
              <w:jc w:val="right"/>
            </w:pPr>
            <w:r>
              <w:rPr>
                <w:rFonts w:ascii="Traditional Arabic" w:hAnsi="Traditional Arabic" w:cs="Traditional Arabic"/>
                <w:rtl/>
              </w:rPr>
              <w:t>الأمن السيبراني المؤسسي</w:t>
            </w:r>
          </w:p>
          <w:p w14:paraId="40382650" w14:textId="77777777" w:rsidR="00827F40" w:rsidRDefault="00F03C2E">
            <w:pPr>
              <w:bidi/>
              <w:spacing w:after="0" w:line="280" w:lineRule="auto"/>
              <w:jc w:val="right"/>
            </w:pPr>
            <w:r>
              <w:rPr>
                <w:rFonts w:ascii="Traditional Arabic" w:hAnsi="Traditional Arabic" w:cs="Traditional Arabic"/>
                <w:rtl/>
              </w:rPr>
              <w:t>(H1، H1a، H1b)</w:t>
            </w:r>
          </w:p>
        </w:tc>
      </w:tr>
      <w:tr w:rsidR="00827F40" w14:paraId="11A5F38A" w14:textId="77777777">
        <w:tc>
          <w:tcPr>
            <w:tcW w:w="3000" w:type="dxa"/>
            <w:vAlign w:val="center"/>
          </w:tcPr>
          <w:p w14:paraId="5B14C676" w14:textId="77777777" w:rsidR="00827F40" w:rsidRDefault="00F03C2E">
            <w:pPr>
              <w:bidi/>
              <w:spacing w:after="0" w:line="280" w:lineRule="auto"/>
              <w:jc w:val="right"/>
            </w:pPr>
            <w:r>
              <w:rPr>
                <w:rFonts w:ascii="Traditional Arabic" w:hAnsi="Traditional Arabic" w:cs="Traditional Arabic"/>
                <w:rtl/>
              </w:rPr>
              <w:t>الامتثال للمعايير الدولية</w:t>
            </w:r>
          </w:p>
          <w:p w14:paraId="470E7F3F" w14:textId="77777777" w:rsidR="00827F40" w:rsidRDefault="00F03C2E">
            <w:pPr>
              <w:bidi/>
              <w:spacing w:after="0" w:line="280" w:lineRule="auto"/>
              <w:jc w:val="right"/>
            </w:pPr>
            <w:r>
              <w:rPr>
                <w:rFonts w:ascii="Traditional Arabic" w:hAnsi="Traditional Arabic" w:cs="Traditional Arabic"/>
                <w:rtl/>
              </w:rPr>
              <w:t>(H1b، H2b)</w:t>
            </w:r>
          </w:p>
        </w:tc>
        <w:tc>
          <w:tcPr>
            <w:tcW w:w="1600" w:type="dxa"/>
            <w:vAlign w:val="center"/>
          </w:tcPr>
          <w:p w14:paraId="123480B0" w14:textId="77777777" w:rsidR="00827F40" w:rsidRDefault="00F03C2E">
            <w:pPr>
              <w:bidi/>
              <w:spacing w:after="0" w:line="280" w:lineRule="auto"/>
              <w:jc w:val="right"/>
            </w:pPr>
            <w:r>
              <w:rPr>
                <w:rFonts w:ascii="Traditional Arabic" w:hAnsi="Traditional Arabic" w:cs="Traditional Arabic"/>
                <w:rtl/>
              </w:rPr>
              <w:t>◄────────</w:t>
            </w:r>
          </w:p>
        </w:tc>
        <w:tc>
          <w:tcPr>
            <w:tcW w:w="3000" w:type="dxa"/>
            <w:vAlign w:val="center"/>
          </w:tcPr>
          <w:p w14:paraId="03398987" w14:textId="77777777" w:rsidR="00827F40" w:rsidRDefault="00F03C2E">
            <w:pPr>
              <w:bidi/>
              <w:spacing w:after="0" w:line="280" w:lineRule="auto"/>
              <w:jc w:val="right"/>
            </w:pPr>
            <w:r>
              <w:rPr>
                <w:rFonts w:ascii="Traditional Arabic" w:hAnsi="Traditional Arabic" w:cs="Traditional Arabic"/>
                <w:rtl/>
              </w:rPr>
              <w:t>كفاءة العمليات المالية</w:t>
            </w:r>
          </w:p>
          <w:p w14:paraId="515DAC40" w14:textId="77777777" w:rsidR="00827F40" w:rsidRDefault="00F03C2E">
            <w:pPr>
              <w:bidi/>
              <w:spacing w:after="0" w:line="280" w:lineRule="auto"/>
              <w:jc w:val="right"/>
            </w:pPr>
            <w:r>
              <w:rPr>
                <w:rFonts w:ascii="Traditional Arabic" w:hAnsi="Traditional Arabic" w:cs="Traditional Arabic"/>
                <w:rtl/>
              </w:rPr>
              <w:t>(H2، H2a، H2b)</w:t>
            </w:r>
          </w:p>
        </w:tc>
      </w:tr>
      <w:tr w:rsidR="00827F40" w14:paraId="1768B9D4" w14:textId="77777777">
        <w:tc>
          <w:tcPr>
            <w:tcW w:w="7600" w:type="dxa"/>
            <w:gridSpan w:val="3"/>
            <w:shd w:val="clear" w:color="auto" w:fill="F2F2F2"/>
            <w:vAlign w:val="center"/>
          </w:tcPr>
          <w:p w14:paraId="267CA8E9" w14:textId="77777777" w:rsidR="00827F40" w:rsidRDefault="00F03C2E">
            <w:pPr>
              <w:bidi/>
              <w:spacing w:after="0" w:line="280" w:lineRule="auto"/>
              <w:jc w:val="right"/>
            </w:pPr>
            <w:r>
              <w:rPr>
                <w:rFonts w:ascii="Traditional Arabic" w:hAnsi="Traditional Arabic" w:cs="Traditional Arabic"/>
                <w:rtl/>
              </w:rPr>
              <w:t>المتغيرات الضابطة (التصنيفية): نوع المؤسسة، وسنوات الخبرة، والمستوى الوظيفي، والمؤهل العلمي، ومجال التخصص (H3، H4، H5، H6، H7)</w:t>
            </w:r>
          </w:p>
        </w:tc>
      </w:tr>
      <w:tr w:rsidR="00827F40" w14:paraId="501BA775" w14:textId="77777777">
        <w:tc>
          <w:tcPr>
            <w:tcW w:w="7600" w:type="dxa"/>
            <w:gridSpan w:val="3"/>
            <w:shd w:val="clear" w:color="auto" w:fill="F2F2F2"/>
            <w:vAlign w:val="center"/>
          </w:tcPr>
          <w:p w14:paraId="27ADC2EC" w14:textId="77777777" w:rsidR="00827F40" w:rsidRDefault="00F03C2E">
            <w:pPr>
              <w:bidi/>
              <w:spacing w:after="0" w:line="280" w:lineRule="auto"/>
              <w:jc w:val="right"/>
            </w:pPr>
            <w:r>
              <w:rPr>
                <w:rFonts w:ascii="Traditional Arabic" w:hAnsi="Traditional Arabic" w:cs="Traditional Arabic"/>
                <w:rtl/>
              </w:rPr>
              <w:t>الإطار التفسيري: التوافق مع رؤية المملكة 2030 والتحول الرقمي المالي — يُوظَّف في تفسير النتائج ولا يدخل ضمن الفروض</w:t>
            </w:r>
          </w:p>
        </w:tc>
      </w:tr>
    </w:tbl>
    <w:p w14:paraId="4FF41788" w14:textId="77777777" w:rsidR="00C30195" w:rsidRDefault="007E0546" w:rsidP="00E000FF">
      <w:pPr>
        <w:pStyle w:val="FigureCaption"/>
        <w:bidi/>
        <w:spacing w:after="0" w:line="300" w:lineRule="auto"/>
        <w:jc w:val="center"/>
        <w:rPr>
          <w:rFonts w:ascii="Simplified Arabic" w:hAnsi="Simplified Arabic" w:cs="Simplified Arabic"/>
          <w:b/>
          <w:sz w:val="24"/>
          <w:szCs w:val="24"/>
          <w:rtl/>
        </w:rPr>
      </w:pPr>
      <w:r>
        <w:rPr>
          <w:rFonts w:ascii="Traditional Arabic" w:hAnsi="Traditional Arabic" w:cs="Traditional Arabic"/>
          <w:b/>
          <w:bCs/>
          <w:sz w:val="24"/>
          <w:szCs w:val="24"/>
          <w:rtl/>
        </w:rPr>
        <w:t>شكل (1.1): نموذج الدراسة</w:t>
      </w:r>
    </w:p>
    <w:p w14:paraId="6237A90D" w14:textId="77777777" w:rsidR="00061609" w:rsidRPr="0072768E" w:rsidRDefault="00061609" w:rsidP="00E000FF">
      <w:pPr>
        <w:pStyle w:val="a0"/>
        <w:numPr>
          <w:ilvl w:val="0"/>
          <w:numId w:val="0"/>
        </w:numPr>
        <w:bidi/>
        <w:spacing w:after="0" w:line="360" w:lineRule="auto"/>
        <w:ind w:left="360"/>
        <w:jc w:val="center"/>
        <w:rPr>
          <w:rFonts w:ascii="Simplified Arabic" w:hAnsi="Simplified Arabic" w:cs="Simplified Arabic"/>
          <w:b/>
          <w:bCs/>
          <w:sz w:val="20"/>
          <w:szCs w:val="20"/>
          <w:u w:val="single"/>
        </w:rPr>
      </w:pPr>
      <w:r>
        <w:rPr>
          <w:rFonts w:ascii="Traditional Arabic" w:hAnsi="Traditional Arabic" w:cs="Traditional Arabic"/>
          <w:b/>
          <w:bCs/>
          <w:sz w:val="24"/>
          <w:szCs w:val="24"/>
          <w:u w:val="single"/>
          <w:rtl/>
        </w:rPr>
        <w:t>المصدر: إعداد الباحث (2025). ملاحظة: يشير اتجاه الأسهم إلى الأثر المفترض من كل متغير مستقل نحو كل متغير تابع، وتُستخدَم المتغيرات الضابطة في تقسيم العينة عند اختبار الفروق فحسب. ولا يتضمن النموذج أي متغير وسيط أو معدِّل.</w:t>
      </w:r>
    </w:p>
    <w:p w14:paraId="0C5D401A" w14:textId="77777777" w:rsidR="006037BB" w:rsidRPr="0072768E" w:rsidRDefault="006037BB" w:rsidP="00E000FF">
      <w:pPr>
        <w:pStyle w:val="a0"/>
        <w:numPr>
          <w:ilvl w:val="0"/>
          <w:numId w:val="0"/>
        </w:numPr>
        <w:bidi/>
        <w:spacing w:after="0" w:line="360" w:lineRule="auto"/>
        <w:rPr>
          <w:rFonts w:ascii="Simplified Arabic" w:hAnsi="Simplified Arabic" w:cs="Simplified Arabic"/>
          <w:sz w:val="24"/>
          <w:szCs w:val="24"/>
          <w:rtl/>
        </w:rPr>
      </w:pPr>
    </w:p>
    <w:p w14:paraId="7070D9E4" w14:textId="77777777" w:rsidR="009D7E0E" w:rsidRDefault="009D7E0E" w:rsidP="00E000FF">
      <w:pPr>
        <w:bidi/>
        <w:spacing w:after="0" w:line="360" w:lineRule="auto"/>
        <w:rPr>
          <w:rFonts w:ascii="Traditional Arabic" w:hAnsi="Traditional Arabic" w:cs="Traditional Arabic"/>
          <w:b/>
          <w:sz w:val="48"/>
        </w:rPr>
      </w:pPr>
      <w:r>
        <w:rPr>
          <w:rFonts w:ascii="Traditional Arabic" w:hAnsi="Traditional Arabic" w:cs="Traditional Arabic"/>
          <w:b/>
          <w:sz w:val="24"/>
          <w:szCs w:val="24"/>
          <w:rtl/>
        </w:rPr>
        <w:br w:type="page"/>
      </w:r>
    </w:p>
    <w:p w14:paraId="346405BA" w14:textId="77777777" w:rsidR="00AD783C" w:rsidRPr="0072768E" w:rsidRDefault="00AD783C" w:rsidP="00E000FF">
      <w:pPr>
        <w:pStyle w:val="HeadingTOCEntry"/>
        <w:bidi/>
        <w:spacing w:after="0" w:line="360" w:lineRule="auto"/>
        <w:ind w:left="432" w:hanging="432"/>
        <w:rPr>
          <w:rFonts w:ascii="Simplified Arabic" w:hAnsi="Simplified Arabic" w:cs="Simplified Arabic"/>
          <w:b/>
          <w:bCs/>
          <w:sz w:val="28"/>
          <w:szCs w:val="28"/>
          <w:u w:val="single"/>
        </w:rPr>
      </w:pPr>
      <w:r>
        <w:rPr>
          <w:rFonts w:ascii="Traditional Arabic" w:hAnsi="Traditional Arabic" w:cs="Traditional Arabic"/>
          <w:b/>
          <w:bCs/>
          <w:sz w:val="32"/>
          <w:szCs w:val="32"/>
          <w:u w:val="single"/>
          <w:rtl/>
        </w:rPr>
        <w:lastRenderedPageBreak/>
        <w:t>1.8 مصطلحات الدراسة وتعريفاتها الإجرائية</w:t>
      </w:r>
    </w:p>
    <w:p w14:paraId="7C3C7AD2" w14:textId="77777777" w:rsidR="00DA2FBD" w:rsidRPr="0072768E" w:rsidRDefault="00DA2FBD" w:rsidP="00E000FF">
      <w:pPr>
        <w:pStyle w:val="21"/>
        <w:bidi/>
        <w:spacing w:before="0" w:line="360" w:lineRule="auto"/>
        <w:jc w:val="both"/>
        <w:rPr>
          <w:color w:val="auto"/>
          <w:rtl/>
        </w:rPr>
      </w:pPr>
      <w:r>
        <w:rPr>
          <w:rFonts w:ascii="Traditional Arabic" w:hAnsi="Traditional Arabic" w:cs="Traditional Arabic"/>
          <w:b/>
          <w:bCs/>
          <w:color w:val="auto"/>
          <w:sz w:val="28"/>
          <w:szCs w:val="28"/>
          <w:rtl/>
        </w:rPr>
        <w:t>تتناول هذه الدراسة مجموعة من المصطلحات والمفاهيم الأساسية المرتبطة بموضوع البحث، وفيما يلي تعريف لهذه المصطلحات من الناحيتين الاصطلاحية والإجرائية:</w:t>
      </w:r>
    </w:p>
    <w:p w14:paraId="3740CAB8" w14:textId="77777777" w:rsidR="001A250A" w:rsidRPr="0072768E" w:rsidRDefault="00A279D5" w:rsidP="00E000FF">
      <w:pPr>
        <w:pStyle w:val="21"/>
        <w:bidi/>
        <w:spacing w:before="0" w:line="360" w:lineRule="auto"/>
        <w:jc w:val="both"/>
        <w:rPr>
          <w:rFonts w:ascii="Simplified Arabic" w:hAnsi="Simplified Arabic" w:cs="Simplified Arabic"/>
          <w:b/>
          <w:bCs/>
          <w:color w:val="auto"/>
          <w:sz w:val="28"/>
          <w:szCs w:val="28"/>
          <w:rtl/>
        </w:rPr>
      </w:pPr>
      <w:r>
        <w:rPr>
          <w:rFonts w:ascii="Traditional Arabic" w:hAnsi="Traditional Arabic" w:cs="Traditional Arabic"/>
          <w:b/>
          <w:bCs/>
          <w:color w:val="auto"/>
          <w:sz w:val="28"/>
          <w:szCs w:val="28"/>
          <w:rtl/>
        </w:rPr>
        <w:t>الترمي</w:t>
      </w:r>
      <w:r>
        <w:rPr>
          <w:rFonts w:ascii="Traditional Arabic" w:hAnsi="Traditional Arabic" w:cs="Traditional Arabic" w:hint="cs"/>
          <w:b/>
          <w:bCs/>
          <w:color w:val="auto"/>
          <w:sz w:val="28"/>
          <w:szCs w:val="28"/>
          <w:rtl/>
        </w:rPr>
        <w:t xml:space="preserve">ز </w:t>
      </w:r>
      <w:r>
        <w:rPr>
          <w:rFonts w:ascii="Traditional Arabic" w:hAnsi="Traditional Arabic" w:cs="Traditional Arabic"/>
          <w:b/>
          <w:bCs/>
          <w:color w:val="auto"/>
          <w:sz w:val="28"/>
          <w:szCs w:val="28"/>
          <w:rtl/>
        </w:rPr>
        <w:t>(Tokenization)</w:t>
      </w:r>
      <w:r>
        <w:rPr>
          <w:rFonts w:ascii="Traditional Arabic" w:hAnsi="Traditional Arabic" w:cs="Traditional Arabic" w:hint="cs"/>
          <w:b/>
          <w:bCs/>
          <w:color w:val="auto"/>
          <w:sz w:val="28"/>
          <w:szCs w:val="28"/>
          <w:rtl/>
        </w:rPr>
        <w:t>:</w:t>
      </w:r>
    </w:p>
    <w:p w14:paraId="4BADB535" w14:textId="77777777" w:rsidR="001276DC" w:rsidRPr="001276DC" w:rsidRDefault="001276DC" w:rsidP="001276DC">
      <w:pPr>
        <w:pStyle w:val="21"/>
        <w:bidi/>
        <w:spacing w:line="360" w:lineRule="auto"/>
        <w:jc w:val="both"/>
        <w:rPr>
          <w:rFonts w:ascii="Traditional Arabic" w:hAnsi="Traditional Arabic" w:cs="Traditional Arabic"/>
          <w:b/>
          <w:bCs/>
          <w:color w:val="auto"/>
          <w:sz w:val="28"/>
          <w:szCs w:val="28"/>
        </w:rPr>
      </w:pPr>
      <w:r>
        <w:rPr>
          <w:rFonts w:ascii="Traditional Arabic" w:hAnsi="Traditional Arabic" w:cs="Traditional Arabic"/>
          <w:b/>
          <w:bCs/>
          <w:color w:val="auto"/>
          <w:sz w:val="28"/>
          <w:szCs w:val="28"/>
          <w:rtl/>
        </w:rPr>
        <w:t>التعريف الاصطلاحي: يُعرّف الترميز اصطلاحاً بأنه عملية استبدال البيانات الحساسة برموز رقمية فريدة تحافظ على قيمة البيانات الأصلية وسلامتها دون الكشف عنها، بهدف تعزيز الأمن وتحسين الكفاءة (</w:t>
      </w:r>
      <w:r>
        <w:rPr>
          <w:rFonts w:ascii="Traditional Arabic" w:hAnsi="Traditional Arabic" w:cs="Traditional Arabic"/>
          <w:b/>
          <w:bCs/>
          <w:color w:val="auto"/>
          <w:sz w:val="28"/>
          <w:szCs w:val="28"/>
        </w:rPr>
        <w:t>Payment Card Industry Data Security Standard [PCI DSS], 2022</w:t>
      </w:r>
      <w:r>
        <w:rPr>
          <w:rFonts w:ascii="Traditional Arabic" w:hAnsi="Traditional Arabic" w:cs="Traditional Arabic"/>
          <w:b/>
          <w:bCs/>
          <w:color w:val="auto"/>
          <w:sz w:val="28"/>
          <w:szCs w:val="28"/>
          <w:rtl/>
        </w:rPr>
        <w:t>). كما تعرفه المنظمة الدولية للتوحيد القياسي (</w:t>
      </w:r>
      <w:r>
        <w:rPr>
          <w:rFonts w:ascii="Traditional Arabic" w:hAnsi="Traditional Arabic" w:cs="Traditional Arabic"/>
          <w:b/>
          <w:bCs/>
          <w:color w:val="auto"/>
          <w:sz w:val="28"/>
          <w:szCs w:val="28"/>
        </w:rPr>
        <w:t>ISO</w:t>
      </w:r>
      <w:r>
        <w:rPr>
          <w:rFonts w:ascii="Traditional Arabic" w:hAnsi="Traditional Arabic" w:cs="Traditional Arabic"/>
          <w:b/>
          <w:bCs/>
          <w:color w:val="auto"/>
          <w:sz w:val="28"/>
          <w:szCs w:val="28"/>
          <w:rtl/>
        </w:rPr>
        <w:t>) بأنه "عملية استبدال المعلومات الحساسة بقيمة رمزية غير حساسة تشير إلى البيانات الأصلية دون الكشف عنها" (</w:t>
      </w:r>
      <w:r>
        <w:rPr>
          <w:rFonts w:ascii="Traditional Arabic" w:hAnsi="Traditional Arabic" w:cs="Traditional Arabic"/>
          <w:b/>
          <w:bCs/>
          <w:color w:val="auto"/>
          <w:sz w:val="28"/>
          <w:szCs w:val="28"/>
        </w:rPr>
        <w:t>ISO 20022, 2022</w:t>
      </w:r>
      <w:r>
        <w:rPr>
          <w:rFonts w:ascii="Traditional Arabic" w:hAnsi="Traditional Arabic" w:cs="Traditional Arabic"/>
          <w:b/>
          <w:bCs/>
          <w:color w:val="auto"/>
          <w:sz w:val="28"/>
          <w:szCs w:val="28"/>
          <w:rtl/>
        </w:rPr>
        <w:t>).</w:t>
      </w:r>
    </w:p>
    <w:p w14:paraId="620D8D37" w14:textId="77777777" w:rsidR="001276DC" w:rsidRDefault="001276DC" w:rsidP="001276DC">
      <w:pPr>
        <w:pStyle w:val="21"/>
        <w:bidi/>
        <w:spacing w:before="0" w:line="360" w:lineRule="auto"/>
        <w:jc w:val="both"/>
        <w:rPr>
          <w:rFonts w:ascii="Traditional Arabic" w:hAnsi="Traditional Arabic" w:cs="Traditional Arabic"/>
          <w:b/>
          <w:bCs/>
          <w:color w:val="auto"/>
          <w:sz w:val="28"/>
          <w:szCs w:val="28"/>
          <w:rtl/>
        </w:rPr>
      </w:pPr>
      <w:r>
        <w:rPr>
          <w:rFonts w:ascii="Traditional Arabic" w:hAnsi="Traditional Arabic" w:cs="Traditional Arabic"/>
          <w:b/>
          <w:bCs/>
          <w:color w:val="auto"/>
          <w:sz w:val="28"/>
          <w:szCs w:val="28"/>
          <w:rtl/>
        </w:rPr>
        <w:t>التعريف الإجرائي: يُعرّف الترميز إجرائياً في هذه الدراسة بأنه مدى استخدام المؤسسات المالية السعودية لتقنية استبدال المعلومات المالية والشخصية الحساسة برموز رقمية فريدة، ويقاس من خلال مستوى تبني مختلف أنواع الترميز (ترميز البيانات الحساسة، ترميز المدفوعات، ترميز الأصول، الترميز غير القابل للاستبدال) باستخدام مقياس ليكرت الخماسي في استبانة الدراسة، بالإضافة إلى المؤشرات الكمية مثل نسبة البيانات والمعاملات المرمزة من إجمالي البيانات والمعاملات.</w:t>
      </w:r>
    </w:p>
    <w:p w14:paraId="3CEF6474" w14:textId="77777777" w:rsidR="001A250A" w:rsidRPr="0072768E" w:rsidRDefault="00A279D5" w:rsidP="001276DC">
      <w:pPr>
        <w:pStyle w:val="21"/>
        <w:bidi/>
        <w:spacing w:before="0" w:line="360" w:lineRule="auto"/>
        <w:jc w:val="both"/>
        <w:rPr>
          <w:rFonts w:ascii="Simplified Arabic" w:hAnsi="Simplified Arabic" w:cs="Simplified Arabic"/>
          <w:b/>
          <w:bCs/>
          <w:color w:val="auto"/>
          <w:sz w:val="28"/>
          <w:szCs w:val="28"/>
          <w:rtl/>
        </w:rPr>
      </w:pPr>
      <w:r>
        <w:rPr>
          <w:rFonts w:ascii="Traditional Arabic" w:hAnsi="Traditional Arabic" w:cs="Traditional Arabic"/>
          <w:b/>
          <w:bCs/>
          <w:color w:val="auto"/>
          <w:sz w:val="28"/>
          <w:szCs w:val="28"/>
          <w:rtl/>
        </w:rPr>
        <w:t>ترميز البيانات الحساسة</w:t>
      </w:r>
      <w:r>
        <w:rPr>
          <w:rFonts w:ascii="Traditional Arabic" w:hAnsi="Traditional Arabic" w:cs="Traditional Arabic" w:hint="cs"/>
          <w:b/>
          <w:bCs/>
          <w:color w:val="auto"/>
          <w:sz w:val="28"/>
          <w:szCs w:val="28"/>
          <w:rtl/>
        </w:rPr>
        <w:t xml:space="preserve"> </w:t>
      </w:r>
      <w:r>
        <w:rPr>
          <w:rFonts w:ascii="Traditional Arabic" w:hAnsi="Traditional Arabic" w:cs="Traditional Arabic"/>
          <w:b/>
          <w:bCs/>
          <w:color w:val="auto"/>
          <w:sz w:val="28"/>
          <w:szCs w:val="28"/>
          <w:rtl/>
        </w:rPr>
        <w:t>(Sensitive Data Tokenization)</w:t>
      </w:r>
      <w:r>
        <w:rPr>
          <w:rFonts w:ascii="Traditional Arabic" w:hAnsi="Traditional Arabic" w:cs="Traditional Arabic" w:hint="cs"/>
          <w:b/>
          <w:bCs/>
          <w:color w:val="auto"/>
          <w:sz w:val="28"/>
          <w:szCs w:val="28"/>
          <w:rtl/>
        </w:rPr>
        <w:t xml:space="preserve">: </w:t>
      </w:r>
    </w:p>
    <w:p w14:paraId="46ED7814" w14:textId="77777777" w:rsidR="001276DC" w:rsidRPr="001276DC" w:rsidRDefault="001276DC" w:rsidP="001276DC">
      <w:pPr>
        <w:bidi/>
        <w:spacing w:after="0" w:line="360" w:lineRule="auto"/>
        <w:jc w:val="both"/>
        <w:rPr>
          <w:rFonts w:ascii="Traditional Arabic" w:eastAsiaTheme="majorEastAsia" w:hAnsi="Traditional Arabic" w:cs="Traditional Arabic"/>
          <w:b/>
          <w:bCs/>
          <w:sz w:val="28"/>
          <w:szCs w:val="28"/>
        </w:rPr>
      </w:pPr>
      <w:r>
        <w:rPr>
          <w:rFonts w:ascii="Traditional Arabic" w:eastAsiaTheme="majorEastAsia" w:hAnsi="Traditional Arabic" w:cs="Traditional Arabic"/>
          <w:b/>
          <w:bCs/>
          <w:sz w:val="28"/>
          <w:szCs w:val="28"/>
          <w:rtl/>
        </w:rPr>
        <w:t>التعريف الاصطلاحي: يُعرّف اصطلاحاً بأنه استبدال البيانات الحساسة مثل أرقام بطاقات الائتمان وبيانات العملاء الشخصية والمعلومات المالية برموز رقمية فريدة بهدف حماية هذه البيانات من السرقة والاختراق (</w:t>
      </w:r>
      <w:r>
        <w:rPr>
          <w:rFonts w:ascii="Traditional Arabic" w:eastAsiaTheme="majorEastAsia" w:hAnsi="Traditional Arabic" w:cs="Traditional Arabic"/>
          <w:b/>
          <w:bCs/>
          <w:sz w:val="28"/>
          <w:szCs w:val="28"/>
        </w:rPr>
        <w:t>National Institute of Standards and Technology [NIST], 2023</w:t>
      </w:r>
      <w:r>
        <w:rPr>
          <w:rFonts w:ascii="Traditional Arabic" w:eastAsiaTheme="majorEastAsia" w:hAnsi="Traditional Arabic" w:cs="Traditional Arabic"/>
          <w:b/>
          <w:bCs/>
          <w:sz w:val="28"/>
          <w:szCs w:val="28"/>
          <w:rtl/>
        </w:rPr>
        <w:t xml:space="preserve">). ويشير تعريف </w:t>
      </w:r>
      <w:r>
        <w:rPr>
          <w:rFonts w:ascii="Traditional Arabic" w:eastAsiaTheme="majorEastAsia" w:hAnsi="Traditional Arabic" w:cs="Traditional Arabic"/>
          <w:b/>
          <w:bCs/>
          <w:sz w:val="28"/>
          <w:szCs w:val="28"/>
        </w:rPr>
        <w:t>Gartner</w:t>
      </w:r>
      <w:r>
        <w:rPr>
          <w:rFonts w:ascii="Traditional Arabic" w:eastAsiaTheme="majorEastAsia" w:hAnsi="Traditional Arabic" w:cs="Traditional Arabic"/>
          <w:b/>
          <w:bCs/>
          <w:sz w:val="28"/>
          <w:szCs w:val="28"/>
          <w:rtl/>
        </w:rPr>
        <w:t xml:space="preserve"> (2023) إلى أنه "عملية إحلال رموز غير ذات معنى محل البيانات الحساسة مع الاحتفاظ بالقيمة التجارية للبيانات".</w:t>
      </w:r>
    </w:p>
    <w:p w14:paraId="1F246B1D" w14:textId="77777777" w:rsidR="0041700F" w:rsidRPr="001276DC" w:rsidRDefault="001276DC" w:rsidP="001276DC">
      <w:pPr>
        <w:bidi/>
        <w:spacing w:after="0" w:line="360" w:lineRule="auto"/>
        <w:jc w:val="both"/>
        <w:rPr>
          <w:rFonts w:ascii="Simplified Arabic" w:eastAsiaTheme="majorEastAsia" w:hAnsi="Simplified Arabic" w:cs="Simplified Arabic"/>
          <w:b/>
          <w:bCs/>
          <w:sz w:val="32"/>
          <w:szCs w:val="32"/>
          <w:rtl/>
        </w:rPr>
      </w:pPr>
      <w:r>
        <w:rPr>
          <w:rFonts w:ascii="Traditional Arabic" w:eastAsiaTheme="majorEastAsia" w:hAnsi="Traditional Arabic" w:cs="Traditional Arabic"/>
          <w:b/>
          <w:bCs/>
          <w:sz w:val="28"/>
          <w:szCs w:val="28"/>
          <w:rtl/>
        </w:rPr>
        <w:lastRenderedPageBreak/>
        <w:t>التعريف الإجرائي: يُعرّف إجرائياً في هذه الدراسة بأنه درجة استخدام المؤسسات المالية السعودية لتقنية الترميز في حماية بيانات العملاء والمعلومات المالية الحساسة، ويقاس من خلال مؤشرات مثل نسبة البيانات الحساسة المرمزة، ومستوى تكامل تقنية الترميز مع أنظمة إدارة الهويات والوصول، ومستوى الامتثال لمعايير أمن البيانات كما يقيسها الاستبيان المطور لهذه الدراسة.</w:t>
      </w:r>
    </w:p>
    <w:p w14:paraId="532DF4D3" w14:textId="77777777" w:rsidR="0041700F" w:rsidRPr="0072768E" w:rsidRDefault="00A279D5" w:rsidP="00E000FF">
      <w:pPr>
        <w:bidi/>
        <w:spacing w:after="0" w:line="360" w:lineRule="auto"/>
        <w:rPr>
          <w:rFonts w:ascii="Simplified Arabic" w:hAnsi="Simplified Arabic" w:cs="Simplified Arabic"/>
          <w:b/>
          <w:bCs/>
          <w:sz w:val="28"/>
          <w:szCs w:val="28"/>
          <w:rtl/>
        </w:rPr>
      </w:pPr>
      <w:r>
        <w:rPr>
          <w:rFonts w:ascii="Traditional Arabic" w:hAnsi="Traditional Arabic" w:cs="Traditional Arabic"/>
          <w:b/>
          <w:bCs/>
          <w:sz w:val="28"/>
          <w:szCs w:val="28"/>
          <w:rtl/>
        </w:rPr>
        <w:t>ترميز المدفوعات</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(Payment Tokenization)</w:t>
      </w:r>
      <w:r>
        <w:rPr>
          <w:rFonts w:ascii="Traditional Arabic" w:hAnsi="Traditional Arabic" w:cs="Traditional Arabic" w:hint="cs"/>
          <w:b/>
          <w:bCs/>
          <w:sz w:val="28"/>
          <w:szCs w:val="28"/>
          <w:rtl/>
        </w:rPr>
        <w:t xml:space="preserve">: </w:t>
      </w:r>
    </w:p>
    <w:p w14:paraId="251632D2" w14:textId="77777777" w:rsidR="001276DC" w:rsidRPr="001276DC" w:rsidRDefault="001276DC" w:rsidP="001276DC">
      <w:pPr>
        <w:bidi/>
        <w:spacing w:after="0" w:line="360" w:lineRule="auto"/>
        <w:jc w:val="both"/>
        <w:rPr>
          <w:rFonts w:ascii="Traditional Arabic" w:hAnsi="Traditional Arabic" w:cs="Traditional Arabic"/>
          <w:b/>
          <w:bCs/>
          <w:sz w:val="28"/>
          <w:szCs w:val="28"/>
        </w:rPr>
      </w:pPr>
      <w:r>
        <w:rPr>
          <w:rFonts w:ascii="Traditional Arabic" w:hAnsi="Traditional Arabic" w:cs="Traditional Arabic"/>
          <w:b/>
          <w:bCs/>
          <w:sz w:val="28"/>
          <w:szCs w:val="28"/>
          <w:rtl/>
        </w:rPr>
        <w:t>التعريف الاصطلاحي: يُعرّف اصطلاحاً بأنه استبدال معلومات الدفع الحساسة مثل أرقام بطاقات الائتمان برموز رقمية فريدة أثناء معالجة المعاملات المالية الإلكترونية (</w:t>
      </w:r>
      <w:r>
        <w:rPr>
          <w:rFonts w:ascii="Traditional Arabic" w:hAnsi="Traditional Arabic" w:cs="Traditional Arabic"/>
          <w:b/>
          <w:bCs/>
          <w:sz w:val="28"/>
          <w:szCs w:val="28"/>
        </w:rPr>
        <w:t>International Organization for Standardization [ISO], 2020</w:t>
      </w:r>
      <w:r>
        <w:rPr>
          <w:rFonts w:ascii="Traditional Arabic" w:hAnsi="Traditional Arabic" w:cs="Traditional Arabic"/>
          <w:b/>
          <w:bCs/>
          <w:sz w:val="28"/>
          <w:szCs w:val="28"/>
          <w:rtl/>
        </w:rPr>
        <w:t>). وتعرفه جمعية المدفوعات العالمية (</w:t>
      </w:r>
      <w:r>
        <w:rPr>
          <w:rFonts w:ascii="Traditional Arabic" w:hAnsi="Traditional Arabic" w:cs="Traditional Arabic"/>
          <w:b/>
          <w:bCs/>
          <w:sz w:val="28"/>
          <w:szCs w:val="28"/>
        </w:rPr>
        <w:t>Global Payments Association, 2023</w:t>
      </w:r>
      <w:r>
        <w:rPr>
          <w:rFonts w:ascii="Traditional Arabic" w:hAnsi="Traditional Arabic" w:cs="Traditional Arabic"/>
          <w:b/>
          <w:bCs/>
          <w:sz w:val="28"/>
          <w:szCs w:val="28"/>
          <w:rtl/>
        </w:rPr>
        <w:t>) بأنه "عملية استبدال بيانات حامل البطاقة برمز رقمي فريد يمكن استخدامه لإتمام المعاملة دون الكشف عن المعلومات الأصلية".</w:t>
      </w:r>
    </w:p>
    <w:p w14:paraId="5FA878E8" w14:textId="77777777" w:rsidR="00CD417C" w:rsidRPr="001276DC" w:rsidRDefault="001276DC" w:rsidP="001276DC">
      <w:pPr>
        <w:bidi/>
        <w:spacing w:after="0" w:line="360" w:lineRule="auto"/>
        <w:jc w:val="both"/>
        <w:rPr>
          <w:rFonts w:ascii="Simplified Arabic" w:hAnsi="Simplified Arabic" w:cs="Simplified Arabic"/>
          <w:b/>
          <w:bCs/>
          <w:sz w:val="32"/>
          <w:szCs w:val="32"/>
          <w:rtl/>
        </w:rPr>
      </w:pPr>
      <w:r>
        <w:rPr>
          <w:rFonts w:ascii="Traditional Arabic" w:hAnsi="Traditional Arabic" w:cs="Traditional Arabic"/>
          <w:b/>
          <w:bCs/>
          <w:sz w:val="28"/>
          <w:szCs w:val="28"/>
          <w:rtl/>
        </w:rPr>
        <w:t>التعريف الإجرائي: يُعرّف إجرائياً في هذه الدراسة بأنه مستوى استخدام المؤسسات المالية السعودية لتقنية الترميز في تأمين المدفوعات الإلكترونية وتحسين كفاءتها، ويقاس من خلال مؤشرات مثل نسبة المدفوعات المرمزة، ومستوى تكامل تقنية الترميز مع أنظمة المدفوعات الوطنية والعالمية، ومؤشرات وقت وتكلفة معالجة المدفوعات، باستخدام استبانة الدراسة.</w:t>
      </w:r>
    </w:p>
    <w:p w14:paraId="5D333538" w14:textId="77777777" w:rsidR="00CD417C" w:rsidRPr="0072768E" w:rsidRDefault="00A279D5" w:rsidP="00E000FF">
      <w:pPr>
        <w:bidi/>
        <w:spacing w:after="0" w:line="360" w:lineRule="auto"/>
        <w:jc w:val="both"/>
        <w:rPr>
          <w:rFonts w:ascii="Simplified Arabic" w:hAnsi="Simplified Arabic" w:cs="Simplified Arabic"/>
          <w:b/>
          <w:bCs/>
          <w:sz w:val="28"/>
          <w:szCs w:val="28"/>
          <w:rtl/>
        </w:rPr>
      </w:pPr>
      <w:r>
        <w:rPr>
          <w:rFonts w:ascii="Traditional Arabic" w:hAnsi="Traditional Arabic" w:cs="Traditional Arabic"/>
          <w:b/>
          <w:bCs/>
          <w:sz w:val="28"/>
          <w:szCs w:val="28"/>
          <w:rtl/>
        </w:rPr>
        <w:t>ترميز الأصول</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(Asset Tokenization)</w:t>
      </w:r>
      <w:r>
        <w:rPr>
          <w:rFonts w:ascii="Traditional Arabic" w:hAnsi="Traditional Arabic" w:cs="Traditional Arabic" w:hint="cs"/>
          <w:b/>
          <w:bCs/>
          <w:sz w:val="28"/>
          <w:szCs w:val="28"/>
          <w:rtl/>
        </w:rPr>
        <w:t xml:space="preserve">: </w:t>
      </w:r>
    </w:p>
    <w:p w14:paraId="108D967D" w14:textId="77777777" w:rsidR="001276DC" w:rsidRPr="001276DC" w:rsidRDefault="001276DC" w:rsidP="001276DC">
      <w:pPr>
        <w:bidi/>
        <w:spacing w:after="0" w:line="360" w:lineRule="auto"/>
        <w:jc w:val="both"/>
        <w:rPr>
          <w:rFonts w:ascii="Traditional Arabic" w:hAnsi="Traditional Arabic" w:cs="Traditional Arabic"/>
          <w:b/>
          <w:bCs/>
          <w:sz w:val="28"/>
          <w:szCs w:val="28"/>
        </w:rPr>
      </w:pPr>
      <w:r>
        <w:rPr>
          <w:rFonts w:ascii="Traditional Arabic" w:hAnsi="Traditional Arabic" w:cs="Traditional Arabic"/>
          <w:b/>
          <w:bCs/>
          <w:sz w:val="28"/>
          <w:szCs w:val="28"/>
          <w:rtl/>
        </w:rPr>
        <w:t>التعريف الاصطلاحي: يُعرّف اصطلاحاً بأنه تحويل الأصول المالية التقليدية مثل الأسهم والسندات والعقارات إلى رموز رقمية يمكن تداولها على منصات سلسلة الكتل (</w:t>
      </w:r>
      <w:r>
        <w:rPr>
          <w:rFonts w:ascii="Traditional Arabic" w:hAnsi="Traditional Arabic" w:cs="Traditional Arabic"/>
          <w:b/>
          <w:bCs/>
          <w:sz w:val="28"/>
          <w:szCs w:val="28"/>
        </w:rPr>
        <w:t>World Economic Forum [WEF], 2023</w:t>
      </w:r>
      <w:r>
        <w:rPr>
          <w:rFonts w:ascii="Traditional Arabic" w:hAnsi="Traditional Arabic" w:cs="Traditional Arabic"/>
          <w:b/>
          <w:bCs/>
          <w:sz w:val="28"/>
          <w:szCs w:val="28"/>
          <w:rtl/>
        </w:rPr>
        <w:t>). ويعرفه البنك الدولي (</w:t>
      </w:r>
      <w:r>
        <w:rPr>
          <w:rFonts w:ascii="Traditional Arabic" w:hAnsi="Traditional Arabic" w:cs="Traditional Arabic"/>
          <w:b/>
          <w:bCs/>
          <w:sz w:val="28"/>
          <w:szCs w:val="28"/>
        </w:rPr>
        <w:t>World Bank, 2022</w:t>
      </w:r>
      <w:r>
        <w:rPr>
          <w:rFonts w:ascii="Traditional Arabic" w:hAnsi="Traditional Arabic" w:cs="Traditional Arabic"/>
          <w:b/>
          <w:bCs/>
          <w:sz w:val="28"/>
          <w:szCs w:val="28"/>
          <w:rtl/>
        </w:rPr>
        <w:t>) بأنه "عملية تمثيل رقمي للأصول المادية أو المالية التقليدية على شكل رموز رقمية على منصة لامركزية، مما يسمح بتجزئة ملكية الأصل وتداوله بكفاءة أعلى وتكلفة أقل".</w:t>
      </w:r>
    </w:p>
    <w:p w14:paraId="22D2F787" w14:textId="77777777" w:rsidR="001276DC" w:rsidRDefault="001276DC" w:rsidP="001276DC">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lastRenderedPageBreak/>
        <w:t>التعريف الإجرائي: يُعرّف إجرائياً في هذه الدراسة بأنه مستوى استخدام المؤسسات المالية السعودية لتقنية الترميز في تمثيل الأصول المالية التقليدية في صورة رقمية، ويقاس من خلال مؤشرات مثل نسبة الأصول المرمزة، وتنوع الأصول المرمزة، ومستوى تكامل تقنية الترميز مع منصات التداول والتسوية، باستخدام استبانة الدراسة.</w:t>
      </w:r>
    </w:p>
    <w:p w14:paraId="126EBFC7" w14:textId="77777777" w:rsidR="0067429E" w:rsidRDefault="00A279D5"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الترميز غير القابل للاستبدال</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(Non-Fungible Tokenization)</w:t>
      </w:r>
      <w:r>
        <w:rPr>
          <w:rFonts w:ascii="Traditional Arabic" w:hAnsi="Traditional Arabic" w:cs="Traditional Arabic" w:hint="cs"/>
          <w:b/>
          <w:bCs/>
          <w:sz w:val="28"/>
          <w:szCs w:val="28"/>
          <w:rtl/>
        </w:rPr>
        <w:t xml:space="preserve">: </w:t>
      </w:r>
    </w:p>
    <w:p w14:paraId="3DBFDE94" w14:textId="77777777" w:rsidR="0067429E" w:rsidRDefault="00AB6C56"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التعريف الاصطلاحي: يُعرّف اصطلاحاً بأنه إنشاء رموز رقمية فريدة غير قابلة للاستبدال لتمثيل الأصول الفريدة مثل الأعمال الفنية والملكية الفكرية (Ethereum Foundation, 2024). ويعرفه قاموس أكسفورد للتقنيات المالية (Oxford FinTech Dictionary, 2023) بأنه "رمز رقمي فريد لا يمكن استبداله بآخر، يمثل ملكية أصل فريد أو محتوى رقمي، ويستخدم تقنية البلوكتشين لتوثيق الملكية والأصالة".</w:t>
      </w:r>
    </w:p>
    <w:p w14:paraId="04CAB0D5" w14:textId="77777777" w:rsidR="0067429E" w:rsidRDefault="00AB6C56"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التعريف الإجرائي: يُعرّف إجرائياً في هذه الدراسة بأنه مستوى استخدام المؤسسات المالية السعودية لتقنية الترميز في تمثيل الأصول الفريدة غير القابلة للاستبدال، ويقاس من خلال مؤشرات مثل عدد الرموز غير القابلة للاستبدال التي أصدرتها المؤسسة، وتنوع الأصول الممثلة بهذه الرموز، ومستوى تكامل تقنية الترميز مع منصات التداول الخاصة بالرموز غير القابلة للاستبدال، باستخدام استبانة الدراسة.</w:t>
      </w:r>
    </w:p>
    <w:p w14:paraId="6EEE7F6B" w14:textId="77777777" w:rsidR="0067429E" w:rsidRDefault="00A279D5"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الأمن السيبراني</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(Cybersecurity)</w:t>
      </w:r>
      <w:r>
        <w:rPr>
          <w:rFonts w:ascii="Traditional Arabic" w:hAnsi="Traditional Arabic" w:cs="Traditional Arabic" w:hint="cs"/>
          <w:b/>
          <w:bCs/>
          <w:sz w:val="28"/>
          <w:szCs w:val="28"/>
          <w:rtl/>
        </w:rPr>
        <w:t xml:space="preserve">: </w:t>
      </w:r>
    </w:p>
    <w:p w14:paraId="4E9B13DF" w14:textId="77777777" w:rsidR="0067429E" w:rsidRDefault="00AB6C56"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التعريف الاصطلاحي: يُعرّف اصطلاحاً بأنه مجموعة من التدابير والإجراءات والتقنيات التي تهدف إلى حماية الأنظمة والشبكات والبرامج من الهجمات الرقمية (الهيئة الوطنية للأمن السيبراني، 2022). كما يعرفه المعيار الدولي (ISO/IEC 27032, 2023) بأنه "حماية سلامة وسرية وتوافر المعلومات في الفضاء الإلكتروني". وتعرفه وكالة الأمن السيبراني والبنية التحتية (CISA, 2023) بأنه "فن حماية الشبكات والأنظمة والبرامج من الهجمات الرقمية التي تهدف إلى الوصول غير المصرح به للبيانات أو تعطيل العمليات الرقمية".</w:t>
      </w:r>
    </w:p>
    <w:p w14:paraId="2E563059" w14:textId="77777777" w:rsidR="0067429E" w:rsidRDefault="00AB6C56"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 xml:space="preserve">التعريف الإجرائي: يُعرّف إجرائياً في هذه الدراسة بأنه مستوى حماية المعلومات المالية والشخصية في المؤسسات المالية السعودية، ويتم قياسه من خلال مؤشرات مثل معدل الاختراقات الأمنية (عدد الحوادث الأمنية الناجحة خلال فترة زمنية محددة)، وحوادث سرقة البيانات (عدد حالات تسرب البيانات الحساسة)، والامتثال للمعايير الأمنية (مستوى الالتزام بالمعايير المحلية والدولية مثل ISO 27001 ومعايير الهيئة الوطنية للأمن السيبراني)، </w:t>
      </w:r>
      <w:r>
        <w:rPr>
          <w:rFonts w:ascii="Traditional Arabic" w:hAnsi="Traditional Arabic" w:cs="Traditional Arabic"/>
          <w:b/>
          <w:bCs/>
          <w:sz w:val="28"/>
          <w:szCs w:val="28"/>
          <w:rtl/>
        </w:rPr>
        <w:lastRenderedPageBreak/>
        <w:t>والقدرة على اكتشاف والتصدي للهجمات السيبرانية (متوسط وقت اكتشاف ومعالجة الحوادث الأمنية)، باستخدام استبانة الدراسة والبيانات الثانوية من تقارير المؤسسات</w:t>
      </w:r>
      <w:r>
        <w:rPr>
          <w:rFonts w:ascii="Traditional Arabic" w:hAnsi="Traditional Arabic" w:cs="Traditional Arabic" w:hint="cs"/>
          <w:b/>
          <w:bCs/>
          <w:sz w:val="28"/>
          <w:szCs w:val="28"/>
          <w:rtl/>
        </w:rPr>
        <w:t>.</w:t>
      </w:r>
    </w:p>
    <w:p w14:paraId="3B89941C" w14:textId="77777777" w:rsidR="0067429E" w:rsidRDefault="00A279D5"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كفاءة المعاملات المالية</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(Financial Transaction Efficiency)</w:t>
      </w:r>
      <w:r>
        <w:rPr>
          <w:rFonts w:ascii="Traditional Arabic" w:hAnsi="Traditional Arabic" w:cs="Traditional Arabic" w:hint="cs"/>
          <w:b/>
          <w:bCs/>
          <w:sz w:val="28"/>
          <w:szCs w:val="28"/>
          <w:rtl/>
        </w:rPr>
        <w:t xml:space="preserve">: </w:t>
      </w:r>
    </w:p>
    <w:p w14:paraId="2803BE7B" w14:textId="77777777" w:rsidR="0067429E" w:rsidRDefault="00A34922"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التعريف الاصطلاحي: تُعرّف اصطلاحاً بأنها مدى سرعة ودقة وتكلفة إجراء المعاملات المالية (Bank for International Settlements [BIS], 2023). ويعرفها معهد التمويل الدولي (Institute of International Finance, 2022) بأنها "قدرة النظام المالي على تنفيذ المعاملات بسرعة وتكلفة منخفضة وبأقل قدر من المخاطر".</w:t>
      </w:r>
    </w:p>
    <w:p w14:paraId="32AF3306" w14:textId="77777777" w:rsidR="0067429E" w:rsidRDefault="00A34922"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التعريف الإجرائي: تُعرّف إجرائياً في هذه الدراسة بأنها مستوى سرعة ودقة وتكلفة إجراء المعاملات المالية في المؤسسات المالية السعودية، ويتم قياسها من خلال مؤشرات مثل وقت معالجة المعاملات (متوسط الوقت المستغرق لإتمام معاملة مالية من البداية إلى النهاية)، وتكلفة المعاملات (متوسط التكلفة التشغيلية لكل معاملة)، والسيولة (سرعة تحويل الأصول إلى نقد)، وتنوع المنتجات والخدمات المالية (عدد المنتجات والخدمات المالية التي تقدمها المؤسسة)، ومستوى رضا العملاء (قياس رضا العملاء عن سرعة وسهولة المعاملات المالية)، باستخدام استبانة الدراسة والبيانات الثانوية من تقارير المؤسسات.</w:t>
      </w:r>
    </w:p>
    <w:p w14:paraId="06454BD1" w14:textId="77777777" w:rsidR="0067429E" w:rsidRDefault="00A279D5"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رؤية المملكة 2030</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(Vision 2030)</w:t>
      </w:r>
      <w:r>
        <w:rPr>
          <w:rFonts w:ascii="Traditional Arabic" w:hAnsi="Traditional Arabic" w:cs="Traditional Arabic" w:hint="cs"/>
          <w:b/>
          <w:bCs/>
          <w:sz w:val="28"/>
          <w:szCs w:val="28"/>
          <w:rtl/>
        </w:rPr>
        <w:t xml:space="preserve">: </w:t>
      </w:r>
    </w:p>
    <w:p w14:paraId="2B7A5437" w14:textId="77777777" w:rsidR="0067429E" w:rsidRDefault="00A34922"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التعريف الاصطلاحي: تُعرّف اصطلاحاً بأنها خطة استراتيجية وطنية تهدف إلى تنويع الاقتصاد السعودي وتقليل الاعتماد على النفط وتطوير القطاعات الحيوية مثل الصحة والتعليم والسياحة والترفيه والبنية التحتية (مجلس الشؤون الاقتصادية والتنمية، 2016). وتشير وثيقة الرؤية إلى أنها "خارطة طريق واضحة للإصلاح الاقتصادي والتنموي في المملكة العربية السعودية، تعبر عن الأهداف والالتزامات طويلة المدى المبنية على مكامن القوة والقدرات الفريدة للمملكة".</w:t>
      </w:r>
    </w:p>
    <w:p w14:paraId="0EFD79CE" w14:textId="77777777" w:rsidR="0067429E" w:rsidRDefault="00A34922"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 xml:space="preserve">التعريف الإجرائي: تُعرّف إجرائياً في هذه الدراسة بأنها مجموعة الأهداف والمبادرات المتعلقة بالتحول الرقمي وتطوير القطاع المالي في المملكة العربية السعودية، ويتم قياس مستوى تحقيقها من خلال مؤشرات مثل نسبة المعاملات غير النقدية (النسبة المئوية للمعاملات التي تتم بوسائل إلكترونية)، ومكانة المملكة كمركز مالي إقليمي (ترتيب المملكة </w:t>
      </w:r>
      <w:r>
        <w:rPr>
          <w:rFonts w:ascii="Traditional Arabic" w:hAnsi="Traditional Arabic" w:cs="Traditional Arabic"/>
          <w:b/>
          <w:bCs/>
          <w:sz w:val="28"/>
          <w:szCs w:val="28"/>
          <w:rtl/>
        </w:rPr>
        <w:lastRenderedPageBreak/>
        <w:t>في المؤشرات العالمية للمراكز المالية)، ومستوى التحول الرقمي في القطاع المالي (نسبة الخدمات المالية المقدمة رقمياً)، ومؤشرات تطوير القطاع المالي (مساهمة القطاع المالي في الناتج المحلي الإجمالي، نسبة الشمول المالي)، باستخدام البيانات الثانوية من التقارير الرسمية</w:t>
      </w:r>
      <w:r>
        <w:rPr>
          <w:rFonts w:ascii="Traditional Arabic" w:hAnsi="Traditional Arabic" w:cs="Traditional Arabic" w:hint="cs"/>
          <w:b/>
          <w:bCs/>
          <w:sz w:val="28"/>
          <w:szCs w:val="28"/>
          <w:rtl/>
        </w:rPr>
        <w:t>.</w:t>
      </w:r>
    </w:p>
    <w:p w14:paraId="2D3693AD" w14:textId="77777777" w:rsidR="0067429E" w:rsidRDefault="00A279D5"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التحول الرقمي</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(Digital Transformation)</w:t>
      </w:r>
      <w:r>
        <w:rPr>
          <w:rFonts w:ascii="Traditional Arabic" w:hAnsi="Traditional Arabic" w:cs="Traditional Arabic" w:hint="cs"/>
          <w:b/>
          <w:bCs/>
          <w:sz w:val="28"/>
          <w:szCs w:val="28"/>
          <w:rtl/>
        </w:rPr>
        <w:t>:</w:t>
      </w:r>
    </w:p>
    <w:p w14:paraId="21CC2466" w14:textId="77777777" w:rsidR="0067429E" w:rsidRDefault="00C41974"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التعريف الاصطلاحي: يُعرّف اصطلاحاً بأنه عملية توظيف التكنولوجيا الرقمية وتبنيها في مختلف جوانب الأعمال لتحسين الأداء وزيادة القيمة وتعزيز تجربة العملاء (برنامج التحول الوطني، 2020؛ Gartner, 2023). وتعرفه مؤسسة MIT Sloan (2022) بأنه "عملية تكامل التقنيات الرقمية في جميع مجالات الأعمال، مما يؤدي إلى تغيير جوهري في طريقة عمل المؤسسات وتقديم قيمة للعملاء".</w:t>
      </w:r>
    </w:p>
    <w:p w14:paraId="2F9D1AA6" w14:textId="77777777" w:rsidR="0067429E" w:rsidRDefault="00C41974"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التعريف الإجرائي: يُعرّف إجرائياً في هذه الدراسة بأنه مستوى إدراك المستجيبين لإسهام تقنية الترميز في دعم التحول الرقمي المالي ومستهدفات رؤية 2030، ويُقاس بالدرجة التي يحصل عليها المستجيب على عبارات بُعد (التوافق مع رؤية 2030 والتحول الرقمي المالي) في أداة الدراسة.</w:t>
      </w:r>
    </w:p>
    <w:p w14:paraId="3914119F" w14:textId="77777777" w:rsidR="0067429E" w:rsidRDefault="00A279D5"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تطوير القطاع المالي</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(Financial Sector Development)</w:t>
      </w:r>
      <w:r>
        <w:rPr>
          <w:rFonts w:ascii="Traditional Arabic" w:hAnsi="Traditional Arabic" w:cs="Traditional Arabic" w:hint="cs"/>
          <w:b/>
          <w:bCs/>
          <w:sz w:val="28"/>
          <w:szCs w:val="28"/>
          <w:rtl/>
        </w:rPr>
        <w:t xml:space="preserve">: </w:t>
      </w:r>
    </w:p>
    <w:p w14:paraId="51F4C6E5" w14:textId="77777777" w:rsidR="0067429E" w:rsidRDefault="00656233"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التعريف الاصطلاحي: يُعرّف اصطلاحاً بأنه مجموعة الإجراءات والسياسات التي تهدف إلى تعزيز استقرار وكفاءة وتنافسية القطاع المالي (برنامج تطوير القطاع المالي، 2018؛ International Monetary Fund [IMF], 2022). ويعرفه البنك الدولي (2023) بأنه "عملية تحسين وتوسيع الخدمات المالية وجعلها أكثر كفاءة واستقراراً وشمولاً، مما يساهم في النمو الاقتصادي والتنمية المستدامة".</w:t>
      </w:r>
    </w:p>
    <w:p w14:paraId="367F19A1" w14:textId="77777777" w:rsidR="001B355A" w:rsidRDefault="00656233" w:rsidP="001B355A">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التعريف الإجرائي: يُعرّف إجرائياً في هذه الدراسة بأنه مستوى تحسين أداء ونمو القطاع المالي السعودي، ويتم قياسه من خلال مؤشرات مثل نمو أصول القطاع المالي (معدل النمو السنوي لإجمالي أصول القطاع المالي)، وتنوع المنتجات والخدمات المالية (عدد وتنوع المنتجات والخدمات المالية المقدمة)، والشمول المالي (نسبة السكان البالغين الذين يمتلكون حسابات مصرفية أو يستخدمون خدمات مالية رسمية)، ومساهمة القطاع المالي في الناتج المحلي الإجمالي (النسبة المئوية لمساهمة القطاع المالي في الناتج المحلي الإجمالي)، باستخدام البيانات الثانوية من التقارير الرسمية.</w:t>
      </w:r>
    </w:p>
    <w:p w14:paraId="4507188B" w14:textId="77777777" w:rsidR="00FC3D33" w:rsidRPr="001B355A" w:rsidRDefault="00656233" w:rsidP="001B355A">
      <w:pPr>
        <w:bidi/>
        <w:spacing w:after="0" w:line="360" w:lineRule="auto"/>
        <w:jc w:val="both"/>
        <w:rPr>
          <w:rFonts w:ascii="Simplified Arabic" w:hAnsi="Simplified Arabic" w:cs="Simplified Arabic"/>
          <w:b/>
          <w:bCs/>
          <w:sz w:val="32"/>
          <w:szCs w:val="32"/>
          <w:rtl/>
        </w:rPr>
      </w:pPr>
      <w:r>
        <w:rPr>
          <w:rFonts w:ascii="Traditional Arabic" w:hAnsi="Traditional Arabic" w:cs="Traditional Arabic"/>
          <w:b/>
          <w:bCs/>
          <w:sz w:val="28"/>
          <w:szCs w:val="28"/>
          <w:rtl/>
        </w:rPr>
        <w:lastRenderedPageBreak/>
        <w:t>تمثل هذه المصطلحات والتعريفات الإطار المفاهيمي للدراسة، وستساعد في توجيه عملية جمع البيانات وتحليلها وتفسير النتائج بشكل دقيق وعلمي. كما ستساهم في توحيد المفاهيم والمصطلحات المستخدمة في الدراسة، مما يعزز من دقة وموضوعية البحث العلمي.</w:t>
      </w:r>
    </w:p>
    <w:p w14:paraId="3C456B48" w14:textId="77777777" w:rsidR="001B355A" w:rsidRDefault="00257F01" w:rsidP="001B355A">
      <w:pPr>
        <w:pStyle w:val="HeadingTOCEntry"/>
        <w:bidi/>
        <w:spacing w:after="0" w:line="360" w:lineRule="auto"/>
        <w:ind w:left="432" w:hanging="432"/>
        <w:rPr>
          <w:rFonts w:ascii="Traditional Arabic" w:hAnsi="Traditional Arabic" w:cs="Traditional Arabic"/>
          <w:b/>
          <w:bCs/>
          <w:sz w:val="32"/>
          <w:szCs w:val="32"/>
          <w:u w:val="single"/>
          <w:rtl/>
        </w:rPr>
      </w:pPr>
      <w:r>
        <w:rPr>
          <w:rFonts w:ascii="Traditional Arabic" w:hAnsi="Traditional Arabic" w:cs="Traditional Arabic"/>
          <w:b/>
          <w:bCs/>
          <w:sz w:val="32"/>
          <w:szCs w:val="32"/>
          <w:u w:val="single"/>
          <w:rtl/>
        </w:rPr>
        <w:t>1.9 إجراءات الدراسة</w:t>
      </w:r>
    </w:p>
    <w:p w14:paraId="4E317A61" w14:textId="77777777" w:rsidR="001B355A" w:rsidRDefault="00E62032" w:rsidP="001B355A">
      <w:pPr>
        <w:pStyle w:val="HeadingTOCEntry"/>
        <w:bidi/>
        <w:spacing w:after="0" w:line="360" w:lineRule="auto"/>
        <w:ind w:left="432" w:hanging="432"/>
        <w:rPr>
          <w:rFonts w:ascii="Traditional Arabic" w:hAnsi="Traditional Arabic" w:cs="Traditional Arabic"/>
          <w:b/>
          <w:bCs/>
          <w:sz w:val="28"/>
          <w:szCs w:val="28"/>
          <w:rtl/>
        </w:rPr>
      </w:pPr>
      <w:r>
        <w:rPr>
          <w:rFonts w:ascii="Traditional Arabic" w:hAnsi="Traditional Arabic" w:cs="Traditional Arabic"/>
          <w:b/>
          <w:bCs/>
          <w:sz w:val="28"/>
          <w:szCs w:val="28"/>
          <w:rtl/>
        </w:rPr>
        <w:t>اعتمدت الدراسة المنهج الكمي الوصفي التحليلي، واستخدمت الاستبانة الإلكترونية أداةً وحيدة لجمع البيانات من عينة قصدية من العاملين في المؤسسات المالية السعودية، وحُلِّلت البيانات بأساليب إحصائية لامعلمية. ويُعرَض التفصيل الكامل لمنهج الدراسة ومجتمعها وعينتها وأداتها وصدقها وثباتها وأساليبها الإحصائية في الفصل الثالث (منهجية الدراسة)، تجنباً للتكرار.</w:t>
      </w:r>
    </w:p>
    <w:p w14:paraId="5B30B12E" w14:textId="77777777" w:rsidR="001B355A" w:rsidRDefault="000A1E46" w:rsidP="001B355A">
      <w:pPr>
        <w:pStyle w:val="HeadingTOCEntry"/>
        <w:bidi/>
        <w:spacing w:after="0" w:line="360" w:lineRule="auto"/>
        <w:ind w:left="432" w:hanging="432"/>
        <w:rPr>
          <w:rFonts w:ascii="Traditional Arabic" w:hAnsi="Traditional Arabic" w:cs="Traditional Arabic"/>
          <w:b/>
          <w:bCs/>
          <w:sz w:val="32"/>
          <w:szCs w:val="32"/>
          <w:u w:val="single"/>
          <w:rtl/>
        </w:rPr>
      </w:pPr>
      <w:r>
        <w:rPr>
          <w:rFonts w:ascii="Traditional Arabic" w:hAnsi="Traditional Arabic" w:cs="Traditional Arabic"/>
          <w:b/>
          <w:bCs/>
          <w:sz w:val="32"/>
          <w:szCs w:val="32"/>
          <w:u w:val="single"/>
          <w:rtl/>
        </w:rPr>
        <w:t>1.10 حدود الدراسة</w:t>
      </w:r>
    </w:p>
    <w:p w14:paraId="760A18A9" w14:textId="77777777" w:rsidR="001B355A" w:rsidRDefault="007F6F3E" w:rsidP="001B355A">
      <w:pPr>
        <w:pStyle w:val="HeadingTOCEntry"/>
        <w:bidi/>
        <w:spacing w:after="0" w:line="360" w:lineRule="auto"/>
        <w:ind w:left="432" w:hanging="432"/>
        <w:rPr>
          <w:rFonts w:ascii="Traditional Arabic" w:hAnsi="Traditional Arabic" w:cs="Traditional Arabic"/>
          <w:b/>
          <w:bCs/>
          <w:sz w:val="28"/>
          <w:szCs w:val="28"/>
          <w:rtl/>
        </w:rPr>
      </w:pPr>
      <w:r>
        <w:rPr>
          <w:rFonts w:ascii="Traditional Arabic" w:hAnsi="Traditional Arabic" w:cs="Traditional Arabic" w:hint="cs"/>
          <w:b/>
          <w:bCs/>
          <w:sz w:val="28"/>
          <w:szCs w:val="28"/>
          <w:rtl/>
        </w:rPr>
        <w:t>تعتبر</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حدود</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الدراسة</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إطاراً</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منهجياً</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يحدد</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نطاق</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البحث</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ومجاله،</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مما</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يساعد</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في</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تركيز</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الجهود</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البحثية</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وضمان</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دقة</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النتائج</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وإمكانية</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تعميمها</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تتضمن</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هذه</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الدراسة</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الحدود</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التالية</w:t>
      </w:r>
      <w:r>
        <w:rPr>
          <w:rFonts w:ascii="Traditional Arabic" w:hAnsi="Traditional Arabic" w:cs="Traditional Arabic"/>
          <w:b/>
          <w:bCs/>
          <w:sz w:val="28"/>
          <w:szCs w:val="28"/>
          <w:rtl/>
        </w:rPr>
        <w:t>:</w:t>
      </w:r>
    </w:p>
    <w:p w14:paraId="7C60FB42" w14:textId="77777777" w:rsidR="001B355A" w:rsidRDefault="007F6F3E" w:rsidP="001B355A">
      <w:pPr>
        <w:pStyle w:val="HeadingTOCEntry"/>
        <w:bidi/>
        <w:spacing w:after="0" w:line="360" w:lineRule="auto"/>
        <w:ind w:left="432" w:hanging="432"/>
        <w:rPr>
          <w:rFonts w:ascii="Traditional Arabic" w:hAnsi="Traditional Arabic" w:cs="Traditional Arabic"/>
          <w:b/>
          <w:bCs/>
          <w:sz w:val="28"/>
          <w:szCs w:val="28"/>
          <w:rtl/>
        </w:rPr>
      </w:pPr>
      <w:r>
        <w:rPr>
          <w:rFonts w:ascii="Traditional Arabic" w:hAnsi="Traditional Arabic" w:cs="Traditional Arabic"/>
          <w:b/>
          <w:bCs/>
          <w:sz w:val="28"/>
          <w:szCs w:val="28"/>
          <w:rtl/>
        </w:rPr>
        <w:t>1.10.1 الحدود الموضوعية</w:t>
      </w:r>
    </w:p>
    <w:p w14:paraId="2F941A86" w14:textId="77777777" w:rsidR="001B355A" w:rsidRDefault="007F6F3E" w:rsidP="001B355A">
      <w:pPr>
        <w:pStyle w:val="HeadingTOCEntry"/>
        <w:bidi/>
        <w:spacing w:after="0" w:line="360" w:lineRule="auto"/>
        <w:ind w:left="432" w:hanging="432"/>
        <w:rPr>
          <w:rFonts w:ascii="Traditional Arabic" w:hAnsi="Traditional Arabic" w:cs="Traditional Arabic"/>
          <w:b/>
          <w:bCs/>
          <w:sz w:val="28"/>
          <w:szCs w:val="28"/>
          <w:rtl/>
        </w:rPr>
      </w:pPr>
      <w:r>
        <w:rPr>
          <w:rFonts w:ascii="Traditional Arabic" w:hAnsi="Traditional Arabic" w:cs="Traditional Arabic"/>
          <w:b/>
          <w:bCs/>
          <w:sz w:val="28"/>
          <w:szCs w:val="28"/>
          <w:rtl/>
        </w:rPr>
        <w:t>تقتصر الدراسة على تحليل وتقييم أثر تقنية الترميز بأنواعها المختلفة (ترميز البيانات الحساسة، ترميز المدفوعات، ترميز الأصول، والترميز غير القابل للاستبدال) على مؤشرات الأمن السيبراني وكفاءة العمليات المالية في المؤسسات السعودية. ولن تتطرق الدراسة إلى التقنيات الأخرى المستخدمة في الأمن السيبراني أو تحسين كفاءة العمليات المالية مثل الذكاء الاصطناعي أو تقنيات التشفير التقليدية إلا بالقدر الذي يخدم أهداف الدراسة الرئيسية</w:t>
      </w:r>
      <w:r>
        <w:rPr>
          <w:rFonts w:ascii="Traditional Arabic" w:hAnsi="Traditional Arabic" w:cs="Traditional Arabic" w:hint="cs"/>
          <w:b/>
          <w:bCs/>
          <w:sz w:val="28"/>
          <w:szCs w:val="28"/>
          <w:rtl/>
        </w:rPr>
        <w:t>.</w:t>
      </w:r>
    </w:p>
    <w:p w14:paraId="5FCA50C8" w14:textId="77777777" w:rsidR="0063519C" w:rsidRDefault="0063519C" w:rsidP="001B355A">
      <w:pPr>
        <w:pStyle w:val="HeadingTOCEntry"/>
        <w:bidi/>
        <w:spacing w:after="0" w:line="360" w:lineRule="auto"/>
        <w:ind w:left="432" w:hanging="432"/>
        <w:rPr>
          <w:rFonts w:ascii="Traditional Arabic" w:hAnsi="Traditional Arabic" w:cs="Traditional Arabic"/>
          <w:b/>
          <w:bCs/>
          <w:sz w:val="28"/>
          <w:szCs w:val="28"/>
          <w:rtl/>
        </w:rPr>
      </w:pPr>
    </w:p>
    <w:p w14:paraId="6F89FB25" w14:textId="77777777" w:rsidR="0063519C" w:rsidRDefault="0063519C" w:rsidP="0063519C">
      <w:pPr>
        <w:pStyle w:val="HeadingTOCEntry"/>
        <w:bidi/>
        <w:spacing w:after="0" w:line="360" w:lineRule="auto"/>
        <w:ind w:left="432" w:hanging="432"/>
        <w:rPr>
          <w:rFonts w:ascii="Traditional Arabic" w:hAnsi="Traditional Arabic" w:cs="Traditional Arabic"/>
          <w:b/>
          <w:bCs/>
          <w:sz w:val="28"/>
          <w:szCs w:val="28"/>
          <w:rtl/>
        </w:rPr>
      </w:pPr>
    </w:p>
    <w:p w14:paraId="1B74A943" w14:textId="77777777" w:rsidR="0063519C" w:rsidRDefault="0063519C" w:rsidP="0063519C">
      <w:pPr>
        <w:pStyle w:val="HeadingTOCEntry"/>
        <w:bidi/>
        <w:spacing w:after="0" w:line="360" w:lineRule="auto"/>
        <w:ind w:left="432" w:hanging="432"/>
        <w:rPr>
          <w:rFonts w:ascii="Traditional Arabic" w:hAnsi="Traditional Arabic" w:cs="Traditional Arabic"/>
          <w:b/>
          <w:bCs/>
          <w:sz w:val="28"/>
          <w:szCs w:val="28"/>
          <w:rtl/>
        </w:rPr>
      </w:pPr>
    </w:p>
    <w:p w14:paraId="658E3BB1" w14:textId="77777777" w:rsidR="0063519C" w:rsidRDefault="0063519C" w:rsidP="0063519C">
      <w:pPr>
        <w:pStyle w:val="HeadingTOCEntry"/>
        <w:bidi/>
        <w:spacing w:after="0" w:line="360" w:lineRule="auto"/>
        <w:ind w:left="432" w:hanging="432"/>
        <w:rPr>
          <w:rFonts w:ascii="Traditional Arabic" w:hAnsi="Traditional Arabic" w:cs="Traditional Arabic"/>
          <w:b/>
          <w:bCs/>
          <w:sz w:val="28"/>
          <w:szCs w:val="28"/>
          <w:rtl/>
        </w:rPr>
      </w:pPr>
    </w:p>
    <w:p w14:paraId="1C94D2AA" w14:textId="77777777" w:rsidR="001B355A" w:rsidRDefault="007F6F3E" w:rsidP="0063519C">
      <w:pPr>
        <w:pStyle w:val="HeadingTOCEntry"/>
        <w:bidi/>
        <w:spacing w:after="0" w:line="360" w:lineRule="auto"/>
        <w:ind w:left="432" w:hanging="432"/>
        <w:rPr>
          <w:rFonts w:ascii="Traditional Arabic" w:hAnsi="Traditional Arabic" w:cs="Traditional Arabic"/>
          <w:b/>
          <w:bCs/>
          <w:sz w:val="28"/>
          <w:szCs w:val="28"/>
          <w:rtl/>
        </w:rPr>
      </w:pPr>
      <w:r>
        <w:rPr>
          <w:rFonts w:ascii="Traditional Arabic" w:hAnsi="Traditional Arabic" w:cs="Traditional Arabic"/>
          <w:b/>
          <w:bCs/>
          <w:sz w:val="28"/>
          <w:szCs w:val="28"/>
          <w:rtl/>
        </w:rPr>
        <w:lastRenderedPageBreak/>
        <w:t>1.10.2 الحدود المكانية</w:t>
      </w:r>
    </w:p>
    <w:p w14:paraId="146283AD" w14:textId="77777777" w:rsidR="0063519C" w:rsidRDefault="007F6F3E" w:rsidP="0063519C">
      <w:pPr>
        <w:pStyle w:val="HeadingTOCEntry"/>
        <w:bidi/>
        <w:spacing w:after="0" w:line="360" w:lineRule="auto"/>
        <w:ind w:left="432" w:hanging="432"/>
        <w:rPr>
          <w:rFonts w:ascii="Traditional Arabic" w:hAnsi="Traditional Arabic" w:cs="Traditional Arabic"/>
          <w:b/>
          <w:bCs/>
          <w:sz w:val="28"/>
          <w:szCs w:val="28"/>
          <w:rtl/>
        </w:rPr>
      </w:pPr>
      <w:r>
        <w:rPr>
          <w:rFonts w:ascii="Traditional Arabic" w:hAnsi="Traditional Arabic" w:cs="Traditional Arabic"/>
          <w:b/>
          <w:bCs/>
          <w:sz w:val="28"/>
          <w:szCs w:val="28"/>
          <w:rtl/>
        </w:rPr>
        <w:t>تقتصر الدراسة على المؤسسات المالية العاملة في المملكة العربية السعودية، وتحديداً:</w:t>
      </w:r>
    </w:p>
    <w:p w14:paraId="22623501" w14:textId="77777777" w:rsidR="0063519C" w:rsidRPr="0063519C" w:rsidRDefault="007F6F3E" w:rsidP="0063519C">
      <w:pPr>
        <w:pStyle w:val="21"/>
        <w:numPr>
          <w:ilvl w:val="0"/>
          <w:numId w:val="14"/>
        </w:numPr>
        <w:tabs>
          <w:tab w:val="clear" w:pos="720"/>
        </w:tabs>
        <w:bidi/>
        <w:spacing w:before="0" w:line="360" w:lineRule="auto"/>
        <w:jc w:val="both"/>
        <w:rPr>
          <w:rFonts w:ascii="Traditional Arabic" w:hAnsi="Traditional Arabic" w:cs="Traditional Arabic"/>
          <w:b/>
          <w:bCs/>
          <w:color w:val="auto"/>
          <w:sz w:val="28"/>
          <w:szCs w:val="28"/>
          <w:rtl/>
        </w:rPr>
      </w:pPr>
      <w:r>
        <w:rPr>
          <w:rFonts w:ascii="Traditional Arabic" w:hAnsi="Traditional Arabic" w:cs="Traditional Arabic"/>
          <w:b/>
          <w:bCs/>
          <w:color w:val="auto"/>
          <w:sz w:val="28"/>
          <w:szCs w:val="28"/>
          <w:rtl/>
        </w:rPr>
        <w:t>البنوك التجارية المحلية التقليدية المرخصة من قبل البنك المركزي السعودي (ساما) وعددها 11 بنكاً.</w:t>
      </w:r>
    </w:p>
    <w:p w14:paraId="2C9820D6" w14:textId="77777777" w:rsidR="0063519C" w:rsidRPr="0063519C" w:rsidRDefault="007F6F3E" w:rsidP="0063519C">
      <w:pPr>
        <w:pStyle w:val="21"/>
        <w:numPr>
          <w:ilvl w:val="0"/>
          <w:numId w:val="14"/>
        </w:numPr>
        <w:tabs>
          <w:tab w:val="clear" w:pos="720"/>
        </w:tabs>
        <w:bidi/>
        <w:spacing w:before="0" w:line="360" w:lineRule="auto"/>
        <w:jc w:val="both"/>
        <w:rPr>
          <w:rFonts w:ascii="Traditional Arabic" w:hAnsi="Traditional Arabic" w:cs="Traditional Arabic"/>
          <w:b/>
          <w:bCs/>
          <w:color w:val="auto"/>
          <w:sz w:val="28"/>
          <w:szCs w:val="28"/>
          <w:rtl/>
        </w:rPr>
      </w:pPr>
      <w:r>
        <w:rPr>
          <w:rFonts w:ascii="Traditional Arabic" w:hAnsi="Traditional Arabic" w:cs="Traditional Arabic"/>
          <w:b/>
          <w:bCs/>
          <w:color w:val="auto"/>
          <w:sz w:val="28"/>
          <w:szCs w:val="28"/>
          <w:rtl/>
        </w:rPr>
        <w:t>البنوك الرقمية المحلية المرخصة وعددها 3 بنوك.</w:t>
      </w:r>
    </w:p>
    <w:p w14:paraId="6330716E" w14:textId="77777777" w:rsidR="007F6F3E" w:rsidRPr="0063519C" w:rsidRDefault="007F6F3E" w:rsidP="0063519C">
      <w:pPr>
        <w:pStyle w:val="21"/>
        <w:numPr>
          <w:ilvl w:val="0"/>
          <w:numId w:val="14"/>
        </w:numPr>
        <w:tabs>
          <w:tab w:val="clear" w:pos="720"/>
        </w:tabs>
        <w:bidi/>
        <w:spacing w:before="0" w:line="360" w:lineRule="auto"/>
        <w:jc w:val="both"/>
        <w:rPr>
          <w:rFonts w:ascii="Traditional Arabic" w:hAnsi="Traditional Arabic" w:cs="Traditional Arabic"/>
          <w:b/>
          <w:bCs/>
          <w:color w:val="auto"/>
          <w:sz w:val="28"/>
          <w:szCs w:val="28"/>
        </w:rPr>
      </w:pPr>
      <w:r>
        <w:rPr>
          <w:rFonts w:ascii="Traditional Arabic" w:hAnsi="Traditional Arabic" w:cs="Traditional Arabic"/>
          <w:b/>
          <w:bCs/>
          <w:color w:val="auto"/>
          <w:sz w:val="28"/>
          <w:szCs w:val="28"/>
          <w:rtl/>
        </w:rPr>
        <w:t>شركات التقنية المالية (Fintech) المرخصة من قبل البنك المركزي السعودي وعددها 224 شركة.</w:t>
      </w:r>
    </w:p>
    <w:p w14:paraId="547C71EF" w14:textId="77777777" w:rsidR="007F6F3E" w:rsidRPr="0072768E" w:rsidRDefault="007F6F3E" w:rsidP="00E000FF">
      <w:pPr>
        <w:pStyle w:val="21"/>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تم اختيار هذا النطاق المكاني نظراً لأهمية هذه المؤسسات في تحقيق مستهدفات رؤية 2030 المتعلقة بالتحول الرقمي وتطوير القطاع المالي، ولكونها الأكثر تبنياً لتقنيات الترميز في القطاع المالي السعودي.</w:t>
      </w:r>
    </w:p>
    <w:p w14:paraId="452BCA05" w14:textId="77777777" w:rsidR="007F6F3E" w:rsidRPr="0072768E" w:rsidRDefault="007F6F3E" w:rsidP="00E000FF">
      <w:pPr>
        <w:pStyle w:val="HeadingTOCEntry"/>
        <w:bidi/>
        <w:spacing w:line="360" w:lineRule="auto"/>
        <w:rPr>
          <w:rFonts w:ascii="Simplified Arabic" w:hAnsi="Simplified Arabic" w:cs="Simplified Arabic"/>
          <w:b/>
          <w:bCs/>
          <w:sz w:val="28"/>
          <w:szCs w:val="28"/>
        </w:rPr>
      </w:pPr>
      <w:r>
        <w:rPr>
          <w:rFonts w:ascii="Traditional Arabic" w:hAnsi="Traditional Arabic" w:cs="Traditional Arabic"/>
          <w:b/>
          <w:bCs/>
          <w:sz w:val="28"/>
          <w:szCs w:val="28"/>
          <w:rtl/>
        </w:rPr>
        <w:t>1.10.3 الحدود الزمانية</w:t>
      </w:r>
    </w:p>
    <w:p w14:paraId="3BF206BF" w14:textId="77777777" w:rsidR="007F6F3E" w:rsidRPr="0072768E" w:rsidRDefault="007F6F3E" w:rsidP="00E000FF">
      <w:pPr>
        <w:pStyle w:val="21"/>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تغطي الدراسة الفترة من يناير 2025 إلى ديسمبر 2026، وهي الفترة المخصصة لتنفيذ خطة البحث على النحو التالي:</w:t>
      </w:r>
    </w:p>
    <w:p w14:paraId="4EF99A90" w14:textId="77777777" w:rsidR="007F6F3E" w:rsidRPr="0072768E" w:rsidRDefault="007F6F3E" w:rsidP="00E000FF">
      <w:pPr>
        <w:pStyle w:val="21"/>
        <w:numPr>
          <w:ilvl w:val="0"/>
          <w:numId w:val="15"/>
        </w:numPr>
        <w:tabs>
          <w:tab w:val="clear" w:pos="720"/>
        </w:tabs>
        <w:bidi/>
        <w:spacing w:before="0" w:line="360" w:lineRule="auto"/>
        <w:ind w:left="432" w:hanging="432"/>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الفترة من يناير إلى أبريل 2025: مراجعة الأدبيات وتطوير أدوات الدراسة.</w:t>
      </w:r>
    </w:p>
    <w:p w14:paraId="58AB6399" w14:textId="77777777" w:rsidR="007F6F3E" w:rsidRPr="0072768E" w:rsidRDefault="007F6F3E" w:rsidP="00E000FF">
      <w:pPr>
        <w:pStyle w:val="21"/>
        <w:numPr>
          <w:ilvl w:val="0"/>
          <w:numId w:val="15"/>
        </w:numPr>
        <w:tabs>
          <w:tab w:val="clear" w:pos="720"/>
        </w:tabs>
        <w:bidi/>
        <w:spacing w:before="0" w:line="360" w:lineRule="auto"/>
        <w:ind w:left="432" w:hanging="432"/>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الفترة من مايو إلى ديسمبر 2025: جمع البيانات من عينة الدراسة.</w:t>
      </w:r>
    </w:p>
    <w:p w14:paraId="4218C3E4" w14:textId="77777777" w:rsidR="007F6F3E" w:rsidRPr="0072768E" w:rsidRDefault="007F6F3E" w:rsidP="00E000FF">
      <w:pPr>
        <w:pStyle w:val="21"/>
        <w:numPr>
          <w:ilvl w:val="0"/>
          <w:numId w:val="15"/>
        </w:numPr>
        <w:tabs>
          <w:tab w:val="clear" w:pos="720"/>
        </w:tabs>
        <w:bidi/>
        <w:spacing w:before="0" w:line="360" w:lineRule="auto"/>
        <w:ind w:left="432" w:hanging="432"/>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الفترة من يناير إلى يونيو 2026: تحليل البيانات واستخلاص النتائج.</w:t>
      </w:r>
    </w:p>
    <w:p w14:paraId="4B1FDD77" w14:textId="77777777" w:rsidR="007F6F3E" w:rsidRPr="0072768E" w:rsidRDefault="007F6F3E" w:rsidP="00E000FF">
      <w:pPr>
        <w:pStyle w:val="21"/>
        <w:numPr>
          <w:ilvl w:val="0"/>
          <w:numId w:val="15"/>
        </w:numPr>
        <w:tabs>
          <w:tab w:val="clear" w:pos="720"/>
        </w:tabs>
        <w:bidi/>
        <w:spacing w:before="0" w:line="360" w:lineRule="auto"/>
        <w:ind w:left="432" w:hanging="432"/>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الفترة من يوليو إلى ديسمبر 2026: كتابة التقرير النهائي وتقديم التوصيات.</w:t>
      </w:r>
    </w:p>
    <w:p w14:paraId="207FFDB1" w14:textId="77777777" w:rsidR="007F6F3E" w:rsidRPr="0072768E" w:rsidRDefault="007F6F3E" w:rsidP="00E000FF">
      <w:pPr>
        <w:pStyle w:val="21"/>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تم تحديد هذا الإطار الزمني لضمان توفير وقت كافٍ لجمع بيانات شاملة ودقيقة عن تبني تقنيات الترميز الحديثة وتأثيرها، خاصة مع سرعة تطور هذه التقنيات وتزايد تبنيها في القطاع المالي السعودي.</w:t>
      </w:r>
    </w:p>
    <w:p w14:paraId="69343282" w14:textId="77777777" w:rsidR="007F6F3E" w:rsidRPr="0072768E" w:rsidRDefault="007F6F3E" w:rsidP="00E000FF">
      <w:pPr>
        <w:pStyle w:val="HeadingTOCEntry"/>
        <w:bidi/>
        <w:spacing w:line="360" w:lineRule="auto"/>
        <w:rPr>
          <w:rFonts w:ascii="Simplified Arabic" w:hAnsi="Simplified Arabic" w:cs="Simplified Arabic"/>
          <w:b/>
          <w:bCs/>
          <w:sz w:val="28"/>
          <w:szCs w:val="28"/>
        </w:rPr>
      </w:pPr>
      <w:r>
        <w:rPr>
          <w:rFonts w:ascii="Traditional Arabic" w:hAnsi="Traditional Arabic" w:cs="Traditional Arabic"/>
          <w:b/>
          <w:bCs/>
          <w:sz w:val="28"/>
          <w:szCs w:val="28"/>
          <w:rtl/>
        </w:rPr>
        <w:t>1.10.4 الحدود البشرية</w:t>
      </w:r>
    </w:p>
    <w:p w14:paraId="1282A2CF" w14:textId="77777777" w:rsidR="007F6F3E" w:rsidRPr="0063519C" w:rsidRDefault="007F6F3E"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تشمل الدراسة الفئات التالية:</w:t>
      </w:r>
    </w:p>
    <w:p w14:paraId="38ACA329" w14:textId="77777777" w:rsidR="007F6F3E" w:rsidRPr="0063519C" w:rsidRDefault="007F6F3E" w:rsidP="00E000FF">
      <w:pPr>
        <w:numPr>
          <w:ilvl w:val="0"/>
          <w:numId w:val="16"/>
        </w:num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القيادات الإدارية والتنفيذية: المديرين والمسؤولين في إدارات تقنية المعلومات والأمن السيبراني والعمليات المالية في المؤسسات المالية المستهدفة، والذين يشاركون في اتخاذ القرارات المتعلقة بتبني تقنية الترميز.</w:t>
      </w:r>
    </w:p>
    <w:p w14:paraId="51FC2C11" w14:textId="77777777" w:rsidR="007F6F3E" w:rsidRPr="0063519C" w:rsidRDefault="007F6F3E" w:rsidP="00E000FF">
      <w:pPr>
        <w:numPr>
          <w:ilvl w:val="0"/>
          <w:numId w:val="16"/>
        </w:num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lastRenderedPageBreak/>
        <w:t>الخبراء والمتخصصون: المستشارون والخبراء في مجال التكنولوجيا المالية والأمن السيبراني، بما في ذلك الخبراء من الهيئة الوطنية للأمن السيبراني والبنك المركزي السعودي وهيئة السوق المالية.</w:t>
      </w:r>
    </w:p>
    <w:p w14:paraId="52336FA7" w14:textId="77777777" w:rsidR="007F6F3E" w:rsidRPr="0063519C" w:rsidRDefault="007F6F3E" w:rsidP="00E000FF">
      <w:pPr>
        <w:numPr>
          <w:ilvl w:val="0"/>
          <w:numId w:val="16"/>
        </w:num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الفنيون والمختصون التقنيون: الموظفون الفنيون العاملون في مجال تطبيق الترميز مثل محللي البيانات ومطوري البرمجيات ومسؤولي الأمن السيبراني والمختصين في تقنيات الترميز المختلفة.</w:t>
      </w:r>
    </w:p>
    <w:p w14:paraId="1A4F2D97" w14:textId="77777777" w:rsidR="007F6F3E" w:rsidRPr="0063519C" w:rsidRDefault="007F6F3E" w:rsidP="00E000FF">
      <w:pPr>
        <w:pStyle w:val="21"/>
        <w:bidi/>
        <w:spacing w:before="0" w:line="360" w:lineRule="auto"/>
        <w:jc w:val="both"/>
        <w:rPr>
          <w:rFonts w:ascii="Simplified Arabic" w:hAnsi="Simplified Arabic" w:cs="Simplified Arabic"/>
          <w:b/>
          <w:bCs/>
          <w:color w:val="auto"/>
          <w:sz w:val="28"/>
          <w:szCs w:val="28"/>
          <w:rtl/>
        </w:rPr>
      </w:pPr>
      <w:r>
        <w:rPr>
          <w:rFonts w:ascii="Traditional Arabic" w:hAnsi="Traditional Arabic" w:cs="Traditional Arabic"/>
          <w:b/>
          <w:bCs/>
          <w:color w:val="auto"/>
          <w:sz w:val="28"/>
          <w:szCs w:val="28"/>
          <w:rtl/>
        </w:rPr>
        <w:t>تم اختيار هذه الفئات البشرية المتنوعة لضمان الحصول على رؤية شاملة ومتكاملة حول موضوع الدراسة من مختلف الزوايا (الإدارية، التقنية، التنظيمية، والمستخدم النهائي)، مما يسهم في تعزيز دقة النتائج وشموليتها</w:t>
      </w:r>
      <w:r>
        <w:rPr>
          <w:rFonts w:ascii="Traditional Arabic" w:hAnsi="Traditional Arabic" w:cs="Traditional Arabic" w:hint="cs"/>
          <w:b/>
          <w:bCs/>
          <w:color w:val="auto"/>
          <w:sz w:val="28"/>
          <w:szCs w:val="28"/>
          <w:rtl/>
        </w:rPr>
        <w:t>.</w:t>
      </w:r>
    </w:p>
    <w:p w14:paraId="6A94BE1D" w14:textId="77777777" w:rsidR="007F6F3E" w:rsidRPr="0063519C" w:rsidRDefault="007F6F3E" w:rsidP="00E000FF">
      <w:pPr>
        <w:pStyle w:val="HeadingTOCEntry"/>
        <w:bidi/>
        <w:spacing w:line="360" w:lineRule="auto"/>
        <w:rPr>
          <w:rFonts w:ascii="Simplified Arabic" w:hAnsi="Simplified Arabic" w:cs="Simplified Arabic"/>
          <w:b/>
          <w:bCs/>
          <w:sz w:val="28"/>
          <w:szCs w:val="28"/>
        </w:rPr>
      </w:pPr>
      <w:r>
        <w:rPr>
          <w:rFonts w:ascii="Traditional Arabic" w:hAnsi="Traditional Arabic" w:cs="Traditional Arabic"/>
          <w:b/>
          <w:bCs/>
          <w:sz w:val="28"/>
          <w:szCs w:val="28"/>
          <w:rtl/>
        </w:rPr>
        <w:t>1.10.5 مبررات اختيار حدود الدراسة</w:t>
      </w:r>
    </w:p>
    <w:p w14:paraId="674E4A94" w14:textId="77777777" w:rsidR="007F6F3E" w:rsidRPr="0063519C" w:rsidRDefault="007F6F3E" w:rsidP="00E000FF">
      <w:pPr>
        <w:numPr>
          <w:ilvl w:val="0"/>
          <w:numId w:val="17"/>
        </w:num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مبررات الحدود الموضوعية: تم التركيز على تقنية الترميز تحديداً نظراً لأهميتها المتزايدة في تعزيز الأمن السيبراني وكفاءة العمليات المالية، وارتباطها الوثيق بأهداف رؤية 2030 في مجال التحول الرقمي وتطوير القطاع المالي.</w:t>
      </w:r>
    </w:p>
    <w:p w14:paraId="41900D1F" w14:textId="77777777" w:rsidR="007F6F3E" w:rsidRPr="0063519C" w:rsidRDefault="007F6F3E" w:rsidP="00E000FF">
      <w:pPr>
        <w:numPr>
          <w:ilvl w:val="0"/>
          <w:numId w:val="17"/>
        </w:num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مبررات الحدود المكانية: تم اختيار المؤسسات المالية السعودية لكونها تشهد تحولاً رقمياً متسارعاً، ولوجود فجوة بحثية في دراسة تأثير تقنية الترميز في السياق السعودي تحديداً.</w:t>
      </w:r>
    </w:p>
    <w:p w14:paraId="4E5433AE" w14:textId="77777777" w:rsidR="007F6F3E" w:rsidRPr="0063519C" w:rsidRDefault="007F6F3E" w:rsidP="00E000FF">
      <w:pPr>
        <w:numPr>
          <w:ilvl w:val="0"/>
          <w:numId w:val="17"/>
        </w:num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مبررات الحدود الزمانية: تم تحديد الفترة 2025-2026 لضمان الحصول على بيانات حديثة تعكس الواقع الحالي لتبني تقنية الترميز وتأثيرها، في ظل التطور المتسارع للتكنولوجيا المالية.</w:t>
      </w:r>
    </w:p>
    <w:p w14:paraId="0F4F76C0" w14:textId="77777777" w:rsidR="007F6F3E" w:rsidRPr="0063519C" w:rsidRDefault="007F6F3E" w:rsidP="00E000FF">
      <w:pPr>
        <w:numPr>
          <w:ilvl w:val="0"/>
          <w:numId w:val="17"/>
        </w:num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مبررات الحدود البشرية: تم اختيار مجموعة متنوعة من المشاركين لضمان الحصول على رؤية متكاملة تجمع بين الجوانب الإدارية والتقنية والتنظيمية والمستخدم النهائي.</w:t>
      </w:r>
    </w:p>
    <w:p w14:paraId="768B63BC" w14:textId="77777777" w:rsidR="007E4F21" w:rsidRDefault="007F6F3E" w:rsidP="00E000FF">
      <w:pPr>
        <w:pStyle w:val="21"/>
        <w:bidi/>
        <w:spacing w:before="0" w:line="360" w:lineRule="auto"/>
        <w:jc w:val="both"/>
        <w:rPr>
          <w:rFonts w:ascii="Simplified Arabic" w:hAnsi="Simplified Arabic" w:cs="Simplified Arabic"/>
          <w:color w:val="auto"/>
          <w:sz w:val="28"/>
          <w:szCs w:val="28"/>
          <w:rtl/>
        </w:rPr>
      </w:pPr>
      <w:r>
        <w:rPr>
          <w:rFonts w:ascii="Traditional Arabic" w:hAnsi="Traditional Arabic" w:cs="Traditional Arabic"/>
          <w:b/>
          <w:bCs/>
          <w:color w:val="auto"/>
          <w:sz w:val="28"/>
          <w:szCs w:val="28"/>
          <w:rtl/>
        </w:rPr>
        <w:t>تساهم هذه الحدود مجتمعة في تركيز البحث وضمان عمق التحليل وشموليته، مع إمكانية تعميم النتائج على مؤسسات مالية مماثلة في المنطقة، مما يعزز من القيمة العلمية والتطبيقية للدراسة.</w:t>
      </w:r>
    </w:p>
    <w:p w14:paraId="5C7E2825" w14:textId="77777777" w:rsidR="00AF5C9F" w:rsidRPr="00AF5C9F" w:rsidRDefault="00AF5C9F" w:rsidP="00E000FF">
      <w:pPr>
        <w:bidi/>
        <w:spacing w:after="0" w:line="360" w:lineRule="auto"/>
        <w:rPr>
          <w:rtl/>
        </w:rPr>
      </w:pPr>
    </w:p>
    <w:p w14:paraId="6ED6EF3A" w14:textId="77777777" w:rsidR="00A554AC" w:rsidRPr="0072768E" w:rsidRDefault="00A554AC" w:rsidP="00E000FF">
      <w:pPr>
        <w:bidi/>
        <w:spacing w:after="0" w:line="360" w:lineRule="auto"/>
        <w:jc w:val="both"/>
        <w:rPr>
          <w:rFonts w:ascii="Simplified Arabic" w:eastAsiaTheme="majorEastAsia" w:hAnsi="Simplified Arabic" w:cs="Simplified Arabic"/>
          <w:b/>
          <w:bCs/>
          <w:sz w:val="28"/>
          <w:szCs w:val="28"/>
          <w:rtl/>
        </w:rPr>
      </w:pPr>
    </w:p>
    <w:p w14:paraId="46A47177" w14:textId="77777777" w:rsidR="004E6090" w:rsidRPr="0072768E" w:rsidRDefault="004E6090" w:rsidP="00E000FF">
      <w:pPr>
        <w:bidi/>
        <w:spacing w:after="0" w:line="360" w:lineRule="auto"/>
        <w:jc w:val="both"/>
        <w:rPr>
          <w:rFonts w:ascii="Simplified Arabic" w:eastAsiaTheme="majorEastAsia" w:hAnsi="Simplified Arabic" w:cs="Simplified Arabic"/>
          <w:sz w:val="28"/>
          <w:szCs w:val="28"/>
          <w:rtl/>
        </w:rPr>
        <w:sectPr w:rsidR="004E6090" w:rsidRPr="0072768E" w:rsidSect="006E2853">
          <w:pgSz w:w="11906" w:h="16838"/>
          <w:pgMar w:top="1440" w:right="1800" w:bottom="1440" w:left="1800" w:header="708" w:footer="144" w:gutter="0"/>
          <w:cols w:space="708"/>
          <w:titlePg/>
          <w:bidi/>
          <w:rtlGutter/>
          <w:docGrid w:linePitch="360"/>
        </w:sectPr>
      </w:pPr>
    </w:p>
    <w:p w14:paraId="2DA1C390" w14:textId="77777777" w:rsidR="0063519C" w:rsidRDefault="0063519C" w:rsidP="00E000FF">
      <w:pPr>
        <w:pStyle w:val="HeadingTOCEntry"/>
        <w:bidi/>
        <w:spacing w:after="0" w:line="360" w:lineRule="auto"/>
        <w:ind w:left="432" w:hanging="432"/>
        <w:jc w:val="center"/>
        <w:rPr>
          <w:rFonts w:ascii="Traditional Arabic" w:hAnsi="Traditional Arabic" w:cs="Traditional Arabic"/>
          <w:b/>
          <w:bCs/>
          <w:sz w:val="32"/>
          <w:szCs w:val="32"/>
          <w:rtl/>
        </w:rPr>
      </w:pPr>
      <w:bookmarkStart w:id="20" w:name="_Toc224563956"/>
      <w:bookmarkStart w:id="21" w:name="_Toc234424148"/>
    </w:p>
    <w:p w14:paraId="31D84348" w14:textId="77777777" w:rsidR="0063519C" w:rsidRDefault="0063519C" w:rsidP="0063519C">
      <w:pPr>
        <w:pStyle w:val="HeadingTOCEntry"/>
        <w:bidi/>
        <w:spacing w:after="0" w:line="360" w:lineRule="auto"/>
        <w:ind w:left="432" w:hanging="432"/>
        <w:jc w:val="center"/>
        <w:rPr>
          <w:rFonts w:ascii="Traditional Arabic" w:hAnsi="Traditional Arabic" w:cs="Traditional Arabic"/>
          <w:b/>
          <w:bCs/>
          <w:sz w:val="32"/>
          <w:szCs w:val="32"/>
          <w:rtl/>
        </w:rPr>
      </w:pPr>
    </w:p>
    <w:p w14:paraId="5099DE13" w14:textId="77777777" w:rsidR="0063519C" w:rsidRDefault="0063519C" w:rsidP="0063519C">
      <w:pPr>
        <w:pStyle w:val="HeadingTOCEntry"/>
        <w:bidi/>
        <w:spacing w:after="0" w:line="360" w:lineRule="auto"/>
        <w:ind w:left="432" w:hanging="432"/>
        <w:jc w:val="center"/>
        <w:rPr>
          <w:rFonts w:ascii="Traditional Arabic" w:hAnsi="Traditional Arabic" w:cs="Traditional Arabic"/>
          <w:b/>
          <w:bCs/>
          <w:sz w:val="32"/>
          <w:szCs w:val="32"/>
          <w:rtl/>
        </w:rPr>
      </w:pPr>
    </w:p>
    <w:p w14:paraId="39E94C3B" w14:textId="77777777" w:rsidR="0063519C" w:rsidRDefault="0063519C" w:rsidP="0063519C">
      <w:pPr>
        <w:pStyle w:val="HeadingTOCEntry"/>
        <w:bidi/>
        <w:spacing w:after="0" w:line="360" w:lineRule="auto"/>
        <w:ind w:left="432" w:hanging="432"/>
        <w:jc w:val="center"/>
        <w:rPr>
          <w:rFonts w:ascii="Traditional Arabic" w:hAnsi="Traditional Arabic" w:cs="Traditional Arabic"/>
          <w:b/>
          <w:bCs/>
          <w:sz w:val="32"/>
          <w:szCs w:val="32"/>
          <w:rtl/>
        </w:rPr>
      </w:pPr>
    </w:p>
    <w:p w14:paraId="461E384B" w14:textId="77777777" w:rsidR="0063519C" w:rsidRDefault="0063519C" w:rsidP="0063519C">
      <w:pPr>
        <w:pStyle w:val="HeadingTOCEntry"/>
        <w:bidi/>
        <w:spacing w:after="0" w:line="360" w:lineRule="auto"/>
        <w:ind w:left="432" w:hanging="432"/>
        <w:jc w:val="center"/>
        <w:rPr>
          <w:rFonts w:ascii="Traditional Arabic" w:hAnsi="Traditional Arabic" w:cs="Traditional Arabic"/>
          <w:b/>
          <w:bCs/>
          <w:sz w:val="32"/>
          <w:szCs w:val="32"/>
          <w:rtl/>
        </w:rPr>
      </w:pPr>
    </w:p>
    <w:p w14:paraId="10626C51" w14:textId="77777777" w:rsidR="00A40CCF" w:rsidRPr="004F6AF4" w:rsidRDefault="00A40CCF" w:rsidP="0063519C">
      <w:pPr>
        <w:pStyle w:val="HeadingTOCEntry"/>
        <w:bidi/>
        <w:spacing w:after="0" w:line="360" w:lineRule="auto"/>
        <w:ind w:left="432" w:hanging="432"/>
        <w:jc w:val="center"/>
        <w:rPr>
          <w:rFonts w:ascii="Traditional Arabic" w:hAnsi="Traditional Arabic" w:cs="Traditional Arabic"/>
          <w:b/>
          <w:bCs/>
          <w:sz w:val="92"/>
          <w:szCs w:val="92"/>
          <w:rtl/>
        </w:rPr>
      </w:pPr>
      <w:r>
        <w:rPr>
          <w:rFonts w:ascii="Traditional Arabic" w:hAnsi="Traditional Arabic" w:cs="Traditional Arabic"/>
          <w:b/>
          <w:bCs/>
          <w:sz w:val="92"/>
          <w:szCs w:val="92"/>
          <w:rtl/>
        </w:rPr>
        <w:t>الفصل الثاني</w:t>
      </w:r>
      <w:bookmarkEnd w:id="20"/>
      <w:bookmarkEnd w:id="21"/>
    </w:p>
    <w:p w14:paraId="2AE21573" w14:textId="77777777" w:rsidR="00BC00FF" w:rsidRPr="004F6AF4" w:rsidRDefault="00A40CCF" w:rsidP="004F6AF4">
      <w:pPr>
        <w:pStyle w:val="HeadingTOCEntry"/>
        <w:bidi/>
        <w:spacing w:after="0" w:line="360" w:lineRule="auto"/>
        <w:ind w:left="432" w:hanging="432"/>
        <w:jc w:val="center"/>
        <w:rPr>
          <w:rFonts w:ascii="Traditional Arabic" w:hAnsi="Traditional Arabic" w:cs="Traditional Arabic"/>
          <w:b/>
          <w:bCs/>
          <w:sz w:val="92"/>
          <w:szCs w:val="92"/>
          <w:rtl/>
        </w:rPr>
      </w:pPr>
      <w:r>
        <w:rPr>
          <w:rFonts w:ascii="Traditional Arabic" w:hAnsi="Traditional Arabic" w:cs="Traditional Arabic"/>
          <w:b/>
          <w:bCs/>
          <w:sz w:val="92"/>
          <w:szCs w:val="92"/>
          <w:rtl/>
        </w:rPr>
        <w:t>الإطار النظري والدراسات السابقة</w:t>
      </w:r>
    </w:p>
    <w:p w14:paraId="3E5DB531" w14:textId="77777777" w:rsidR="00F16CC0" w:rsidRPr="00F16CC0" w:rsidRDefault="00F16CC0" w:rsidP="00E000FF">
      <w:pPr>
        <w:bidi/>
        <w:spacing w:after="0" w:line="360" w:lineRule="auto"/>
        <w:rPr>
          <w:rFonts w:ascii="Simplified Arabic" w:eastAsiaTheme="majorEastAsia" w:hAnsi="Simplified Arabic" w:cs="Simplified Arabic"/>
          <w:b/>
          <w:bCs/>
          <w:sz w:val="28"/>
          <w:szCs w:val="28"/>
          <w:rtl/>
        </w:rPr>
      </w:pPr>
      <w:r>
        <w:rPr>
          <w:rFonts w:ascii="Traditional Arabic" w:hAnsi="Traditional Arabic" w:cs="Traditional Arabic"/>
          <w:b/>
          <w:bCs/>
          <w:sz w:val="24"/>
          <w:szCs w:val="24"/>
          <w:rtl/>
        </w:rPr>
        <w:br w:type="page"/>
      </w:r>
    </w:p>
    <w:p w14:paraId="2BFCFF87" w14:textId="77777777" w:rsidR="00786A9D" w:rsidRPr="00D26972" w:rsidRDefault="00786A9D" w:rsidP="00E000FF">
      <w:pPr>
        <w:pStyle w:val="HeadingTOCEntry"/>
        <w:bidi/>
        <w:spacing w:after="0" w:line="360" w:lineRule="auto"/>
        <w:ind w:left="432" w:hanging="432"/>
        <w:rPr>
          <w:rFonts w:ascii="Simplified Arabic" w:hAnsi="Simplified Arabic" w:cs="Simplified Arabic"/>
          <w:b/>
          <w:bCs/>
          <w:sz w:val="28"/>
          <w:szCs w:val="28"/>
          <w:u w:val="single"/>
        </w:rPr>
      </w:pPr>
      <w:bookmarkStart w:id="22" w:name="_Toc224563957"/>
      <w:bookmarkStart w:id="23" w:name="_Toc234424149"/>
      <w:r>
        <w:rPr>
          <w:rFonts w:ascii="Traditional Arabic" w:hAnsi="Traditional Arabic" w:cs="Traditional Arabic"/>
          <w:b/>
          <w:bCs/>
          <w:sz w:val="32"/>
          <w:szCs w:val="32"/>
          <w:u w:val="single"/>
          <w:rtl/>
        </w:rPr>
        <w:lastRenderedPageBreak/>
        <w:t>مقدمة الفصل</w:t>
      </w:r>
      <w:bookmarkEnd w:id="22"/>
      <w:bookmarkEnd w:id="23"/>
    </w:p>
    <w:p w14:paraId="23E3B902"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تمهيد</w:t>
      </w:r>
    </w:p>
    <w:p w14:paraId="723D48D5"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يتناول هذا الفصل الأسس النظرية والدراسات السابقة المرتبطة بموضوع الدراسة حول أثر تقنية الترميز على الأمن السيبراني وكفاءة العمليات المالية في المؤسسات السعودية في ضوء رؤية 2030، حيث يعرض الباحث في القسم الأول الإطار النظري الذي يشمل المفاهيم الأساسية والأبعاد المختلفة لمتغيرات الدراسة، من خلال استعراض التعريفات والمفاهيم المتعددة التي تناولها الباحثون والممارسون في هذا المجال، بحيث يتم بناء فهم شامل ومتكامل للموضوع محل الدراسة (Financial Stability Board, 2024; McKinsey &amp; Company, 2024). ثم ينتقل الباحث في القسم الثاني إلى عرض وتحليل الدراسات السابقة ذات الصلة المباشرة بموضوع الدراسة، والتي تم تقسيمها إلى أربع مجموعات رئيسية تغطي مختلف أبعاد الدراسة، وذلك بغرض الوقوف على ما توصلت إليه تلك الدراسات من نتائج وما أوصت به من توصيات، مما يساعد في تحديد الفجوة البحثية التي تسعى الدراسة الحالية لسدها من خلال التطبيق على المؤسسات المالية السعودية بأنواعها المختلفة</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(Goghie, 2024; Ahammad et al., 2025)</w:t>
      </w:r>
      <w:r>
        <w:rPr>
          <w:rFonts w:ascii="Traditional Arabic" w:hAnsi="Traditional Arabic" w:cs="Traditional Arabic" w:hint="cs"/>
          <w:b/>
          <w:bCs/>
          <w:sz w:val="28"/>
          <w:szCs w:val="28"/>
          <w:rtl/>
        </w:rPr>
        <w:t>.</w:t>
      </w:r>
    </w:p>
    <w:p w14:paraId="341FFBAE" w14:textId="77777777" w:rsidR="00F00638" w:rsidRPr="004F6AF4" w:rsidRDefault="00F00638" w:rsidP="00E000FF">
      <w:pPr>
        <w:pStyle w:val="HeadingTOCEntry"/>
        <w:bidi/>
        <w:spacing w:after="0" w:line="360" w:lineRule="auto"/>
        <w:ind w:left="432" w:hanging="432"/>
        <w:rPr>
          <w:rFonts w:ascii="Simplified Arabic" w:hAnsi="Simplified Arabic" w:cs="Simplified Arabic"/>
          <w:b/>
          <w:bCs/>
          <w:sz w:val="28"/>
          <w:szCs w:val="28"/>
          <w:u w:val="single"/>
        </w:rPr>
      </w:pPr>
      <w:bookmarkStart w:id="24" w:name="_Toc224563958"/>
      <w:bookmarkStart w:id="25" w:name="_Toc234424150"/>
      <w:r>
        <w:rPr>
          <w:rFonts w:ascii="Traditional Arabic" w:hAnsi="Traditional Arabic" w:cs="Traditional Arabic"/>
          <w:b/>
          <w:bCs/>
          <w:sz w:val="28"/>
          <w:szCs w:val="28"/>
          <w:u w:val="single"/>
          <w:rtl/>
        </w:rPr>
        <w:t>2.1</w:t>
      </w:r>
      <w:r>
        <w:rPr>
          <w:rFonts w:ascii="Traditional Arabic" w:hAnsi="Traditional Arabic" w:cs="Traditional Arabic" w:hint="cs"/>
          <w:b/>
          <w:bCs/>
          <w:sz w:val="28"/>
          <w:szCs w:val="28"/>
          <w:u w:val="single"/>
          <w:rtl/>
        </w:rPr>
        <w:t xml:space="preserve"> </w:t>
      </w:r>
      <w:r>
        <w:rPr>
          <w:rFonts w:ascii="Traditional Arabic" w:hAnsi="Traditional Arabic" w:cs="Traditional Arabic"/>
          <w:b/>
          <w:bCs/>
          <w:sz w:val="28"/>
          <w:szCs w:val="28"/>
          <w:u w:val="single"/>
          <w:rtl/>
        </w:rPr>
        <w:t>الإطار النظري</w:t>
      </w:r>
      <w:bookmarkEnd w:id="24"/>
      <w:bookmarkEnd w:id="25"/>
    </w:p>
    <w:p w14:paraId="4A07160E"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المبحث الأول (2.1.1) - الأمن السيبراني في النظم المالية الرقمية</w:t>
      </w:r>
    </w:p>
    <w:p w14:paraId="0CE5FABE"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 xml:space="preserve">يمثل الأمن السيبراني ركيزة أساسية وحيوية لأي تحول رقمي في القطاع المالي، حيث أصبحت المؤسسات المالية تواجه تهديدات سيبرانية متزايدة التعقيد والتطور بشكل مستمر (ENISA, 2024; IBM Security, 2024)، وذلك نتيجة للاعتماد المتزايد على التقنيات الرقمية والاتصالات الإلكترونية في تقديم الخدمات المالية (Goghie, 2024; Ahammad et al., 2025)، بحيث أصبح الأمن السيبراني ليس مجرد متطلب تقني بل ضرورة استراتيجية تؤثر بشكل مباشر على استمرارية الأعمال وثقة العملاء والامتثال التنظيمي (Carapella et al., 2023; Karanovic et al., 2024). وفي ظل التحول الرقمي الشامل الذي تشهده المملكة العربية السعودية ضمن رؤية 2030، يكتسب الأمن السيبراني أهمية مضاعفة، حيث يشكل الأساس </w:t>
      </w:r>
      <w:r>
        <w:rPr>
          <w:rFonts w:ascii="Traditional Arabic" w:hAnsi="Traditional Arabic" w:cs="Traditional Arabic"/>
          <w:b/>
          <w:bCs/>
          <w:sz w:val="28"/>
          <w:szCs w:val="28"/>
          <w:rtl/>
        </w:rPr>
        <w:lastRenderedPageBreak/>
        <w:t>الذي يقوم عليه بناء اقتصاد رقمي آمن ومستدام يحمي مصالح المواطنين والمستثمرين على حد سواء</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Saudi Central Bank, 2024; IMF, 2024</w:t>
      </w:r>
      <w:r>
        <w:rPr>
          <w:rFonts w:ascii="Traditional Arabic" w:hAnsi="Traditional Arabic" w:cs="Traditional Arabic" w:hint="cs"/>
          <w:b/>
          <w:bCs/>
          <w:sz w:val="28"/>
          <w:szCs w:val="28"/>
          <w:rtl/>
        </w:rPr>
        <w:t>).</w:t>
      </w:r>
    </w:p>
    <w:p w14:paraId="6DD114D3" w14:textId="77777777" w:rsidR="00F00638" w:rsidRPr="004F6AF4" w:rsidRDefault="00F00638" w:rsidP="00E000FF">
      <w:pPr>
        <w:bidi/>
        <w:spacing w:after="0" w:line="360" w:lineRule="auto"/>
        <w:jc w:val="both"/>
        <w:rPr>
          <w:rFonts w:ascii="Simplified Arabic" w:hAnsi="Simplified Arabic" w:cs="Simplified Arabic"/>
          <w:b/>
          <w:bCs/>
          <w:sz w:val="28"/>
          <w:szCs w:val="28"/>
        </w:rPr>
      </w:pPr>
    </w:p>
    <w:p w14:paraId="0918DFA3"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2.1.1.1 مفهوم الأمن السيبراني في القطاع المالي</w:t>
      </w:r>
    </w:p>
    <w:p w14:paraId="1A4822CB"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تعددت التعريفات التي تناولت مفهوم الأمن السيبراني في السياق المالي، حيث ينظر إليه من زوايا مختلفة تشمل البعد التقني والتنظيمي والاستراتيجي (ENISA, 2024; PCI Security Standards Council, 2024)، وجميع هذه التعريفات تؤكد على أن الأمن السيبراني ليس مجرد حماية تقنية بل منظومة شاملة تضم السياسات والإجراءات والتقنيات والموارد البشرية (Goghie, 2024; Sakarneh &amp; Kilani, 2024). تعرف الوكالة الأوروبية للأمن السيبراني ENISA (2024) الأمن السيبراني في القطاع المالي بأنه "مجموعة الممارسات والتقنيات والسياسات المصممة لحماية الأنظمة المالية الرقمية والبيانات والأصول من التهديدات السيبرانية، بما في ذلك الهجمات الإلكترونية، والاختراقات، وسرقة البيانات، والاحتيال، بحيث تضمن سلامة وسرية وتوافر الخدمات المالية بشكل مستمر"، وهذا التعريف يشمل الأبعاد الثلاثة الرئيسية للأمن المعلوماتي وهي السرية والسلامة والتوافرية (IBM Security, 2024; Ahammad et al., 2025)</w:t>
      </w:r>
      <w:r>
        <w:rPr>
          <w:rFonts w:ascii="Traditional Arabic" w:hAnsi="Traditional Arabic" w:cs="Traditional Arabic" w:hint="cs"/>
          <w:b/>
          <w:bCs/>
          <w:sz w:val="28"/>
          <w:szCs w:val="28"/>
          <w:rtl/>
        </w:rPr>
        <w:t>.</w:t>
      </w:r>
    </w:p>
    <w:p w14:paraId="5C6B9086"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من جانب آخر، يشير المعهد الوطني للمعايير والتقنية الأمريكي NIST إلى أن الأمن السيبراني هو "القدرة على حماية أو الدفاع عن استخدام الفضاء السيبراني من الهجمات الإلكترونية من خلال مجموعة من الأدوات والسياسات ومفاهيم الأمن والضمانات الأمنية وإرشادات إدارة المخاطر والإجراءات والتدريب وأفضل الممارسات والتقنيات التي يمكن استخدامها لحماية البيئة السيبرانية والمستخدمين والأصول التنظيمية" (Karanovic et al., 2024; Udeh et al., 2025)، وهذا التعريف يبرز الطبيعة المتعددة الأبعاد للأمن السيبراني التي تتجاوز الحلول التقنية لتشمل البعد البشري والتنظيمي (Sakarneh &amp; Kilani, 2024)</w:t>
      </w:r>
      <w:r>
        <w:rPr>
          <w:rFonts w:ascii="Traditional Arabic" w:hAnsi="Traditional Arabic" w:cs="Traditional Arabic" w:hint="cs"/>
          <w:b/>
          <w:bCs/>
          <w:sz w:val="28"/>
          <w:szCs w:val="28"/>
          <w:rtl/>
        </w:rPr>
        <w:t>.</w:t>
      </w:r>
    </w:p>
    <w:p w14:paraId="25944929"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lastRenderedPageBreak/>
        <w:t>بينما تعرف منظمة المعايير الدولية ISO/IEC 27001 أمن المعلومات والأمن السيبراني بأنه "الحفاظ على سرية وسلامة وتوافر المعلومات، بالإضافة إلى خصائص أخرى مثل الأصالة والمساءلة وعدم الإنكار والموثوقية من خلال تطبيق نظام إدارة أمن المعلومات الذي يشمل السياسات والإجراءات والضوابط التقنية والتنظيمية" (PCI Security Standards Council, 2024)، وهذا التعريف يضع الأمن السيبراني في إطار منهجي منظم قابل للقياس والتدقيق والتحسين المستمر (Carapella et al., 2023; Islam &amp; In, 2024)</w:t>
      </w:r>
      <w:r>
        <w:rPr>
          <w:rFonts w:ascii="Traditional Arabic" w:hAnsi="Traditional Arabic" w:cs="Traditional Arabic" w:hint="cs"/>
          <w:b/>
          <w:bCs/>
          <w:sz w:val="28"/>
          <w:szCs w:val="28"/>
          <w:rtl/>
        </w:rPr>
        <w:t>.</w:t>
      </w:r>
    </w:p>
    <w:p w14:paraId="44C773A0"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مما سبق يرى الباحث أن الأمن السيبراني في النظم المالية الرقمية يمثل منظومة متكاملة من السياسات والممارسات والتقنيات والموارد البشرية التي تهدف إلى حماية الأصول المعلوماتية والأنظمة الرقمية للمؤسسات المالية من التهديدات السيبرانية المتنوعة (ENISA, 2024; IBM Security, 2024; PCI Security Standards Council, 2024)، بحيث تضمن استمرارية تقديم الخدمات المالية بشكل آمن وموثوق يحفظ حقوق العملاء ويحمي أصول المؤسسة ويحقق الامتثال للمتطلبات التنظيمية (Saudi Central Bank, 2024; IMF, 2024)، وذلك من خلال نهج استباقي شامل يجمع بين الوقاية والكشف والاستجابة والتعافي من الحوادث السيبرانية، في إطار يتسم بالمرونة والقدرة على التكيف مع التهديدات المتطورة باستمرار (Goghie, 2024; Ahammad et al., 2025; Karanovic et al., 2024)</w:t>
      </w:r>
      <w:r>
        <w:rPr>
          <w:rFonts w:ascii="Traditional Arabic" w:hAnsi="Traditional Arabic" w:cs="Traditional Arabic" w:hint="cs"/>
          <w:b/>
          <w:bCs/>
          <w:sz w:val="28"/>
          <w:szCs w:val="28"/>
          <w:rtl/>
        </w:rPr>
        <w:t>.</w:t>
      </w:r>
    </w:p>
    <w:p w14:paraId="32AB90C6" w14:textId="77777777" w:rsidR="00F00638" w:rsidRPr="005E1B5F" w:rsidRDefault="00F00638" w:rsidP="00E000FF">
      <w:pPr>
        <w:bidi/>
        <w:spacing w:after="0" w:line="360" w:lineRule="auto"/>
        <w:jc w:val="both"/>
        <w:rPr>
          <w:rFonts w:ascii="Simplified Arabic" w:hAnsi="Simplified Arabic" w:cs="Simplified Arabic"/>
          <w:sz w:val="28"/>
          <w:szCs w:val="28"/>
        </w:rPr>
      </w:pPr>
    </w:p>
    <w:p w14:paraId="7ADDD8FD"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2.1.1.2 أهمية الأمن السيبراني في المؤسسات المالية</w:t>
      </w:r>
    </w:p>
    <w:p w14:paraId="2BDA52AE"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تتعاظم أهمية الأمن السيبراني في المؤسسات المالية يوماً بعد يوم (ENISA, 2024; IBM Security, 2024)، حيث تتمثل هذه الأهمية فيما يلي:</w:t>
      </w:r>
    </w:p>
    <w:p w14:paraId="71A29EEC"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 xml:space="preserve">حماية الأصول المالية والبيانات الحساسة للعملاء: حيث تحتفظ المؤسسات المالية بكميات هائلة من البيانات الشخصية والمالية شديدة الحساسية لملايين العملاء (PCI Security Standards Council, 2024; Goghie, 2024)، بما في ذلك تفاصيل الحسابات البنكية، ومعلومات البطاقات الائتمانية، وبيانات الهوية، والسجلات المالية (Ahammad et al., 2025; Carapella et al., 2023)، مما يجعلها </w:t>
      </w:r>
      <w:r>
        <w:rPr>
          <w:rFonts w:ascii="Traditional Arabic" w:hAnsi="Traditional Arabic" w:cs="Traditional Arabic"/>
          <w:b/>
          <w:bCs/>
          <w:sz w:val="28"/>
          <w:szCs w:val="28"/>
          <w:rtl/>
        </w:rPr>
        <w:lastRenderedPageBreak/>
        <w:t>هدفاً رئيسياً للمهاجمين السيبرانيين الذين يسعون لسرقة هذه البيانات واستغلالها في عمليات احتيال مالي أو بيعها في الأسواق السوداء (ENISA, 2024; Karanovic et al., 2024)، بحيث أن أي اختراق لهذه البيانات قد يؤدي إلى خسائر مالية فادحة للعملاء وللمؤسسة وإلى تدمير الثقة التي تمثل رأس المال الحقيقي للمؤسسات المالية (IBM Security, 2024; Udeh et al., 2025)</w:t>
      </w:r>
      <w:r>
        <w:rPr>
          <w:rFonts w:ascii="Traditional Arabic" w:hAnsi="Traditional Arabic" w:cs="Traditional Arabic" w:hint="cs"/>
          <w:b/>
          <w:bCs/>
          <w:sz w:val="28"/>
          <w:szCs w:val="28"/>
          <w:rtl/>
        </w:rPr>
        <w:t>.</w:t>
      </w:r>
    </w:p>
    <w:p w14:paraId="06B7A90B"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ضمان استمرارية الأعمال والخدمات المالية: من خلال حماية الأنظمة والبنية التحتية الحيوية من الهجمات التي قد تؤدي إلى تعطيل الخدمات (Ahammad et al., 2025; Karanovic et al., 2024)، بحيث أن أي توقف في تقديم الخدمات المالية قد يؤدي إلى خسائر اقتصادية ضخمة ليس فقط للمؤسسة المتأثرة بل للاقتصاد بأكمله (Saudi Central Bank, 2024; IMF, 2024)، حيث أن القطاع المالي يمثل شريان الحياة للنشاط الاقتصادي (Financial Stability Board, 2024)، وهذا يتطلب تصميم أنظمة أمنية قادرة على ضمان التوافرية والمرونة في مواجهة التهديدات المختلفة (Sakarneh &amp; Kilani, 2024; Almadadha, 2025</w:t>
      </w:r>
      <w:r>
        <w:rPr>
          <w:rFonts w:ascii="Traditional Arabic" w:hAnsi="Traditional Arabic" w:cs="Traditional Arabic" w:hint="cs"/>
          <w:b/>
          <w:bCs/>
          <w:sz w:val="28"/>
          <w:szCs w:val="28"/>
          <w:rtl/>
        </w:rPr>
        <w:t>).</w:t>
      </w:r>
    </w:p>
    <w:p w14:paraId="4EDCAE49"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الامتثال للمتطلبات التنظيمية والقانونية: حيث تفرض الجهات التنظيمية في مختلف الدول متطلبات صارمة على المؤسسات المالية فيما يتعلق بحماية البيانات والأمن السيبراني (PCI Security Standards Council, 2024; ENISA, 2024)، بما في ذلك معايير PCI DSS للمدفوعات، ومتطلبات البنوك المركزية، وقوانين حماية البيانات الشخصية (Saudi Central Bank, 2024)، ومتطلبات الهيئة الوطنية للأمن السيبراني في المملكة (IMF, 2024)، بحيث أن عدم الامتثال لهذه المتطلبات قد يؤدي إلى عقوبات مالية كبيرة وإلى تقييد العمليات وفقدان التراخيص في بعض الحالات (Carapella et al., 2023; Islam &amp; In, 2024</w:t>
      </w:r>
      <w:r>
        <w:rPr>
          <w:rFonts w:ascii="Traditional Arabic" w:hAnsi="Traditional Arabic" w:cs="Traditional Arabic" w:hint="cs"/>
          <w:b/>
          <w:bCs/>
          <w:sz w:val="28"/>
          <w:szCs w:val="28"/>
          <w:rtl/>
        </w:rPr>
        <w:t>).</w:t>
      </w:r>
    </w:p>
    <w:p w14:paraId="03171591"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 xml:space="preserve">حماية السمعة والثقة المؤسسية: من خلال منع الحوادث السيبرانية التي قد تؤدي إلى تشويه سمعة المؤسسة وفقدان ثقة العملاء والمستثمرين (Goghie, 2024; Udeh et al., 2025)، بحيث أن الأضرار الناجمة عن الحوادث السيبرانية لا تقتصر على الخسائر المالية المباشرة بل تمتد لتشمل تدهور القيمة السوقية للمؤسسة وفقدان حصتها في السوق وصعوبة جذب عملاء جدد (IBM Security, 2024; Karanovic et al., </w:t>
      </w:r>
      <w:r>
        <w:rPr>
          <w:rFonts w:ascii="Traditional Arabic" w:hAnsi="Traditional Arabic" w:cs="Traditional Arabic"/>
          <w:b/>
          <w:bCs/>
          <w:sz w:val="28"/>
          <w:szCs w:val="28"/>
          <w:rtl/>
        </w:rPr>
        <w:lastRenderedPageBreak/>
        <w:t>2024)، وهذه الأضرار طويلة المدى قد تفوق بكثير التكاليف المباشرة للاختراق نفسه (Almadadha, 2025</w:t>
      </w:r>
      <w:r>
        <w:rPr>
          <w:rFonts w:ascii="Traditional Arabic" w:hAnsi="Traditional Arabic" w:cs="Traditional Arabic" w:hint="cs"/>
          <w:b/>
          <w:bCs/>
          <w:sz w:val="28"/>
          <w:szCs w:val="28"/>
          <w:rtl/>
        </w:rPr>
        <w:t>).</w:t>
      </w:r>
    </w:p>
    <w:p w14:paraId="27A3167F"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مواجهة التهديدات السيبرانية المتزايدة والمتطورة: حيث تشير البيانات إلى أن القطاع المالي يواجه تحديات أمنية متصاعدة، فقد شكلت البنوك الأوروبية وحدها نسبة 46% من الحوادث الأمنية المسجلة خلال الفترة من يناير 2023 إلى يونيو 2024، مع اختراقات البيانات والتسريبات كأبرز القضايا (ENISA, 2024)، إضافة إلى تزايد هجمات سلسلة التوريد التي تستهدف مقدمي الخدمات التقنية (Ahammad et al., 2025; Carapella et al., 2023)، مما يتطلب استثماراً مستمراً في تطوير القدرات الأمنية لمواكبة تطور التهديدات (IBM Security, 2024; Karanovic et al., 2024)</w:t>
      </w:r>
      <w:r>
        <w:rPr>
          <w:rFonts w:ascii="Traditional Arabic" w:hAnsi="Traditional Arabic" w:cs="Traditional Arabic" w:hint="cs"/>
          <w:b/>
          <w:bCs/>
          <w:sz w:val="28"/>
          <w:szCs w:val="28"/>
          <w:rtl/>
        </w:rPr>
        <w:t>.</w:t>
      </w:r>
    </w:p>
    <w:p w14:paraId="36A2D02B"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تمكين الابتكار والتحول الرقمي الآمن: من خلال توفير بيئة آمنة تسمح للمؤسسات المالية بتبني التقنيات الحديثة والابتكار في تقديم الخدمات دون المساس بالأمن (Financial Stability Board, 2024; McKinsey &amp; Company, 2024)، بحيث يصبح الأمن السيبراني ممكناً للتحول الرقمي وليس عائقاً أمامه (Ahammad et al., 2025; Islam &amp; In, 2024)، وهذا يتطلب دمج الأمن في جميع مراحل تطوير المنتجات والخدمات الجديدة منذ البداية وليس كإضافة لاحقة (Sakarneh &amp; Kilani, 2024)</w:t>
      </w:r>
      <w:r>
        <w:rPr>
          <w:rFonts w:ascii="Traditional Arabic" w:hAnsi="Traditional Arabic" w:cs="Traditional Arabic" w:hint="cs"/>
          <w:b/>
          <w:bCs/>
          <w:sz w:val="28"/>
          <w:szCs w:val="28"/>
          <w:rtl/>
        </w:rPr>
        <w:t>.</w:t>
      </w:r>
    </w:p>
    <w:p w14:paraId="1F18DDC9"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دعم أهداف رؤية السعودية 2030 في بناء اقتصاد رقمي آمن: من خلال المساهمة في تعزيز الثقة في الخدمات المالية الرقمية وحماية المستخدمين والمستثمرين (Saudi Central Bank, 2024; Thunes Research, 2025)، بحيث يتماشى الاستثمار في الأمن السيبراني مع الأهداف الاستراتيجية للمملكة في بناء قطاع مالي متطور وآمن قادر على جذب الاستثمارات وتحقيق التنافسية العالمية (IMF, 2024)</w:t>
      </w:r>
      <w:r>
        <w:rPr>
          <w:rFonts w:ascii="Traditional Arabic" w:hAnsi="Traditional Arabic" w:cs="Traditional Arabic" w:hint="cs"/>
          <w:b/>
          <w:bCs/>
          <w:sz w:val="28"/>
          <w:szCs w:val="28"/>
          <w:rtl/>
        </w:rPr>
        <w:t>.</w:t>
      </w:r>
    </w:p>
    <w:p w14:paraId="18012B88"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2.1.1.3 أبعاد ومكونات الأمن السيبراني في القطاع المالي</w:t>
      </w:r>
    </w:p>
    <w:p w14:paraId="7FEFCD21"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يتكون الأمن السيبراني في المؤسسات المالية من عدة أبعاد ومكونات رئيسية تعمل بشكل متكامل (ENISA, 2024; PCI Security Standards Council, 2024)، حيث تتمثل أهم هذه المكونات فيما يلي:</w:t>
      </w:r>
    </w:p>
    <w:p w14:paraId="2D9D6B31"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lastRenderedPageBreak/>
        <w:t>أمن الشبكات والبنية التحتية: وتشمل حماية الشبكات الداخلية والخارجية من خلال جدران الحماية (Firewalls)، وأنظمة كشف ومنع الاختراق (IDS/IPS)، وتقسيم الشبكات (Network Segmentation)، والشبكات الافتراضية الخاصة (VPN) (Ahammad et al., 2025; Karanovic et al., 2024)، بحيث يتم التحكم في حركة البيانات ومراقبتها لمنع الوصول غير المصرح به والكشف المبكر عن الأنشطة المشبوهة التي قد تشير إلى محاولة اختراق (Goghie, 2024; Sakarneh &amp; Kilani, 2024)</w:t>
      </w:r>
      <w:r>
        <w:rPr>
          <w:rFonts w:ascii="Traditional Arabic" w:hAnsi="Traditional Arabic" w:cs="Traditional Arabic" w:hint="cs"/>
          <w:b/>
          <w:bCs/>
          <w:sz w:val="28"/>
          <w:szCs w:val="28"/>
          <w:rtl/>
        </w:rPr>
        <w:t>.</w:t>
      </w:r>
    </w:p>
    <w:p w14:paraId="0B26088D"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أمن التطبيقات والأنظمة: من خلال تطبيق ممارسات التطوير الآمن (Secure Development Lifecycle)، واختبار الاختراق المنتظم، ومعالجة الثغرات الأمنية بشكل استباقي، وتحديث الأنظمة بشكل مستمر (Ahammad et al., 2025; Islam &amp; In, 2024)، بحيث يتم تقليل نقاط الضعف التي قد يستغلها المهاجمون للوصول إلى الأنظمة المالية أو التلاعب بالبيانات (Carapella et al., 2023; Udeh et al., 2025</w:t>
      </w:r>
      <w:r>
        <w:rPr>
          <w:rFonts w:ascii="Traditional Arabic" w:hAnsi="Traditional Arabic" w:cs="Traditional Arabic" w:hint="cs"/>
          <w:b/>
          <w:bCs/>
          <w:sz w:val="28"/>
          <w:szCs w:val="28"/>
          <w:rtl/>
        </w:rPr>
        <w:t>).</w:t>
      </w:r>
    </w:p>
    <w:p w14:paraId="4D22C337"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إدارة الهويات والوصول (Identity and Access Management): وتشمل آليات المصادقة القوية (Multi-Factor Authentication)، وإدارة الصلاحيات بناءً على الأدوار، ومراقبة الوصول للموارد الحساسة، ومراجعة الصلاحيات بشكل دوري (PCI Security Standards Council, 2024; Goghie, 2024)، بحيث يتم ضمان أن كل مستخدم يحصل فقط على المستوى المناسب من الوصول المطلوب لأداء مهامه وليس أكثر (Ahammad et al., 2025; Sakarneh &amp; Kilani, 2024)</w:t>
      </w:r>
      <w:r>
        <w:rPr>
          <w:rFonts w:ascii="Traditional Arabic" w:hAnsi="Traditional Arabic" w:cs="Traditional Arabic" w:hint="cs"/>
          <w:b/>
          <w:bCs/>
          <w:sz w:val="28"/>
          <w:szCs w:val="28"/>
          <w:rtl/>
        </w:rPr>
        <w:t>.</w:t>
      </w:r>
    </w:p>
    <w:p w14:paraId="49A80573"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حماية البيانات والتشفير: من خلال تشفير البيانات في حالات السكون والنقل، وإدارة المفاتيح التشفيرية بشكل آمن، وتطبيق تقنيات إخفاء البيانات (Data Masking) والترميز (Tokenization) لحماية البيانات الحساسة (PCI Security Standards Council, 2024; Financial Stability Board, 2024)، بحيث حتى في حال اختراق قواعد البيانات فإن البيانات تبقى غير قابلة للقراءة بدون المفاتيح التشفيرية المناسبة (IBM Security, 2024; Carapella et al., 2023)</w:t>
      </w:r>
      <w:r>
        <w:rPr>
          <w:rFonts w:ascii="Traditional Arabic" w:hAnsi="Traditional Arabic" w:cs="Traditional Arabic" w:hint="cs"/>
          <w:b/>
          <w:bCs/>
          <w:sz w:val="28"/>
          <w:szCs w:val="28"/>
          <w:rtl/>
        </w:rPr>
        <w:t>.</w:t>
      </w:r>
    </w:p>
    <w:p w14:paraId="4DE5D8E7"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lastRenderedPageBreak/>
        <w:t>المراقبة الأمنية والاستجابة للحوادث: عبر مراكز العمليات الأمنية (Security Operations Centers - SOC) التي تعمل على مدار الساعة لرصد التهديدات والحوادث الأمنية (ENISA, 2024; Karanovic et al., 2024)، وتحليل السجلات وأنماط الشبكة للكشف عن الأنشطة المشبوهة (Ahammad et al., 2025)، والاستجابة السريعة للحوادث عند حدوثها، وإجراء التحقيقات الجنائية الرقمية لفهم طبيعة الهجوم وتأثيره واتخاذ الإجراءات التصحيحية (Goghie, 2024; Udeh et al., 2025)</w:t>
      </w:r>
      <w:r>
        <w:rPr>
          <w:rFonts w:ascii="Traditional Arabic" w:hAnsi="Traditional Arabic" w:cs="Traditional Arabic" w:hint="cs"/>
          <w:b/>
          <w:bCs/>
          <w:sz w:val="28"/>
          <w:szCs w:val="28"/>
          <w:rtl/>
        </w:rPr>
        <w:t>.</w:t>
      </w:r>
    </w:p>
    <w:p w14:paraId="05BF04BE"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إدارة المخاطر السيبرانية: من خلال تقييم المخاطر بشكل منتظم، وتحديد الأصول الحرجة والتهديدات المحتملة، وتطبيق الضوابط المناسبة للتخفيف من المخاطر (Carapella et al., 2023; Saudi Central Bank, 2024)، ومراقبة فعالية هذه الضوابط وتحديثها بناءً على التغيرات في بيئة التهديدات (ENISA, 2024; IBM Security, 2024)، بحيث يتم اتخاذ قرارات مستنيرة بشأن الاستثمارات الأمنية وتخصيص الموارد (Sakarneh &amp; Kilani, 2024)</w:t>
      </w:r>
      <w:r>
        <w:rPr>
          <w:rFonts w:ascii="Traditional Arabic" w:hAnsi="Traditional Arabic" w:cs="Traditional Arabic" w:hint="cs"/>
          <w:b/>
          <w:bCs/>
          <w:sz w:val="28"/>
          <w:szCs w:val="28"/>
          <w:rtl/>
        </w:rPr>
        <w:t>.</w:t>
      </w:r>
    </w:p>
    <w:p w14:paraId="0C2592F1"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الوعي والتدريب الأمني: حيث يمثل العنصر البشري نقطة ضعف محتملة في أي منظومة أمنية (ENISA, 2024; Karanovic et al., 2024)، مما يتطلب تدريب الموظفين بشكل مستمر على أفضل الممارسات الأمنية، وتوعيتهم بالتهديدات الشائعة كهجمات التصيد الاحتيالي (Phishing) (Ahammad et al., 2025; Goghie, 2024)، واختبار مدى التزامهم بالسياسات الأمنية من خلال محاكاة الهجمات، بحيث يصبح كل موظف خط دفاع أول ضد التهديدات السيبرانية (Islam &amp; In, 2024; Sakarneh &amp; Kilani, 2024</w:t>
      </w:r>
      <w:r>
        <w:rPr>
          <w:rFonts w:ascii="Traditional Arabic" w:hAnsi="Traditional Arabic" w:cs="Traditional Arabic" w:hint="cs"/>
          <w:b/>
          <w:bCs/>
          <w:sz w:val="28"/>
          <w:szCs w:val="28"/>
          <w:rtl/>
        </w:rPr>
        <w:t>).</w:t>
      </w:r>
    </w:p>
    <w:p w14:paraId="1882D795"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2.1.1.4 التهديدات السيبرانية الرئيسية للمؤسسات المالية</w:t>
      </w:r>
    </w:p>
    <w:p w14:paraId="6E953329"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تواجه المؤسسات المالية مجموعة واسعة من التهديدات السيبرانية التي تتطور باستمرار (ENISA, 2024; IBM Security, 2024)، حيث تتمثل أبرز هذه التهديدات فيما يلي:</w:t>
      </w:r>
    </w:p>
    <w:p w14:paraId="6CD8A966"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هجمات برامج الفدية (Ransomware)</w:t>
      </w:r>
      <w:r>
        <w:rPr>
          <w:rFonts w:ascii="Traditional Arabic" w:hAnsi="Traditional Arabic" w:cs="Traditional Arabic" w:hint="cs"/>
          <w:b/>
          <w:bCs/>
          <w:sz w:val="28"/>
          <w:szCs w:val="28"/>
          <w:rtl/>
        </w:rPr>
        <w:t>:</w:t>
      </w:r>
      <w:r>
        <w:rPr>
          <w:rFonts w:ascii="Traditional Arabic" w:hAnsi="Traditional Arabic" w:cs="Traditional Arabic"/>
          <w:b/>
          <w:bCs/>
          <w:sz w:val="28"/>
          <w:szCs w:val="28"/>
          <w:rtl/>
        </w:rPr>
        <w:t xml:space="preserve"> حيث يقوم المهاجمون بتشفير بيانات المؤسسة وطلب فدية لفك التشفير (ENISA, 2024; Karanovic et al., 2024)، مما قد يؤدي إلى توقف العمليات بشكل </w:t>
      </w:r>
      <w:r>
        <w:rPr>
          <w:rFonts w:ascii="Traditional Arabic" w:hAnsi="Traditional Arabic" w:cs="Traditional Arabic"/>
          <w:b/>
          <w:bCs/>
          <w:sz w:val="28"/>
          <w:szCs w:val="28"/>
          <w:rtl/>
        </w:rPr>
        <w:lastRenderedPageBreak/>
        <w:t>كامل وخسائر مالية ضخمة (Ahammad et al., 2025; Carapella et al., 2023)، وقد شهدت السنوات الأخيرة ارتفاعاً حاداً في هذا النوع من الهجمات الموجهة للقطاع المالي (IBM Security, 2024).</w:t>
      </w:r>
    </w:p>
    <w:p w14:paraId="4EE7917C"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اختراقات البيانات وسرقة المعلومات: من خلال استهداف قواعد البيانات التي تحتوي على معلومات العملاء والحسابات (PCI Security Standards Council, 2024; Goghie, 2024)، بهدف سرقة هذه البيانات لاستخدامها في عمليات احتيال أو بيعها في الأسواق السوداء (ENISA, 2024)، وهذا النوع من الهجمات يمثل أكبر التهديدات للقطاع المالي من حيث الانتشار والأضرار المحتملة (IBM Security, 2024; Karanovic et al., 2024).</w:t>
      </w:r>
    </w:p>
    <w:p w14:paraId="24C51D63"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هجمات الحرمان من الخدمة (DDoS)</w:t>
      </w:r>
      <w:r>
        <w:rPr>
          <w:rFonts w:ascii="Traditional Arabic" w:hAnsi="Traditional Arabic" w:cs="Traditional Arabic" w:hint="cs"/>
          <w:b/>
          <w:bCs/>
          <w:sz w:val="28"/>
          <w:szCs w:val="28"/>
          <w:rtl/>
        </w:rPr>
        <w:t>:</w:t>
      </w:r>
      <w:r>
        <w:rPr>
          <w:rFonts w:ascii="Traditional Arabic" w:hAnsi="Traditional Arabic" w:cs="Traditional Arabic"/>
          <w:b/>
          <w:bCs/>
          <w:sz w:val="28"/>
          <w:szCs w:val="28"/>
          <w:rtl/>
        </w:rPr>
        <w:t xml:space="preserve"> التي تهدف إلى إغراق الأنظمة والخوادم بحركة مرور كثيفة لإيقاف الخدمات عن العمل (Ahammad et al., 2025; Karanovic et al., 2024)، مما يؤدي إلى عدم قدرة العملاء على الوصول للخدمات المالية الإلكترونية لفترات قد تطول (ENISA, 2024)، وهذا النوع يستخدم أحياناً كتشتيت للانتباه بينما يجري هجوم آخر أكثر خطورة (Carapella et al., 2023).</w:t>
      </w:r>
    </w:p>
    <w:p w14:paraId="3905228D"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هجمات التصيد الاحتيالي والهندسة الاجتماعية: من خلال خداع الموظفين أو العملاء للكشف عن بيانات حساسة أو تنفيذ إجراءات معينة تمكن المهاجمين من الوصول للأنظمة (Goghie, 2024; Sakarneh &amp; Kilani, 2024)، وتعتبر هذه الهجمات من أكثر الهجمات نجاحاً لأنها تستهدف الحلقة الأضعف وهي العنصر البشري (ENISA, 2024; Islam &amp; In, 2024).</w:t>
      </w:r>
    </w:p>
    <w:p w14:paraId="150B4EEC"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هجمات سلسلة التوريد: حيث يستهدف المهاجمون مقدمي الخدمات التقنية للمؤسسات المالية للوصول إلى أنظمة المؤسسات الأساسية بشكل غير مباشر (ENISA, 2024; Carapella et al., 2023)، وهذا النوع شهد تزايداً ملحوظاً في الفترة الأخيرة ويمثل تحدياً كبيراً لأنه يستغل علاقات الثقة القائمة (Ahammad et al., 2025; Karanovic et al., 2024).</w:t>
      </w:r>
    </w:p>
    <w:p w14:paraId="6DDF6316"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 xml:space="preserve">برمجيات التجسس والبرمجيات الخبيثة: التي تستهدف سرقة البيانات أو مراقبة الأنشطة أو السيطرة على الأنظمة دون علم المستخدمين (IBM Security, 2024; Goghie, 2024)، وتتنوع هذه البرمجيات في مستوى </w:t>
      </w:r>
      <w:r>
        <w:rPr>
          <w:rFonts w:ascii="Traditional Arabic" w:hAnsi="Traditional Arabic" w:cs="Traditional Arabic"/>
          <w:b/>
          <w:bCs/>
          <w:sz w:val="28"/>
          <w:szCs w:val="28"/>
          <w:rtl/>
        </w:rPr>
        <w:lastRenderedPageBreak/>
        <w:t>تطورها وقدراتها على التخفي والاستمرار في الأنظمة لفترات طويلة دون اكتشاف (ENISA, 2024; Udeh et al., 2025).</w:t>
      </w:r>
    </w:p>
    <w:p w14:paraId="2DE93B67"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المبحث الثاني (2.1.2) -</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تقنية الترميز في المؤسسات المالية</w:t>
      </w:r>
    </w:p>
    <w:p w14:paraId="6798B45C" w14:textId="77777777" w:rsidR="00F00638" w:rsidRPr="004F6AF4" w:rsidRDefault="00F00638" w:rsidP="00E000FF">
      <w:pPr>
        <w:bidi/>
        <w:spacing w:after="0" w:line="360" w:lineRule="auto"/>
        <w:jc w:val="both"/>
        <w:rPr>
          <w:rFonts w:ascii="Simplified Arabic" w:hAnsi="Simplified Arabic" w:cs="Simplified Arabic"/>
          <w:b/>
          <w:bCs/>
          <w:sz w:val="28"/>
          <w:szCs w:val="28"/>
          <w:rtl/>
        </w:rPr>
      </w:pPr>
      <w:r>
        <w:rPr>
          <w:rFonts w:ascii="Traditional Arabic" w:hAnsi="Traditional Arabic" w:cs="Traditional Arabic"/>
          <w:b/>
          <w:bCs/>
          <w:sz w:val="28"/>
          <w:szCs w:val="28"/>
          <w:rtl/>
        </w:rPr>
        <w:t>تعد تقنية الترميز من أبرز التطورات التقنية التي شهدها القطاع المالي في السنوات الأخيرة، حيث أصبحت تمثل ركيزة أساسية في التحول الرقمي للمؤسسات المالية على مستوى العالم، وذلك من خلال قدرتها على تحويل الأصول والبيانات الحساسة إلى رموز رقمية يمكن تداولها وإدارتها بشكل آمن وفعال</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br/>
        <w:t>(Financial Stability Board, 2024; PCI Security Standards Council, 2024)</w:t>
      </w:r>
      <w:r>
        <w:rPr>
          <w:rFonts w:ascii="Traditional Arabic" w:hAnsi="Traditional Arabic" w:cs="Traditional Arabic" w:hint="cs"/>
          <w:b/>
          <w:bCs/>
          <w:sz w:val="28"/>
          <w:szCs w:val="28"/>
          <w:rtl/>
        </w:rPr>
        <w:t xml:space="preserve">. </w:t>
      </w:r>
    </w:p>
    <w:p w14:paraId="684C145F"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وقد برزت أهمية هذه التقنية بشكل خاص في ظل التزايد المستمر لحجم التهديدات السيبرانية التي تستهدف القطاع المالي، والحاجة الملحة لتقليل تكاليف العمليات وتحسين سرعة التنفيذ</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(IBM Security, 2024; ENISA, 2024)</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مما جعل من الترميز حلاً تقنياً متكاملاً يجمع بين الأمان والكفاءة والابتكار</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(McKinsey &amp; Company, 2024; World Economic Forum, 2024)</w:t>
      </w:r>
      <w:r>
        <w:rPr>
          <w:rFonts w:ascii="Traditional Arabic" w:hAnsi="Traditional Arabic" w:cs="Traditional Arabic" w:hint="cs"/>
          <w:b/>
          <w:bCs/>
          <w:sz w:val="28"/>
          <w:szCs w:val="28"/>
          <w:rtl/>
        </w:rPr>
        <w:t>.</w:t>
      </w:r>
    </w:p>
    <w:p w14:paraId="49B67061"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2.1.2.1</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مفهوم تقنية الترميز في المؤسسات المالية</w:t>
      </w:r>
    </w:p>
    <w:p w14:paraId="77021A58"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توجدت العديد من التعريفات التي تناولت مفهوم تقنية الترميز في السياق المالي، حيث يعرفها البعض من منظور الأمن السيبراني بينما يعرفها آخرون من منظور الكفاءة التشغيلية، وجميع هذه التعريفات تؤكد على الدور المحوري الذي تلعبه هذه التقنية في تطوير النظم المالية الحديثة (Goghie, 2024; Grossmann et al., 2025). فقد عرف مجلس الاستقرار المالي (Financial Stability Board, 2024) تقنية الترميز بأنها "عملية تحويل الحقوق في أصل ما إلى تمثيل رقمي على دفتر أستاذ قابل للبرمجة، بحيث يمكن نقل ملكية هذه الرموز وتخزينها وتداولها باستخدام التقنيات الرقمية الحديثة"، مما يعني أن الترميز لا يقتصر على مجرد تحويل رقمي، بل يشمل إنشاء بنية تحتية رقمية متكاملة تدعم إدارة الأصول بطريقة أكثر كفاءة وأماناً.</w:t>
      </w:r>
    </w:p>
    <w:p w14:paraId="26B98B65" w14:textId="77777777" w:rsidR="00F00638" w:rsidRPr="004F6AF4" w:rsidRDefault="00F00638" w:rsidP="00E000FF">
      <w:pPr>
        <w:bidi/>
        <w:spacing w:after="0" w:line="360" w:lineRule="auto"/>
        <w:jc w:val="both"/>
        <w:rPr>
          <w:rFonts w:ascii="Simplified Arabic" w:hAnsi="Simplified Arabic" w:cs="Simplified Arabic"/>
          <w:b/>
          <w:bCs/>
          <w:sz w:val="28"/>
          <w:szCs w:val="28"/>
          <w:rtl/>
        </w:rPr>
      </w:pPr>
      <w:r>
        <w:rPr>
          <w:rFonts w:ascii="Traditional Arabic" w:hAnsi="Traditional Arabic" w:cs="Traditional Arabic"/>
          <w:b/>
          <w:bCs/>
          <w:sz w:val="28"/>
          <w:szCs w:val="28"/>
          <w:rtl/>
        </w:rPr>
        <w:t xml:space="preserve">من جانب آخر، يشير مجلس معايير أمن PCI (PCI Security Standards Council, 2024) إلى أن الترميز في سياق حماية البيانات هو "عملية استبدال عنصر البيانات الحساسة برمز بديل غير حساس يسمى </w:t>
      </w:r>
      <w:r>
        <w:rPr>
          <w:rFonts w:ascii="Traditional Arabic" w:hAnsi="Traditional Arabic" w:cs="Traditional Arabic"/>
          <w:b/>
          <w:bCs/>
          <w:sz w:val="28"/>
          <w:szCs w:val="28"/>
          <w:rtl/>
        </w:rPr>
        <w:lastRenderedPageBreak/>
        <w:t>Token، بحيث يحتفظ الرمز بخصائص معينة من البيانات الأصلية مثل الطول أو التنسيق دون الكشف عن القيمة الفعلية"، وهذا التعريف يركز على البعد الأمني للترميز من خلال فصل البيانات الحساسة عن بيئة المعالجة، مما يقلل بشكل كبير من مخاطر الاختراق وسرقة البيانا</w:t>
      </w:r>
      <w:r>
        <w:rPr>
          <w:rFonts w:ascii="Traditional Arabic" w:hAnsi="Traditional Arabic" w:cs="Traditional Arabic" w:hint="cs"/>
          <w:b/>
          <w:bCs/>
          <w:sz w:val="28"/>
          <w:szCs w:val="28"/>
          <w:rtl/>
        </w:rPr>
        <w:t>ت.</w:t>
      </w:r>
    </w:p>
    <w:p w14:paraId="37256B0C"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(Ahammad et al., 2025; Carapella et al., 2023)</w:t>
      </w:r>
      <w:r>
        <w:rPr>
          <w:rFonts w:ascii="Traditional Arabic" w:hAnsi="Traditional Arabic" w:cs="Traditional Arabic" w:hint="cs"/>
          <w:b/>
          <w:bCs/>
          <w:sz w:val="28"/>
          <w:szCs w:val="28"/>
          <w:rtl/>
        </w:rPr>
        <w:t>.</w:t>
      </w:r>
    </w:p>
    <w:p w14:paraId="31887E88" w14:textId="77777777" w:rsidR="00F00638" w:rsidRPr="004F6AF4" w:rsidRDefault="00F00638" w:rsidP="00E000FF">
      <w:pPr>
        <w:bidi/>
        <w:spacing w:after="0" w:line="360" w:lineRule="auto"/>
        <w:jc w:val="both"/>
        <w:rPr>
          <w:rFonts w:ascii="Simplified Arabic" w:hAnsi="Simplified Arabic" w:cs="Simplified Arabic"/>
          <w:b/>
          <w:bCs/>
          <w:sz w:val="28"/>
          <w:szCs w:val="28"/>
          <w:rtl/>
        </w:rPr>
      </w:pPr>
      <w:r>
        <w:rPr>
          <w:rFonts w:ascii="Traditional Arabic" w:hAnsi="Traditional Arabic" w:cs="Traditional Arabic"/>
          <w:b/>
          <w:bCs/>
          <w:sz w:val="28"/>
          <w:szCs w:val="28"/>
          <w:rtl/>
        </w:rPr>
        <w:t>بينما تعرف شركة McKinsey &amp; Company (2024) الترميز من منظور اقتصادي وتشغيلي بأنه "تقنية تمكن من تجزئة الأصول التقليدية إلى وحدات رقمية أصغر قابلة للتداول، مما يفتح آفاقاً جديدة للسيولة والشمول المالي ويخفض حواجز الدخول للاستثمار في أصول كانت محصورة تقليدياً على المستثمرين الكبار"، وهذا التعريف يسلط الضوء على الأثر التحويلي للترميز على هيكل الأسواق المالية وإمكانية إعادة تشكيل نماذج الأعمال المالية التقليدية من خلال الابتكار التقني</w:t>
      </w:r>
      <w:r>
        <w:rPr>
          <w:rFonts w:ascii="Traditional Arabic" w:hAnsi="Traditional Arabic" w:cs="Traditional Arabic" w:hint="cs"/>
          <w:b/>
          <w:bCs/>
          <w:sz w:val="28"/>
          <w:szCs w:val="28"/>
          <w:rtl/>
        </w:rPr>
        <w:t>.</w:t>
      </w:r>
    </w:p>
    <w:p w14:paraId="5C6AF2B5"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(Lavayssière &amp; Zhang, 2025; Al-Qudah et al., 2025)</w:t>
      </w:r>
      <w:r>
        <w:rPr>
          <w:rFonts w:ascii="Traditional Arabic" w:hAnsi="Traditional Arabic" w:cs="Traditional Arabic" w:hint="cs"/>
          <w:b/>
          <w:bCs/>
          <w:sz w:val="28"/>
          <w:szCs w:val="28"/>
          <w:rtl/>
        </w:rPr>
        <w:t>.</w:t>
      </w:r>
    </w:p>
    <w:p w14:paraId="0DEDF8A7" w14:textId="77777777" w:rsidR="00F00638" w:rsidRPr="004F6AF4" w:rsidRDefault="00F00638" w:rsidP="00E000FF">
      <w:pPr>
        <w:bidi/>
        <w:spacing w:after="0" w:line="360" w:lineRule="auto"/>
        <w:jc w:val="both"/>
        <w:rPr>
          <w:rFonts w:ascii="Simplified Arabic" w:hAnsi="Simplified Arabic" w:cs="Simplified Arabic"/>
          <w:b/>
          <w:bCs/>
          <w:sz w:val="28"/>
          <w:szCs w:val="28"/>
          <w:rtl/>
        </w:rPr>
      </w:pPr>
      <w:r>
        <w:rPr>
          <w:rFonts w:ascii="Traditional Arabic" w:hAnsi="Traditional Arabic" w:cs="Traditional Arabic"/>
          <w:b/>
          <w:bCs/>
          <w:sz w:val="28"/>
          <w:szCs w:val="28"/>
          <w:rtl/>
        </w:rPr>
        <w:t>مما سبق يرى الباحث أن تقنية الترميز في المؤسسات المالية تمثل منظومة تقنية متكاملة تهدف إلى تحويل الأصول والبيانات المالية الحساسة إلى رموز رقمية آمنة وقابلة للبرمجة</w:t>
      </w:r>
    </w:p>
    <w:p w14:paraId="7D68CB8C" w14:textId="77777777" w:rsidR="00F00638" w:rsidRPr="004F6AF4" w:rsidRDefault="00F00638" w:rsidP="00E000FF">
      <w:pPr>
        <w:bidi/>
        <w:spacing w:after="0" w:line="360" w:lineRule="auto"/>
        <w:jc w:val="right"/>
        <w:rPr>
          <w:rFonts w:ascii="Simplified Arabic" w:hAnsi="Simplified Arabic" w:cs="Simplified Arabic"/>
          <w:b/>
          <w:bCs/>
          <w:sz w:val="28"/>
          <w:szCs w:val="28"/>
          <w:rtl/>
        </w:rPr>
      </w:pPr>
      <w:r>
        <w:rPr>
          <w:rFonts w:ascii="Traditional Arabic" w:hAnsi="Traditional Arabic" w:cs="Traditional Arabic"/>
          <w:b/>
          <w:bCs/>
          <w:sz w:val="28"/>
          <w:szCs w:val="28"/>
          <w:rtl/>
        </w:rPr>
        <w:t>(Financial Stability Board, 2024; PCI Security Standards Council, 2024; McKinsey &amp; Company, 2024)،</w:t>
      </w:r>
    </w:p>
    <w:p w14:paraId="3855B27F"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بحيث تحقق ثلاثة أهداف رئيسية متزامنة، وهي تعزيز مستويات الأمن السيبراني من خلال حماية البيانات الحساسة، وتحسين الكفاءة التشغيلية عبر أتمتة العمليات وتسريع التنفيذ، وفتح آفاق جديدة للابتكار المالي من خلال إتاحة نماذج أعمال ومنتجات مالية لم تكن ممكنة في السابق (Karanovic et al., 2024; Udeh et al., 2025)، وذلك في إطار يجمع بين التقنيات الحديثة كالبلوكشين والعقود الذكية والذكاء الاصطناعي لتقديم حلول مالية متطورة تلبي احتياجات العصر الرقمي</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(Islam &amp; In, 2024)</w:t>
      </w:r>
      <w:r>
        <w:rPr>
          <w:rFonts w:ascii="Traditional Arabic" w:hAnsi="Traditional Arabic" w:cs="Traditional Arabic" w:hint="cs"/>
          <w:b/>
          <w:bCs/>
          <w:sz w:val="28"/>
          <w:szCs w:val="28"/>
          <w:rtl/>
        </w:rPr>
        <w:t>.</w:t>
      </w:r>
    </w:p>
    <w:p w14:paraId="4AAD76B2"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2.1.2.2</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أهمية تقنية الترميز في المؤسسات المالية</w:t>
      </w:r>
    </w:p>
    <w:p w14:paraId="7BAF6C38"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تكتسب تقنية الترميز أهمية متزايدة في القطاع المالي العالمي والسعودي على وجه الخصوص (Saudi Central Bank, 2024; Thunes Research, 2025)، حيث تتمثل أهميتها فيما يلي:</w:t>
      </w:r>
    </w:p>
    <w:p w14:paraId="13D78D38" w14:textId="77777777" w:rsidR="00F00638" w:rsidRPr="004F6AF4" w:rsidRDefault="00F00638" w:rsidP="00E000FF">
      <w:pPr>
        <w:bidi/>
        <w:spacing w:after="0" w:line="360" w:lineRule="auto"/>
        <w:jc w:val="both"/>
        <w:rPr>
          <w:rFonts w:ascii="Simplified Arabic" w:hAnsi="Simplified Arabic" w:cs="Simplified Arabic"/>
          <w:b/>
          <w:bCs/>
          <w:sz w:val="28"/>
          <w:szCs w:val="28"/>
          <w:rtl/>
        </w:rPr>
      </w:pPr>
      <w:r>
        <w:rPr>
          <w:rFonts w:ascii="Traditional Arabic" w:hAnsi="Traditional Arabic" w:cs="Traditional Arabic"/>
          <w:b/>
          <w:bCs/>
          <w:sz w:val="28"/>
          <w:szCs w:val="28"/>
          <w:rtl/>
        </w:rPr>
        <w:lastRenderedPageBreak/>
        <w:t>تعزيز الأمن السيبراني وحماية البيانات الحساسة</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حيث تساهم تقنية الترميز في تقليل مخاطر اختراق البيانات بشكل جوهري من خلال استبدال البيانات الحساسة كأرقام البطاقات الائتمانية ومعلومات الحسابات المصرفية برموز عديمة القيمة في حال اعتراضها</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(PCI Security Standards Council, 2024; Ahammad et al., 2025)، بحيث أن البيانات الفعلية تبقى محفوظة في بيئة آمنة معزولة تماماً عن نقاط التعرض للاختراق، مما يوفر طبقة حماية إضافية تكمل تقنيات التشفير التقليدية</w:t>
      </w:r>
      <w:r>
        <w:rPr>
          <w:rFonts w:ascii="Traditional Arabic" w:hAnsi="Traditional Arabic" w:cs="Traditional Arabic" w:hint="cs"/>
          <w:b/>
          <w:bCs/>
          <w:sz w:val="28"/>
          <w:szCs w:val="28"/>
          <w:rtl/>
        </w:rPr>
        <w:t>.</w:t>
      </w:r>
    </w:p>
    <w:p w14:paraId="4F514DF9" w14:textId="77777777" w:rsidR="00F00638" w:rsidRPr="004F6AF4" w:rsidRDefault="00F00638" w:rsidP="00E000FF">
      <w:pPr>
        <w:bidi/>
        <w:spacing w:after="0" w:line="360" w:lineRule="auto"/>
        <w:jc w:val="both"/>
        <w:rPr>
          <w:rFonts w:ascii="Simplified Arabic" w:hAnsi="Simplified Arabic" w:cs="Simplified Arabic"/>
          <w:b/>
          <w:bCs/>
          <w:sz w:val="28"/>
          <w:szCs w:val="28"/>
          <w:rtl/>
        </w:rPr>
      </w:pPr>
      <w:r>
        <w:rPr>
          <w:rFonts w:ascii="Traditional Arabic" w:hAnsi="Traditional Arabic" w:cs="Traditional Arabic"/>
          <w:b/>
          <w:bCs/>
          <w:sz w:val="28"/>
          <w:szCs w:val="28"/>
          <w:rtl/>
        </w:rPr>
        <w:t>(Goghie, 2024; Carapella et al., 2023)</w:t>
      </w:r>
      <w:r>
        <w:rPr>
          <w:rFonts w:ascii="Traditional Arabic" w:hAnsi="Traditional Arabic" w:cs="Traditional Arabic" w:hint="cs"/>
          <w:b/>
          <w:bCs/>
          <w:sz w:val="28"/>
          <w:szCs w:val="28"/>
          <w:rtl/>
        </w:rPr>
        <w:t xml:space="preserve">. </w:t>
      </w:r>
    </w:p>
    <w:p w14:paraId="7D291EDF"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وتشير البيانات إلى أن متوسط تكلفة الاختراق الأمني في القطاع المالي يبلغ حوالي 6.08 مليون دولار، مما يبرز الأهمية الاقتصادية الكبيرة لتبني حلول أمنية فعالة كالترميز</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(IBM Security, 2024)</w:t>
      </w:r>
      <w:r>
        <w:rPr>
          <w:rFonts w:ascii="Traditional Arabic" w:hAnsi="Traditional Arabic" w:cs="Traditional Arabic" w:hint="cs"/>
          <w:b/>
          <w:bCs/>
          <w:sz w:val="28"/>
          <w:szCs w:val="28"/>
          <w:rtl/>
        </w:rPr>
        <w:t>.</w:t>
      </w:r>
    </w:p>
    <w:p w14:paraId="2D9253EA" w14:textId="77777777" w:rsidR="00F00638" w:rsidRPr="004F6AF4" w:rsidRDefault="00F00638" w:rsidP="00E000FF">
      <w:pPr>
        <w:bidi/>
        <w:spacing w:after="0" w:line="360" w:lineRule="auto"/>
        <w:jc w:val="both"/>
        <w:rPr>
          <w:rFonts w:ascii="Simplified Arabic" w:hAnsi="Simplified Arabic" w:cs="Simplified Arabic"/>
          <w:b/>
          <w:bCs/>
          <w:sz w:val="28"/>
          <w:szCs w:val="28"/>
          <w:rtl/>
        </w:rPr>
      </w:pPr>
      <w:r>
        <w:rPr>
          <w:rFonts w:ascii="Traditional Arabic" w:hAnsi="Traditional Arabic" w:cs="Traditional Arabic"/>
          <w:b/>
          <w:bCs/>
          <w:sz w:val="28"/>
          <w:szCs w:val="28"/>
          <w:rtl/>
        </w:rPr>
        <w:t>تحسين الكفاءة التشغيلية وتقليل تكاليف المعاملات</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من خلال قدرة أنظمة الترميز المبنية على البلوكشين على تسوية المعاملات بشكل شبه فوري بدلاً من الأيام التي تستغرقها الأنظمة التقليدية</w:t>
      </w:r>
      <w:r>
        <w:rPr>
          <w:rFonts w:ascii="Traditional Arabic" w:hAnsi="Traditional Arabic" w:cs="Traditional Arabic" w:hint="cs"/>
          <w:b/>
          <w:bCs/>
          <w:sz w:val="28"/>
          <w:szCs w:val="28"/>
          <w:rtl/>
        </w:rPr>
        <w:t xml:space="preserve"> </w:t>
      </w:r>
    </w:p>
    <w:p w14:paraId="61A9F812" w14:textId="77777777" w:rsidR="00F00638" w:rsidRPr="004F6AF4" w:rsidRDefault="00F00638" w:rsidP="00E000FF">
      <w:pPr>
        <w:bidi/>
        <w:spacing w:after="0" w:line="360" w:lineRule="auto"/>
        <w:jc w:val="both"/>
        <w:rPr>
          <w:rFonts w:ascii="Simplified Arabic" w:hAnsi="Simplified Arabic" w:cs="Simplified Arabic"/>
          <w:b/>
          <w:bCs/>
          <w:sz w:val="28"/>
          <w:szCs w:val="28"/>
          <w:rtl/>
        </w:rPr>
      </w:pPr>
      <w:r>
        <w:rPr>
          <w:rFonts w:ascii="Traditional Arabic" w:hAnsi="Traditional Arabic" w:cs="Traditional Arabic"/>
          <w:b/>
          <w:bCs/>
          <w:sz w:val="28"/>
          <w:szCs w:val="28"/>
          <w:rtl/>
        </w:rPr>
        <w:t>(Al-Qudah et al., 2025; Grossmann et al., 2025)، وذلك عبر إلغاء الحاجة للعديد من الوسطاء وأنظمة المقاصة المركزية التي تضيف تكاليف وتعقيدات للعمليات المالية</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(Udeh et al., 2025)، بحيث تتمكن المؤسسات المالية من تحقيق وفورات كبيرة في التكاليف التشغيلية وتحسين تجربة العملاء من خلال خدمات أسرع وأكثر موثوقية</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(Almadadha, 2025; Karanovic et al., 2024)</w:t>
      </w:r>
      <w:r>
        <w:rPr>
          <w:rFonts w:ascii="Traditional Arabic" w:hAnsi="Traditional Arabic" w:cs="Traditional Arabic" w:hint="cs"/>
          <w:b/>
          <w:bCs/>
          <w:sz w:val="28"/>
          <w:szCs w:val="28"/>
          <w:rtl/>
        </w:rPr>
        <w:t xml:space="preserve">. </w:t>
      </w:r>
    </w:p>
    <w:p w14:paraId="509EAFFE"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وتقدر الدراسات الاقتصادية إمكانية توفير ما بين 15 إلى 20 مليار دولار سنوياً في تكاليف البنية التحتية المالية العالمية من خلال تبني الترميز على نطاق واسع</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(World Economic Forum, 2024)</w:t>
      </w:r>
      <w:r>
        <w:rPr>
          <w:rFonts w:ascii="Traditional Arabic" w:hAnsi="Traditional Arabic" w:cs="Traditional Arabic" w:hint="cs"/>
          <w:b/>
          <w:bCs/>
          <w:sz w:val="28"/>
          <w:szCs w:val="28"/>
          <w:rtl/>
        </w:rPr>
        <w:t>.</w:t>
      </w:r>
    </w:p>
    <w:p w14:paraId="72D27ADD"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تمكين الشمول المالي وتوسيع قاعدة المستثمرين</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 xml:space="preserve">حيث تتيح تقنية الترميز إمكانية تجزئة الأصول عالية القيمة إلى وحدات صغيرة يمكن تداولها (Lavayssière &amp; Zhang, 2025; Multiple Authors, 2025)، مما يفتح المجال أمام صغار المستثمرين للمشاركة في أسواق كانت محصورة تقليدياً على المستثمرين المؤسسيين وكبار الأثرياء (McKinsey &amp; Company, 2024)، بحيث يمكن لأي مستثمر امتلاك حصة جزئية في عقار تجاري أو سندات حكومية أو أصول أخرى بقيمة استثمارية صغيرة نسبياً (Adigwe et al., 2024)، وهذا يتماشى بشكل مباشر مع أهداف رؤية السعودية 2030 في رفع معدل الشمول المالي وتمكين </w:t>
      </w:r>
      <w:r>
        <w:rPr>
          <w:rFonts w:ascii="Traditional Arabic" w:hAnsi="Traditional Arabic" w:cs="Traditional Arabic"/>
          <w:b/>
          <w:bCs/>
          <w:sz w:val="28"/>
          <w:szCs w:val="28"/>
          <w:rtl/>
        </w:rPr>
        <w:lastRenderedPageBreak/>
        <w:t>المواطنين من المشاركة في الاقتصاد الرقمي بشكل فعال (Saudi Central Bank, 2024; IMF, 2024)</w:t>
      </w:r>
      <w:r>
        <w:rPr>
          <w:rFonts w:ascii="Traditional Arabic" w:hAnsi="Traditional Arabic" w:cs="Traditional Arabic" w:hint="cs"/>
          <w:b/>
          <w:bCs/>
          <w:sz w:val="28"/>
          <w:szCs w:val="28"/>
          <w:rtl/>
        </w:rPr>
        <w:t>.</w:t>
      </w:r>
    </w:p>
    <w:p w14:paraId="0FC05717" w14:textId="77777777" w:rsidR="00F00638" w:rsidRPr="004F6AF4" w:rsidRDefault="00F00638" w:rsidP="00E000FF">
      <w:pPr>
        <w:bidi/>
        <w:spacing w:after="0" w:line="360" w:lineRule="auto"/>
        <w:jc w:val="both"/>
        <w:rPr>
          <w:rFonts w:ascii="Simplified Arabic" w:hAnsi="Simplified Arabic" w:cs="Simplified Arabic"/>
          <w:b/>
          <w:bCs/>
          <w:sz w:val="28"/>
          <w:szCs w:val="28"/>
          <w:rtl/>
        </w:rPr>
      </w:pPr>
      <w:r>
        <w:rPr>
          <w:rFonts w:ascii="Traditional Arabic" w:hAnsi="Traditional Arabic" w:cs="Traditional Arabic"/>
          <w:b/>
          <w:bCs/>
          <w:sz w:val="28"/>
          <w:szCs w:val="28"/>
          <w:rtl/>
        </w:rPr>
        <w:t>دعم التحول الرقمي والابتكار في نماذج الأعمال المالية</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من خلال إتاحة الفرصة لتطوير منتجات وخدمات مالية مبتكرة لم تكن ممكنة في البيئة التقليدية</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(Islam &amp; In, 2024; Sakarneh &amp; Kilani, 2024)، بحيث يمكن للمؤسسات المالية إطلاق أدوات استثمارية جديدة، وتقديم خدمات مالية على مدار الساعة طوال أيام الأسبوع، وتطوير منصات تداول لامركزية، وتحسين عمليات التمويل والإقراض من خلال العقود الذكية</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(Ahammad et al., 2025; Udeh et al., 2025)، مما يخلق قيمة مضافة حقيقية للعملاء والمستثمرين ويعزز من تنافسية المؤسسات المالية في السوق</w:t>
      </w:r>
      <w:r>
        <w:rPr>
          <w:rFonts w:ascii="Traditional Arabic" w:hAnsi="Traditional Arabic" w:cs="Traditional Arabic" w:hint="cs"/>
          <w:b/>
          <w:bCs/>
          <w:sz w:val="28"/>
          <w:szCs w:val="28"/>
          <w:rtl/>
        </w:rPr>
        <w:t>.</w:t>
      </w:r>
    </w:p>
    <w:p w14:paraId="60D9C8EC" w14:textId="77777777" w:rsidR="00F00638" w:rsidRPr="004F6AF4" w:rsidRDefault="00F00638" w:rsidP="00E000FF">
      <w:pPr>
        <w:bidi/>
        <w:spacing w:after="0" w:line="360" w:lineRule="auto"/>
        <w:jc w:val="right"/>
        <w:rPr>
          <w:rFonts w:ascii="Simplified Arabic" w:hAnsi="Simplified Arabic" w:cs="Simplified Arabic"/>
          <w:b/>
          <w:bCs/>
          <w:sz w:val="28"/>
          <w:szCs w:val="28"/>
        </w:rPr>
      </w:pPr>
      <w:r>
        <w:rPr>
          <w:rFonts w:ascii="Traditional Arabic" w:hAnsi="Traditional Arabic" w:cs="Traditional Arabic"/>
          <w:b/>
          <w:bCs/>
          <w:sz w:val="28"/>
          <w:szCs w:val="28"/>
          <w:rtl/>
        </w:rPr>
        <w:t>(Financial Stability Board, 2024; McKinsey &amp; Company, 2024).</w:t>
      </w:r>
    </w:p>
    <w:p w14:paraId="1DFDEF16"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تحسين الشفافية والامتثال التنظيمي</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حيث توفر تقنية الترميز سجلات غير قابلة للتعديل تحفظ جميع المعاملات بشكل دائم وشفاف</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(Goghie, 2024; Carapella et al., 2023)، مما يسهل عمليات المراجعة والتدقيق ويساعد المؤسسات المالية على الامتثال للمتطلبات التنظيمية المتزايدة التعقيد</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br/>
        <w:t>(PCI Security Standards Council, 2024; ENISA, 2024)، بحيث يمكن للجهات الرقابية الوصول إلى سجلات موثوقة ومحدثة بشكل فوري دون الحاجة لعمليات تدقيق مطولة ومكلفة</w:t>
      </w:r>
      <w:r>
        <w:rPr>
          <w:rFonts w:ascii="Traditional Arabic" w:hAnsi="Traditional Arabic" w:cs="Traditional Arabic"/>
          <w:b/>
          <w:bCs/>
          <w:sz w:val="28"/>
          <w:szCs w:val="28"/>
          <w:rtl/>
        </w:rPr>
        <w:br/>
        <w:t>(Karanovic et al., 2024)، وهذا يقلل من مخاطر عدم الامتثال والعقوبات المرتبطة بها</w:t>
      </w:r>
      <w:r>
        <w:rPr>
          <w:rFonts w:ascii="Traditional Arabic" w:hAnsi="Traditional Arabic" w:cs="Traditional Arabic"/>
          <w:b/>
          <w:bCs/>
          <w:sz w:val="28"/>
          <w:szCs w:val="28"/>
          <w:rtl/>
        </w:rPr>
        <w:br/>
        <w:t>(Sakarneh &amp; Kilani, 2024)</w:t>
      </w:r>
      <w:r>
        <w:rPr>
          <w:rFonts w:ascii="Traditional Arabic" w:hAnsi="Traditional Arabic" w:cs="Traditional Arabic" w:hint="cs"/>
          <w:b/>
          <w:bCs/>
          <w:sz w:val="28"/>
          <w:szCs w:val="28"/>
          <w:rtl/>
        </w:rPr>
        <w:t>.</w:t>
      </w:r>
    </w:p>
    <w:p w14:paraId="31C9E14E"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المساهمة في تحقيق أهداف رؤية السعودية 2030</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من خلال دعم التحول الرقمي في القطاع المالي السعودي وتعزيز مكانة المملكة كمركز مالي إقليمي وعالمي</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br/>
        <w:t>(Saudi Central Bank, 2024; Thunes Research, 2025)، بحيث تتماشى تقنية الترميز مع الأهداف الاستراتيجية للرؤية في تنويع الاقتصاد، ورفع كفاءة القطاع المالي، وتحسين تجربة العملاء، وتطوير البنية التحتية الرقمية</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(IMF, 2024)، مما يسهم في بناء اقتصاد معرفي تنافسي قائم على الابتكار والتقنية</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(McKinsey &amp; Company, 2024; World Economic Forum, 2024)</w:t>
      </w:r>
      <w:r>
        <w:rPr>
          <w:rFonts w:ascii="Traditional Arabic" w:hAnsi="Traditional Arabic" w:cs="Traditional Arabic" w:hint="cs"/>
          <w:b/>
          <w:bCs/>
          <w:sz w:val="28"/>
          <w:szCs w:val="28"/>
          <w:rtl/>
        </w:rPr>
        <w:t>.</w:t>
      </w:r>
    </w:p>
    <w:p w14:paraId="28D53DA9"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lastRenderedPageBreak/>
        <w:t>2.1.2.3</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أنواع تقنية الترميز في القطاع المالي</w:t>
      </w:r>
    </w:p>
    <w:p w14:paraId="17AB4B72"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تتنوع تطبيقات تقنية الترميز في القطاع المالي لتشمل عدة أنواع رئيسية، حيث يخدم كل نوع أغراضاً وحالات استخدام محددة</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(Financial Stability Board, 2024; Multiple Authors, 2025)، وتتمثل أهم هذه الأنواع فيما يلي:</w:t>
      </w:r>
    </w:p>
    <w:p w14:paraId="217A2018"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ترميز البيانات</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(Data Tokenization)</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وهو النوع الذي يركز على حماية البيانات الحساسة كأرقام البطاقات الائتمانية ومعلومات الحسابات البنكية من خلال استبدالها برموز بديلة عند المعالجة والتخزين</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br/>
        <w:t>(PCI Security Standards Council, 2024)، بحيث تبقى البيانات الفعلية في بيئة آمنة معزولة بينما تستخدم الرموز في جميع العمليات اليومية</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(Ahammad et al., 2025; Goghie, 2024)، وهذا النوع شائع بشكل كبير في أنظمة الدفع الإلكتروني ومعاملات التجارة الإلكترونية لتقليل مخاطر الاختراق وسرقة البيانات</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(Saudi Central Bank, 2024)</w:t>
      </w:r>
      <w:r>
        <w:rPr>
          <w:rFonts w:ascii="Traditional Arabic" w:hAnsi="Traditional Arabic" w:cs="Traditional Arabic" w:hint="cs"/>
          <w:b/>
          <w:bCs/>
          <w:sz w:val="28"/>
          <w:szCs w:val="28"/>
          <w:rtl/>
        </w:rPr>
        <w:t>.</w:t>
      </w:r>
    </w:p>
    <w:p w14:paraId="652DFDBA" w14:textId="77777777" w:rsidR="00F00638" w:rsidRPr="004F6AF4" w:rsidRDefault="00F00638" w:rsidP="00E000FF">
      <w:pPr>
        <w:bidi/>
        <w:spacing w:after="0" w:line="360" w:lineRule="auto"/>
        <w:jc w:val="both"/>
        <w:rPr>
          <w:rFonts w:ascii="Simplified Arabic" w:hAnsi="Simplified Arabic" w:cs="Simplified Arabic"/>
          <w:b/>
          <w:bCs/>
          <w:sz w:val="28"/>
          <w:szCs w:val="28"/>
          <w:rtl/>
        </w:rPr>
      </w:pPr>
      <w:r>
        <w:rPr>
          <w:rFonts w:ascii="Traditional Arabic" w:hAnsi="Traditional Arabic" w:cs="Traditional Arabic"/>
          <w:b/>
          <w:bCs/>
          <w:sz w:val="28"/>
          <w:szCs w:val="28"/>
          <w:rtl/>
        </w:rPr>
        <w:t>ترميز الأصول</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(Asset Tokenization)</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وهو تحويل الحقوق في أصل مالي أو مادي إلى رموز رقمية يمكن تداولها على منصات رقمية</w:t>
      </w:r>
      <w:r>
        <w:rPr>
          <w:rFonts w:ascii="Traditional Arabic" w:hAnsi="Traditional Arabic" w:cs="Traditional Arabic" w:hint="cs"/>
          <w:b/>
          <w:bCs/>
          <w:sz w:val="28"/>
          <w:szCs w:val="28"/>
          <w:rtl/>
        </w:rPr>
        <w:t xml:space="preserve"> مثل:</w:t>
      </w:r>
    </w:p>
    <w:p w14:paraId="306BAD93"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(McKinsey &amp; Company, 2024; Lavayssière &amp; Zhang, 2025)، بحيث يمكن ترميز أصول متنوعة تشمل الأوراق المالية، العقارات، السلع، الديون، حقوق الملكية الفكرية، وغيرها</w:t>
      </w:r>
      <w:r>
        <w:rPr>
          <w:rFonts w:ascii="Traditional Arabic" w:hAnsi="Traditional Arabic" w:cs="Traditional Arabic"/>
          <w:b/>
          <w:bCs/>
          <w:sz w:val="28"/>
          <w:szCs w:val="28"/>
          <w:rtl/>
        </w:rPr>
        <w:br/>
        <w:t>(Multiple Authors, 2025; Adigwe et al., 2024)، مما يفتح إمكانيات جديدة للسيولة والتداول والملكية الجزئية</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(Grossmann et al., 2025; Carapella et al., 2023)، وهذا النوع يمثل ثورة حقيقية في كيفية امتلاك وتداول الأصول في العصر الرقمي</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(Financial Stability Board, 2024)</w:t>
      </w:r>
      <w:r>
        <w:rPr>
          <w:rFonts w:ascii="Traditional Arabic" w:hAnsi="Traditional Arabic" w:cs="Traditional Arabic" w:hint="cs"/>
          <w:b/>
          <w:bCs/>
          <w:sz w:val="28"/>
          <w:szCs w:val="28"/>
          <w:rtl/>
        </w:rPr>
        <w:t>.</w:t>
      </w:r>
    </w:p>
    <w:p w14:paraId="2DEEB48C"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ترميز المعاملات</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(Transaction Tokenization)</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حيث يتم تحويل تفاصيل المعاملات المالية إلى رموز لحمايتها أثناء الإرسال والمعالجة</w:t>
      </w:r>
      <w:r>
        <w:rPr>
          <w:rFonts w:ascii="Traditional Arabic" w:hAnsi="Traditional Arabic" w:cs="Traditional Arabic" w:hint="cs"/>
          <w:b/>
          <w:bCs/>
          <w:sz w:val="28"/>
          <w:szCs w:val="28"/>
          <w:rtl/>
        </w:rPr>
        <w:t xml:space="preserve"> حسب التقرير </w:t>
      </w:r>
      <w:r>
        <w:rPr>
          <w:rFonts w:ascii="Traditional Arabic" w:hAnsi="Traditional Arabic" w:cs="Traditional Arabic"/>
          <w:b/>
          <w:bCs/>
          <w:sz w:val="28"/>
          <w:szCs w:val="28"/>
          <w:rtl/>
        </w:rPr>
        <w:t xml:space="preserve">(PCI Security Standards Council, 2024; Karanovic et al., 2024)، بحيث تبقى المعاملة آمنة من التلاعب أو الاعتراض حتى في بيئات الاتصال </w:t>
      </w:r>
      <w:r>
        <w:rPr>
          <w:rFonts w:ascii="Traditional Arabic" w:hAnsi="Traditional Arabic" w:cs="Traditional Arabic"/>
          <w:b/>
          <w:bCs/>
          <w:sz w:val="28"/>
          <w:szCs w:val="28"/>
          <w:rtl/>
        </w:rPr>
        <w:lastRenderedPageBreak/>
        <w:t>غير الآمنة</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(Ahammad et al., 2025)، وهذا النوع يستخدم بكثرة في المدفوعات عبر الهاتف المحمول والمحافظ الرقمية لضمان سلامة وأمن المعاملات</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(Thunes Research, 2025)</w:t>
      </w:r>
      <w:r>
        <w:rPr>
          <w:rFonts w:ascii="Traditional Arabic" w:hAnsi="Traditional Arabic" w:cs="Traditional Arabic" w:hint="cs"/>
          <w:b/>
          <w:bCs/>
          <w:sz w:val="28"/>
          <w:szCs w:val="28"/>
          <w:rtl/>
        </w:rPr>
        <w:t>.</w:t>
      </w:r>
    </w:p>
    <w:p w14:paraId="39913806"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ترميز الهوية</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(Identity Tokenization)</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وهو إنشاء هويات رقمية آمنة للأفراد والكيانات باستخدام تقنيات الترميز</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(Islam &amp; In, 2024; Goghie, 2024)، بحيث يمكن التحقق من الهوية دون الكشف عن البيانات الشخصية الفعلية</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(ENISA, 2024)، مما يوفر توازناً بين متطلبات التحقق من الهوية والخصوصية</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PCI Security Standards Council, 2024</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وهذا النوع يكتسب أهمية متزايدة في ظل التشديدات التنظيمية على معرفة العميل (KYC) ومكافحة غسل الأموال</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(Saudi Central Bank, 2024; IMF, 2024)</w:t>
      </w:r>
      <w:r>
        <w:rPr>
          <w:rFonts w:ascii="Traditional Arabic" w:hAnsi="Traditional Arabic" w:cs="Traditional Arabic" w:hint="cs"/>
          <w:b/>
          <w:bCs/>
          <w:sz w:val="28"/>
          <w:szCs w:val="28"/>
          <w:rtl/>
        </w:rPr>
        <w:t>.</w:t>
      </w:r>
    </w:p>
    <w:p w14:paraId="131F1DDE"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2.1.2.4 خصائص تقنية الترميز</w:t>
      </w:r>
    </w:p>
    <w:p w14:paraId="2BC97F67"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تتميز تقنية الترميز بمجموعة من الخصائص التقنية والتشغيلية التي تجعلها حلاً مناسباً للمؤسسات المالية (Financial Stability Board, 2024; McKinsey &amp; Company, 2024)، حيث تتمثل أهم هذه الخصائص فيما يلي:</w:t>
      </w:r>
    </w:p>
    <w:p w14:paraId="6C295D45"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عدم القابلية للعكس</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(Irreversibility)</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حيث أن العملية التصميمية للترميز تجعل من المستحيل عملياً استخراج البيانات الأصلية من الرمز دون الوصول إلى نظام الترميز المركزي (PCI Security Standards Council, 2024; Ahammad et al., 2025)، بحيث حتى في حال اختراق قاعدة البيانات التي تحتوي على الرموز فإن المخترق لن يتمكن من الحصول على البيانات الحساسة الفعلية (Goghie, 2024; Carapella et al., 2023)، وهذه الخاصية تمثل الفارق الجوهري بين الترميز والتشفير الذي يمكن عكسه بالمفتاح الصحيح (IBM Security, 2024)</w:t>
      </w:r>
      <w:r>
        <w:rPr>
          <w:rFonts w:ascii="Traditional Arabic" w:hAnsi="Traditional Arabic" w:cs="Traditional Arabic" w:hint="cs"/>
          <w:b/>
          <w:bCs/>
          <w:sz w:val="28"/>
          <w:szCs w:val="28"/>
          <w:rtl/>
        </w:rPr>
        <w:t>.</w:t>
      </w:r>
    </w:p>
    <w:p w14:paraId="09EC0B84"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الاحتفاظ بالتنسيق</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(Format Preservation</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 xml:space="preserve">في العديد من تطبيقات الترميز، يتم تصميم الرموز بحيث تحتفظ بنفس تنسيق البيانات الأصلية من حيث الطول ونوع الأحرف (PCI Security Standards Council, 2024)، مما يسمح باستخدام الرموز في الأنظمة الموجودة دون الحاجة لتعديلات كبيرة في البنية </w:t>
      </w:r>
      <w:r>
        <w:rPr>
          <w:rFonts w:ascii="Traditional Arabic" w:hAnsi="Traditional Arabic" w:cs="Traditional Arabic"/>
          <w:b/>
          <w:bCs/>
          <w:sz w:val="28"/>
          <w:szCs w:val="28"/>
          <w:rtl/>
        </w:rPr>
        <w:lastRenderedPageBreak/>
        <w:t>التحتية التقنية (Sakarneh &amp; Kilani, 2024; Karanovic et al., 2024)، بحيث يمكن للمؤسسات المالية تطبيق الترميز بسلاسة دون تعطيل العمليات القائمة (Almadadha, 2025)</w:t>
      </w:r>
      <w:r>
        <w:rPr>
          <w:rFonts w:ascii="Traditional Arabic" w:hAnsi="Traditional Arabic" w:cs="Traditional Arabic" w:hint="cs"/>
          <w:b/>
          <w:bCs/>
          <w:sz w:val="28"/>
          <w:szCs w:val="28"/>
          <w:rtl/>
        </w:rPr>
        <w:t>.</w:t>
      </w:r>
    </w:p>
    <w:p w14:paraId="3F828CB6"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القابلية للبرمجة</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(Programmability)</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خاصة في ترميز الأصول، حيث يمكن دمج قواعد وشروط قابلة للتنفيذ التلقائي في الرموز نفسها من خلال العقود الذكية (Ahammad et al., 2025; Udeh et al., 2025)، بحيث تتم إدارة الحقوق والالتزامات المرتبطة بالأصل بشكل آلي دون الحاجة لتدخل بشري (Grossmann et al., 2025; Lavayssière &amp; Zhang, 2025)، مما يقلل من التكاليف والأخطاء ويزيد من الكفاءة التشغيلية بشكل كبير (Al-Qudah et al., 2025; Karanovic et al., 2024).</w:t>
      </w:r>
    </w:p>
    <w:p w14:paraId="0E5D0015"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القابلية للتوسع (Scalability)</w:t>
      </w:r>
      <w:r>
        <w:rPr>
          <w:rFonts w:ascii="Traditional Arabic" w:hAnsi="Traditional Arabic" w:cs="Traditional Arabic" w:hint="cs"/>
          <w:b/>
          <w:bCs/>
          <w:sz w:val="28"/>
          <w:szCs w:val="28"/>
          <w:rtl/>
        </w:rPr>
        <w:t>:</w:t>
      </w:r>
      <w:r>
        <w:rPr>
          <w:rFonts w:ascii="Traditional Arabic" w:hAnsi="Traditional Arabic" w:cs="Traditional Arabic"/>
          <w:b/>
          <w:bCs/>
          <w:sz w:val="28"/>
          <w:szCs w:val="28"/>
          <w:rtl/>
        </w:rPr>
        <w:t xml:space="preserve"> حيث تدعم أنظمة الترميز الحديثة معالجة حجم هائل من المعاملات بشكل متزامن (Islam &amp; In, 2024; Karanovic et al., 2024)، مما يجعلها مناسبة للمؤسسات المالية الكبرى التي تتعامل مع ملايين المعاملات يومياً (Saudi Central Bank, 2024)، وذلك من خلال البنية التحتية الموزعة والمعمارية الحديثة التي تتيح التوسع الأفقي حسب الحاجة (Ahammad et al., 2025).</w:t>
      </w:r>
    </w:p>
    <w:p w14:paraId="20D8D091"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التشغيل البيني (Interoperability)</w:t>
      </w:r>
      <w:r>
        <w:rPr>
          <w:rFonts w:ascii="Traditional Arabic" w:hAnsi="Traditional Arabic" w:cs="Traditional Arabic" w:hint="cs"/>
          <w:b/>
          <w:bCs/>
          <w:sz w:val="28"/>
          <w:szCs w:val="28"/>
          <w:rtl/>
        </w:rPr>
        <w:t>:</w:t>
      </w:r>
      <w:r>
        <w:rPr>
          <w:rFonts w:ascii="Traditional Arabic" w:hAnsi="Traditional Arabic" w:cs="Traditional Arabic"/>
          <w:b/>
          <w:bCs/>
          <w:sz w:val="28"/>
          <w:szCs w:val="28"/>
          <w:rtl/>
        </w:rPr>
        <w:t xml:space="preserve"> إمكانية تبادل الرموز والتعامل معها عبر منصات وأنظمة مختلفة (Financial Stability Board, 2024; Multiple Authors, 2025)، بحيث لا تكون الرموز محصورة في نظام واحد بل يمكن نقلها وتداولها عبر بيئات متعددة (Islam &amp; In, 2024; Goghie, 2024)، وهذه الخاصية تعزز من السيولة والكفاءة في الأسواق المالية الرقمية وتفتح آفاقاً واسعة للابتكار والتعاون بين المؤسسات المالية المختلفة (McKinsey &amp; Company, 2024; World Economic Forum, 2024).</w:t>
      </w:r>
    </w:p>
    <w:p w14:paraId="38C60139" w14:textId="77777777" w:rsidR="00F00638" w:rsidRPr="004F6AF4" w:rsidRDefault="00F00638" w:rsidP="00E000FF">
      <w:pPr>
        <w:bidi/>
        <w:spacing w:after="0" w:line="360" w:lineRule="auto"/>
        <w:jc w:val="both"/>
        <w:rPr>
          <w:rFonts w:ascii="Simplified Arabic" w:hAnsi="Simplified Arabic" w:cs="Simplified Arabic"/>
          <w:b/>
          <w:bCs/>
          <w:sz w:val="28"/>
          <w:szCs w:val="28"/>
        </w:rPr>
      </w:pPr>
    </w:p>
    <w:p w14:paraId="1F29CA8A"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المبحث الثالث (2.1.3) - كفاءة العمليات المالية وعلاقتها بتقنية الترميز والأمن السيبراني</w:t>
      </w:r>
    </w:p>
    <w:p w14:paraId="214BDA04"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lastRenderedPageBreak/>
        <w:t>تعد كفاءة العمليات المالية من الأهداف الرئيسية والاستراتيجية لأي مؤسسة مالية تسعى للتميز والتنافسية في بيئة أعمال سريعة التغير ومتزايدة التعقيد (McKinsey &amp; Company, 2024; Al-Qudah et al., 2025)، حيث أصبحت المؤسسات المالية مطالبة بتقديم خدمات أسرع وأكثر دقة وبتكلفة أقل مع الحفاظ على مستويات عالية من الجودة والأمان (Almadadha, 2025; Karanovic et al., 2024)، وذلك في ظل توقعات متزايدة من العملاء الذين أصبحوا أكثر وعياً ومطالبة بتجربة رقمية سلسة ومتكاملة (Thunes Research, 2025; Saudi Central Bank, 2024). ويرتبط مفهوم كفاءة العمليات ارتباطاً وثيقاً بالتحول الرقمي الذي يمثل رحلة شاملة لإعادة تصميم العمليات والخدمات باستخدام التقنيات الحديثة (Financial Stability Board, 2024; Islam &amp; In, 2024)، بحيث لا يقتصر التحول على مجرد رقمنة العمليات القائمة بل يشمل إعادة التفكير الجذري في نماذج الأعمال وطرق تقديم القيمة للعملاء (Sakarneh &amp; Kilani, 2024; Udeh et al., 2025</w:t>
      </w:r>
      <w:r>
        <w:rPr>
          <w:rFonts w:ascii="Traditional Arabic" w:hAnsi="Traditional Arabic" w:cs="Traditional Arabic" w:hint="cs"/>
          <w:b/>
          <w:bCs/>
          <w:sz w:val="28"/>
          <w:szCs w:val="28"/>
          <w:rtl/>
        </w:rPr>
        <w:t>).</w:t>
      </w:r>
    </w:p>
    <w:p w14:paraId="75F782AC"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2.1.3.1 مفهوم كفاءة العمليات المالية</w:t>
      </w:r>
    </w:p>
    <w:p w14:paraId="335CFBAB"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تعددت التعريفات التي تناولت مفهوم كفاءة العمليات المالية، حيث ينظر إليها من منظورات مختلفة تشمل البعد التشغيلي والاقتصادي والاستراتيجي (Al-Qudah et al., 2025; Grossmann et al., 2025)، وجميع هذه التعريفات تؤكد على أن الكفاءة ليست مجرد تقليل للتكاليف بل تحسين شامل للأداء</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Almadadha, 2025; Lavayssière &amp; Zhang, 2025</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تعرف كفاءة العمليات المالية من المنظور التشغيلي بأنها "قدرة المؤسسة المالية على تحقيق أقصى قدر من المخرجات بأقل قدر من المدخلات، من خلال تحسين استخدام الموارد المتاحة سواء كانت بشرية أو تقنية أو مالية، بحيث يتم إنجاز المعاملات والعمليات بأسرع وقت ممكن وبأقل تكلفة ممكنة مع الحفاظ على الجودة والدقة المطلوبة" (Karanovic et al., 2024; Sakarneh &amp; Kilani, 2024)، وهذا التعريف يركز على العلاقة بين المدخلات والمخرجات كمقياس أساسي للكفاءة.</w:t>
      </w:r>
    </w:p>
    <w:p w14:paraId="112F9A47"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 xml:space="preserve">من منظور اقتصادي، تعرف كفاءة العمليات المالية بأنها "قدرة المؤسسة على تحسين الإنتاجية وتقليل تكاليف المعاملات وتحسين العائد على الاستثمار في البنية التحتية التقنية والعمليات، من خلال استخدام أمثل للتقنيات </w:t>
      </w:r>
      <w:r>
        <w:rPr>
          <w:rFonts w:ascii="Traditional Arabic" w:hAnsi="Traditional Arabic" w:cs="Traditional Arabic"/>
          <w:b/>
          <w:bCs/>
          <w:sz w:val="28"/>
          <w:szCs w:val="28"/>
          <w:rtl/>
        </w:rPr>
        <w:lastRenderedPageBreak/>
        <w:t>الحديثة والأتمتة والتحسين المستمر للعمليات" (Al-Qudah et al., 2025; Almadadha, 2025)، بحيث تنعكس هذه الكفاءة على المؤشرات المالية للمؤسسة من خلال تحسين الربحية وزيادة القيمة المقدمة للمساهمين (Grossmann et al., 2025; Lavayssière &amp; Zhang, 2025)</w:t>
      </w:r>
      <w:r>
        <w:rPr>
          <w:rFonts w:ascii="Traditional Arabic" w:hAnsi="Traditional Arabic" w:cs="Traditional Arabic" w:hint="cs"/>
          <w:b/>
          <w:bCs/>
          <w:sz w:val="28"/>
          <w:szCs w:val="28"/>
          <w:rtl/>
        </w:rPr>
        <w:t>.</w:t>
      </w:r>
    </w:p>
    <w:p w14:paraId="6A3E5062"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بينما من المنظور الاستراتيجي، تعرف كفاءة العمليات بأنها "القدرة على التكيف السريع مع التغيرات في احتياجات العملاء والبيئة التنظيمية وظروف السوق، من خلال عمليات مرنة وقابلة للتطوير تدعم الابتكار والنمو المستدام" (McKinsey &amp; Company, 2024; Financial Stability Board, 2024)، وهذا التعريف يؤكد على أن الكفاءة ليست هدفاً ثابتاً بل عملية مستمرة من التحسين والتطوير (Islam &amp; In, 2024; Udeh et al., 2025</w:t>
      </w:r>
      <w:r>
        <w:rPr>
          <w:rFonts w:ascii="Traditional Arabic" w:hAnsi="Traditional Arabic" w:cs="Traditional Arabic" w:hint="cs"/>
          <w:b/>
          <w:bCs/>
          <w:sz w:val="28"/>
          <w:szCs w:val="28"/>
          <w:rtl/>
        </w:rPr>
        <w:t>).</w:t>
      </w:r>
    </w:p>
    <w:p w14:paraId="739EC173"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مما سبق يرى الباحث أن كفاءة العمليات المالية تمثل قدرة المؤسسة المالية على تحقيق أهدافها التشغيلية والاستراتيجية من خلال الاستخدام الأمثل للموارد المتاحة (Al-Qudah et al., 2025; Karanovic et al., 2024; Almadadha, 2025)، بحيث تتم العمليات والمعاملات المالية بأسرع وقت ممكن وبأقل تكلفة ممكنة وبأعلى مستوى من الدقة والجودة، مع القدرة على التكيف المرن مع التغيرات في البيئة الداخلية والخارجية (Grossmann et al., 2025; Lavayssière &amp; Zhang, 2025; Sakarneh &amp; Kilani, 2024)، وذلك من خلال تبني التقنيات الحديثة والأتمتة والتحسين المستمر للعمليات بما يحقق رضا العملاء ويعزز من التنافسية ويساهم في تحقيق الأهداف الاستراتيجية للمؤسسة (Financial Stability Board, 2024; McKinsey &amp; Company, 2024; Udeh et al., 2025</w:t>
      </w:r>
      <w:r>
        <w:rPr>
          <w:rFonts w:ascii="Traditional Arabic" w:hAnsi="Traditional Arabic" w:cs="Traditional Arabic" w:hint="cs"/>
          <w:b/>
          <w:bCs/>
          <w:sz w:val="28"/>
          <w:szCs w:val="28"/>
          <w:rtl/>
        </w:rPr>
        <w:t>).</w:t>
      </w:r>
    </w:p>
    <w:p w14:paraId="2C7050AA"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2.1.3.2 أبعاد ومؤشرات كفاءة العمليات المالية</w:t>
      </w:r>
    </w:p>
    <w:p w14:paraId="6BD35535"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تتعدد الأبعاد والمؤشرات التي يمكن من خلالها قياس كفاءة العمليات المالية (Al-Qudah et al., 2025; Karanovic et al., 2024)، حيث تتمثل أهم هذه الأبعاد فيما يلي:</w:t>
      </w:r>
    </w:p>
    <w:p w14:paraId="2578CF16"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 xml:space="preserve">سرعة تنفيذ المعاملات ودورات التسوية: وتقاس بالوقت المستغرق لإتمام المعاملة من البداية للنهاية، حيث كلما كانت العمليات أسرع كلما كانت أكثر كفاءة (Karanovic et al., 2024; Grossmann et al., 2025)، بحيث تتحول دورات التسوية من أيام في الأنظمة التقليدية (T+2 أو T+5) إلى ثوانٍ معدودة </w:t>
      </w:r>
      <w:r>
        <w:rPr>
          <w:rFonts w:ascii="Traditional Arabic" w:hAnsi="Traditional Arabic" w:cs="Traditional Arabic"/>
          <w:b/>
          <w:bCs/>
          <w:sz w:val="28"/>
          <w:szCs w:val="28"/>
          <w:rtl/>
        </w:rPr>
        <w:lastRenderedPageBreak/>
        <w:t>في الأنظمة الرقمية الحديثة (Ahammad et al., 2025; Almadadha, 2025)، وهذا التحسين في السرعة لا يرضي العملاء فحسب بل يحرر رأس مال كان محجوزاً في دورات التسوية الطويلة، مما يحسن من كفاءة استخدام رأس المال على مستوى النظام المالي بأكمله (Lavayssière &amp; Zhang, 2025; Financial Stability Board, 2024</w:t>
      </w:r>
      <w:r>
        <w:rPr>
          <w:rFonts w:ascii="Traditional Arabic" w:hAnsi="Traditional Arabic" w:cs="Traditional Arabic" w:hint="cs"/>
          <w:b/>
          <w:bCs/>
          <w:sz w:val="28"/>
          <w:szCs w:val="28"/>
          <w:rtl/>
        </w:rPr>
        <w:t>).</w:t>
      </w:r>
    </w:p>
    <w:p w14:paraId="26AD4A26"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تكلفة العمليات التشغيلية: وتشمل جميع التكاليف المرتبطة بتنفيذ المعاملات من تكاليف المعالجة، والتسوية والمقاصة، والبنية التحتية التقنية، والموارد البشرية، والامتثال والمراجعة (Al-Qudah et al., 2025; Grossmann et al., 2025</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بحيث كلما انخفضت هذه التكاليف دون التأثير على الجودة كلما كانت العمليات أكثر كفاءة</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(Karanovic et al., 2024; Sakarneh &amp; Kilani, 2024)، وتشير الدراسات إلى أن تبني التقنيات الحديثة كالترميز يمكن أن يخفض تكاليف المعالجة بنسبة 52%، وتكاليف التسوية والمقاصة بنسبة 48%، وتكاليف الامتثال والمراجعة بنسبة 41%</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(Al-Qudah et al., 2025)</w:t>
      </w:r>
      <w:r>
        <w:rPr>
          <w:rFonts w:ascii="Traditional Arabic" w:hAnsi="Traditional Arabic" w:cs="Traditional Arabic" w:hint="cs"/>
          <w:b/>
          <w:bCs/>
          <w:sz w:val="28"/>
          <w:szCs w:val="28"/>
          <w:rtl/>
        </w:rPr>
        <w:t>.</w:t>
      </w:r>
    </w:p>
    <w:p w14:paraId="61024E66"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دقة التنفيذ ومعدلات الأخطاء: من خلال قياس نسبة المعاملات التي تتم بشكل صحيح من المرة الأولى دون الحاجة لتصحيحات أو إعادة معالجة (Ahammad et al., 2025; Udeh et al., 2025)، بحيث أن الأتمتة الكاملة والسجلات غير القابلة للتعديل تساهم في تقليل الأخطاء البشرية والتناقضات في البيانات (Grossmann et al., 2025; Islam &amp; In, 2024)، مما يعزز موثوقية النظام المالي ويقلل من تكاليف التصحيح والمراجعة، وقد وثقت بعض الدراسات انخفاضاً بنسبة 90% في أخطاء التسوية بفضل الأتمتة الكاملة (Grossmann et al., 2025; Karanovic et al., 2024)</w:t>
      </w:r>
      <w:r>
        <w:rPr>
          <w:rFonts w:ascii="Traditional Arabic" w:hAnsi="Traditional Arabic" w:cs="Traditional Arabic" w:hint="cs"/>
          <w:b/>
          <w:bCs/>
          <w:sz w:val="28"/>
          <w:szCs w:val="28"/>
          <w:rtl/>
        </w:rPr>
        <w:t>.</w:t>
      </w:r>
    </w:p>
    <w:p w14:paraId="30867A8B"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القدرة على التوسع والمرونة التشغيلية: وتقاس بقدرة الأنظمة على التعامل مع حجم متزايد من المعاملات دون تدهور في الأداء (Ahammad et al., 2025; Islam &amp; In, 2024)، وبقدرة المؤسسة على تقديم خدمات جديدة والتكيف مع التغيرات في احتياجات السوق بسرعة (McKinsey &amp; Company, 2024; Financial Stability Board, 2024)، بحيث تدعم البنية التحتية الحديثة معالجة ملايين المعاملات بشكل متزامن مع إمكانية التوسع الأفقي حسب الحاجة (Karanovic et al., 2024; Saudi Central Bank, 2024</w:t>
      </w:r>
      <w:r>
        <w:rPr>
          <w:rFonts w:ascii="Traditional Arabic" w:hAnsi="Traditional Arabic" w:cs="Traditional Arabic" w:hint="cs"/>
          <w:b/>
          <w:bCs/>
          <w:sz w:val="28"/>
          <w:szCs w:val="28"/>
          <w:rtl/>
        </w:rPr>
        <w:t>).</w:t>
      </w:r>
    </w:p>
    <w:p w14:paraId="3217F805"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lastRenderedPageBreak/>
        <w:t>التوافرية والاستمرارية: من خلال قياس نسبة الوقت الذي تكون فيه الخدمات متاحة للعملاء (Almadadha, 2025; Karanovic et al., 2024)، حيث أن الأنظمة الحديثة تمكن من التشغيل على مدار الساعة طوال أيام الأسبوع (24/7) (Ahammad et al., 2025; Islam &amp; In, 2024)، مقارنة بالأنظمة التقليدية التي كانت محدودة بساعات العمل الرسمية، وهذا يحسن بشكل كبير من تجربة العملاء ويفتح فرصاً جديدة للعمل عبر المناطق الزمنية المختلفة (Saudi Central Bank, 2024; Thunes Research, 2025)</w:t>
      </w:r>
      <w:r>
        <w:rPr>
          <w:rFonts w:ascii="Traditional Arabic" w:hAnsi="Traditional Arabic" w:cs="Traditional Arabic" w:hint="cs"/>
          <w:b/>
          <w:bCs/>
          <w:sz w:val="28"/>
          <w:szCs w:val="28"/>
          <w:rtl/>
        </w:rPr>
        <w:t>.</w:t>
      </w:r>
    </w:p>
    <w:p w14:paraId="5C92A345"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جودة تجربة العملاء ومعدلات الرضا: من خلال قياس مدى سهولة استخدام الخدمات، وسرعة الاستجابة لاحتياجات العملاء، ومستوى الشفافية في العمليات، ومعدلات رضا العملاء (Udeh et al., 2025; Sakarneh &amp; Kilani, 2024)، بحيث أن الخدمات الرقمية الحديثة توفر تجربة أكثر سلاسة وشفافية وتمكن العملاء من إنجاز معاملاتهم بشكل ذاتي دون الحاجة لزيارة الفروع أو الانتظار لفترات طويلة (Almadadha, 2025; Thunes Research, 2025</w:t>
      </w:r>
      <w:r>
        <w:rPr>
          <w:rFonts w:ascii="Traditional Arabic" w:hAnsi="Traditional Arabic" w:cs="Traditional Arabic" w:hint="cs"/>
          <w:b/>
          <w:bCs/>
          <w:sz w:val="28"/>
          <w:szCs w:val="28"/>
          <w:rtl/>
        </w:rPr>
        <w:t>).</w:t>
      </w:r>
    </w:p>
    <w:p w14:paraId="008E648A"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2.1.3.3 العلاقة بين تقنية الترميز وكفاءة العمليات المالية</w:t>
      </w:r>
    </w:p>
    <w:p w14:paraId="71B3A6C5" w14:textId="77777777" w:rsidR="00E62032" w:rsidRPr="004F6AF4" w:rsidRDefault="00E62032" w:rsidP="00E000FF">
      <w:pPr>
        <w:pStyle w:val="21"/>
        <w:bidi/>
        <w:spacing w:before="0" w:line="360" w:lineRule="auto"/>
        <w:jc w:val="both"/>
        <w:rPr>
          <w:rFonts w:ascii="Simplified Arabic" w:hAnsi="Simplified Arabic" w:cs="Simplified Arabic"/>
          <w:b/>
          <w:bCs/>
          <w:color w:val="auto"/>
          <w:sz w:val="28"/>
          <w:szCs w:val="28"/>
        </w:rPr>
      </w:pPr>
      <w:r>
        <w:rPr>
          <w:rFonts w:ascii="Traditional Arabic" w:hAnsi="Traditional Arabic" w:cs="Traditional Arabic"/>
          <w:b/>
          <w:bCs/>
          <w:color w:val="auto"/>
          <w:sz w:val="28"/>
          <w:szCs w:val="28"/>
          <w:rtl/>
        </w:rPr>
        <w:lastRenderedPageBreak/>
        <w:t>ترتبط تقنية الترميز بكفاءة العمليات المالية عبر ثلاث قنوات تشغيلية مباشرة. الأولى تقليص نطاق البيانات الحساسة الخاضعة للتدقيق داخل أنظمة المؤسسة، إذ يستبدل الترميز البيانات الأصلية برموز بديلة لا تحمل قيمة استغلالية، ما يقلّص عدد الأنظمة الداخلة في نطاق الامتثال ويخفّض كلفة التدقيق الدوري وزمنه. والثانية تسريع دورة تسوية المعاملات، لأن تمرير الرمز بدلاً من بيانات البطاقة الكاملة يقلّل خطوات التحقق والتشفير المتكررة بين أطراف المعاملة. والثالثة خفض كلفة معالجة الحوادث، إذ يصبح أثر أي تسريب محدوداً ما دامت البيانات المسرَّبة رموزاً لا تُفكّ خارج مخزن الرموز.</w:t>
      </w:r>
    </w:p>
    <w:p w14:paraId="1411CCF4" w14:textId="77777777" w:rsidR="00E62032" w:rsidRPr="004F6AF4" w:rsidRDefault="00E62032" w:rsidP="00E000FF">
      <w:pPr>
        <w:pStyle w:val="21"/>
        <w:bidi/>
        <w:spacing w:before="0" w:line="360" w:lineRule="auto"/>
        <w:jc w:val="both"/>
        <w:rPr>
          <w:rFonts w:ascii="Simplified Arabic" w:hAnsi="Simplified Arabic" w:cs="Simplified Arabic"/>
          <w:b/>
          <w:bCs/>
          <w:color w:val="auto"/>
          <w:sz w:val="28"/>
          <w:szCs w:val="28"/>
        </w:rPr>
      </w:pPr>
      <w:r>
        <w:rPr>
          <w:rFonts w:ascii="Traditional Arabic" w:hAnsi="Traditional Arabic" w:cs="Traditional Arabic"/>
          <w:b/>
          <w:bCs/>
          <w:color w:val="auto"/>
          <w:sz w:val="28"/>
          <w:szCs w:val="28"/>
          <w:rtl/>
        </w:rPr>
        <w:t>أما العلاقة بين الأمن السيبراني وكفاءة العمليات المالية فتتحقق بصورة غير مباشرة، إذ إن انخفاض عدد الحوادث الأمنية يقلّل توقّف الخدمة وتكاليف الاستجابة والتعويض، ويرفع معدل إتمام المعاملات من المحاولة الأولى، وهو ما ينعكس مباشرة على مؤشرات الكفاءة التشغيلية. وبهذا تتشكل علاقة تسلسلية يمثل فيها الترميز مدخلاً تقنياً، ويمثل الأمن السيبراني حالة وسيطة في الأداء، وتمثل كفاءة العمليات المالية مخرجاً تشغيلياً.</w:t>
      </w:r>
    </w:p>
    <w:p w14:paraId="09F0758D"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يلعب التحول الرقمي دوراً محورياً في تحسين كفاءة العمليات المالية من خلال عدة آليات رئيسية (Financial Stability Board, 2024; McKinsey &amp; Company, 2024)، حيث تتمثل أهم هذه الآليات فيما يلي:</w:t>
      </w:r>
    </w:p>
    <w:p w14:paraId="68DA4B95"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الأتمتة الذكية للعمليات: من خلال استخدام تقنيات الذكاء الاصطناعي والروبوتات البرمجية (RPA) لأتمتة العمليات اليدوية المتكررة (Ahammad et al., 2025; Karanovic et al., 2024)، بحيث يتم تحرير الموارد البشرية للتركيز على المهام ذات القيمة الأعلى التي تتطلب التفكير الإبداعي والحكم البشري (Sakarneh &amp; Kilani, 2024; Islam &amp; In, 2024)، مما يقلل من الأخطاء ويسرع من الإنجاز ويخفض التكاليف التشغيلية بشكل كبير (Al-Qudah et al., 2025; Grossmann et al., 2025)</w:t>
      </w:r>
      <w:r>
        <w:rPr>
          <w:rFonts w:ascii="Traditional Arabic" w:hAnsi="Traditional Arabic" w:cs="Traditional Arabic" w:hint="cs"/>
          <w:b/>
          <w:bCs/>
          <w:sz w:val="28"/>
          <w:szCs w:val="28"/>
          <w:rtl/>
        </w:rPr>
        <w:t>.</w:t>
      </w:r>
    </w:p>
    <w:p w14:paraId="19927729"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 xml:space="preserve">تحسين عمليات اتخاذ القرار بالبيانات: من خلال القدرة على جمع وتحليل كميات ضخمة من البيانات بشكل فوري (Almadadha, 2025; Karanovic et al., 2024)، بحيث يمكن للمؤسسات المالية اتخاذ قرارات أكثر استنارة بناءً على رؤى دقيقة ومحدثة، سواء فيما يتعلق بإدارة المخاطر، أو تحديد الأسعار، أو تطوير المنتجات، </w:t>
      </w:r>
      <w:r>
        <w:rPr>
          <w:rFonts w:ascii="Traditional Arabic" w:hAnsi="Traditional Arabic" w:cs="Traditional Arabic"/>
          <w:b/>
          <w:bCs/>
          <w:sz w:val="28"/>
          <w:szCs w:val="28"/>
          <w:rtl/>
        </w:rPr>
        <w:lastRenderedPageBreak/>
        <w:t>أو استهداف العملاء (McKinsey &amp; Company, 2024; Udeh et al., 2025)، مما يحسن من فعالية القرارات ويقلل من المخاطر (Lavayssière &amp; Zhang, 2025; Carapella et al., 2023).</w:t>
      </w:r>
    </w:p>
    <w:p w14:paraId="22F2262E"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تحسين تجربة العملاء الرقمية: عبر توفير منصات وتطبيقات رقمية سهلة الاستخدام تمكن العملاء من إنجاز معاملاتهم بشكل ذاتي في أي وقت ومن أي مكان (Saudi Central Bank, 2024; Thunes Research, 2025)، مع إمكانية التخصيص حسب احتياجات كل عميل، وتقديم خدمات استباقية بناءً على التحليلات التنبؤية (Sakarneh &amp; Kilani, 2024; Almadadha, 2025)، مما يعزز من رضا العملاء وولائهم (Karanovic et al., 2024; Udeh et al., 2025)</w:t>
      </w:r>
      <w:r>
        <w:rPr>
          <w:rFonts w:ascii="Traditional Arabic" w:hAnsi="Traditional Arabic" w:cs="Traditional Arabic" w:hint="cs"/>
          <w:b/>
          <w:bCs/>
          <w:sz w:val="28"/>
          <w:szCs w:val="28"/>
          <w:rtl/>
        </w:rPr>
        <w:t>.</w:t>
      </w:r>
    </w:p>
    <w:p w14:paraId="3EAF74B9"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خفض تكاليف البنية التحتية: من خلال الانتقال من الأنظمة القديمة المكلفة في الصيانة والتشغيل إلى حلول سحابية مرنة وقابلة للتوسع تدفع حسب الاستخدام (Ahammad et al., 2025; Islam &amp; In, 2024)، بحيث يمكن للمؤسسات المالية تقليل استثماراتها الرأسمالية في البنية التحتية التقنية والتركيز على الابتكار وتطوير الخدمات (Al-Qudah et al., 2025; Karanovic et al., 2024)</w:t>
      </w:r>
      <w:r>
        <w:rPr>
          <w:rFonts w:ascii="Traditional Arabic" w:hAnsi="Traditional Arabic" w:cs="Traditional Arabic" w:hint="cs"/>
          <w:b/>
          <w:bCs/>
          <w:sz w:val="28"/>
          <w:szCs w:val="28"/>
          <w:rtl/>
        </w:rPr>
        <w:t>.</w:t>
      </w:r>
    </w:p>
    <w:p w14:paraId="6C1DB805"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تمكين نماذج أعمال جديدة: من خلال فتح إمكانيات لم تكن متاحة في البيئة التقليدية، مثل الخدمات المصرفية المفتوحة (Open Banking)، والتمويل اللامركزي (DeFi)، والمنتجات المالية القابلة للبرمجة (Financial Stability Board, 2024; McKinsey &amp; Company, 2024)، بحيث يمكن للمؤسسات المالية إعادة اختراع نفسها والمنافسة بطرق جديدة (Islam &amp; In, 2024; Thunes Research, 2025)</w:t>
      </w:r>
      <w:r>
        <w:rPr>
          <w:rFonts w:ascii="Traditional Arabic" w:hAnsi="Traditional Arabic" w:cs="Traditional Arabic" w:hint="cs"/>
          <w:b/>
          <w:bCs/>
          <w:sz w:val="28"/>
          <w:szCs w:val="28"/>
          <w:rtl/>
        </w:rPr>
        <w:t>.</w:t>
      </w:r>
    </w:p>
    <w:p w14:paraId="4B29775A" w14:textId="77777777" w:rsidR="00F00638" w:rsidRPr="004F6AF4" w:rsidRDefault="00F00638" w:rsidP="00E000FF">
      <w:pPr>
        <w:bidi/>
        <w:spacing w:after="0" w:line="360" w:lineRule="auto"/>
        <w:jc w:val="both"/>
        <w:rPr>
          <w:rFonts w:ascii="Simplified Arabic" w:hAnsi="Simplified Arabic" w:cs="Simplified Arabic"/>
          <w:b/>
          <w:bCs/>
          <w:sz w:val="28"/>
          <w:szCs w:val="28"/>
          <w:rtl/>
        </w:rPr>
      </w:pPr>
    </w:p>
    <w:p w14:paraId="10D481F4"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المبحث الرابع (2.1.4) - رؤية السعودية 2030 والتحول الرقمي في القطاع المالي</w:t>
      </w:r>
    </w:p>
    <w:p w14:paraId="438A2157"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 xml:space="preserve">تمثل رؤية السعودية 2030 إطاراً استراتيجياً شاملاً ومتكاملاً للتحول الاقتصادي والاجتماعي في المملكة (Saudi Central Bank, 2024; IMF, 2024)، حيث تهدف إلى بناء مجتمع حيوي واقتصاد مزدهر </w:t>
      </w:r>
      <w:r>
        <w:rPr>
          <w:rFonts w:ascii="Traditional Arabic" w:hAnsi="Traditional Arabic" w:cs="Traditional Arabic"/>
          <w:b/>
          <w:bCs/>
          <w:sz w:val="28"/>
          <w:szCs w:val="28"/>
          <w:rtl/>
        </w:rPr>
        <w:lastRenderedPageBreak/>
        <w:t>ووطن طموح من خلال تنويع القاعدة الاقتصادية والحد من الاعتماد على النفط وتطوير القطاعات غير النفطية وتعزيز القدرات والمزايا التنافسية للمملكة على المستوى الإقليمي والعالمي (Thunes Research, 2025). ويحتل التحول الرقمي موقعاً محورياً ضمن هذه الرؤية الطموحة، حيث يمثل ممكناً رئيسياً لتحقيق العديد من الأهداف الاستراتيجية عبر مختلف القطاعات (IMF, 2024; McKinsey &amp; Company, 2024)، ومن بينها القطاع المالي الذي يلعب دوراً حيوياً في دعم النمو الاقتصادي وتمكين ريادة الأعمال وجذب الاستثمارات (Saudi Central Bank, 2024; Financial Stability Board, 2024)</w:t>
      </w:r>
      <w:r>
        <w:rPr>
          <w:rFonts w:ascii="Traditional Arabic" w:hAnsi="Traditional Arabic" w:cs="Traditional Arabic" w:hint="cs"/>
          <w:b/>
          <w:bCs/>
          <w:sz w:val="28"/>
          <w:szCs w:val="28"/>
          <w:rtl/>
        </w:rPr>
        <w:t>.</w:t>
      </w:r>
    </w:p>
    <w:p w14:paraId="252DED2F"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2.1.4.1 أهداف رؤية 2030 المرتبطة بالقطاع المالي الرقمي</w:t>
      </w:r>
    </w:p>
    <w:p w14:paraId="6DF0F119"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ترتبط العديد من أهداف رؤية 2030 بشكل مباشر بتطوير القطاع المالي الرقمي (Saudi Central Bank, 2024; Thunes Research, 2025)، حيث تتمثل أهم هذه الأهداف فيما يلي:</w:t>
      </w:r>
    </w:p>
    <w:p w14:paraId="4F5E41CB"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رفع معدل الشمول المالي وزيادة نسبة المعاملات غير النقدية: حيث تستهدف الرؤية الوصول إلى مجتمع أقل اعتماداً على النقد من خلال تحفيز استخدام وسائل الدفع الإلكترونية (Saudi Central Bank, 2024; IMF, 2024)، وتوسيع نطاق الوصول للخدمات المالية لتشمل كافة شرائح المجتمع بما في ذلك الفئات المحرومة تقليدياً من الخدمات المصرفية (Thunes Research, 2025; McKinsey &amp; Company, 2024)، وقد حققت المملكة إنجازات ملموسة في هذا الجانب، حيث وصلت نسبة المدفوعات الإلكترونية إلى 79% من إجمالي المعاملات، وبلغت نسبة معاملات نقاط البيع بدون بطاقة (باستخدام تقنيات الترميز) 51.9%، كما ارتفع معدل الشمول المالي إلى 94% من السكان البالغين (Saudi Central Bank, 2024)</w:t>
      </w:r>
      <w:r>
        <w:rPr>
          <w:rFonts w:ascii="Traditional Arabic" w:hAnsi="Traditional Arabic" w:cs="Traditional Arabic" w:hint="cs"/>
          <w:b/>
          <w:bCs/>
          <w:sz w:val="28"/>
          <w:szCs w:val="28"/>
          <w:rtl/>
        </w:rPr>
        <w:t>.</w:t>
      </w:r>
    </w:p>
    <w:p w14:paraId="6E0EF05F"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تطوير بنية تحتية رقمية متطورة وآمنة: من خلال الاستثمار في شبكات الاتصالات عالية السرعة، ومراكز البيانات، والحوسبة السحابية، والأمن السيبراني (IMF, 2024; ENISA, 2024)، بحيث توفر المملكة بيئة رقمية تمكينية تدعم الابتكار والنمو في القطاع المالي وغيره من القطاعات (Thunes Research, 2025; Saudi Central Bank, 2024)، وتستقطب الاستثمارات التقنية العالمية (McKinsey &amp; Company, 2024; Financial Stability Board, 2024</w:t>
      </w:r>
      <w:r>
        <w:rPr>
          <w:rFonts w:ascii="Traditional Arabic" w:hAnsi="Traditional Arabic" w:cs="Traditional Arabic" w:hint="cs"/>
          <w:b/>
          <w:bCs/>
          <w:sz w:val="28"/>
          <w:szCs w:val="28"/>
          <w:rtl/>
        </w:rPr>
        <w:t>).</w:t>
      </w:r>
    </w:p>
    <w:p w14:paraId="4E284E5E"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lastRenderedPageBreak/>
        <w:t>تعزيز دور الفنتك والابتكار المالي: من خلال إنشاء بيئة تنظيمية داعمة للابتكار، وتوفير البيئات التجريبية (Regulatory Sandboxes) التي تمكن الشركات الناشئة من تجربة منتجاتها وخدماتها الجديدة في بيئة محكومة (Saudi Central Bank, 2024; IMF, 2024)، وتقديم الحوافز والدعم لشركات الفنتك (Thunes Research, 2025)، وقد شهد القطاع نمواً ملحوظاً حيث يعمل حالياً 72 شركة فنتك في مجال المدفوعات، مما يعكس بيئة تنافسية وابتكارية (Thunes Research, 2025; Islam &amp; In, 2024)</w:t>
      </w:r>
      <w:r>
        <w:rPr>
          <w:rFonts w:ascii="Traditional Arabic" w:hAnsi="Traditional Arabic" w:cs="Traditional Arabic" w:hint="cs"/>
          <w:b/>
          <w:bCs/>
          <w:sz w:val="28"/>
          <w:szCs w:val="28"/>
          <w:rtl/>
        </w:rPr>
        <w:t>.</w:t>
      </w:r>
    </w:p>
    <w:p w14:paraId="7B534EAD"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تحسين كفاءة القطاع المالي وتنافسيته: من خلال تشجيع المؤسسات المالية على تبني أحدث التقنيات لتحسين عملياتها وخفض تكاليفها وتحسين تجربة عملائها (Saudi Central Bank, 2024; Sakarneh &amp; Kilani, 2024)، بحيث تصبح المؤسسات المالية السعودية قادرة على المنافسة عالمياً وجذب العملاء والاستثمارات من مختلف أنحاء العالم (IMF, 2024; McKinsey &amp; Company, 2024)</w:t>
      </w:r>
      <w:r>
        <w:rPr>
          <w:rFonts w:ascii="Traditional Arabic" w:hAnsi="Traditional Arabic" w:cs="Traditional Arabic" w:hint="cs"/>
          <w:b/>
          <w:bCs/>
          <w:sz w:val="28"/>
          <w:szCs w:val="28"/>
          <w:rtl/>
        </w:rPr>
        <w:t>.</w:t>
      </w:r>
    </w:p>
    <w:p w14:paraId="45FE3D95"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تعزيز الأمن السيبراني وحماية البيانات: من خلال تطوير الأطر التنظيمية والمعايير الفنية التي تضمن حماية بيانات العملاء وأمن المعاملات المالية (Saudi Central Bank, 2024; ENISA, 2024)، وبناء قدرات وطنية في مجال الأمن السيبراني (IMF, 2024; PCI Security Standards Council, 2024)، بحيث تكون المملكة من الدول الرائدة عالمياً في هذا المجال الحيوي (Saudi Central Bank, 2024; IBM Security, 2024</w:t>
      </w:r>
      <w:r>
        <w:rPr>
          <w:rFonts w:ascii="Traditional Arabic" w:hAnsi="Traditional Arabic" w:cs="Traditional Arabic" w:hint="cs"/>
          <w:b/>
          <w:bCs/>
          <w:sz w:val="28"/>
          <w:szCs w:val="28"/>
          <w:rtl/>
        </w:rPr>
        <w:t>).</w:t>
      </w:r>
    </w:p>
    <w:p w14:paraId="458D44FC"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2.1.4.2 الإنجازات المحققة في التحول المالي الرقمي</w:t>
      </w:r>
    </w:p>
    <w:p w14:paraId="579C58CD"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حققت المملكة العربية السعودية تقدماً ملموساً في مسيرة التحول المالي الرقمي ضمن رؤية 2030 (Saudi Central Bank, 2024; IMF, 2024)، حيث تتمثل أبرز هذه الإنجازات فيما يلي:</w:t>
      </w:r>
    </w:p>
    <w:p w14:paraId="2407A7D6"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 xml:space="preserve">نمو ملحوظ في المدفوعات الرقمية: حيث عالج نظام سريع 593 مليون معاملة في عام 2024، بينما وصلت نسبة المدفوعات الإلكترونية إلى 79% من إجمالي المعاملات (Saudi Central Bank, 2024)، مع تزايد استخدام تقنيات الدفع بدون بطاقة التي تعتمد على الترميز (Thunes Research, 2025; </w:t>
      </w:r>
      <w:r>
        <w:rPr>
          <w:rFonts w:ascii="Traditional Arabic" w:hAnsi="Traditional Arabic" w:cs="Traditional Arabic"/>
          <w:b/>
          <w:bCs/>
          <w:sz w:val="28"/>
          <w:szCs w:val="28"/>
          <w:rtl/>
        </w:rPr>
        <w:lastRenderedPageBreak/>
        <w:t>Financial Stability Board, 2024)، مما يعكس التحول الكبير نحو الاقتصاد الرقمي (IMF, 2024; McKinsey &amp; Company, 2024</w:t>
      </w:r>
      <w:r>
        <w:rPr>
          <w:rFonts w:ascii="Traditional Arabic" w:hAnsi="Traditional Arabic" w:cs="Traditional Arabic" w:hint="cs"/>
          <w:b/>
          <w:bCs/>
          <w:sz w:val="28"/>
          <w:szCs w:val="28"/>
          <w:rtl/>
        </w:rPr>
        <w:t>).</w:t>
      </w:r>
    </w:p>
    <w:p w14:paraId="54BE7DC7"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توسع النظام البيئي للفنتك: من خلال زيادة عدد شركات الفنتك العاملة في المملكة، وتنوع الخدمات المقدمة لتشمل المدفوعات، والتمويل، والاستثمار، والتأمين، وغيرها (Thunes Research, 2025; Islam &amp; In, 2024)، مما يثري الخيارات المتاحة للمستهلكين ويعزز المنافسة والابتكار (Saudi Central Bank, 2024; Sakarneh &amp; Kilani, 2024</w:t>
      </w:r>
      <w:r>
        <w:rPr>
          <w:rFonts w:ascii="Traditional Arabic" w:hAnsi="Traditional Arabic" w:cs="Traditional Arabic" w:hint="cs"/>
          <w:b/>
          <w:bCs/>
          <w:sz w:val="28"/>
          <w:szCs w:val="28"/>
          <w:rtl/>
        </w:rPr>
        <w:t>).</w:t>
      </w:r>
    </w:p>
    <w:p w14:paraId="2AEC2E9C"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إشادة دولية بالتقدم المحرز: حيث أشاد صندوق النقد الدولي بالتقدم الذي حققته المملكة في تحول المدفوعات الوطنية، ورفع معدل الشمول المالي إلى 94% من السكان البالغين، وإصلاح الأطر القانونية والتنظيمية لدعم الابتكار المالي (IMF, 2024)، مما يضع المملكة في مصاف الدول الرائدة في هذا المجال (Saudi Central Bank, 2024; McKinsey &amp; Company, 2024</w:t>
      </w:r>
      <w:r>
        <w:rPr>
          <w:rFonts w:ascii="Traditional Arabic" w:hAnsi="Traditional Arabic" w:cs="Traditional Arabic" w:hint="cs"/>
          <w:b/>
          <w:bCs/>
          <w:sz w:val="28"/>
          <w:szCs w:val="28"/>
          <w:rtl/>
        </w:rPr>
        <w:t>).</w:t>
      </w:r>
    </w:p>
    <w:p w14:paraId="41C4DF0E"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نمو متوقع للاقتصاد الرقمي: حيث تشير التوقعات إلى وصول قيمة الاقتصاد الرقمي في المملكة إلى 87 مليار دولار بحلول عام 2025، مع معدل انتشار رقمي يبلغ 99% (Thunes Research, 2025)، مما يعكس حجم الفرص الهائلة المتاحة في هذا القطاع (Saudi Central Bank, 2024; Financial Stability Board, 2024</w:t>
      </w:r>
      <w:r>
        <w:rPr>
          <w:rFonts w:ascii="Traditional Arabic" w:hAnsi="Traditional Arabic" w:cs="Traditional Arabic" w:hint="cs"/>
          <w:b/>
          <w:bCs/>
          <w:sz w:val="28"/>
          <w:szCs w:val="28"/>
          <w:rtl/>
        </w:rPr>
        <w:t>).</w:t>
      </w:r>
    </w:p>
    <w:p w14:paraId="38ADE165"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2.1.4.3 دور تقنية الترميز في تحقيق أهداف رؤية 2030</w:t>
      </w:r>
    </w:p>
    <w:p w14:paraId="01ACBA35"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تساهم تقنية الترميز بشكل مباشر في تحقيق العديد من أهداف رؤية 2030 في القطاع المالي (Saudi Central Bank, 2024; Financial Stability Board, 2024)، حيث يتمثل هذا الدور فيما يلي:</w:t>
      </w:r>
    </w:p>
    <w:p w14:paraId="5A7046EA"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تعزيز الأمن السيبراني: من خلال توفير طبقة حماية إضافية للبيانات الحساسة (PCI Security Standards Council, 2024; Goghie, 2024)، بما يتماشى مع أهداف الرؤية في بناء فضاء إلكتروني آمن يحمي المواطنين والمستثمرين (Saudi Central Bank, 2024; ENISA, 2024)، ويعزز من ثقتهم في الخدمات المالية الرقمية (IMF, 2024; Ahammad et al., 2025)</w:t>
      </w:r>
      <w:r>
        <w:rPr>
          <w:rFonts w:ascii="Traditional Arabic" w:hAnsi="Traditional Arabic" w:cs="Traditional Arabic" w:hint="cs"/>
          <w:b/>
          <w:bCs/>
          <w:sz w:val="28"/>
          <w:szCs w:val="28"/>
          <w:rtl/>
        </w:rPr>
        <w:t>.</w:t>
      </w:r>
    </w:p>
    <w:p w14:paraId="205D59AD"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lastRenderedPageBreak/>
        <w:t>تحسين كفاءة العمليات المالية: عبر تسريع المعاملات وخفض التكاليف (Al-Qudah et al., 2025; Grossmann et al., 2025)، بما يساهم في تعزيز تنافسية المؤسسات المالية السعودية ويجعلها أكثر جاذبية للعملاء والمستثمرين على المستوى الإقليمي والعالمي (Saudi Central Bank, 2024; McKinsey &amp; Company, 2024</w:t>
      </w:r>
      <w:r>
        <w:rPr>
          <w:rFonts w:ascii="Traditional Arabic" w:hAnsi="Traditional Arabic" w:cs="Traditional Arabic" w:hint="cs"/>
          <w:b/>
          <w:bCs/>
          <w:sz w:val="28"/>
          <w:szCs w:val="28"/>
          <w:rtl/>
        </w:rPr>
        <w:t>).</w:t>
      </w:r>
    </w:p>
    <w:p w14:paraId="38460416"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توسيع نطاق الشمول المالي: من خلال تمكين الملكية الجزئية للأصول وخفض حواجز الدخول للاستثمار (Lavayssière &amp; Zhang, 2025; Multiple Authors, 2025)، بما يفتح المجال أمام شرائح أوسع من المجتمع للمشاركة في الأسواق المالية والاستفادة من فرص الاستثمار (Saudi Central Bank, 2024; IMF, 2024</w:t>
      </w:r>
      <w:r>
        <w:rPr>
          <w:rFonts w:ascii="Traditional Arabic" w:hAnsi="Traditional Arabic" w:cs="Traditional Arabic" w:hint="cs"/>
          <w:b/>
          <w:bCs/>
          <w:sz w:val="28"/>
          <w:szCs w:val="28"/>
          <w:rtl/>
        </w:rPr>
        <w:t>).</w:t>
      </w:r>
    </w:p>
    <w:p w14:paraId="71178958"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دعم الابتكار المالي: عبر إتاحة إمكانيات جديدة لتطوير منتجات وخدمات مالية مبتكرة (Financial Stability Board, 2024; Islam &amp; In, 2024)، بما يعزز من النظام البيئي للفنتك ويجعل المملكة مركزاً إقليمياً للابتكار المالي (Thunes Research, 2025; McKinsey &amp; Company, 2024)</w:t>
      </w:r>
      <w:r>
        <w:rPr>
          <w:rFonts w:ascii="Traditional Arabic" w:hAnsi="Traditional Arabic" w:cs="Traditional Arabic" w:hint="cs"/>
          <w:b/>
          <w:bCs/>
          <w:sz w:val="28"/>
          <w:szCs w:val="28"/>
          <w:rtl/>
        </w:rPr>
        <w:t>.</w:t>
      </w:r>
    </w:p>
    <w:p w14:paraId="2EFCEE81"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جذب الاستثمارات: من خلال توفير بنية تحتية مالية رقمية متطورة تستقطب الاستثمارات المحلية والأجنبية (Saudi Central Bank, 2024; IMF, 2024)، وتعزز من مكانة المملكة كوجهة استثمارية جاذبة (McKinsey &amp; Company, 2024; Financial Stability Board, 2024)</w:t>
      </w:r>
      <w:r>
        <w:rPr>
          <w:rFonts w:ascii="Traditional Arabic" w:hAnsi="Traditional Arabic" w:cs="Traditional Arabic" w:hint="cs"/>
          <w:b/>
          <w:bCs/>
          <w:sz w:val="28"/>
          <w:szCs w:val="28"/>
          <w:rtl/>
        </w:rPr>
        <w:t>.</w:t>
      </w:r>
    </w:p>
    <w:p w14:paraId="38569651"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2.1.5 الأسس النظرية المفسّرة للعلاقة بين تقنية الترميز والأمن السيبراني وكفاءة العمليات المالية</w:t>
      </w:r>
    </w:p>
    <w:p w14:paraId="6CD177E4"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 xml:space="preserve">تستند الدراسة الحالية إلى مجموعة من النظريات والأطر المفاهيمية التي تفسر كيفية تأثير تقنية الترميز على كل من الأمن السيبراني وكفاءة العمليات المالية (Financial Stability Board, 2024; Carapella et al., 2023)، حيث توفر هذه النظريات الأساس المنطقي والعلمي لفهم الآليات والعمليات التي من خلالها تحدث هذه التأثيرات (Goghie, 2024; Udeh et al., 2025)، بحيث لا تقتصر الدراسة على مجرد رصد العلاقات الظاهرة بل تسعى لفهم الديناميكيات الكامنة وراءها من خلال عدسات نظرية متعددة (Grossmann et al., 2025; Lavayssière &amp; Zhang, 2025). وتتكامل هذه النظريات </w:t>
      </w:r>
      <w:r>
        <w:rPr>
          <w:rFonts w:ascii="Traditional Arabic" w:hAnsi="Traditional Arabic" w:cs="Traditional Arabic"/>
          <w:b/>
          <w:bCs/>
          <w:sz w:val="28"/>
          <w:szCs w:val="28"/>
          <w:rtl/>
        </w:rPr>
        <w:lastRenderedPageBreak/>
        <w:t>لتقديم فهم شامل ومتعدد الأبعاد للظاهرة محل الدراسة (Al-Qudah et al., 2025; Karanovic et al., 2024)، بحيث تغطي الجوانب التقنية والاقتصادية والتنظيمية والسلوكية المرتبطة بتبني وتطبيق تقنية الترميز في المؤسسات المالية (Islam &amp; In, 2024; Sakarneh &amp; Kilani, 2024)</w:t>
      </w:r>
      <w:r>
        <w:rPr>
          <w:rFonts w:ascii="Traditional Arabic" w:hAnsi="Traditional Arabic" w:cs="Traditional Arabic" w:hint="cs"/>
          <w:b/>
          <w:bCs/>
          <w:sz w:val="28"/>
          <w:szCs w:val="28"/>
          <w:rtl/>
        </w:rPr>
        <w:t>.</w:t>
      </w:r>
    </w:p>
    <w:p w14:paraId="3AF15732"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2.1.5.1 نظرية أمن المعلومات (Information Security Theory)</w:t>
      </w:r>
    </w:p>
    <w:p w14:paraId="57AAEC42"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تقدم نظرية أمن المعلومات إطاراً أساسياً لفهم كيفية حماية الأصول المعلوماتية من التهديدات المختلفة (ENISA, 2024; PCI Security Standards Council, 2024)، حيث ترتكز هذه النظرية على ثلاثية CIA التي تمثل الأهداف الرئيسية لأمن المعلومات، وهي السرية (Confidentiality) والسلامة (Integrity) والتوافرية (Availability) (IBM Security, 2024; Ahammad et al., 2025)، بحيث يجب أن تحقق أي منظومة أمنية فعالة هذه الأهداف الثلاثة بشكل متوازن (Goghie, 2024; Carapella et al., 2023). وفي سياق تقنية الترميز، تتحقق السرية من خلال استبدال البيانات الحساسة برموز عديمة القيمة في حال اعتراضها (PCI Security Standards Council, 2024; Financial Stability Board, 2024)، مما يمنع الوصول غير المصرح به للمعلومات حتى في حال اختراق النظام (Ahammad et al., 2025; Karanovic et al., 2024)، وهذا يمثل طبقة حماية إضافية تكمل وتعزز من فعالية التشفير التقليدي (IBM Security, 2024). أما السلامة فتتحقق من خلال السجلات غير القابلة للتعديل في أنظمة البلوكشين التي تعتمد عليها العديد من تطبيقات الترميز (Goghie, 2024; Udeh et al., 2025)، بحيث يمكن التحقق من أن البيانات لم تتعرض للتلاعب أو التعديل غير المصرح به (Islam &amp; In, 2024; Carapella et al., 2023). وبالنسبة للتوافرية، فإن الطبيعة الموزعة للأنظمة اللامركزية تضمن استمرارية الخدمة حتى في حال تعطل بعض العقد في الشبكة (Ahammad et al., 2025; Karanovic et al., 2024)، مما يحسن من موثوقية واستمرارية الخدمات المالية (Almadadha, 2025; Sakarneh &amp; Kilani, 2024)</w:t>
      </w:r>
      <w:r>
        <w:rPr>
          <w:rFonts w:ascii="Traditional Arabic" w:hAnsi="Traditional Arabic" w:cs="Traditional Arabic" w:hint="cs"/>
          <w:b/>
          <w:bCs/>
          <w:sz w:val="28"/>
          <w:szCs w:val="28"/>
          <w:rtl/>
        </w:rPr>
        <w:t>.</w:t>
      </w:r>
    </w:p>
    <w:p w14:paraId="53368AAC"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2.1.5.2 نظرية تكاليف المعاملات (Transaction Cost Economics)</w:t>
      </w:r>
    </w:p>
    <w:p w14:paraId="6E72DB7F"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lastRenderedPageBreak/>
        <w:t>طور ويليامسون (Williamson) نظرية تكاليف المعاملات لتفسير كيف تؤثر خصائص المعاملات على التكاليف المرتبطة بها وعلى الهياكل التنظيمية المناسبة لإدارتها (Grossmann et al., 2025; Al-Qudah et al., 2025)، حيث حدد ثلاثة أنواع رئيسية من تكاليف المعاملات (Lavayssière &amp; Zhang, 2025; Udeh et al., 2025)، وهي تكاليف البحث والمعلومات (Search and Information Costs) التي تتكبدها الأطراف للعثور على بعضها البعض والحصول على المعلومات اللازمة لاتخاذ القرارات، وتكاليف المفاوضة والتعاقد (Bargaining and Contracting Costs) التي تنشأ من التفاوض على شروط الصفقة وصياغة العقود، وتكاليف المراقبة والإنفاذ (Monitoring and Enforcement Costs) المرتبطة بضمان التزام الأطراف بشروط الاتفاق (Grossmann et al., 2025; Karanovic et al., 2024). وتساهم تقنية الترميز، خاصة عندما تكون مبنية على البلوكشين، في خفض هذه التكاليف الثلاثة بشكل جوهري (Al-Qudah et al., 2025; Ahammad et al., 2025)، حيث توفر الشفافية الفورية للمعلومات مما يقلل من تكاليف البحث والمعلومات (Udeh et al., 2025; Islam &amp; In, 2024)، وتمكن العقود الذكية من أتمتة عمليات التعاقد والتنفيذ مما يخفض تكاليف المفاوضة والتعاقد (Grossmann et al., 2025; Lavayssière &amp; Zhang, 2025)، بينما يوفر التنفيذ الذاتي للعقود الذكية آلية مضمونة للإنفاذ تلغي الحاجة للمراقبة اليدوية وتقلل من تكاليف المراقبة والإنفاذ (Udeh et al., 2025; Karanovic et al., 2024)، وهذا يفسر كيف تحقق تقنية الترميز وفورات كبيرة في تكاليف العمليات المالية (Al-Qudah et al., 2025; Almadadha, 2025; Sakarneh &amp; Kilani, 2024</w:t>
      </w:r>
      <w:r>
        <w:rPr>
          <w:rFonts w:ascii="Traditional Arabic" w:hAnsi="Traditional Arabic" w:cs="Traditional Arabic" w:hint="cs"/>
          <w:b/>
          <w:bCs/>
          <w:sz w:val="28"/>
          <w:szCs w:val="28"/>
          <w:rtl/>
        </w:rPr>
        <w:t>).</w:t>
      </w:r>
    </w:p>
    <w:p w14:paraId="475B905F"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2.1.5.3 نظرية إدارة المخاطر (Risk Management Theory)</w:t>
      </w:r>
    </w:p>
    <w:p w14:paraId="1EBE6275" w14:textId="77777777" w:rsidR="00F00638" w:rsidRPr="004F6AF4" w:rsidRDefault="00F00638" w:rsidP="00E000FF">
      <w:pPr>
        <w:bidi/>
        <w:spacing w:after="0" w:line="360" w:lineRule="auto"/>
        <w:jc w:val="both"/>
        <w:rPr>
          <w:rFonts w:ascii="Simplified Arabic" w:hAnsi="Simplified Arabic" w:cs="Simplified Arabic"/>
          <w:b/>
          <w:bCs/>
          <w:sz w:val="28"/>
          <w:szCs w:val="28"/>
          <w:rtl/>
        </w:rPr>
      </w:pPr>
      <w:r>
        <w:rPr>
          <w:rFonts w:ascii="Traditional Arabic" w:hAnsi="Traditional Arabic" w:cs="Traditional Arabic"/>
          <w:b/>
          <w:bCs/>
          <w:sz w:val="28"/>
          <w:szCs w:val="28"/>
          <w:rtl/>
        </w:rPr>
        <w:t xml:space="preserve">توفر نظرية إدارة المخاطر إطاراً منظماً لتحديد المخاطر المحتملة وتقييمها واتخاذ الإجراءات المناسبة للتخفيف منها أو نقلها أو قبولها (Carapella et al., 2023; ENISA, 2024)، حيث تمر عملية إدارة المخاطر بمراحل متعددة تشمل تحديد المخاطر (Risk Identification)، وتقييم المخاطر (Risk Assessment)، ومعالجة المخاطر (Risk Treatment)، ومراقبة المخاطر (Risk </w:t>
      </w:r>
      <w:r>
        <w:rPr>
          <w:rFonts w:ascii="Traditional Arabic" w:hAnsi="Traditional Arabic" w:cs="Traditional Arabic"/>
          <w:b/>
          <w:bCs/>
          <w:sz w:val="28"/>
          <w:szCs w:val="28"/>
          <w:rtl/>
        </w:rPr>
        <w:lastRenderedPageBreak/>
        <w:t>Monitoring) (IBM Security, 2024; Saudi Central Bank, 2024). وفي سياق تبني تقنية الترميز، يجب فهم أن هذه التقنية لا تلغي المخاطر بل تغير من طبيعتها (Carapella et al., 2023; Goghie, 2024)، حيث تنتقل المخاطر من المخاطر التقليدية مثل اختراق البيانات واحتيال البطاقات الائتمانية إلى مخاطر جديدة تتعلق بأمن منصات الترميز نفسها، وسلامة وأمان العقود الذكية، وحماية المفاتيح الخاصة، والاعتماد على أطراف ثالثة لإدارة البنية التحتية للترميز (Ahammad et al., 2025; Karanovic et al., 2024). لذا فإن التطبيق الناجح للترميز يتطلب فهماً عميقاً لهذا التحول في طبيعة المخاطر (Carapella et al., 2023; ENISA, 2024)، وتصميم أطر إدارة مخاطر متطورة تأخذ في الاعتبار الخصائص الفريدة للتقنيات الجديدة (PCI Security Standards Council, 2024; Sakarneh &amp; Kilani, 2024)، وتطوير ضوابط وإجراءات مناسبة للتخفيف من المخاطر الناشئة (Saudi Central Bank, 2024; IMF, 2024)</w:t>
      </w:r>
      <w:r>
        <w:rPr>
          <w:rFonts w:ascii="Traditional Arabic" w:hAnsi="Traditional Arabic" w:cs="Traditional Arabic" w:hint="cs"/>
          <w:b/>
          <w:bCs/>
          <w:sz w:val="28"/>
          <w:szCs w:val="28"/>
          <w:rtl/>
        </w:rPr>
        <w:t>.</w:t>
      </w:r>
    </w:p>
    <w:p w14:paraId="08D3E319"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2.1.5.4 نموذج قبول التقنية (Technology Acceptance Model - TAM)</w:t>
      </w:r>
    </w:p>
    <w:p w14:paraId="43BBD939"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 xml:space="preserve">طور ديفيس (Davis) نموذج قبول التقنية لتفسير العوامل التي تؤثر على قرارات الأفراد والمؤسسات بتبني أو رفض التقنيات الجديدة (Sakarneh &amp; Kilani, 2024; Islam &amp; In, 2024)، حيث يحدد النموذج عاملين رئيسيين يؤثران على قبول التقنية (Almadadha, 2025; Karanovic et al., 2024)، وهما الفائدة المدركة (Perceived Usefulness) التي تشير إلى درجة اعتقاد المستخدم بأن استخدام نظام معين سيحسن من أدائه، وسهولة الاستخدام المدركة (Perceived Ease of Use) التي تعبر عن درجة اعتقاد المستخدم بأن استخدام النظام لن يتطلب جهداً كبيراً (Ahammad et al., 2025; Udeh et al., 2025). وفي سياق تقنية الترميز، يمكن تطبيق هذا النموذج لفهم العوامل التي تعيق أو تسهل تبني المؤسسات المالية لهذه التقنية (Financial Stability Board, 2024; McKinsey &amp; Company, 2024)، حيث أن إدراك المؤسسة للفوائد المحتملة من الترميز من حيث تحسين الأمن وخفض التكاليف وزيادة الكفاءة يشكل محركاً رئيسياً للتبني (Al-Qudah et al., 2025; Grossmann et al., 2025; Lavayssière &amp; Zhang, 2025)، بينما قد تشكل التعقيدات التقنية المدركة </w:t>
      </w:r>
      <w:r>
        <w:rPr>
          <w:rFonts w:ascii="Traditional Arabic" w:hAnsi="Traditional Arabic" w:cs="Traditional Arabic"/>
          <w:b/>
          <w:bCs/>
          <w:sz w:val="28"/>
          <w:szCs w:val="28"/>
          <w:rtl/>
        </w:rPr>
        <w:lastRenderedPageBreak/>
        <w:t>والحاجة لمهارات متخصصة والتكاليف الأولية للتطبيق عوائق أمام التبني (Carapella et al., 2023; Sakarneh &amp; Kilani, 2024)، وهذا يبرز أهمية التوعية والتدريب وتوفير حلول سهلة الاستخدام لتسهيل عملية التبني (Saudi Central Bank, 2024; Thunes Research, 2025)، وهو ما تفحصه الدراسة الحالية في السياق السعودي تحديداً (IMF, 2024)</w:t>
      </w:r>
      <w:r>
        <w:rPr>
          <w:rFonts w:ascii="Traditional Arabic" w:hAnsi="Traditional Arabic" w:cs="Traditional Arabic" w:hint="cs"/>
          <w:b/>
          <w:bCs/>
          <w:sz w:val="28"/>
          <w:szCs w:val="28"/>
          <w:rtl/>
        </w:rPr>
        <w:t>.</w:t>
      </w:r>
    </w:p>
    <w:p w14:paraId="188940D1"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2.1.5.5 نظرية الانتشار والابتكار (Diffusion of Innovation Theory)</w:t>
      </w:r>
    </w:p>
    <w:p w14:paraId="648854FC"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 xml:space="preserve">قدم روجرز (Rogers) نظرية انتشار الابتكار التي تشرح كيف تنتشر الأفكار والتقنيات الجديدة عبر المجتمعات والمؤسسات مع مرور الوقت (Islam &amp; In, 2024; Thunes Research, 2025)، حيث حدد خمس فئات من المتبنين بناءً على سرعة تبنيهم للابتكار (Sakarneh &amp; Kilani, 2024; Karanovic et al., 2024)، وهم المبتكرون (Innovators) الذين يتبنون التقنية في مراحلها المبكرة، ثم المتبنون الأوائل (Early Adopters)، ثم الأغلبية المبكرة (Early Majority)، فالأغلبية المتأخرة (Late Majority)، وأخيراً المتأخرون (Laggards) (Almadadha, 2025; Islam &amp; In, 2024). كما حدد خمس خصائص للابتكار تؤثر على سرعة انتشاره (Financial Stability Board, 2024; McKinsey &amp; Company, 2024)، وهي الميزة النسبية (Relative Advantage)، والتوافق (Compatibility)، والتعقيد (Complexity)، وقابلية التجربة (Trialability)، وقابلية الملاحظة (Observability) (Goghie, 2024; Ahammad et al., 2025). وبتطبيق هذه النظرية على تقنية الترميز، يمكن فهم أن المؤسسات المالية الرائدة والشركات الفنتك تمثل المبتكرين والمتبنين الأوائل (Thunes Research, 2025; Islam &amp; In, 2024)، بينما البنوك التقليدية الكبرى قد تكون ضمن الأغلبية المبكرة أو المتأخرة (Sakarneh &amp; Kilani, 2024; Almadadha, 2025)، ويعتمد معدل الانتشار على مدى وضوح الميزة النسبية للترميز (Al-Qudah et al., 2025; Karanovic et al., 2024)، ومدى توافقه مع البنية التحتية القائمة (Ahammad et al., 2025; Saudi Central Bank, 2024)، ومستوى التعقيد المدرك </w:t>
      </w:r>
      <w:r>
        <w:rPr>
          <w:rFonts w:ascii="Traditional Arabic" w:hAnsi="Traditional Arabic" w:cs="Traditional Arabic"/>
          <w:b/>
          <w:bCs/>
          <w:sz w:val="28"/>
          <w:szCs w:val="28"/>
          <w:rtl/>
        </w:rPr>
        <w:lastRenderedPageBreak/>
        <w:t>(Carapella et al., 2023)، وتوفر فرص للتجربة في بيئات محدودة قبل التطبيق الشامل (Saudi Central Bank, 2024; IMF, 2024</w:t>
      </w:r>
      <w:r>
        <w:rPr>
          <w:rFonts w:ascii="Traditional Arabic" w:hAnsi="Traditional Arabic" w:cs="Traditional Arabic" w:hint="cs"/>
          <w:b/>
          <w:bCs/>
          <w:sz w:val="28"/>
          <w:szCs w:val="28"/>
          <w:rtl/>
        </w:rPr>
        <w:t>).</w:t>
      </w:r>
    </w:p>
    <w:p w14:paraId="5D313730" w14:textId="77777777" w:rsidR="00F00638" w:rsidRPr="004F6AF4" w:rsidRDefault="00F00638" w:rsidP="00E000FF">
      <w:pPr>
        <w:bidi/>
        <w:spacing w:after="0" w:line="360" w:lineRule="auto"/>
        <w:jc w:val="both"/>
        <w:rPr>
          <w:rFonts w:ascii="Simplified Arabic" w:hAnsi="Simplified Arabic" w:cs="Simplified Arabic"/>
          <w:b/>
          <w:bCs/>
          <w:sz w:val="28"/>
          <w:szCs w:val="28"/>
          <w:rtl/>
        </w:rPr>
      </w:pPr>
      <w:r>
        <w:rPr>
          <w:rFonts w:ascii="Traditional Arabic" w:hAnsi="Traditional Arabic" w:cs="Traditional Arabic"/>
          <w:b/>
          <w:bCs/>
          <w:sz w:val="28"/>
          <w:szCs w:val="28"/>
          <w:rtl/>
        </w:rPr>
        <w:t>مما سبق يرى الباحث أن هذه الأطر النظرية مجتمعة توفر عدسة متعددة الأبعاد شاملة لفهم وتفسير تأثير تقنية الترميز على الأمن السيبراني وكفاءة العمليات المالية في المؤسسات السعودية (Financial Stability Board, 2024; ENISA, 2024; IBM Security, 2024; PCI Security Standards Council, 2024; Saudi Central Bank, 2024)، بحيث تجمع بين الأبعاد التقنية (نظرية أمن المعلومات)، والاقتصادية (نظرية تكاليف المعاملات)، والإدارية (نظرية إدارة المخاطر)، والسلوكية (نموذج قبول التقنية ونظرية الانتشار) (Goghie, 2024; Al-Qudah et al., 2025; Grossmann et al., 2025; Carapella et al., 2023; Sakarneh &amp; Kilani, 2024; Islam &amp; In, 2024)، وهذا التكامل النظري يوجه تصميم الدراسة الحالية من حيث تحديد المتغيرات والعلاقات المفترضة بينها، وتفسير النتائج المتوقعة، وصياغة التوصيات العملية للمؤسسات المالية السعودية الراغبة في تبني تقنية الترميز بشكل فعال وآمن (Saudi Central Bank, 2024; IMF, 2024; Thunes Research, 2025)</w:t>
      </w:r>
      <w:r>
        <w:rPr>
          <w:rFonts w:ascii="Traditional Arabic" w:hAnsi="Traditional Arabic" w:cs="Traditional Arabic" w:hint="cs"/>
          <w:b/>
          <w:bCs/>
          <w:sz w:val="28"/>
          <w:szCs w:val="28"/>
          <w:rtl/>
        </w:rPr>
        <w:t>.</w:t>
      </w:r>
    </w:p>
    <w:p w14:paraId="441F1F01"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2.1.5.6 نظرية التقنية والتنظيم والبيئة (Technology–Organization–Environment)</w:t>
      </w:r>
    </w:p>
    <w:p w14:paraId="78F538C9" w14:textId="77777777" w:rsidR="00E62032" w:rsidRPr="004F6AF4" w:rsidRDefault="00E62032" w:rsidP="00E000FF">
      <w:pPr>
        <w:pStyle w:val="21"/>
        <w:bidi/>
        <w:spacing w:before="0" w:line="360" w:lineRule="auto"/>
        <w:jc w:val="both"/>
        <w:rPr>
          <w:rFonts w:ascii="Simplified Arabic" w:hAnsi="Simplified Arabic" w:cs="Simplified Arabic"/>
          <w:b/>
          <w:bCs/>
          <w:color w:val="auto"/>
          <w:sz w:val="28"/>
          <w:szCs w:val="28"/>
        </w:rPr>
      </w:pPr>
      <w:r>
        <w:rPr>
          <w:rFonts w:ascii="Traditional Arabic" w:hAnsi="Traditional Arabic" w:cs="Traditional Arabic"/>
          <w:b/>
          <w:bCs/>
          <w:color w:val="auto"/>
          <w:sz w:val="28"/>
          <w:szCs w:val="28"/>
          <w:rtl/>
        </w:rPr>
        <w:lastRenderedPageBreak/>
        <w:t>تُعدّ نظرية التقنية والتنظيم والبيئة (TOE) التي طوّرها تورناتزكي وفليشر الإطار النظري الأنسب لتفسير العلاقة بين متغيرات هذه الدراسة، لأنها لا تفسّر قرار تبنّي التقنية وحده، بل تفسّر كذلك تفاوت أثر التقنية على أداء المؤسسات باختلاف سياقها. وتقوم النظرية على ثلاثة سياقات متفاعلة تحدد مجتمعةً مسار التبنّي وعمقه ونتائجه.</w:t>
      </w:r>
    </w:p>
    <w:p w14:paraId="72906589" w14:textId="77777777" w:rsidR="00A35F9B" w:rsidRPr="004F6AF4" w:rsidRDefault="00E04048" w:rsidP="00E000FF">
      <w:pPr>
        <w:pStyle w:val="21"/>
        <w:numPr>
          <w:ilvl w:val="0"/>
          <w:numId w:val="4"/>
        </w:numPr>
        <w:bidi/>
        <w:spacing w:before="0" w:line="360" w:lineRule="auto"/>
        <w:jc w:val="both"/>
        <w:rPr>
          <w:rFonts w:ascii="Simplified Arabic" w:hAnsi="Simplified Arabic" w:cs="Simplified Arabic"/>
          <w:b/>
          <w:bCs/>
          <w:color w:val="auto"/>
          <w:sz w:val="28"/>
          <w:szCs w:val="28"/>
        </w:rPr>
      </w:pPr>
      <w:r>
        <w:rPr>
          <w:rFonts w:ascii="Traditional Arabic" w:hAnsi="Traditional Arabic" w:cs="Traditional Arabic"/>
          <w:b/>
          <w:bCs/>
          <w:color w:val="auto"/>
          <w:sz w:val="28"/>
          <w:szCs w:val="28"/>
          <w:rtl/>
        </w:rPr>
        <w:t>السياق التقني: خصائص تقنية الترميز ذاتها من حيث قابلية التكامل مع الأنظمة القائمة، ومستوى النضج، والميزة النسبية مقارنة بالبدائل. ويقابل هذا السياق في الدراسة الحالية بُعد الترميز الأمني للبيانات.</w:t>
      </w:r>
    </w:p>
    <w:p w14:paraId="289435FA" w14:textId="77777777" w:rsidR="00A35F9B" w:rsidRPr="004F6AF4" w:rsidRDefault="00E04048" w:rsidP="00E000FF">
      <w:pPr>
        <w:pStyle w:val="21"/>
        <w:numPr>
          <w:ilvl w:val="0"/>
          <w:numId w:val="4"/>
        </w:numPr>
        <w:bidi/>
        <w:spacing w:before="0" w:line="360" w:lineRule="auto"/>
        <w:jc w:val="both"/>
        <w:rPr>
          <w:rFonts w:ascii="Simplified Arabic" w:hAnsi="Simplified Arabic" w:cs="Simplified Arabic"/>
          <w:b/>
          <w:bCs/>
          <w:color w:val="auto"/>
          <w:sz w:val="28"/>
          <w:szCs w:val="28"/>
        </w:rPr>
      </w:pPr>
      <w:r>
        <w:rPr>
          <w:rFonts w:ascii="Traditional Arabic" w:hAnsi="Traditional Arabic" w:cs="Traditional Arabic"/>
          <w:b/>
          <w:bCs/>
          <w:color w:val="auto"/>
          <w:sz w:val="28"/>
          <w:szCs w:val="28"/>
          <w:rtl/>
        </w:rPr>
        <w:t>السياق التنظيمي: حجم المؤسسة، وعمرها في السوق، وبنيتها التقنية، وجاهزية كوادرها. ويقابل هذا السياق في الدراسة الحالية المتغيرات الضابطة المتعلقة بخصائص المؤسسة ومستوى تبنّيها للتقنية.</w:t>
      </w:r>
    </w:p>
    <w:p w14:paraId="58E77F60" w14:textId="77777777" w:rsidR="00A35F9B" w:rsidRPr="004F6AF4" w:rsidRDefault="00E04048" w:rsidP="00E000FF">
      <w:pPr>
        <w:pStyle w:val="21"/>
        <w:numPr>
          <w:ilvl w:val="0"/>
          <w:numId w:val="4"/>
        </w:numPr>
        <w:bidi/>
        <w:spacing w:before="0" w:line="360" w:lineRule="auto"/>
        <w:jc w:val="both"/>
        <w:rPr>
          <w:rFonts w:ascii="Simplified Arabic" w:hAnsi="Simplified Arabic" w:cs="Simplified Arabic"/>
          <w:b/>
          <w:bCs/>
          <w:color w:val="auto"/>
          <w:sz w:val="28"/>
          <w:szCs w:val="28"/>
        </w:rPr>
      </w:pPr>
      <w:r>
        <w:rPr>
          <w:rFonts w:ascii="Traditional Arabic" w:hAnsi="Traditional Arabic" w:cs="Traditional Arabic"/>
          <w:b/>
          <w:bCs/>
          <w:color w:val="auto"/>
          <w:sz w:val="28"/>
          <w:szCs w:val="28"/>
          <w:rtl/>
        </w:rPr>
        <w:t>السياق البيئي: الضغوط التنظيمية والتشريعية الخارجية، ومتطلبات الجهات الرقابية، والمنافسة في السوق. ويقابل هذا السياق في الدراسة الحالية بُعد الامتثال للمعايير الدولية ومتطلبات البنك المركزي السعودي ومعيار PCI DSS.</w:t>
      </w:r>
    </w:p>
    <w:p w14:paraId="440E719F" w14:textId="77777777" w:rsidR="00E62032" w:rsidRPr="004F6AF4" w:rsidRDefault="00E62032" w:rsidP="00E000FF">
      <w:pPr>
        <w:pStyle w:val="21"/>
        <w:bidi/>
        <w:spacing w:before="0" w:line="360" w:lineRule="auto"/>
        <w:jc w:val="both"/>
        <w:rPr>
          <w:rFonts w:ascii="Simplified Arabic" w:hAnsi="Simplified Arabic" w:cs="Simplified Arabic"/>
          <w:b/>
          <w:bCs/>
          <w:color w:val="auto"/>
          <w:sz w:val="28"/>
          <w:szCs w:val="28"/>
        </w:rPr>
      </w:pPr>
      <w:r>
        <w:rPr>
          <w:rFonts w:ascii="Traditional Arabic" w:hAnsi="Traditional Arabic" w:cs="Traditional Arabic"/>
          <w:b/>
          <w:bCs/>
          <w:color w:val="auto"/>
          <w:sz w:val="28"/>
          <w:szCs w:val="28"/>
          <w:rtl/>
        </w:rPr>
        <w:t>ويُتوقع وفق هذه النظرية أن يكون أثر تقنية الترميز على الأمن السيبراني وكفاءة العمليات المالية أقوى في المؤسسات التي يجتمع فيها نضج تقني مرتفع مع ضغط تنظيمي خارجي واضح، وأن تظهر فروق دالة بين المؤسسات المعتمِدة للتقنية وغير المعتمِدة، وبين أنواع المؤسسات المالية المختلفة. وهذه التوقعات هي التي تُترجَم إلى فروض الدراسة الرئيسة الثلاثة وفروعها الستة.</w:t>
      </w:r>
    </w:p>
    <w:p w14:paraId="7929C23E"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2.1.6 تفسير العلاقة بين تقنية الترميز والأمن السيبراني</w:t>
      </w:r>
    </w:p>
    <w:p w14:paraId="520DAA6D" w14:textId="77777777" w:rsidR="00E62032" w:rsidRPr="004F6AF4" w:rsidRDefault="00E62032" w:rsidP="00E000FF">
      <w:pPr>
        <w:pStyle w:val="21"/>
        <w:bidi/>
        <w:spacing w:before="0" w:line="360" w:lineRule="auto"/>
        <w:jc w:val="both"/>
        <w:rPr>
          <w:rFonts w:ascii="Simplified Arabic" w:hAnsi="Simplified Arabic" w:cs="Simplified Arabic"/>
          <w:b/>
          <w:bCs/>
          <w:color w:val="auto"/>
          <w:sz w:val="28"/>
          <w:szCs w:val="28"/>
        </w:rPr>
      </w:pPr>
      <w:r>
        <w:rPr>
          <w:rFonts w:ascii="Traditional Arabic" w:hAnsi="Traditional Arabic" w:cs="Traditional Arabic"/>
          <w:b/>
          <w:bCs/>
          <w:color w:val="auto"/>
          <w:sz w:val="28"/>
          <w:szCs w:val="28"/>
          <w:rtl/>
        </w:rPr>
        <w:lastRenderedPageBreak/>
        <w:t>يعمل الترميز على تقليص سطح الهجوم عبر إزالة البيانات الحساسة من الأنظمة التشغيلية واستبدالها برموز بلا قيمة استغلالية خارج سياقها. وبذلك يفقد المهاجم الحافز الاقتصادي من اختراق تلك الأنظمة، لأن ما يحصل عليه لا يمكن تحويله إلى معاملة مالية. ومن هنا ينخفض احتمال اختراق البيانات المالية، وتنخفض معه خطورة تسريب بيانات البطاقات، إذ يبقى مخزن الرموز وحده هو النقطة الحساسة، وهي نقطة محدودة يسهل تحصينها ومراقبتها مقارنة بتحصين كامل البنية التشغيلية.</w:t>
      </w:r>
    </w:p>
    <w:p w14:paraId="714FF2A2" w14:textId="77777777" w:rsidR="00E62032" w:rsidRPr="004F6AF4" w:rsidRDefault="00E62032" w:rsidP="00E000FF">
      <w:pPr>
        <w:pStyle w:val="21"/>
        <w:bidi/>
        <w:spacing w:before="0" w:line="360" w:lineRule="auto"/>
        <w:jc w:val="both"/>
        <w:rPr>
          <w:rFonts w:ascii="Simplified Arabic" w:hAnsi="Simplified Arabic" w:cs="Simplified Arabic"/>
          <w:b/>
          <w:bCs/>
          <w:color w:val="auto"/>
          <w:sz w:val="28"/>
          <w:szCs w:val="28"/>
        </w:rPr>
      </w:pPr>
      <w:r>
        <w:rPr>
          <w:rFonts w:ascii="Traditional Arabic" w:hAnsi="Traditional Arabic" w:cs="Traditional Arabic"/>
          <w:b/>
          <w:bCs/>
          <w:color w:val="auto"/>
          <w:sz w:val="28"/>
          <w:szCs w:val="28"/>
          <w:rtl/>
        </w:rPr>
        <w:t>وينعكس ذلك على ثلاثة مؤشرات أمنية: انخفاض عدد الحوادث الأمنية ذات الأثر المالي، وارتفاع مستوى الامتثال للمعايير الأمنية بسبب تقلّص نطاق التدقيق، وتحسّن قدرة المؤسسة على احتواء الحوادث لأن أثرها يبقى محصوراً. وهذه المؤشرات هي التي يقيسها بُعد الأمن السيبراني المؤسسي في أداة الدراسة.</w:t>
      </w:r>
    </w:p>
    <w:p w14:paraId="231C254B"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2.1.7 مقارنة تحليلية بين الترميز والتشفير</w:t>
      </w:r>
    </w:p>
    <w:p w14:paraId="09CF6C37" w14:textId="77777777" w:rsidR="00E62032" w:rsidRPr="004F6AF4" w:rsidRDefault="00E62032" w:rsidP="00E000FF">
      <w:pPr>
        <w:pStyle w:val="21"/>
        <w:bidi/>
        <w:spacing w:before="0" w:line="360" w:lineRule="auto"/>
        <w:jc w:val="both"/>
        <w:rPr>
          <w:rFonts w:ascii="Simplified Arabic" w:hAnsi="Simplified Arabic" w:cs="Simplified Arabic"/>
          <w:b/>
          <w:bCs/>
          <w:color w:val="auto"/>
          <w:sz w:val="28"/>
          <w:szCs w:val="28"/>
        </w:rPr>
      </w:pPr>
      <w:r>
        <w:rPr>
          <w:rFonts w:ascii="Traditional Arabic" w:hAnsi="Traditional Arabic" w:cs="Traditional Arabic"/>
          <w:b/>
          <w:bCs/>
          <w:color w:val="auto"/>
          <w:sz w:val="28"/>
          <w:szCs w:val="28"/>
          <w:rtl/>
        </w:rPr>
        <w:t>يُخلَط كثيراً بين الترميز والتشفير رغم اختلافهما الجوهري في آلية العمل والأثر التنظيمي. ويوضح الجدول الآتي أوجه المقارنة بينهما وفق المعايير الأكثر ارتباطاً بموضوع الدراسة.</w:t>
      </w:r>
    </w:p>
    <w:tbl>
      <w:tblPr>
        <w:bidiVisual/>
        <w:tblW w:w="8298" w:type="dxa"/>
        <w:jc w:val="center"/>
        <w:tblBorders>
          <w:top w:val="single" w:sz="6" w:space="0" w:color="7F9DB9"/>
          <w:left w:val="single" w:sz="6" w:space="0" w:color="7F9DB9"/>
          <w:bottom w:val="single" w:sz="6" w:space="0" w:color="7F9DB9"/>
          <w:right w:val="single" w:sz="6" w:space="0" w:color="7F9DB9"/>
          <w:insideH w:val="single" w:sz="6" w:space="0" w:color="7F9DB9"/>
          <w:insideV w:val="single" w:sz="6" w:space="0" w:color="7F9DB9"/>
        </w:tblBorders>
        <w:tblLook w:val="04A0" w:firstRow="1" w:lastRow="0" w:firstColumn="1" w:lastColumn="0" w:noHBand="0" w:noVBand="1"/>
      </w:tblPr>
      <w:tblGrid>
        <w:gridCol w:w="1610"/>
        <w:gridCol w:w="3344"/>
        <w:gridCol w:w="3344"/>
      </w:tblGrid>
      <w:tr w:rsidR="005D691F" w:rsidRPr="004F6AF4" w14:paraId="1E8D2D57" w14:textId="77777777" w:rsidTr="004F6AF4">
        <w:trPr>
          <w:jc w:val="center"/>
        </w:trPr>
        <w:tc>
          <w:tcPr>
            <w:tcW w:w="1610" w:type="dxa"/>
            <w:shd w:val="clear" w:color="auto" w:fill="DCE9F5"/>
            <w:vAlign w:val="center"/>
          </w:tcPr>
          <w:p w14:paraId="757735C5"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b/>
                <w:bCs/>
                <w:sz w:val="24"/>
                <w:szCs w:val="24"/>
                <w:rtl/>
              </w:rPr>
              <w:t>وجه المقارنة</w:t>
            </w:r>
          </w:p>
        </w:tc>
        <w:tc>
          <w:tcPr>
            <w:tcW w:w="3344" w:type="dxa"/>
            <w:shd w:val="clear" w:color="auto" w:fill="DCE9F5"/>
            <w:vAlign w:val="center"/>
          </w:tcPr>
          <w:p w14:paraId="7956C4D1"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b/>
                <w:bCs/>
                <w:sz w:val="24"/>
                <w:szCs w:val="24"/>
                <w:rtl/>
              </w:rPr>
              <w:t>تقنية الترميز (Tokenization)</w:t>
            </w:r>
          </w:p>
        </w:tc>
        <w:tc>
          <w:tcPr>
            <w:tcW w:w="3344" w:type="dxa"/>
            <w:shd w:val="clear" w:color="auto" w:fill="DCE9F5"/>
            <w:vAlign w:val="center"/>
          </w:tcPr>
          <w:p w14:paraId="10C988AE"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b/>
                <w:bCs/>
                <w:sz w:val="24"/>
                <w:szCs w:val="24"/>
                <w:rtl/>
              </w:rPr>
              <w:t>التشفير (Encryption)</w:t>
            </w:r>
          </w:p>
        </w:tc>
      </w:tr>
      <w:tr w:rsidR="005D691F" w:rsidRPr="004F6AF4" w14:paraId="161117BF" w14:textId="77777777" w:rsidTr="004F6AF4">
        <w:trPr>
          <w:jc w:val="center"/>
        </w:trPr>
        <w:tc>
          <w:tcPr>
            <w:tcW w:w="1610" w:type="dxa"/>
            <w:vAlign w:val="center"/>
          </w:tcPr>
          <w:p w14:paraId="291129F0"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آلية العمل</w:t>
            </w:r>
          </w:p>
        </w:tc>
        <w:tc>
          <w:tcPr>
            <w:tcW w:w="3344" w:type="dxa"/>
            <w:vAlign w:val="center"/>
          </w:tcPr>
          <w:p w14:paraId="1282B308"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استبدال البيانة الحساسة برمز بديل لا تربطه بها علاقة رياضية</w:t>
            </w:r>
          </w:p>
        </w:tc>
        <w:tc>
          <w:tcPr>
            <w:tcW w:w="3344" w:type="dxa"/>
            <w:vAlign w:val="center"/>
          </w:tcPr>
          <w:p w14:paraId="3B1B0163"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تحويل البيانة بخوارزمية ومفتاح إلى صيغة غير مقروءة</w:t>
            </w:r>
          </w:p>
        </w:tc>
      </w:tr>
      <w:tr w:rsidR="005D691F" w:rsidRPr="004F6AF4" w14:paraId="18E178C1" w14:textId="77777777" w:rsidTr="004F6AF4">
        <w:trPr>
          <w:jc w:val="center"/>
        </w:trPr>
        <w:tc>
          <w:tcPr>
            <w:tcW w:w="1610" w:type="dxa"/>
            <w:vAlign w:val="center"/>
          </w:tcPr>
          <w:p w14:paraId="28C8B9A1"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قابلية الاسترجاع</w:t>
            </w:r>
          </w:p>
        </w:tc>
        <w:tc>
          <w:tcPr>
            <w:tcW w:w="3344" w:type="dxa"/>
            <w:vAlign w:val="center"/>
          </w:tcPr>
          <w:p w14:paraId="378614A7"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لا يمكن استرجاع البيانة إلا بالرجوع إلى مخزن الرموز</w:t>
            </w:r>
          </w:p>
        </w:tc>
        <w:tc>
          <w:tcPr>
            <w:tcW w:w="3344" w:type="dxa"/>
            <w:vAlign w:val="center"/>
          </w:tcPr>
          <w:p w14:paraId="2DD3293B"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يمكن استرجاع البيانة بحيازة المفتاح</w:t>
            </w:r>
          </w:p>
        </w:tc>
      </w:tr>
      <w:tr w:rsidR="005D691F" w:rsidRPr="004F6AF4" w14:paraId="7C2AB075" w14:textId="77777777" w:rsidTr="004F6AF4">
        <w:trPr>
          <w:jc w:val="center"/>
        </w:trPr>
        <w:tc>
          <w:tcPr>
            <w:tcW w:w="1610" w:type="dxa"/>
            <w:vAlign w:val="center"/>
          </w:tcPr>
          <w:p w14:paraId="1CE2400F"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نقطة الضعف الرئيسة</w:t>
            </w:r>
          </w:p>
        </w:tc>
        <w:tc>
          <w:tcPr>
            <w:tcW w:w="3344" w:type="dxa"/>
            <w:vAlign w:val="center"/>
          </w:tcPr>
          <w:p w14:paraId="2EC03EEA"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مخزن الرموز</w:t>
            </w:r>
          </w:p>
        </w:tc>
        <w:tc>
          <w:tcPr>
            <w:tcW w:w="3344" w:type="dxa"/>
            <w:vAlign w:val="center"/>
          </w:tcPr>
          <w:p w14:paraId="203A6B14"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إدارة المفاتيح وتوزيعها</w:t>
            </w:r>
          </w:p>
        </w:tc>
      </w:tr>
      <w:tr w:rsidR="005D691F" w:rsidRPr="004F6AF4" w14:paraId="2411AA1B" w14:textId="77777777" w:rsidTr="004F6AF4">
        <w:trPr>
          <w:jc w:val="center"/>
        </w:trPr>
        <w:tc>
          <w:tcPr>
            <w:tcW w:w="1610" w:type="dxa"/>
            <w:vAlign w:val="center"/>
          </w:tcPr>
          <w:p w14:paraId="0CC082AD"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الأثر على نطاق الامتثال</w:t>
            </w:r>
          </w:p>
        </w:tc>
        <w:tc>
          <w:tcPr>
            <w:tcW w:w="3344" w:type="dxa"/>
            <w:vAlign w:val="center"/>
          </w:tcPr>
          <w:p w14:paraId="5061D83A"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يقلّص نطاق أنظمة معيار PCI DSS بصورة كبيرة</w:t>
            </w:r>
          </w:p>
        </w:tc>
        <w:tc>
          <w:tcPr>
            <w:tcW w:w="3344" w:type="dxa"/>
            <w:vAlign w:val="center"/>
          </w:tcPr>
          <w:p w14:paraId="54B0F772"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لا يُخرج الأنظمة من النطاق في الغالب</w:t>
            </w:r>
          </w:p>
        </w:tc>
      </w:tr>
      <w:tr w:rsidR="005D691F" w:rsidRPr="004F6AF4" w14:paraId="219EC607" w14:textId="77777777" w:rsidTr="004F6AF4">
        <w:trPr>
          <w:jc w:val="center"/>
        </w:trPr>
        <w:tc>
          <w:tcPr>
            <w:tcW w:w="1610" w:type="dxa"/>
            <w:vAlign w:val="center"/>
          </w:tcPr>
          <w:p w14:paraId="54B7918B"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الأثر على الأداء التشغيلي</w:t>
            </w:r>
          </w:p>
        </w:tc>
        <w:tc>
          <w:tcPr>
            <w:tcW w:w="3344" w:type="dxa"/>
            <w:vAlign w:val="center"/>
          </w:tcPr>
          <w:p w14:paraId="21576321"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منخفض الكلفة الحسابية عند المعالجة</w:t>
            </w:r>
          </w:p>
        </w:tc>
        <w:tc>
          <w:tcPr>
            <w:tcW w:w="3344" w:type="dxa"/>
            <w:vAlign w:val="center"/>
          </w:tcPr>
          <w:p w14:paraId="3082B677"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يضيف عبئاً حسابياً عند كل عملية فك وتشفير</w:t>
            </w:r>
          </w:p>
        </w:tc>
      </w:tr>
      <w:tr w:rsidR="005D691F" w:rsidRPr="004F6AF4" w14:paraId="63ACE3B5" w14:textId="77777777" w:rsidTr="004F6AF4">
        <w:trPr>
          <w:jc w:val="center"/>
        </w:trPr>
        <w:tc>
          <w:tcPr>
            <w:tcW w:w="1610" w:type="dxa"/>
            <w:vAlign w:val="center"/>
          </w:tcPr>
          <w:p w14:paraId="631FC95E"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الملاءمة لبيانات الدفع</w:t>
            </w:r>
          </w:p>
        </w:tc>
        <w:tc>
          <w:tcPr>
            <w:tcW w:w="3344" w:type="dxa"/>
            <w:vAlign w:val="center"/>
          </w:tcPr>
          <w:p w14:paraId="557CF849"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عالية، ولا سيما في المعاملات المتكررة</w:t>
            </w:r>
          </w:p>
        </w:tc>
        <w:tc>
          <w:tcPr>
            <w:tcW w:w="3344" w:type="dxa"/>
            <w:vAlign w:val="center"/>
          </w:tcPr>
          <w:p w14:paraId="364DD9E4"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متوسطة، وتُستخدم غالباً في مرحلة النقل</w:t>
            </w:r>
          </w:p>
        </w:tc>
      </w:tr>
    </w:tbl>
    <w:p w14:paraId="7AA87576" w14:textId="77777777" w:rsidR="00B35152" w:rsidRDefault="00B35152" w:rsidP="004F6AF4">
      <w:pPr>
        <w:pStyle w:val="TableCaption"/>
        <w:bidi/>
        <w:spacing w:after="0" w:line="300" w:lineRule="auto"/>
        <w:jc w:val="center"/>
        <w:rPr>
          <w:rFonts w:ascii="Simplified Arabic" w:hAnsi="Simplified Arabic" w:cs="Simplified Arabic"/>
          <w:sz w:val="28"/>
          <w:szCs w:val="28"/>
          <w:rtl/>
        </w:rPr>
      </w:pPr>
      <w:r>
        <w:rPr>
          <w:rFonts w:ascii="Traditional Arabic" w:hAnsi="Traditional Arabic" w:cs="Traditional Arabic"/>
          <w:b/>
          <w:bCs/>
          <w:sz w:val="24"/>
          <w:szCs w:val="24"/>
          <w:rtl/>
        </w:rPr>
        <w:t>جدول (2.1): مقارنة تحليلية بين تقنية الترميز والتشفير</w:t>
      </w:r>
    </w:p>
    <w:p w14:paraId="2BAF207C" w14:textId="77777777" w:rsidR="004F6AF4" w:rsidRDefault="004F6AF4" w:rsidP="00E000FF">
      <w:pPr>
        <w:pStyle w:val="HeadingTOCEntry"/>
        <w:bidi/>
        <w:spacing w:after="0" w:line="360" w:lineRule="auto"/>
        <w:ind w:left="432" w:hanging="432"/>
        <w:rPr>
          <w:rFonts w:ascii="Traditional Arabic" w:hAnsi="Traditional Arabic" w:cs="Traditional Arabic"/>
          <w:b/>
          <w:bCs/>
          <w:sz w:val="32"/>
          <w:szCs w:val="32"/>
          <w:u w:val="single"/>
          <w:rtl/>
        </w:rPr>
      </w:pPr>
      <w:bookmarkStart w:id="26" w:name="_Toc224563959"/>
      <w:bookmarkStart w:id="27" w:name="_Toc234424151"/>
    </w:p>
    <w:p w14:paraId="787E0F2F" w14:textId="77777777" w:rsidR="004F6AF4" w:rsidRDefault="004F6AF4" w:rsidP="004F6AF4">
      <w:pPr>
        <w:pStyle w:val="HeadingTOCEntry"/>
        <w:bidi/>
        <w:spacing w:after="0" w:line="360" w:lineRule="auto"/>
        <w:ind w:left="432" w:hanging="432"/>
        <w:rPr>
          <w:rFonts w:ascii="Traditional Arabic" w:hAnsi="Traditional Arabic" w:cs="Traditional Arabic"/>
          <w:b/>
          <w:bCs/>
          <w:sz w:val="32"/>
          <w:szCs w:val="32"/>
          <w:u w:val="single"/>
          <w:rtl/>
        </w:rPr>
      </w:pPr>
    </w:p>
    <w:p w14:paraId="17196B9F" w14:textId="77777777" w:rsidR="004F6AF4" w:rsidRDefault="004F6AF4" w:rsidP="004F6AF4">
      <w:pPr>
        <w:pStyle w:val="HeadingTOCEntry"/>
        <w:bidi/>
        <w:spacing w:after="0" w:line="360" w:lineRule="auto"/>
        <w:ind w:left="432" w:hanging="432"/>
        <w:rPr>
          <w:rFonts w:ascii="Traditional Arabic" w:hAnsi="Traditional Arabic" w:cs="Traditional Arabic"/>
          <w:b/>
          <w:bCs/>
          <w:sz w:val="32"/>
          <w:szCs w:val="32"/>
          <w:u w:val="single"/>
          <w:rtl/>
        </w:rPr>
      </w:pPr>
    </w:p>
    <w:p w14:paraId="45427BD1" w14:textId="77777777" w:rsidR="00F00638" w:rsidRPr="00FB5EDA" w:rsidRDefault="00F00638" w:rsidP="004F6AF4">
      <w:pPr>
        <w:pStyle w:val="HeadingTOCEntry"/>
        <w:bidi/>
        <w:spacing w:after="0" w:line="360" w:lineRule="auto"/>
        <w:ind w:left="432" w:hanging="432"/>
        <w:rPr>
          <w:rFonts w:ascii="Simplified Arabic" w:hAnsi="Simplified Arabic" w:cs="Simplified Arabic"/>
          <w:b/>
          <w:bCs/>
          <w:sz w:val="28"/>
          <w:szCs w:val="28"/>
          <w:u w:val="single"/>
        </w:rPr>
      </w:pPr>
      <w:r>
        <w:rPr>
          <w:rFonts w:ascii="Traditional Arabic" w:hAnsi="Traditional Arabic" w:cs="Traditional Arabic"/>
          <w:b/>
          <w:bCs/>
          <w:sz w:val="32"/>
          <w:szCs w:val="32"/>
          <w:u w:val="single"/>
          <w:rtl/>
        </w:rPr>
        <w:lastRenderedPageBreak/>
        <w:t>2.2 الدراسات السابقة</w:t>
      </w:r>
      <w:bookmarkEnd w:id="26"/>
      <w:bookmarkEnd w:id="27"/>
    </w:p>
    <w:p w14:paraId="2294DE97" w14:textId="77777777" w:rsidR="00F00638" w:rsidRPr="004F6AF4" w:rsidRDefault="00F00638" w:rsidP="00E000FF">
      <w:pPr>
        <w:bidi/>
        <w:spacing w:after="0" w:line="360" w:lineRule="auto"/>
        <w:jc w:val="both"/>
        <w:rPr>
          <w:rFonts w:ascii="Simplified Arabic" w:hAnsi="Simplified Arabic" w:cs="Simplified Arabic"/>
          <w:sz w:val="32"/>
          <w:szCs w:val="32"/>
        </w:rPr>
      </w:pPr>
      <w:r>
        <w:rPr>
          <w:rFonts w:ascii="Traditional Arabic" w:hAnsi="Traditional Arabic" w:cs="Traditional Arabic"/>
          <w:sz w:val="28"/>
          <w:szCs w:val="28"/>
          <w:rtl/>
        </w:rPr>
        <w:t>يستعرض هذا القسم الدراسات الأكاديمية المحكمة ذات الصلة المباشرة بموضوع الدراسة الحالية، حيث تم تقسيم هذه الدراسات إلى أربع مجموعات رئيسية تتوافق مع المحاور الأساسية للدراسة</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Goghie, 2024; Ahammad et al., 2025; Al-Qudah et al., 2025</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وذلك بهدف بناء فهم شامل للأدبيات المتاحة حول تقنية الترميز وتأثيرها على الأمن السيبراني وكفاءة العمليات المالية في سياقات مختلفة</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Carapella et al., 2023; Grossmann et al., 2025; Karanovic et al., 2024)</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وقد تم اختيار هذه الدراسات بناءً على معايير صارمة تشمل الحداثة (2023-2025)، والنشر في مجلات علمية محكمة أو مؤتمرات أكاديمية معترف بها دولياً، والارتباط المباشر بأحد محاور الدراسة الحالية على الأق</w:t>
      </w:r>
      <w:r>
        <w:rPr>
          <w:rFonts w:ascii="Traditional Arabic" w:hAnsi="Traditional Arabic" w:cs="Traditional Arabic" w:hint="cs"/>
          <w:sz w:val="28"/>
          <w:szCs w:val="28"/>
          <w:rtl/>
        </w:rPr>
        <w:t>ل (</w:t>
      </w:r>
      <w:r>
        <w:rPr>
          <w:rFonts w:ascii="Traditional Arabic" w:hAnsi="Traditional Arabic" w:cs="Traditional Arabic"/>
          <w:sz w:val="28"/>
          <w:szCs w:val="28"/>
          <w:rtl/>
        </w:rPr>
        <w:t>Islam &amp; In, 2024; Sakarneh &amp; Kilani, 2024</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مما يضمن الاستفادة من أحدث المعارف المتاحة في هذا المجال سريع التطور</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(Financial Stability Board, 2024; McKinsey &amp; Company, 2024)</w:t>
      </w:r>
      <w:r>
        <w:rPr>
          <w:rFonts w:ascii="Traditional Arabic" w:hAnsi="Traditional Arabic" w:cs="Traditional Arabic" w:hint="cs"/>
          <w:sz w:val="28"/>
          <w:szCs w:val="28"/>
          <w:rtl/>
        </w:rPr>
        <w:t>.</w:t>
      </w:r>
    </w:p>
    <w:p w14:paraId="442BFC48" w14:textId="77777777" w:rsidR="00F00638" w:rsidRPr="00FB5EDA"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2.2.1 الدراسات المرتبطة بالأمن السيبراني وتقنية الترميز</w:t>
      </w:r>
    </w:p>
    <w:p w14:paraId="667A1D30" w14:textId="77777777" w:rsidR="00F00638" w:rsidRPr="004F6AF4" w:rsidRDefault="00F00638" w:rsidP="00E000FF">
      <w:pPr>
        <w:bidi/>
        <w:spacing w:after="0" w:line="360" w:lineRule="auto"/>
        <w:jc w:val="both"/>
        <w:rPr>
          <w:rFonts w:ascii="Simplified Arabic" w:hAnsi="Simplified Arabic" w:cs="Simplified Arabic"/>
          <w:b/>
          <w:bCs/>
          <w:sz w:val="32"/>
          <w:szCs w:val="32"/>
        </w:rPr>
      </w:pPr>
      <w:r>
        <w:rPr>
          <w:rFonts w:ascii="Traditional Arabic" w:hAnsi="Traditional Arabic" w:cs="Traditional Arabic"/>
          <w:b/>
          <w:bCs/>
          <w:sz w:val="28"/>
          <w:szCs w:val="28"/>
          <w:rtl/>
        </w:rPr>
        <w:t>تناولت عدة دراسات حديثة العلاقة بين تقنية الترميز والأمن السيبراني في القطاع المالي من زوايا متعددة، حيث أجرى Goghie (2024) دراسة حول كيفية إعادة تعريف تقنية الترميز والبلوكشين للسلطة والنفوذ في النظام المصرفي التقليدي، وذلك من خلال تحليل البنية التحتية لحالتين رئيسيتين هما SocGen-Forge من مجموعة Société Générale وشبكة الضمانات المرمزة من J.P. Morgan، بحيث كشفت الدراسة عن أن البنوك الكبرى نجحت في وضع نفسها في موقع مركزي ضمن بنية الترميز من خلال قدرتها على الضغط التنظيمي وامتلاك الموارد التقنية المتقدمة، مما يمكّنها من تشكيل معايير الأمن السيبراني والامتثال التنظيمي بما يخدم مصالحها المؤسسية، وهذا يلقي الضوء على البعد المؤسسي والسياسي لتبني تقنيات الترميز في القطاع المصرفي.</w:t>
      </w:r>
    </w:p>
    <w:p w14:paraId="75BE9BC4" w14:textId="77777777" w:rsidR="00F00638" w:rsidRPr="004F6AF4" w:rsidRDefault="00F00638" w:rsidP="00E000FF">
      <w:pPr>
        <w:bidi/>
        <w:spacing w:after="0" w:line="360" w:lineRule="auto"/>
        <w:jc w:val="both"/>
        <w:rPr>
          <w:rFonts w:ascii="Simplified Arabic" w:hAnsi="Simplified Arabic" w:cs="Simplified Arabic"/>
          <w:b/>
          <w:bCs/>
          <w:sz w:val="32"/>
          <w:szCs w:val="32"/>
        </w:rPr>
      </w:pPr>
      <w:r>
        <w:rPr>
          <w:rFonts w:ascii="Traditional Arabic" w:hAnsi="Traditional Arabic" w:cs="Traditional Arabic"/>
          <w:b/>
          <w:bCs/>
          <w:sz w:val="28"/>
          <w:szCs w:val="28"/>
          <w:rtl/>
        </w:rPr>
        <w:t>كما قدم Ahammad et al. (2025) إطار عمل بلوكشين مبتكر يعتمد على منصة Ethereum لتعزيز الأمن والكفاءة في القطاع المصرفي، وذلك من خلال بناء نظام تجريبي باستخدام العقود الذكية على شبكة</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Sepolia Testnet</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 xml:space="preserve">وتطويره بتقنيات Solidity وEther.js وReact.js، بحيث أظهرت النتائج أن </w:t>
      </w:r>
      <w:r>
        <w:rPr>
          <w:rFonts w:ascii="Traditional Arabic" w:hAnsi="Traditional Arabic" w:cs="Traditional Arabic"/>
          <w:b/>
          <w:bCs/>
          <w:sz w:val="28"/>
          <w:szCs w:val="28"/>
          <w:rtl/>
        </w:rPr>
        <w:lastRenderedPageBreak/>
        <w:t>النظام المقترح نجح في إلغاء الوسطاء من خلال تمكين المعاملات من نظير إلى نظير بشكل آمن ومؤتمت، مع تحسينات ملموسة في سرعة المعاملات وتقليل نقاط الضعف الأمنية المرتبطة بالأنظمة المركزية التقليدية.</w:t>
      </w:r>
    </w:p>
    <w:p w14:paraId="2C6AAC89" w14:textId="77777777" w:rsidR="00F00638" w:rsidRPr="004F6AF4" w:rsidRDefault="00F00638" w:rsidP="00E000FF">
      <w:pPr>
        <w:bidi/>
        <w:spacing w:after="0" w:line="360" w:lineRule="auto"/>
        <w:jc w:val="both"/>
        <w:rPr>
          <w:rFonts w:ascii="Simplified Arabic" w:hAnsi="Simplified Arabic" w:cs="Simplified Arabic"/>
          <w:b/>
          <w:bCs/>
          <w:sz w:val="32"/>
          <w:szCs w:val="32"/>
        </w:rPr>
      </w:pPr>
      <w:r>
        <w:rPr>
          <w:rFonts w:ascii="Traditional Arabic" w:hAnsi="Traditional Arabic" w:cs="Traditional Arabic"/>
          <w:b/>
          <w:bCs/>
          <w:sz w:val="28"/>
          <w:szCs w:val="28"/>
          <w:rtl/>
        </w:rPr>
        <w:t>وفي نفس السياق، استهدف Grossmann et al. (2025) تصميم أسواق سندات مستقبلية تعتمد على الترميز لخفض تكاليف المعاملات، وذلك باستخدام منهجية Design Science Research لتطوير نموذج نظري ونموذج أولي عملي، بحيث كشفت النتائج أن الترميز يخفض تكاليف المعاملات عبر ثلاثة أبعاد رئيسية بنسب ملحوظة تصل إلى 40% في تكاليف البحث والمعلومات، و50% في تكاليف المفاوضة والتعاقد، و60% في تكاليف المراقبة والإنفاذ، وذلك من خلال الاستفادة من العقود الذكية والشفافية المتأصلة في تقنية البلوكشين.</w:t>
      </w:r>
    </w:p>
    <w:p w14:paraId="1369C0D7" w14:textId="77777777" w:rsidR="00F00638" w:rsidRPr="004F6AF4" w:rsidRDefault="00F00638" w:rsidP="00E000FF">
      <w:pPr>
        <w:bidi/>
        <w:spacing w:after="0" w:line="360" w:lineRule="auto"/>
        <w:jc w:val="both"/>
        <w:rPr>
          <w:rFonts w:ascii="Simplified Arabic" w:hAnsi="Simplified Arabic" w:cs="Simplified Arabic"/>
          <w:b/>
          <w:bCs/>
          <w:sz w:val="32"/>
          <w:szCs w:val="32"/>
        </w:rPr>
      </w:pPr>
      <w:r>
        <w:rPr>
          <w:rFonts w:ascii="Traditional Arabic" w:hAnsi="Traditional Arabic" w:cs="Traditional Arabic"/>
          <w:b/>
          <w:bCs/>
          <w:sz w:val="28"/>
          <w:szCs w:val="28"/>
          <w:rtl/>
        </w:rPr>
        <w:t>بينما فحص Carapella et al. (2023) الآثار المترتبة على الاستقرار المالي من انتشار تقنية الترميز في النظام المالي بشكل عام، وذلك من خلال تحليل نوعي شامل للمخاطر والفرص المرتبطة بالترميز على مستوى النظام المالي، بحيث أظهرت النتائج أن الترميز يقدم فوائد كبيرة من حيث تحسين الكفاءة التشغيلية وخفض التكاليف، لكنه يطرح أيضاً مخاطر نظامية جديدة تتعلق بالاعتماد على البنية التحتية التقنية والتبعية على أطراف ثالثة لإدارة منصات الترميز والحاجة لأطر حوكمة واضحة لضمان الأمن السيبراني ومنع الانتهاكات.</w:t>
      </w:r>
    </w:p>
    <w:p w14:paraId="5B17AD01" w14:textId="77777777" w:rsidR="00F00638" w:rsidRPr="004F6AF4" w:rsidRDefault="00F00638" w:rsidP="00E000FF">
      <w:pPr>
        <w:bidi/>
        <w:spacing w:after="0" w:line="360" w:lineRule="auto"/>
        <w:jc w:val="both"/>
        <w:rPr>
          <w:rFonts w:ascii="Simplified Arabic" w:hAnsi="Simplified Arabic" w:cs="Simplified Arabic"/>
          <w:b/>
          <w:bCs/>
          <w:sz w:val="32"/>
          <w:szCs w:val="32"/>
        </w:rPr>
      </w:pPr>
      <w:r>
        <w:rPr>
          <w:rFonts w:ascii="Traditional Arabic" w:hAnsi="Traditional Arabic" w:cs="Traditional Arabic"/>
          <w:b/>
          <w:bCs/>
          <w:sz w:val="28"/>
          <w:szCs w:val="28"/>
          <w:rtl/>
        </w:rPr>
        <w:t>من خلال استعراض دراسات المجموعة الأولى، يتضح أن جميعها أكدت على الدور المحوري لتقنية الترميز في تعزيز الأمن السيبراني للمؤسسات المالية من خلال آليات متعددة تشمل إلغاء الوسطاء وتقليل نقاط الضعف المركزية وتوفير الشفافية والسجلات غير القابلة للتعديل (Goghie, 2024; Ahammad et al., 2025; Grossmann et al., 2025; Carapella et al., 2023). إلا أن هناك فجوة واضحة في هذه الدراسات تتمثل في غياب التطبيق على السياق السعودي تحديداً، حيث أن جميع الدراسات المستعرضة ركزت على سياقات أوروبية أو عالمية دون التطرق للخصوصية التنظيمية والثقافية للمملكة العربية السعودية، مما يبرز أهمية إجراء الدراسة الحالية لسد هذه الفجوة البحثية.</w:t>
      </w:r>
    </w:p>
    <w:p w14:paraId="3654E258" w14:textId="77777777" w:rsidR="00F00638" w:rsidRDefault="00F00638" w:rsidP="00E000FF">
      <w:pPr>
        <w:bidi/>
        <w:spacing w:after="0" w:line="360" w:lineRule="auto"/>
        <w:jc w:val="both"/>
        <w:rPr>
          <w:rFonts w:ascii="Simplified Arabic" w:hAnsi="Simplified Arabic" w:cs="Simplified Arabic"/>
          <w:sz w:val="28"/>
          <w:szCs w:val="28"/>
          <w:rtl/>
        </w:rPr>
      </w:pPr>
    </w:p>
    <w:p w14:paraId="717C21C8" w14:textId="77777777" w:rsidR="00F00638" w:rsidRPr="00FB5EDA" w:rsidRDefault="00F00638" w:rsidP="00E000FF">
      <w:pPr>
        <w:bidi/>
        <w:spacing w:after="0" w:line="360" w:lineRule="auto"/>
        <w:jc w:val="both"/>
        <w:rPr>
          <w:rFonts w:ascii="Simplified Arabic" w:hAnsi="Simplified Arabic" w:cs="Simplified Arabic"/>
          <w:sz w:val="28"/>
          <w:szCs w:val="28"/>
        </w:rPr>
      </w:pPr>
    </w:p>
    <w:p w14:paraId="4228F15D" w14:textId="77777777" w:rsidR="00F00638" w:rsidRPr="00FB5EDA"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lastRenderedPageBreak/>
        <w:t>2.2.2 الدراسات المرتبطة بكفاءة العمليات المالية وتقنية الترميز</w:t>
      </w:r>
    </w:p>
    <w:p w14:paraId="37C0526E" w14:textId="77777777" w:rsidR="00F00638" w:rsidRPr="004F6AF4" w:rsidRDefault="00F00638" w:rsidP="00E000FF">
      <w:pPr>
        <w:bidi/>
        <w:spacing w:after="0" w:line="360" w:lineRule="auto"/>
        <w:jc w:val="both"/>
        <w:rPr>
          <w:rFonts w:ascii="Simplified Arabic" w:hAnsi="Simplified Arabic" w:cs="Simplified Arabic"/>
          <w:b/>
          <w:bCs/>
          <w:sz w:val="32"/>
          <w:szCs w:val="32"/>
        </w:rPr>
      </w:pPr>
      <w:r>
        <w:rPr>
          <w:rFonts w:ascii="Traditional Arabic" w:hAnsi="Traditional Arabic" w:cs="Traditional Arabic"/>
          <w:b/>
          <w:bCs/>
          <w:sz w:val="28"/>
          <w:szCs w:val="28"/>
          <w:rtl/>
        </w:rPr>
        <w:t>ركزت مجموعة أخرى من الدراسات على قياس تأثير تقنية البلوكشين والترميز على كفاءة المعاملات المالية بشكل كمي وتطبيقي، حيث هدف Al-Qudah et al. (2025) إلى قياس تأثير تقنية البلوكشين على تكاليف المعاملات المصرفية بشكل كمي من خلال تحليل بيانات 17 بنكاً في الإمارات على مدى 7 سنوات باستخدام تقنية Random Forest، بحيث أظهرت النتائج علاقة سلبية قوية بمعامل ارتباط -0.73 بين تبني البلوكشين وتكاليف المعاملات، مع انخفاض ملحوظ في تكاليف المعالجة بنسبة 52%، وتكاليف التسوية والمقاصة بنسبة 48%، وتكاليف الامتثال والمراجعة بنسبة 41%، وكشفت الدراسة أيضاً عن منحنى تبني يشير إلى أن الوفورات تتسارع بشكل كبير بعد تجاوز عتبة 40% من المعاملات على البلوكشين.</w:t>
      </w:r>
    </w:p>
    <w:p w14:paraId="68271109" w14:textId="77777777" w:rsidR="00F00638" w:rsidRPr="004F6AF4" w:rsidRDefault="00F00638" w:rsidP="00E000FF">
      <w:pPr>
        <w:bidi/>
        <w:spacing w:after="0" w:line="360" w:lineRule="auto"/>
        <w:jc w:val="both"/>
        <w:rPr>
          <w:rFonts w:ascii="Simplified Arabic" w:hAnsi="Simplified Arabic" w:cs="Simplified Arabic"/>
          <w:b/>
          <w:bCs/>
          <w:sz w:val="32"/>
          <w:szCs w:val="32"/>
        </w:rPr>
      </w:pPr>
      <w:r>
        <w:rPr>
          <w:rFonts w:ascii="Traditional Arabic" w:hAnsi="Traditional Arabic" w:cs="Traditional Arabic"/>
          <w:b/>
          <w:bCs/>
          <w:sz w:val="28"/>
          <w:szCs w:val="28"/>
          <w:rtl/>
        </w:rPr>
        <w:t>كما فحص Almadadha (2025) العلاقة بين تبني تقنية البلوكشين والأداء المالي للبنوك الأسترالية الكبرى وذلك من خلال دراسة وصفية تحليلية لبيانات ثانوية من التقارير السنوية لثلاثة بنوك رئيسية خلال الفترة 2016-2023، بحيث قاست الدراسة الأداء المالي من خلال معدل العائد على الأصول ومعدل العائد على حقوق الملكية، وأظهرت النتائج علاقة إيجابية بين تبني البلوكشين وتحسن الأداء المالي مع مكاسب واضحة في الكفاءة وإدارة التكاليف والربحية، ومثال بارز هو مشروع Lygon الذي خفض وقت معالجة الضمانات المصرفية من 30 يوماً إلى أقل من يوم واحد.</w:t>
      </w:r>
    </w:p>
    <w:p w14:paraId="3DC5869F" w14:textId="77777777" w:rsidR="00F00638" w:rsidRPr="004F6AF4" w:rsidRDefault="00F00638" w:rsidP="00E000FF">
      <w:pPr>
        <w:bidi/>
        <w:spacing w:after="0" w:line="360" w:lineRule="auto"/>
        <w:jc w:val="both"/>
        <w:rPr>
          <w:rFonts w:ascii="Simplified Arabic" w:hAnsi="Simplified Arabic" w:cs="Simplified Arabic"/>
          <w:b/>
          <w:bCs/>
          <w:sz w:val="32"/>
          <w:szCs w:val="32"/>
        </w:rPr>
      </w:pPr>
      <w:r>
        <w:rPr>
          <w:rFonts w:ascii="Traditional Arabic" w:hAnsi="Traditional Arabic" w:cs="Traditional Arabic"/>
          <w:b/>
          <w:bCs/>
          <w:sz w:val="28"/>
          <w:szCs w:val="28"/>
          <w:rtl/>
        </w:rPr>
        <w:t>وفي سياق مماثل، استهدف Lavayssière &amp; Zhang (2025) تحليل كيفية معالجة الترميز لأوجه القصور في الأسواق المالية من خلال نمذجة نظرية وتحليل تجريبي لبيانات أسواق السندات الكندية، بحيث كشفت النتائج أن الترميز يخفض تكاليف إصدار الأصول بشكل دائم مما قد يؤثر على هياكل الرافعة المالية للمؤسسات، كما أظهرت الدراسة أن القابلية البرمجية للأصول المرمزة تسهل إعادة الرهن التلقائية للضمانات مما يحسن كفاءة استخدام رأس المال.</w:t>
      </w:r>
    </w:p>
    <w:p w14:paraId="5DCA615E" w14:textId="77777777" w:rsidR="00F00638" w:rsidRPr="004F6AF4" w:rsidRDefault="00F00638" w:rsidP="00E000FF">
      <w:pPr>
        <w:bidi/>
        <w:spacing w:after="0" w:line="360" w:lineRule="auto"/>
        <w:jc w:val="both"/>
        <w:rPr>
          <w:rFonts w:ascii="Simplified Arabic" w:hAnsi="Simplified Arabic" w:cs="Simplified Arabic"/>
          <w:b/>
          <w:bCs/>
          <w:sz w:val="32"/>
          <w:szCs w:val="32"/>
        </w:rPr>
      </w:pPr>
      <w:r>
        <w:rPr>
          <w:rFonts w:ascii="Traditional Arabic" w:hAnsi="Traditional Arabic" w:cs="Traditional Arabic"/>
          <w:b/>
          <w:bCs/>
          <w:sz w:val="28"/>
          <w:szCs w:val="28"/>
          <w:rtl/>
        </w:rPr>
        <w:t xml:space="preserve">بينما بحث Udeh et al. (2025) في تأثير البلوكشين والعقود الذكية على ديناميكيات الثقة في القطاع المالي باستخدام منهجية مختلطة تجمع بين دراسات الحالة مثل منصة Quorum من J.P. Morgan والتحليل الكيفي، بحيث أظهرت النتائج أن البلوكشين يقلل بشكل كبير من تكاليف المعاملات من خلال إلغاء الحاجة </w:t>
      </w:r>
      <w:r>
        <w:rPr>
          <w:rFonts w:ascii="Traditional Arabic" w:hAnsi="Traditional Arabic" w:cs="Traditional Arabic"/>
          <w:b/>
          <w:bCs/>
          <w:sz w:val="28"/>
          <w:szCs w:val="28"/>
          <w:rtl/>
        </w:rPr>
        <w:lastRenderedPageBreak/>
        <w:t>للوسطاء ويعزز الشفافية عبر السجلات غير القابلة للتعديل ويزيد الأمن من خلال آليات الإجماع اللامركزية، لكنها كشفت أيضاً أن الانتقال من الثقة المؤسسية إلى الثقة اللامركزية يطرح تحديات تنظيمية وحوكمة جديدة.</w:t>
      </w:r>
    </w:p>
    <w:p w14:paraId="38064AA9" w14:textId="77777777" w:rsidR="00F00638" w:rsidRPr="004F6AF4" w:rsidRDefault="00F00638" w:rsidP="00E000FF">
      <w:pPr>
        <w:bidi/>
        <w:spacing w:after="0" w:line="360" w:lineRule="auto"/>
        <w:jc w:val="both"/>
        <w:rPr>
          <w:rFonts w:ascii="Simplified Arabic" w:hAnsi="Simplified Arabic" w:cs="Simplified Arabic"/>
          <w:b/>
          <w:bCs/>
          <w:sz w:val="32"/>
          <w:szCs w:val="32"/>
        </w:rPr>
      </w:pPr>
      <w:r>
        <w:rPr>
          <w:rFonts w:ascii="Traditional Arabic" w:hAnsi="Traditional Arabic" w:cs="Traditional Arabic"/>
          <w:b/>
          <w:bCs/>
          <w:sz w:val="28"/>
          <w:szCs w:val="28"/>
          <w:rtl/>
        </w:rPr>
        <w:t>تتفق دراسات المجموعة الثانية على أن تقنية الترميز والبلوكشين تحقق تحسينات جوهرية في كفاءة العمليات المالية من خلال خفض التكاليف وتسريع المعاملات وتحسين الأداء المالي الإجمالي (Al-Qudah et al., 2025; Almadadha, 2025; Lavayssière &amp; Zhang, 2025; Udeh et al., 2025). وقد قدمت هذه الدراسات أدلة كمية قوية على هذه التحسينات من سياقات جغرافية متنوعة تشمل الإمارات وأستراليا وكندا، مما يعزز من موثوقية النتائج. إلا أن الفجوة البحثية تبقى قائمة فيما يتعلق بالسياق السعودي، حيث لم تتناول أي من هذه الدراسات تأثير الترميز على كفاءة العمليات في المؤسسات المالية السعودية بأنواعها المختلفة، مما يؤكد على ضرورة إجراء الدراسة الحالية.</w:t>
      </w:r>
    </w:p>
    <w:p w14:paraId="646B045E" w14:textId="77777777" w:rsidR="00F00638" w:rsidRPr="00FB5EDA" w:rsidRDefault="00F00638" w:rsidP="00E000FF">
      <w:pPr>
        <w:bidi/>
        <w:spacing w:after="0" w:line="360" w:lineRule="auto"/>
        <w:jc w:val="both"/>
        <w:rPr>
          <w:rFonts w:ascii="Simplified Arabic" w:hAnsi="Simplified Arabic" w:cs="Simplified Arabic"/>
          <w:sz w:val="28"/>
          <w:szCs w:val="28"/>
          <w:rtl/>
        </w:rPr>
      </w:pPr>
    </w:p>
    <w:p w14:paraId="78937538" w14:textId="77777777" w:rsidR="00F00638" w:rsidRPr="00FB5EDA"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2.2.3 الدراسات المرتبطة برؤية 2030 والتحول الرقمي في القطاع المالي</w:t>
      </w:r>
    </w:p>
    <w:p w14:paraId="4C04D4D6"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تناولت بعض الدراسات الحديثة التحول الرقمي في القطاع المالي في السياق الإقليمي القريب من المملكة العربية السعودية، حيث هدف Sakarneh &amp; Kilani (2024) إلى فحص دور تقنية البلوكشين في إدارة الكفاءة وخفض التكاليف في القطاع المصرفي الأردني كسياق إقليمي مشابه للسعودية من خلال منهجية مسحية لجمع بيانات من مديري تقنية المعلومات والمديرين الماليين في البنوك الأردنية، بحيث أظهرت النتائج أن تبني البلوكشين يساهم بشكل ملموس في تحسين الكفاءة التشغيلية وخفض التكاليف خاصة في عمليات المدفوعات عبر الحدود والتحقق من الهوية وإدارة السجلات، كما أكدت الدراسة على أهمية الدعم التنظيمي والتوعية المؤسسية لنجاح التبني.</w:t>
      </w:r>
    </w:p>
    <w:p w14:paraId="7065FA5E"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 xml:space="preserve">كما استهدف Islam &amp; In (2024) إجراء تحليل محتوى شامل لتطبيقات تقنية البلوكشين في القطاع المصرفي مع التركيز على العملات الرقمية للبنوك المركزية من خلال منهجية IntelliSLR التي تجمع بين نمذجة المواضيع الذكية وتحليل المحتوى التقليدي وفق إرشادات PRISMA، بحيث أظهرت النتائج أن البلوكشين يسهل الانتقال </w:t>
      </w:r>
      <w:r>
        <w:rPr>
          <w:rFonts w:ascii="Traditional Arabic" w:hAnsi="Traditional Arabic" w:cs="Traditional Arabic"/>
          <w:b/>
          <w:bCs/>
          <w:sz w:val="28"/>
          <w:szCs w:val="28"/>
          <w:rtl/>
        </w:rPr>
        <w:lastRenderedPageBreak/>
        <w:t>من النظام المصرفي المركزي إلى اللامركزي مع تعزيز الأمن والثقة والشفافية، وكشفت الدراسة عن اتجاه عالمي متزايد نحو تطبيق العملات الرقمية للبنوك المركزية باستخدام البلوكشين مع تحديات تتعلق بالقابلية للتوسع والخصوصية والحوكمة.</w:t>
      </w:r>
    </w:p>
    <w:p w14:paraId="1342E62E"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تشير دراسات المجموعة الثالثة إلى أهمية السياق الإقليمي والتنظيمي في نجاح تبني تقنيات الترميز والبلوكشين (Sakarneh &amp; Kilani, 2024; Islam &amp; In, 2024)، حيث أن العوامل الثقافية والتنظيمية والمؤسسية تلعب دوراً محورياً في تحديد معدل ونجاح التبني. وبينما قدمت دراسة Sakarneh &amp; Kilani (2024) رؤى قيمة من السياق الأردني كبيئة عربية إقليمية، إلا أن هناك اختلافات جوهرية بين السياق الأردني والسياق السعودي من حيث حجم القطاع المالي والموارد المتاحة والأهداف الاستراتيجية الوطنية المتمثلة في رؤية 2030، مما يستدعي إجراء دراسة مستقلة تركز على السياق السعودي بشكل محدد وتربط بين تقنية الترميز وأهداف رؤية 2030 بشكل مباشر.</w:t>
      </w:r>
    </w:p>
    <w:p w14:paraId="08853A45" w14:textId="77777777" w:rsidR="00F00638" w:rsidRPr="004F6AF4" w:rsidRDefault="00F00638" w:rsidP="00E000FF">
      <w:pPr>
        <w:bidi/>
        <w:spacing w:after="0" w:line="360" w:lineRule="auto"/>
        <w:jc w:val="both"/>
        <w:rPr>
          <w:rFonts w:ascii="Simplified Arabic" w:hAnsi="Simplified Arabic" w:cs="Simplified Arabic"/>
          <w:b/>
          <w:bCs/>
          <w:sz w:val="28"/>
          <w:szCs w:val="28"/>
        </w:rPr>
      </w:pPr>
    </w:p>
    <w:p w14:paraId="7A192E72"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2.2.4 الدراسات المرتبطة بتطبيقات الترميز في المؤسسات المالية</w:t>
      </w:r>
    </w:p>
    <w:p w14:paraId="3317D343"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ركزت مجموعة من الدراسات على التطبيقات الفعلية لتقنية الترميز في قطاعات وأصول متنوعة، حيث قدمت دراسة جماعية من باحثين متعددين (Multiple Authors, 2025) تحليلاً قانونياً مقارناً لترميز الأصول الواقعية شمل دراسة حالات من أسواق متعددة، بحيث أظهرت النتائج أن ترميز الأصول الواقعية شهد نمواً كبيراً حيث بلغت قيمة الأوراق المالية المرمزة حوالي 225 مليار دولار مع قيادة أوروبا بأكثر من 600 مليون دولار في سندات رقمية وآسيا ب200 مليون دولار، لكن الدراسة أبرزت التحديات الرئيسية بما في ذلك الفجوات التنظيمية ومخاوف الأمن السيبراني وقيود القابلية للتوسع والتشغيل البيني ومقاومة المؤسسات التقليدية.</w:t>
      </w:r>
    </w:p>
    <w:p w14:paraId="341070F4"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 xml:space="preserve">كما فحص Adigwe et al. (2024) ترميز الأصول الزراعية وتعزيز أمن البلوكشين ضد الاحتيال والمخاطر السيبرانية من خلال منهجية تجريبية تعتمد على تحليل بيانات من World Bank Global Findex وسجلات معاملات Ethereum وإحصاءات FAO، بحيث أظهرت النتائج أن الترميز يقلل وقت صرف </w:t>
      </w:r>
      <w:r>
        <w:rPr>
          <w:rFonts w:ascii="Traditional Arabic" w:hAnsi="Traditional Arabic" w:cs="Traditional Arabic"/>
          <w:b/>
          <w:bCs/>
          <w:sz w:val="28"/>
          <w:szCs w:val="28"/>
          <w:rtl/>
        </w:rPr>
        <w:lastRenderedPageBreak/>
        <w:t>القروض بنسبة 31.3% ويخفض تكاليف المعاملات بنسبة 37.3% ويزيد الشفافية المالية بنسبة 40% مع انخفاض حالات الاحتيال بنسبة 15% في المعاملات المدعومة بالبلوكشين، وأوصت الدراسة بتعزيز أمن العقود الذكية والتحقق اللامركزي من الهوية والرقابة التنظيمية.</w:t>
      </w:r>
    </w:p>
    <w:p w14:paraId="75CA22A5"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بينما استهدف Karanovic et al. (2024) قياس تأثير البلوكشين على الخدمات المالية والمعاملات الرقمية على نطاق واسع من خلال منهجية مختلطة على مدى 24 شهراً شملت تحليل 500 مؤسسة مالية في 25 دولة مع استطلاعات ومقابلات ودراسات حالة، بحيث أظهرت النتائج انخفاضاً بنسبة 42.6% في تكاليف المعاملات وانخفاضاً بنسبة 78.3% في أوقات معالجة المعاملات عبر الحدود وانخفاضاً بنسبة 56.2% في حوادث الأمن السيبراني، كما كشفت الدراسة أن معدل تبني البلوكشين في البنوك التقليدية بلغ 47.3% بينما في شركات الفنتك بلغ 68.9%، وأظهر تحليل الانحدار أن 84.7% من التباين في الأداء المالي يمكن تفسيره بعوامل تبني البلوكشين.</w:t>
      </w:r>
    </w:p>
    <w:p w14:paraId="66A00442" w14:textId="77777777" w:rsidR="00F00638" w:rsidRPr="00FB5EDA" w:rsidRDefault="00F00638"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b/>
          <w:bCs/>
          <w:sz w:val="28"/>
          <w:szCs w:val="28"/>
          <w:rtl/>
        </w:rPr>
        <w:t>تكشف دراسات المجموعة الرابعة عن التنوع الكبير في تطبيقات تقنية الترميز عبر قطاعات وأصول وجغرافيات مختلفة (Multiple Authors, 2025; Adigwe et al., 2024; Karanovic et al., 2024)، حيث أن التقنية أثبتت قدرتها على تحسين الكفاءة والأمن في سياقات متنوعة تتراوح من الأصول الزراعية إلى الأوراق المالية التقليدية. وتبرز دراسة Karanovic et al. (2024) بشكل خاص من خلال نطاقها الواسع الذي شمل 500 مؤسسة في 25 دولة، مما يوفر قاعدة مقارنة قوية للدراسة الحالية. إلا أن الفجوة البحثية تبقى واضحة فيما يتعلق بالمقارنة المباشرة بين أنواع مختلفة من المؤسسات المالية (البنوك التقليدية والبنوك الرقمية وشركات الفنتك) في السياق السعودي تحديداً، وهو ما تسعى الدراسة الحالية لمعالجته.</w:t>
      </w:r>
    </w:p>
    <w:p w14:paraId="23D03C9B" w14:textId="77777777" w:rsidR="004F6AF4" w:rsidRDefault="004F6AF4" w:rsidP="00E000FF">
      <w:pPr>
        <w:pStyle w:val="HeadingTOCEntry"/>
        <w:bidi/>
        <w:spacing w:after="0" w:line="360" w:lineRule="auto"/>
        <w:ind w:left="432" w:hanging="432"/>
        <w:rPr>
          <w:rFonts w:ascii="Traditional Arabic" w:hAnsi="Traditional Arabic" w:cs="Traditional Arabic"/>
          <w:b/>
          <w:bCs/>
          <w:sz w:val="32"/>
          <w:szCs w:val="32"/>
          <w:u w:val="single"/>
          <w:rtl/>
        </w:rPr>
      </w:pPr>
      <w:bookmarkStart w:id="28" w:name="_Toc224563960"/>
      <w:bookmarkStart w:id="29" w:name="_Toc234424152"/>
    </w:p>
    <w:p w14:paraId="06B1DDFB" w14:textId="77777777" w:rsidR="00F00638" w:rsidRPr="00FB5EDA" w:rsidRDefault="00F00638" w:rsidP="004F6AF4">
      <w:pPr>
        <w:pStyle w:val="HeadingTOCEntry"/>
        <w:bidi/>
        <w:spacing w:after="0" w:line="360" w:lineRule="auto"/>
        <w:rPr>
          <w:rFonts w:ascii="Simplified Arabic" w:hAnsi="Simplified Arabic" w:cs="Simplified Arabic"/>
          <w:b/>
          <w:bCs/>
          <w:sz w:val="28"/>
          <w:szCs w:val="28"/>
          <w:u w:val="single"/>
        </w:rPr>
      </w:pPr>
      <w:r>
        <w:rPr>
          <w:rFonts w:ascii="Traditional Arabic" w:hAnsi="Traditional Arabic" w:cs="Traditional Arabic"/>
          <w:b/>
          <w:bCs/>
          <w:sz w:val="32"/>
          <w:szCs w:val="32"/>
          <w:u w:val="single"/>
          <w:rtl/>
        </w:rPr>
        <w:t>2.3 جدول شامل للدراسات السابقة</w:t>
      </w:r>
      <w:bookmarkEnd w:id="28"/>
      <w:bookmarkEnd w:id="29"/>
    </w:p>
    <w:p w14:paraId="709D8739" w14:textId="77777777" w:rsidR="005D691F" w:rsidRDefault="005D691F" w:rsidP="00E000FF">
      <w:pPr>
        <w:bidi/>
        <w:spacing w:after="0"/>
        <w:sectPr w:rsidR="005D691F" w:rsidSect="006E2853">
          <w:pgSz w:w="11906" w:h="16838"/>
          <w:pgMar w:top="1440" w:right="1800" w:bottom="1440" w:left="1800" w:header="708" w:footer="144" w:gutter="0"/>
          <w:cols w:space="708"/>
          <w:titlePg/>
          <w:bidi/>
          <w:rtlGutter/>
          <w:docGrid w:linePitch="360"/>
        </w:sectPr>
      </w:pPr>
    </w:p>
    <w:p w14:paraId="665999E1" w14:textId="77777777" w:rsidR="00F00638" w:rsidRPr="00FB5EDA" w:rsidRDefault="00F00638" w:rsidP="00E000FF">
      <w:pPr>
        <w:pStyle w:val="TableCaption"/>
        <w:bidi/>
        <w:spacing w:after="0" w:line="300" w:lineRule="auto"/>
        <w:jc w:val="both"/>
        <w:rPr>
          <w:rFonts w:ascii="Simplified Arabic" w:hAnsi="Simplified Arabic" w:cs="Simplified Arabic"/>
          <w:sz w:val="28"/>
          <w:szCs w:val="28"/>
        </w:rPr>
      </w:pPr>
      <w:r>
        <w:rPr>
          <w:rFonts w:ascii="Traditional Arabic" w:hAnsi="Traditional Arabic" w:cs="Traditional Arabic"/>
          <w:b/>
          <w:bCs/>
          <w:sz w:val="24"/>
          <w:szCs w:val="24"/>
          <w:rtl/>
        </w:rPr>
        <w:lastRenderedPageBreak/>
        <w:t>جدول (2.2): تحليل مقارن للدراسات السابقة حول تقنية الترميز وأثرها على الأمن السيبراني وكفاءة العمليات المالية</w:t>
      </w:r>
    </w:p>
    <w:tbl>
      <w:tblPr>
        <w:bidiVisual/>
        <w:tblW w:w="14700" w:type="dxa"/>
        <w:tblBorders>
          <w:top w:val="single" w:sz="6" w:space="0" w:color="7F9DB9"/>
          <w:left w:val="single" w:sz="6" w:space="0" w:color="7F9DB9"/>
          <w:bottom w:val="single" w:sz="6" w:space="0" w:color="7F9DB9"/>
          <w:right w:val="single" w:sz="6" w:space="0" w:color="7F9DB9"/>
          <w:insideH w:val="single" w:sz="6" w:space="0" w:color="7F9DB9"/>
          <w:insideV w:val="single" w:sz="6" w:space="0" w:color="7F9DB9"/>
        </w:tblBorders>
        <w:tblLook w:val="04A0" w:firstRow="1" w:lastRow="0" w:firstColumn="1" w:lastColumn="0" w:noHBand="0" w:noVBand="1"/>
      </w:tblPr>
      <w:tblGrid>
        <w:gridCol w:w="1600"/>
        <w:gridCol w:w="1700"/>
        <w:gridCol w:w="1900"/>
        <w:gridCol w:w="1500"/>
        <w:gridCol w:w="2000"/>
        <w:gridCol w:w="2100"/>
        <w:gridCol w:w="1900"/>
        <w:gridCol w:w="2000"/>
      </w:tblGrid>
      <w:tr w:rsidR="005D691F" w14:paraId="62B2E84B" w14:textId="77777777" w:rsidTr="004F6AF4">
        <w:trPr>
          <w:tblHeader/>
        </w:trPr>
        <w:tc>
          <w:tcPr>
            <w:tcW w:w="1600" w:type="dxa"/>
            <w:shd w:val="clear" w:color="auto" w:fill="DCE9F5"/>
            <w:vAlign w:val="center"/>
          </w:tcPr>
          <w:p w14:paraId="16713677" w14:textId="77777777" w:rsidR="005D691F" w:rsidRDefault="00F4227D" w:rsidP="004F6AF4">
            <w:pPr>
              <w:bidi/>
              <w:spacing w:after="0" w:line="260" w:lineRule="auto"/>
              <w:jc w:val="center"/>
            </w:pPr>
            <w:r>
              <w:rPr>
                <w:rFonts w:ascii="Traditional Arabic" w:hAnsi="Traditional Arabic" w:cs="Traditional Arabic"/>
                <w:b/>
                <w:bCs/>
                <w:rtl/>
              </w:rPr>
              <w:t>الباحث والسنة</w:t>
            </w:r>
          </w:p>
        </w:tc>
        <w:tc>
          <w:tcPr>
            <w:tcW w:w="1700" w:type="dxa"/>
            <w:shd w:val="clear" w:color="auto" w:fill="DCE9F5"/>
            <w:vAlign w:val="center"/>
          </w:tcPr>
          <w:p w14:paraId="10433206" w14:textId="77777777" w:rsidR="005D691F" w:rsidRDefault="00F4227D" w:rsidP="004F6AF4">
            <w:pPr>
              <w:bidi/>
              <w:spacing w:after="0" w:line="260" w:lineRule="auto"/>
              <w:jc w:val="center"/>
            </w:pPr>
            <w:r>
              <w:rPr>
                <w:rFonts w:ascii="Traditional Arabic" w:hAnsi="Traditional Arabic" w:cs="Traditional Arabic"/>
                <w:b/>
                <w:bCs/>
                <w:rtl/>
              </w:rPr>
              <w:t>الدولة أو البيئة التطبيقية</w:t>
            </w:r>
          </w:p>
        </w:tc>
        <w:tc>
          <w:tcPr>
            <w:tcW w:w="1900" w:type="dxa"/>
            <w:shd w:val="clear" w:color="auto" w:fill="DCE9F5"/>
            <w:vAlign w:val="center"/>
          </w:tcPr>
          <w:p w14:paraId="7CE2CBE5" w14:textId="77777777" w:rsidR="005D691F" w:rsidRDefault="00F4227D" w:rsidP="004F6AF4">
            <w:pPr>
              <w:bidi/>
              <w:spacing w:after="0" w:line="260" w:lineRule="auto"/>
              <w:jc w:val="center"/>
            </w:pPr>
            <w:r>
              <w:rPr>
                <w:rFonts w:ascii="Traditional Arabic" w:hAnsi="Traditional Arabic" w:cs="Traditional Arabic"/>
                <w:b/>
                <w:bCs/>
                <w:rtl/>
              </w:rPr>
              <w:t>الهدف</w:t>
            </w:r>
          </w:p>
        </w:tc>
        <w:tc>
          <w:tcPr>
            <w:tcW w:w="1500" w:type="dxa"/>
            <w:shd w:val="clear" w:color="auto" w:fill="DCE9F5"/>
            <w:vAlign w:val="center"/>
          </w:tcPr>
          <w:p w14:paraId="23B5077B" w14:textId="77777777" w:rsidR="005D691F" w:rsidRDefault="00F4227D" w:rsidP="004F6AF4">
            <w:pPr>
              <w:bidi/>
              <w:spacing w:after="0" w:line="260" w:lineRule="auto"/>
              <w:jc w:val="center"/>
            </w:pPr>
            <w:r>
              <w:rPr>
                <w:rFonts w:ascii="Traditional Arabic" w:hAnsi="Traditional Arabic" w:cs="Traditional Arabic"/>
                <w:b/>
                <w:bCs/>
                <w:rtl/>
              </w:rPr>
              <w:t>المنهج</w:t>
            </w:r>
          </w:p>
        </w:tc>
        <w:tc>
          <w:tcPr>
            <w:tcW w:w="2000" w:type="dxa"/>
            <w:shd w:val="clear" w:color="auto" w:fill="DCE9F5"/>
            <w:vAlign w:val="center"/>
          </w:tcPr>
          <w:p w14:paraId="72ECB3C0" w14:textId="77777777" w:rsidR="005D691F" w:rsidRDefault="00F4227D" w:rsidP="004F6AF4">
            <w:pPr>
              <w:bidi/>
              <w:spacing w:after="0" w:line="260" w:lineRule="auto"/>
              <w:jc w:val="center"/>
            </w:pPr>
            <w:r>
              <w:rPr>
                <w:rFonts w:ascii="Traditional Arabic" w:hAnsi="Traditional Arabic" w:cs="Traditional Arabic"/>
                <w:b/>
                <w:bCs/>
                <w:rtl/>
              </w:rPr>
              <w:t>متغيرات الدراسة</w:t>
            </w:r>
          </w:p>
        </w:tc>
        <w:tc>
          <w:tcPr>
            <w:tcW w:w="2100" w:type="dxa"/>
            <w:shd w:val="clear" w:color="auto" w:fill="DCE9F5"/>
            <w:vAlign w:val="center"/>
          </w:tcPr>
          <w:p w14:paraId="7DB8C42F" w14:textId="77777777" w:rsidR="005D691F" w:rsidRDefault="00F4227D" w:rsidP="004F6AF4">
            <w:pPr>
              <w:bidi/>
              <w:spacing w:after="0" w:line="260" w:lineRule="auto"/>
              <w:jc w:val="center"/>
            </w:pPr>
            <w:r>
              <w:rPr>
                <w:rFonts w:ascii="Traditional Arabic" w:hAnsi="Traditional Arabic" w:cs="Traditional Arabic"/>
                <w:b/>
                <w:bCs/>
                <w:rtl/>
              </w:rPr>
              <w:t>أهم النتائج</w:t>
            </w:r>
          </w:p>
        </w:tc>
        <w:tc>
          <w:tcPr>
            <w:tcW w:w="1900" w:type="dxa"/>
            <w:shd w:val="clear" w:color="auto" w:fill="DCE9F5"/>
            <w:vAlign w:val="center"/>
          </w:tcPr>
          <w:p w14:paraId="344B2D98" w14:textId="77777777" w:rsidR="005D691F" w:rsidRDefault="00F4227D" w:rsidP="004F6AF4">
            <w:pPr>
              <w:bidi/>
              <w:spacing w:after="0" w:line="260" w:lineRule="auto"/>
              <w:jc w:val="center"/>
            </w:pPr>
            <w:r>
              <w:rPr>
                <w:rFonts w:ascii="Traditional Arabic" w:hAnsi="Traditional Arabic" w:cs="Traditional Arabic"/>
                <w:b/>
                <w:bCs/>
                <w:rtl/>
              </w:rPr>
              <w:t>أوجه القصور والفجوة</w:t>
            </w:r>
          </w:p>
        </w:tc>
        <w:tc>
          <w:tcPr>
            <w:tcW w:w="2000" w:type="dxa"/>
            <w:shd w:val="clear" w:color="auto" w:fill="DCE9F5"/>
            <w:vAlign w:val="center"/>
          </w:tcPr>
          <w:p w14:paraId="4320F710" w14:textId="77777777" w:rsidR="005D691F" w:rsidRDefault="00F4227D" w:rsidP="004F6AF4">
            <w:pPr>
              <w:bidi/>
              <w:spacing w:after="0" w:line="260" w:lineRule="auto"/>
              <w:jc w:val="center"/>
            </w:pPr>
            <w:r>
              <w:rPr>
                <w:rFonts w:ascii="Traditional Arabic" w:hAnsi="Traditional Arabic" w:cs="Traditional Arabic"/>
                <w:b/>
                <w:bCs/>
                <w:rtl/>
              </w:rPr>
              <w:t>أوجه الإفادة للدراسة الحالية</w:t>
            </w:r>
          </w:p>
        </w:tc>
      </w:tr>
      <w:tr w:rsidR="005D691F" w14:paraId="44682FBE" w14:textId="77777777" w:rsidTr="004F6AF4">
        <w:tc>
          <w:tcPr>
            <w:tcW w:w="1600" w:type="dxa"/>
            <w:vAlign w:val="center"/>
          </w:tcPr>
          <w:p w14:paraId="04866A07" w14:textId="77777777" w:rsidR="005D691F" w:rsidRDefault="00F4227D" w:rsidP="004F6AF4">
            <w:pPr>
              <w:bidi/>
              <w:spacing w:after="0" w:line="260" w:lineRule="auto"/>
              <w:jc w:val="center"/>
            </w:pPr>
            <w:r>
              <w:rPr>
                <w:rFonts w:ascii="Traditional Arabic" w:hAnsi="Traditional Arabic" w:cs="Traditional Arabic"/>
                <w:rtl/>
              </w:rPr>
              <w:t>Goghie (2024)</w:t>
            </w:r>
          </w:p>
        </w:tc>
        <w:tc>
          <w:tcPr>
            <w:tcW w:w="1700" w:type="dxa"/>
            <w:vAlign w:val="center"/>
          </w:tcPr>
          <w:p w14:paraId="339E4DC9" w14:textId="77777777" w:rsidR="005D691F" w:rsidRDefault="00F4227D" w:rsidP="004F6AF4">
            <w:pPr>
              <w:bidi/>
              <w:spacing w:after="0" w:line="260" w:lineRule="auto"/>
              <w:jc w:val="center"/>
            </w:pPr>
            <w:r>
              <w:rPr>
                <w:rFonts w:ascii="Traditional Arabic" w:hAnsi="Traditional Arabic" w:cs="Traditional Arabic"/>
                <w:rtl/>
              </w:rPr>
              <w:t>أوروبا — بنوك كبرى</w:t>
            </w:r>
          </w:p>
        </w:tc>
        <w:tc>
          <w:tcPr>
            <w:tcW w:w="1900" w:type="dxa"/>
            <w:vAlign w:val="center"/>
          </w:tcPr>
          <w:p w14:paraId="5B1AD72F" w14:textId="77777777" w:rsidR="005D691F" w:rsidRDefault="00F4227D" w:rsidP="004F6AF4">
            <w:pPr>
              <w:bidi/>
              <w:spacing w:after="0" w:line="260" w:lineRule="auto"/>
              <w:jc w:val="center"/>
            </w:pPr>
            <w:r>
              <w:rPr>
                <w:rFonts w:ascii="Traditional Arabic" w:hAnsi="Traditional Arabic" w:cs="Traditional Arabic"/>
                <w:rtl/>
              </w:rPr>
              <w:t>تحليل موقع البنوك الكبرى في بنية الترميز</w:t>
            </w:r>
          </w:p>
        </w:tc>
        <w:tc>
          <w:tcPr>
            <w:tcW w:w="1500" w:type="dxa"/>
            <w:vAlign w:val="center"/>
          </w:tcPr>
          <w:p w14:paraId="2FBE04A3" w14:textId="77777777" w:rsidR="005D691F" w:rsidRDefault="00F4227D" w:rsidP="004F6AF4">
            <w:pPr>
              <w:bidi/>
              <w:spacing w:after="0" w:line="260" w:lineRule="auto"/>
              <w:jc w:val="center"/>
            </w:pPr>
            <w:r>
              <w:rPr>
                <w:rFonts w:ascii="Traditional Arabic" w:hAnsi="Traditional Arabic" w:cs="Traditional Arabic"/>
                <w:rtl/>
              </w:rPr>
              <w:t>تحليل البنية التحتية</w:t>
            </w:r>
          </w:p>
        </w:tc>
        <w:tc>
          <w:tcPr>
            <w:tcW w:w="2000" w:type="dxa"/>
            <w:vAlign w:val="center"/>
          </w:tcPr>
          <w:p w14:paraId="27C49D89" w14:textId="77777777" w:rsidR="005D691F" w:rsidRDefault="00F4227D" w:rsidP="004F6AF4">
            <w:pPr>
              <w:bidi/>
              <w:spacing w:after="0" w:line="260" w:lineRule="auto"/>
              <w:jc w:val="center"/>
            </w:pPr>
            <w:r>
              <w:rPr>
                <w:rFonts w:ascii="Traditional Arabic" w:hAnsi="Traditional Arabic" w:cs="Traditional Arabic"/>
                <w:rtl/>
              </w:rPr>
              <w:t>المتغير المستقل: بنية الترميز / التابع: معايير الأمن</w:t>
            </w:r>
          </w:p>
        </w:tc>
        <w:tc>
          <w:tcPr>
            <w:tcW w:w="2100" w:type="dxa"/>
            <w:vAlign w:val="center"/>
          </w:tcPr>
          <w:p w14:paraId="3CDC4CB6" w14:textId="77777777" w:rsidR="005D691F" w:rsidRDefault="00F4227D" w:rsidP="004F6AF4">
            <w:pPr>
              <w:bidi/>
              <w:spacing w:after="0" w:line="260" w:lineRule="auto"/>
              <w:jc w:val="center"/>
            </w:pPr>
            <w:r>
              <w:rPr>
                <w:rFonts w:ascii="Traditional Arabic" w:hAnsi="Traditional Arabic" w:cs="Traditional Arabic"/>
                <w:rtl/>
              </w:rPr>
              <w:t>البنوك الكبرى في موقع مركزي وتشكّل معايير الأمن</w:t>
            </w:r>
          </w:p>
        </w:tc>
        <w:tc>
          <w:tcPr>
            <w:tcW w:w="1900" w:type="dxa"/>
            <w:vAlign w:val="center"/>
          </w:tcPr>
          <w:p w14:paraId="6A77C7F1" w14:textId="77777777" w:rsidR="005D691F" w:rsidRDefault="00F4227D" w:rsidP="004F6AF4">
            <w:pPr>
              <w:bidi/>
              <w:spacing w:after="0" w:line="260" w:lineRule="auto"/>
              <w:jc w:val="center"/>
            </w:pPr>
            <w:r>
              <w:rPr>
                <w:rFonts w:ascii="Traditional Arabic" w:hAnsi="Traditional Arabic" w:cs="Traditional Arabic"/>
                <w:rtl/>
              </w:rPr>
              <w:t>غياب التحليل الكمي لتوازن القوى بين البنوك الكبرى ومزوّدي خدمات الترميز، وعدم قياس أثر هذا التوازن على مستوى الامتثال أو على كفاءة العمليات، واقتصار الدراسة على البيئة الأوروبية دون الأسواق الناشئة.</w:t>
            </w:r>
          </w:p>
        </w:tc>
        <w:tc>
          <w:tcPr>
            <w:tcW w:w="2000" w:type="dxa"/>
            <w:vAlign w:val="center"/>
          </w:tcPr>
          <w:p w14:paraId="103E62FD" w14:textId="77777777" w:rsidR="005D691F" w:rsidRDefault="00F4227D" w:rsidP="004F6AF4">
            <w:pPr>
              <w:bidi/>
              <w:spacing w:after="0" w:line="260" w:lineRule="auto"/>
              <w:jc w:val="center"/>
            </w:pPr>
            <w:r>
              <w:rPr>
                <w:rFonts w:ascii="Traditional Arabic" w:hAnsi="Traditional Arabic" w:cs="Traditional Arabic"/>
                <w:rtl/>
              </w:rPr>
              <w:t>تُفيد الدراسة الحالية في تفسير تفوّق البنوك على غيرها في مستوى تبنّي الترميز والامتثال، وفي تبرير إدراج نوع المؤسسة وحجمها ضمن المتغيرات الضابطة.</w:t>
            </w:r>
          </w:p>
        </w:tc>
      </w:tr>
      <w:tr w:rsidR="005D691F" w14:paraId="1DE66FAE" w14:textId="77777777" w:rsidTr="004F6AF4">
        <w:tc>
          <w:tcPr>
            <w:tcW w:w="1600" w:type="dxa"/>
            <w:vAlign w:val="center"/>
          </w:tcPr>
          <w:p w14:paraId="6BFC6FD3" w14:textId="77777777" w:rsidR="005D691F" w:rsidRDefault="00F4227D" w:rsidP="004F6AF4">
            <w:pPr>
              <w:bidi/>
              <w:spacing w:after="0" w:line="260" w:lineRule="auto"/>
              <w:jc w:val="center"/>
            </w:pPr>
            <w:r>
              <w:rPr>
                <w:rFonts w:ascii="Traditional Arabic" w:hAnsi="Traditional Arabic" w:cs="Traditional Arabic"/>
                <w:rtl/>
              </w:rPr>
              <w:t>Ahammad et al. (2025)</w:t>
            </w:r>
          </w:p>
        </w:tc>
        <w:tc>
          <w:tcPr>
            <w:tcW w:w="1700" w:type="dxa"/>
            <w:vAlign w:val="center"/>
          </w:tcPr>
          <w:p w14:paraId="4E5AEFC2" w14:textId="77777777" w:rsidR="005D691F" w:rsidRDefault="00F4227D" w:rsidP="004F6AF4">
            <w:pPr>
              <w:bidi/>
              <w:spacing w:after="0" w:line="260" w:lineRule="auto"/>
              <w:jc w:val="center"/>
            </w:pPr>
            <w:r>
              <w:rPr>
                <w:rFonts w:ascii="Traditional Arabic" w:hAnsi="Traditional Arabic" w:cs="Traditional Arabic"/>
                <w:rtl/>
              </w:rPr>
              <w:t>بيئة تقنية — Ethereum</w:t>
            </w:r>
          </w:p>
        </w:tc>
        <w:tc>
          <w:tcPr>
            <w:tcW w:w="1900" w:type="dxa"/>
            <w:vAlign w:val="center"/>
          </w:tcPr>
          <w:p w14:paraId="11ACB3EE" w14:textId="77777777" w:rsidR="005D691F" w:rsidRDefault="00F4227D" w:rsidP="004F6AF4">
            <w:pPr>
              <w:bidi/>
              <w:spacing w:after="0" w:line="260" w:lineRule="auto"/>
              <w:jc w:val="center"/>
            </w:pPr>
            <w:r>
              <w:rPr>
                <w:rFonts w:ascii="Traditional Arabic" w:hAnsi="Traditional Arabic" w:cs="Traditional Arabic"/>
                <w:rtl/>
              </w:rPr>
              <w:t>تطوير نموذج ترميز لإلغاء الوسطاء</w:t>
            </w:r>
          </w:p>
        </w:tc>
        <w:tc>
          <w:tcPr>
            <w:tcW w:w="1500" w:type="dxa"/>
            <w:vAlign w:val="center"/>
          </w:tcPr>
          <w:p w14:paraId="297F6BC2" w14:textId="77777777" w:rsidR="005D691F" w:rsidRDefault="00F4227D" w:rsidP="004F6AF4">
            <w:pPr>
              <w:bidi/>
              <w:spacing w:after="0" w:line="260" w:lineRule="auto"/>
              <w:jc w:val="center"/>
            </w:pPr>
            <w:r>
              <w:rPr>
                <w:rFonts w:ascii="Traditional Arabic" w:hAnsi="Traditional Arabic" w:cs="Traditional Arabic"/>
                <w:rtl/>
              </w:rPr>
              <w:t>تطوير تجريبي</w:t>
            </w:r>
          </w:p>
        </w:tc>
        <w:tc>
          <w:tcPr>
            <w:tcW w:w="2000" w:type="dxa"/>
            <w:vAlign w:val="center"/>
          </w:tcPr>
          <w:p w14:paraId="1855B118" w14:textId="77777777" w:rsidR="005D691F" w:rsidRDefault="00F4227D" w:rsidP="004F6AF4">
            <w:pPr>
              <w:bidi/>
              <w:spacing w:after="0" w:line="260" w:lineRule="auto"/>
              <w:jc w:val="center"/>
            </w:pPr>
            <w:r>
              <w:rPr>
                <w:rFonts w:ascii="Traditional Arabic" w:hAnsi="Traditional Arabic" w:cs="Traditional Arabic"/>
                <w:rtl/>
              </w:rPr>
              <w:t>المستقل: الترميز / التابع: السرعة والأمن</w:t>
            </w:r>
          </w:p>
        </w:tc>
        <w:tc>
          <w:tcPr>
            <w:tcW w:w="2100" w:type="dxa"/>
            <w:vAlign w:val="center"/>
          </w:tcPr>
          <w:p w14:paraId="2A77A15D" w14:textId="77777777" w:rsidR="005D691F" w:rsidRDefault="00F4227D" w:rsidP="004F6AF4">
            <w:pPr>
              <w:bidi/>
              <w:spacing w:after="0" w:line="260" w:lineRule="auto"/>
              <w:jc w:val="center"/>
            </w:pPr>
            <w:r>
              <w:rPr>
                <w:rFonts w:ascii="Traditional Arabic" w:hAnsi="Traditional Arabic" w:cs="Traditional Arabic"/>
                <w:rtl/>
              </w:rPr>
              <w:t>إلغاء الوسطاء وتحسين السرعة والأمن</w:t>
            </w:r>
          </w:p>
        </w:tc>
        <w:tc>
          <w:tcPr>
            <w:tcW w:w="1900" w:type="dxa"/>
            <w:vAlign w:val="center"/>
          </w:tcPr>
          <w:p w14:paraId="4A7636BD" w14:textId="77777777" w:rsidR="005D691F" w:rsidRDefault="00F4227D" w:rsidP="004F6AF4">
            <w:pPr>
              <w:bidi/>
              <w:spacing w:after="0" w:line="260" w:lineRule="auto"/>
              <w:jc w:val="center"/>
            </w:pPr>
            <w:r>
              <w:rPr>
                <w:rFonts w:ascii="Traditional Arabic" w:hAnsi="Traditional Arabic" w:cs="Traditional Arabic"/>
                <w:rtl/>
              </w:rPr>
              <w:t>الحاجة لأبحاث التكامل بالأسواق الناشئة</w:t>
            </w:r>
          </w:p>
        </w:tc>
        <w:tc>
          <w:tcPr>
            <w:tcW w:w="2000" w:type="dxa"/>
            <w:vAlign w:val="center"/>
          </w:tcPr>
          <w:p w14:paraId="341ED537" w14:textId="77777777" w:rsidR="005D691F" w:rsidRDefault="00F4227D" w:rsidP="004F6AF4">
            <w:pPr>
              <w:bidi/>
              <w:spacing w:after="0" w:line="260" w:lineRule="auto"/>
              <w:jc w:val="center"/>
            </w:pPr>
            <w:r>
              <w:rPr>
                <w:rFonts w:ascii="Traditional Arabic" w:hAnsi="Traditional Arabic" w:cs="Traditional Arabic"/>
                <w:rtl/>
              </w:rPr>
              <w:t>دعم الربط بين الترميز وكفاءة العمليات في H2</w:t>
            </w:r>
          </w:p>
        </w:tc>
      </w:tr>
      <w:tr w:rsidR="005D691F" w14:paraId="192A9138" w14:textId="77777777" w:rsidTr="004F6AF4">
        <w:tc>
          <w:tcPr>
            <w:tcW w:w="1600" w:type="dxa"/>
            <w:vAlign w:val="center"/>
          </w:tcPr>
          <w:p w14:paraId="2C5731BD" w14:textId="77777777" w:rsidR="005D691F" w:rsidRDefault="00F4227D" w:rsidP="004F6AF4">
            <w:pPr>
              <w:bidi/>
              <w:spacing w:after="0" w:line="260" w:lineRule="auto"/>
              <w:jc w:val="center"/>
            </w:pPr>
            <w:r>
              <w:rPr>
                <w:rFonts w:ascii="Traditional Arabic" w:hAnsi="Traditional Arabic" w:cs="Traditional Arabic"/>
                <w:rtl/>
              </w:rPr>
              <w:t>Grossmann et al. (2025)</w:t>
            </w:r>
          </w:p>
        </w:tc>
        <w:tc>
          <w:tcPr>
            <w:tcW w:w="1700" w:type="dxa"/>
            <w:vAlign w:val="center"/>
          </w:tcPr>
          <w:p w14:paraId="281BFD19" w14:textId="77777777" w:rsidR="005D691F" w:rsidRDefault="00F4227D" w:rsidP="004F6AF4">
            <w:pPr>
              <w:bidi/>
              <w:spacing w:after="0" w:line="260" w:lineRule="auto"/>
              <w:jc w:val="center"/>
            </w:pPr>
            <w:r>
              <w:rPr>
                <w:rFonts w:ascii="Traditional Arabic" w:hAnsi="Traditional Arabic" w:cs="Traditional Arabic"/>
                <w:rtl/>
              </w:rPr>
              <w:t>أوروبا</w:t>
            </w:r>
          </w:p>
        </w:tc>
        <w:tc>
          <w:tcPr>
            <w:tcW w:w="1900" w:type="dxa"/>
            <w:vAlign w:val="center"/>
          </w:tcPr>
          <w:p w14:paraId="54C96EF7" w14:textId="77777777" w:rsidR="005D691F" w:rsidRDefault="00F4227D" w:rsidP="004F6AF4">
            <w:pPr>
              <w:bidi/>
              <w:spacing w:after="0" w:line="260" w:lineRule="auto"/>
              <w:jc w:val="center"/>
            </w:pPr>
            <w:r>
              <w:rPr>
                <w:rFonts w:ascii="Traditional Arabic" w:hAnsi="Traditional Arabic" w:cs="Traditional Arabic"/>
                <w:rtl/>
              </w:rPr>
              <w:t>بناء مبادئ تصميم لأنظمة الترميز</w:t>
            </w:r>
          </w:p>
        </w:tc>
        <w:tc>
          <w:tcPr>
            <w:tcW w:w="1500" w:type="dxa"/>
            <w:vAlign w:val="center"/>
          </w:tcPr>
          <w:p w14:paraId="4EB2CD20" w14:textId="77777777" w:rsidR="005D691F" w:rsidRDefault="00F4227D" w:rsidP="004F6AF4">
            <w:pPr>
              <w:bidi/>
              <w:spacing w:after="0" w:line="260" w:lineRule="auto"/>
              <w:jc w:val="center"/>
            </w:pPr>
            <w:r>
              <w:rPr>
                <w:rFonts w:ascii="Traditional Arabic" w:hAnsi="Traditional Arabic" w:cs="Traditional Arabic"/>
                <w:rtl/>
              </w:rPr>
              <w:t>Design Science Research</w:t>
            </w:r>
          </w:p>
        </w:tc>
        <w:tc>
          <w:tcPr>
            <w:tcW w:w="2000" w:type="dxa"/>
            <w:vAlign w:val="center"/>
          </w:tcPr>
          <w:p w14:paraId="3C7424D5" w14:textId="77777777" w:rsidR="005D691F" w:rsidRDefault="00F4227D" w:rsidP="004F6AF4">
            <w:pPr>
              <w:bidi/>
              <w:spacing w:after="0" w:line="260" w:lineRule="auto"/>
              <w:jc w:val="center"/>
            </w:pPr>
            <w:r>
              <w:rPr>
                <w:rFonts w:ascii="Traditional Arabic" w:hAnsi="Traditional Arabic" w:cs="Traditional Arabic"/>
                <w:rtl/>
              </w:rPr>
              <w:t>المستقل: تصميم الترميز / التابع: التكلفة والأخطاء</w:t>
            </w:r>
          </w:p>
        </w:tc>
        <w:tc>
          <w:tcPr>
            <w:tcW w:w="2100" w:type="dxa"/>
            <w:vAlign w:val="center"/>
          </w:tcPr>
          <w:p w14:paraId="4EB5E1E9" w14:textId="77777777" w:rsidR="005D691F" w:rsidRDefault="00F4227D" w:rsidP="004F6AF4">
            <w:pPr>
              <w:bidi/>
              <w:spacing w:after="0" w:line="260" w:lineRule="auto"/>
              <w:jc w:val="center"/>
            </w:pPr>
            <w:r>
              <w:rPr>
                <w:rFonts w:ascii="Traditional Arabic" w:hAnsi="Traditional Arabic" w:cs="Traditional Arabic"/>
                <w:rtl/>
              </w:rPr>
              <w:t>خفض التكاليف 40-60% وانخفاض الأخطاء 90%</w:t>
            </w:r>
          </w:p>
        </w:tc>
        <w:tc>
          <w:tcPr>
            <w:tcW w:w="1900" w:type="dxa"/>
            <w:vAlign w:val="center"/>
          </w:tcPr>
          <w:p w14:paraId="32A87C04" w14:textId="77777777" w:rsidR="005D691F" w:rsidRDefault="00F4227D" w:rsidP="004F6AF4">
            <w:pPr>
              <w:bidi/>
              <w:spacing w:after="0" w:line="260" w:lineRule="auto"/>
              <w:jc w:val="center"/>
            </w:pPr>
            <w:r>
              <w:rPr>
                <w:rFonts w:ascii="Traditional Arabic" w:hAnsi="Traditional Arabic" w:cs="Traditional Arabic"/>
                <w:rtl/>
              </w:rPr>
              <w:t>محدودية اختبار المبادئ بأسواق حقيقية</w:t>
            </w:r>
          </w:p>
        </w:tc>
        <w:tc>
          <w:tcPr>
            <w:tcW w:w="2000" w:type="dxa"/>
            <w:vAlign w:val="center"/>
          </w:tcPr>
          <w:p w14:paraId="04AA6D2A" w14:textId="77777777" w:rsidR="005D691F" w:rsidRDefault="00F4227D" w:rsidP="004F6AF4">
            <w:pPr>
              <w:bidi/>
              <w:spacing w:after="0" w:line="260" w:lineRule="auto"/>
              <w:jc w:val="center"/>
            </w:pPr>
            <w:r>
              <w:rPr>
                <w:rFonts w:ascii="Traditional Arabic" w:hAnsi="Traditional Arabic" w:cs="Traditional Arabic"/>
                <w:rtl/>
              </w:rPr>
              <w:t>مرجع كمي لمؤشرات الكفاءة التشغيلية</w:t>
            </w:r>
          </w:p>
        </w:tc>
      </w:tr>
      <w:tr w:rsidR="005D691F" w14:paraId="08CF90C3" w14:textId="77777777" w:rsidTr="004F6AF4">
        <w:tc>
          <w:tcPr>
            <w:tcW w:w="1600" w:type="dxa"/>
            <w:vAlign w:val="center"/>
          </w:tcPr>
          <w:p w14:paraId="1111C439" w14:textId="77777777" w:rsidR="005D691F" w:rsidRDefault="00F4227D" w:rsidP="004F6AF4">
            <w:pPr>
              <w:bidi/>
              <w:spacing w:after="0" w:line="260" w:lineRule="auto"/>
              <w:jc w:val="center"/>
            </w:pPr>
            <w:r>
              <w:rPr>
                <w:rFonts w:ascii="Traditional Arabic" w:hAnsi="Traditional Arabic" w:cs="Traditional Arabic"/>
                <w:rtl/>
              </w:rPr>
              <w:t>Carapella et al. (2023)</w:t>
            </w:r>
          </w:p>
        </w:tc>
        <w:tc>
          <w:tcPr>
            <w:tcW w:w="1700" w:type="dxa"/>
            <w:vAlign w:val="center"/>
          </w:tcPr>
          <w:p w14:paraId="71A17EFE" w14:textId="77777777" w:rsidR="005D691F" w:rsidRDefault="00F4227D" w:rsidP="004F6AF4">
            <w:pPr>
              <w:bidi/>
              <w:spacing w:after="0" w:line="260" w:lineRule="auto"/>
              <w:jc w:val="center"/>
            </w:pPr>
            <w:r>
              <w:rPr>
                <w:rFonts w:ascii="Traditional Arabic" w:hAnsi="Traditional Arabic" w:cs="Traditional Arabic"/>
                <w:rtl/>
              </w:rPr>
              <w:t>الولايات المتحدة</w:t>
            </w:r>
          </w:p>
        </w:tc>
        <w:tc>
          <w:tcPr>
            <w:tcW w:w="1900" w:type="dxa"/>
            <w:vAlign w:val="center"/>
          </w:tcPr>
          <w:p w14:paraId="5B91D0A1" w14:textId="77777777" w:rsidR="005D691F" w:rsidRDefault="00F4227D" w:rsidP="004F6AF4">
            <w:pPr>
              <w:bidi/>
              <w:spacing w:after="0" w:line="260" w:lineRule="auto"/>
              <w:jc w:val="center"/>
            </w:pPr>
            <w:r>
              <w:rPr>
                <w:rFonts w:ascii="Traditional Arabic" w:hAnsi="Traditional Arabic" w:cs="Traditional Arabic"/>
                <w:rtl/>
              </w:rPr>
              <w:t>تقييم فوائد ومخاطر الترميز نظامياً</w:t>
            </w:r>
          </w:p>
        </w:tc>
        <w:tc>
          <w:tcPr>
            <w:tcW w:w="1500" w:type="dxa"/>
            <w:vAlign w:val="center"/>
          </w:tcPr>
          <w:p w14:paraId="03FDA229" w14:textId="77777777" w:rsidR="005D691F" w:rsidRDefault="00F4227D" w:rsidP="004F6AF4">
            <w:pPr>
              <w:bidi/>
              <w:spacing w:after="0" w:line="260" w:lineRule="auto"/>
              <w:jc w:val="center"/>
            </w:pPr>
            <w:r>
              <w:rPr>
                <w:rFonts w:ascii="Traditional Arabic" w:hAnsi="Traditional Arabic" w:cs="Traditional Arabic"/>
                <w:rtl/>
              </w:rPr>
              <w:t>تحليل نوعي شامل</w:t>
            </w:r>
          </w:p>
        </w:tc>
        <w:tc>
          <w:tcPr>
            <w:tcW w:w="2000" w:type="dxa"/>
            <w:vAlign w:val="center"/>
          </w:tcPr>
          <w:p w14:paraId="3442A110" w14:textId="77777777" w:rsidR="005D691F" w:rsidRDefault="00F4227D" w:rsidP="004F6AF4">
            <w:pPr>
              <w:bidi/>
              <w:spacing w:after="0" w:line="260" w:lineRule="auto"/>
              <w:jc w:val="center"/>
            </w:pPr>
            <w:r>
              <w:rPr>
                <w:rFonts w:ascii="Traditional Arabic" w:hAnsi="Traditional Arabic" w:cs="Traditional Arabic"/>
                <w:rtl/>
              </w:rPr>
              <w:t>المستقل: الترميز / التابع: الكفاءة والمخاطر النظامية</w:t>
            </w:r>
          </w:p>
        </w:tc>
        <w:tc>
          <w:tcPr>
            <w:tcW w:w="2100" w:type="dxa"/>
            <w:vAlign w:val="center"/>
          </w:tcPr>
          <w:p w14:paraId="7B29B60E" w14:textId="77777777" w:rsidR="005D691F" w:rsidRDefault="00F4227D" w:rsidP="004F6AF4">
            <w:pPr>
              <w:bidi/>
              <w:spacing w:after="0" w:line="260" w:lineRule="auto"/>
              <w:jc w:val="center"/>
            </w:pPr>
            <w:r>
              <w:rPr>
                <w:rFonts w:ascii="Traditional Arabic" w:hAnsi="Traditional Arabic" w:cs="Traditional Arabic"/>
                <w:rtl/>
              </w:rPr>
              <w:t>فوائد بالكفاءة مقابل مخاطر نظامية</w:t>
            </w:r>
          </w:p>
        </w:tc>
        <w:tc>
          <w:tcPr>
            <w:tcW w:w="1900" w:type="dxa"/>
            <w:vAlign w:val="center"/>
          </w:tcPr>
          <w:p w14:paraId="0A3A2FB9" w14:textId="77777777" w:rsidR="005D691F" w:rsidRDefault="00F4227D" w:rsidP="004F6AF4">
            <w:pPr>
              <w:bidi/>
              <w:spacing w:after="0" w:line="260" w:lineRule="auto"/>
              <w:jc w:val="center"/>
            </w:pPr>
            <w:r>
              <w:rPr>
                <w:rFonts w:ascii="Traditional Arabic" w:hAnsi="Traditional Arabic" w:cs="Traditional Arabic"/>
                <w:rtl/>
              </w:rPr>
              <w:t>نقص دراسات تجريبية تحت ضغط</w:t>
            </w:r>
          </w:p>
        </w:tc>
        <w:tc>
          <w:tcPr>
            <w:tcW w:w="2000" w:type="dxa"/>
            <w:vAlign w:val="center"/>
          </w:tcPr>
          <w:p w14:paraId="754590C3" w14:textId="77777777" w:rsidR="005D691F" w:rsidRDefault="00F4227D" w:rsidP="004F6AF4">
            <w:pPr>
              <w:bidi/>
              <w:spacing w:after="0" w:line="260" w:lineRule="auto"/>
              <w:jc w:val="center"/>
            </w:pPr>
            <w:r>
              <w:rPr>
                <w:rFonts w:ascii="Traditional Arabic" w:hAnsi="Traditional Arabic" w:cs="Traditional Arabic"/>
                <w:rtl/>
              </w:rPr>
              <w:t>تنبيه إلى ضرورة قياس الامتثال إلى جانب الكفاءة</w:t>
            </w:r>
          </w:p>
        </w:tc>
      </w:tr>
      <w:tr w:rsidR="005D691F" w14:paraId="71B4D79B" w14:textId="77777777" w:rsidTr="004F6AF4">
        <w:tc>
          <w:tcPr>
            <w:tcW w:w="1600" w:type="dxa"/>
            <w:vAlign w:val="center"/>
          </w:tcPr>
          <w:p w14:paraId="1DF14F80" w14:textId="77777777" w:rsidR="005D691F" w:rsidRDefault="00F4227D" w:rsidP="004F6AF4">
            <w:pPr>
              <w:bidi/>
              <w:spacing w:after="0" w:line="260" w:lineRule="auto"/>
              <w:jc w:val="center"/>
            </w:pPr>
            <w:r>
              <w:rPr>
                <w:rFonts w:ascii="Traditional Arabic" w:hAnsi="Traditional Arabic" w:cs="Traditional Arabic"/>
                <w:rtl/>
              </w:rPr>
              <w:t>Al-Qudah et al. (2025)</w:t>
            </w:r>
          </w:p>
        </w:tc>
        <w:tc>
          <w:tcPr>
            <w:tcW w:w="1700" w:type="dxa"/>
            <w:vAlign w:val="center"/>
          </w:tcPr>
          <w:p w14:paraId="4D839FFD" w14:textId="77777777" w:rsidR="005D691F" w:rsidRDefault="00F4227D" w:rsidP="004F6AF4">
            <w:pPr>
              <w:bidi/>
              <w:spacing w:after="0" w:line="260" w:lineRule="auto"/>
              <w:jc w:val="center"/>
            </w:pPr>
            <w:r>
              <w:rPr>
                <w:rFonts w:ascii="Traditional Arabic" w:hAnsi="Traditional Arabic" w:cs="Traditional Arabic"/>
                <w:rtl/>
              </w:rPr>
              <w:t>الإمارات</w:t>
            </w:r>
          </w:p>
        </w:tc>
        <w:tc>
          <w:tcPr>
            <w:tcW w:w="1900" w:type="dxa"/>
            <w:vAlign w:val="center"/>
          </w:tcPr>
          <w:p w14:paraId="4D9D997B" w14:textId="77777777" w:rsidR="005D691F" w:rsidRDefault="00F4227D" w:rsidP="004F6AF4">
            <w:pPr>
              <w:bidi/>
              <w:spacing w:after="0" w:line="260" w:lineRule="auto"/>
              <w:jc w:val="center"/>
            </w:pPr>
            <w:r>
              <w:rPr>
                <w:rFonts w:ascii="Traditional Arabic" w:hAnsi="Traditional Arabic" w:cs="Traditional Arabic"/>
                <w:rtl/>
              </w:rPr>
              <w:t>قياس أثر الترميز على الحوادث والتكاليف</w:t>
            </w:r>
          </w:p>
        </w:tc>
        <w:tc>
          <w:tcPr>
            <w:tcW w:w="1500" w:type="dxa"/>
            <w:vAlign w:val="center"/>
          </w:tcPr>
          <w:p w14:paraId="3215E517" w14:textId="77777777" w:rsidR="005D691F" w:rsidRDefault="00F4227D" w:rsidP="004F6AF4">
            <w:pPr>
              <w:bidi/>
              <w:spacing w:after="0" w:line="260" w:lineRule="auto"/>
              <w:jc w:val="center"/>
            </w:pPr>
            <w:r>
              <w:rPr>
                <w:rFonts w:ascii="Traditional Arabic" w:hAnsi="Traditional Arabic" w:cs="Traditional Arabic"/>
                <w:rtl/>
              </w:rPr>
              <w:t>Random Forest</w:t>
            </w:r>
          </w:p>
        </w:tc>
        <w:tc>
          <w:tcPr>
            <w:tcW w:w="2000" w:type="dxa"/>
            <w:vAlign w:val="center"/>
          </w:tcPr>
          <w:p w14:paraId="0D02824B" w14:textId="77777777" w:rsidR="005D691F" w:rsidRDefault="00F4227D" w:rsidP="004F6AF4">
            <w:pPr>
              <w:bidi/>
              <w:spacing w:after="0" w:line="260" w:lineRule="auto"/>
              <w:jc w:val="center"/>
            </w:pPr>
            <w:r>
              <w:rPr>
                <w:rFonts w:ascii="Traditional Arabic" w:hAnsi="Traditional Arabic" w:cs="Traditional Arabic"/>
                <w:rtl/>
              </w:rPr>
              <w:t>المستقل: الترميز / التابع: الحوادث والتكاليف</w:t>
            </w:r>
          </w:p>
        </w:tc>
        <w:tc>
          <w:tcPr>
            <w:tcW w:w="2100" w:type="dxa"/>
            <w:vAlign w:val="center"/>
          </w:tcPr>
          <w:p w14:paraId="344D300B" w14:textId="77777777" w:rsidR="005D691F" w:rsidRDefault="00F4227D" w:rsidP="004F6AF4">
            <w:pPr>
              <w:bidi/>
              <w:spacing w:after="0" w:line="260" w:lineRule="auto"/>
              <w:jc w:val="center"/>
            </w:pPr>
            <w:r>
              <w:rPr>
                <w:rFonts w:ascii="Traditional Arabic" w:hAnsi="Traditional Arabic" w:cs="Traditional Arabic"/>
                <w:rtl/>
              </w:rPr>
              <w:t>علاقة سلبية r = -0.73 وخفض التكاليف 41-52%</w:t>
            </w:r>
          </w:p>
        </w:tc>
        <w:tc>
          <w:tcPr>
            <w:tcW w:w="1900" w:type="dxa"/>
            <w:vAlign w:val="center"/>
          </w:tcPr>
          <w:p w14:paraId="1038E3B3" w14:textId="77777777" w:rsidR="005D691F" w:rsidRDefault="00F4227D" w:rsidP="004F6AF4">
            <w:pPr>
              <w:bidi/>
              <w:spacing w:after="0" w:line="260" w:lineRule="auto"/>
              <w:jc w:val="center"/>
            </w:pPr>
            <w:r>
              <w:rPr>
                <w:rFonts w:ascii="Traditional Arabic" w:hAnsi="Traditional Arabic" w:cs="Traditional Arabic"/>
                <w:rtl/>
              </w:rPr>
              <w:t>محدودية دراسات كمية بالسعودية</w:t>
            </w:r>
          </w:p>
        </w:tc>
        <w:tc>
          <w:tcPr>
            <w:tcW w:w="2000" w:type="dxa"/>
            <w:vAlign w:val="center"/>
          </w:tcPr>
          <w:p w14:paraId="71840B5D" w14:textId="77777777" w:rsidR="005D691F" w:rsidRDefault="00F4227D" w:rsidP="004F6AF4">
            <w:pPr>
              <w:bidi/>
              <w:spacing w:after="0" w:line="260" w:lineRule="auto"/>
              <w:jc w:val="center"/>
            </w:pPr>
            <w:r>
              <w:rPr>
                <w:rFonts w:ascii="Traditional Arabic" w:hAnsi="Traditional Arabic" w:cs="Traditional Arabic"/>
                <w:rtl/>
              </w:rPr>
              <w:t>أقرب دراسة خليجية، وتؤكد الفجوة التي تسدّها الدراسة الحالية</w:t>
            </w:r>
          </w:p>
        </w:tc>
      </w:tr>
      <w:tr w:rsidR="005D691F" w14:paraId="16CE067F" w14:textId="77777777" w:rsidTr="004F6AF4">
        <w:tc>
          <w:tcPr>
            <w:tcW w:w="1600" w:type="dxa"/>
            <w:vAlign w:val="center"/>
          </w:tcPr>
          <w:p w14:paraId="41C05A02" w14:textId="77777777" w:rsidR="005D691F" w:rsidRDefault="00F4227D" w:rsidP="004F6AF4">
            <w:pPr>
              <w:bidi/>
              <w:spacing w:after="0" w:line="260" w:lineRule="auto"/>
              <w:jc w:val="center"/>
            </w:pPr>
            <w:r>
              <w:rPr>
                <w:rFonts w:ascii="Traditional Arabic" w:hAnsi="Traditional Arabic" w:cs="Traditional Arabic"/>
                <w:rtl/>
              </w:rPr>
              <w:t>Almadadha (2025)</w:t>
            </w:r>
          </w:p>
        </w:tc>
        <w:tc>
          <w:tcPr>
            <w:tcW w:w="1700" w:type="dxa"/>
            <w:vAlign w:val="center"/>
          </w:tcPr>
          <w:p w14:paraId="0B49CC95" w14:textId="77777777" w:rsidR="005D691F" w:rsidRDefault="00F4227D" w:rsidP="004F6AF4">
            <w:pPr>
              <w:bidi/>
              <w:spacing w:after="0" w:line="260" w:lineRule="auto"/>
              <w:jc w:val="center"/>
            </w:pPr>
            <w:r>
              <w:rPr>
                <w:rFonts w:ascii="Traditional Arabic" w:hAnsi="Traditional Arabic" w:cs="Traditional Arabic"/>
                <w:rtl/>
              </w:rPr>
              <w:t>أستراليا</w:t>
            </w:r>
          </w:p>
        </w:tc>
        <w:tc>
          <w:tcPr>
            <w:tcW w:w="1900" w:type="dxa"/>
            <w:vAlign w:val="center"/>
          </w:tcPr>
          <w:p w14:paraId="293A190B" w14:textId="77777777" w:rsidR="005D691F" w:rsidRDefault="00F4227D" w:rsidP="004F6AF4">
            <w:pPr>
              <w:bidi/>
              <w:spacing w:after="0" w:line="260" w:lineRule="auto"/>
              <w:jc w:val="center"/>
            </w:pPr>
            <w:r>
              <w:rPr>
                <w:rFonts w:ascii="Traditional Arabic" w:hAnsi="Traditional Arabic" w:cs="Traditional Arabic"/>
                <w:rtl/>
              </w:rPr>
              <w:t>تحليل أثر الترميز على الأداء المالي</w:t>
            </w:r>
          </w:p>
        </w:tc>
        <w:tc>
          <w:tcPr>
            <w:tcW w:w="1500" w:type="dxa"/>
            <w:vAlign w:val="center"/>
          </w:tcPr>
          <w:p w14:paraId="34DF7537" w14:textId="77777777" w:rsidR="005D691F" w:rsidRDefault="00F4227D" w:rsidP="004F6AF4">
            <w:pPr>
              <w:bidi/>
              <w:spacing w:after="0" w:line="260" w:lineRule="auto"/>
              <w:jc w:val="center"/>
            </w:pPr>
            <w:r>
              <w:rPr>
                <w:rFonts w:ascii="Traditional Arabic" w:hAnsi="Traditional Arabic" w:cs="Traditional Arabic"/>
                <w:rtl/>
              </w:rPr>
              <w:t>وصفية تحليلية</w:t>
            </w:r>
          </w:p>
        </w:tc>
        <w:tc>
          <w:tcPr>
            <w:tcW w:w="2000" w:type="dxa"/>
            <w:vAlign w:val="center"/>
          </w:tcPr>
          <w:p w14:paraId="7BA09DFC" w14:textId="77777777" w:rsidR="005D691F" w:rsidRDefault="00F4227D" w:rsidP="004F6AF4">
            <w:pPr>
              <w:bidi/>
              <w:spacing w:after="0" w:line="260" w:lineRule="auto"/>
              <w:jc w:val="center"/>
            </w:pPr>
            <w:r>
              <w:rPr>
                <w:rFonts w:ascii="Traditional Arabic" w:hAnsi="Traditional Arabic" w:cs="Traditional Arabic"/>
                <w:rtl/>
              </w:rPr>
              <w:t>المستقل: الترميز / التابع: ROA وROE ووقت الضمانات</w:t>
            </w:r>
          </w:p>
        </w:tc>
        <w:tc>
          <w:tcPr>
            <w:tcW w:w="2100" w:type="dxa"/>
            <w:vAlign w:val="center"/>
          </w:tcPr>
          <w:p w14:paraId="5BD9D909" w14:textId="77777777" w:rsidR="005D691F" w:rsidRDefault="00F4227D" w:rsidP="004F6AF4">
            <w:pPr>
              <w:bidi/>
              <w:spacing w:after="0" w:line="260" w:lineRule="auto"/>
              <w:jc w:val="center"/>
            </w:pPr>
            <w:r>
              <w:rPr>
                <w:rFonts w:ascii="Traditional Arabic" w:hAnsi="Traditional Arabic" w:cs="Traditional Arabic"/>
                <w:rtl/>
              </w:rPr>
              <w:t>تحسن ROA وROE وخفض وقت الضمانات</w:t>
            </w:r>
          </w:p>
        </w:tc>
        <w:tc>
          <w:tcPr>
            <w:tcW w:w="1900" w:type="dxa"/>
            <w:vAlign w:val="center"/>
          </w:tcPr>
          <w:p w14:paraId="4F681E49" w14:textId="77777777" w:rsidR="005D691F" w:rsidRDefault="00F4227D" w:rsidP="004F6AF4">
            <w:pPr>
              <w:bidi/>
              <w:spacing w:after="0" w:line="260" w:lineRule="auto"/>
              <w:jc w:val="center"/>
            </w:pPr>
            <w:r>
              <w:rPr>
                <w:rFonts w:ascii="Traditional Arabic" w:hAnsi="Traditional Arabic" w:cs="Traditional Arabic"/>
                <w:rtl/>
              </w:rPr>
              <w:t>نقص ربط التقنية بالأداء بالسعودية</w:t>
            </w:r>
          </w:p>
        </w:tc>
        <w:tc>
          <w:tcPr>
            <w:tcW w:w="2000" w:type="dxa"/>
            <w:vAlign w:val="center"/>
          </w:tcPr>
          <w:p w14:paraId="685EC590" w14:textId="77777777" w:rsidR="005D691F" w:rsidRDefault="00F4227D" w:rsidP="004F6AF4">
            <w:pPr>
              <w:bidi/>
              <w:spacing w:after="0" w:line="260" w:lineRule="auto"/>
              <w:jc w:val="center"/>
            </w:pPr>
            <w:r>
              <w:rPr>
                <w:rFonts w:ascii="Traditional Arabic" w:hAnsi="Traditional Arabic" w:cs="Traditional Arabic"/>
                <w:rtl/>
              </w:rPr>
              <w:t>دعم اختيار مؤشرات الكفاءة التشغيلية في الأداة</w:t>
            </w:r>
          </w:p>
        </w:tc>
      </w:tr>
      <w:tr w:rsidR="005D691F" w14:paraId="58591976" w14:textId="77777777" w:rsidTr="004F6AF4">
        <w:tc>
          <w:tcPr>
            <w:tcW w:w="1600" w:type="dxa"/>
            <w:vAlign w:val="center"/>
          </w:tcPr>
          <w:p w14:paraId="78DC002A" w14:textId="77777777" w:rsidR="005D691F" w:rsidRDefault="00F4227D" w:rsidP="004F6AF4">
            <w:pPr>
              <w:bidi/>
              <w:spacing w:after="0" w:line="260" w:lineRule="auto"/>
              <w:jc w:val="center"/>
            </w:pPr>
            <w:r>
              <w:rPr>
                <w:rFonts w:ascii="Traditional Arabic" w:hAnsi="Traditional Arabic" w:cs="Traditional Arabic"/>
                <w:rtl/>
              </w:rPr>
              <w:t>Lavayssière &amp; Zhang (2025)</w:t>
            </w:r>
          </w:p>
        </w:tc>
        <w:tc>
          <w:tcPr>
            <w:tcW w:w="1700" w:type="dxa"/>
            <w:vAlign w:val="center"/>
          </w:tcPr>
          <w:p w14:paraId="2AFF36C8" w14:textId="77777777" w:rsidR="005D691F" w:rsidRDefault="00F4227D" w:rsidP="004F6AF4">
            <w:pPr>
              <w:bidi/>
              <w:spacing w:after="0" w:line="260" w:lineRule="auto"/>
              <w:jc w:val="center"/>
            </w:pPr>
            <w:r>
              <w:rPr>
                <w:rFonts w:ascii="Traditional Arabic" w:hAnsi="Traditional Arabic" w:cs="Traditional Arabic"/>
                <w:rtl/>
              </w:rPr>
              <w:t>كندا</w:t>
            </w:r>
          </w:p>
        </w:tc>
        <w:tc>
          <w:tcPr>
            <w:tcW w:w="1900" w:type="dxa"/>
            <w:vAlign w:val="center"/>
          </w:tcPr>
          <w:p w14:paraId="1BE5634F" w14:textId="77777777" w:rsidR="005D691F" w:rsidRDefault="00F4227D" w:rsidP="004F6AF4">
            <w:pPr>
              <w:bidi/>
              <w:spacing w:after="0" w:line="260" w:lineRule="auto"/>
              <w:jc w:val="center"/>
            </w:pPr>
            <w:r>
              <w:rPr>
                <w:rFonts w:ascii="Traditional Arabic" w:hAnsi="Traditional Arabic" w:cs="Traditional Arabic"/>
                <w:rtl/>
              </w:rPr>
              <w:t>نمذجة أثر الترميز على تكاليف الإصدار</w:t>
            </w:r>
          </w:p>
        </w:tc>
        <w:tc>
          <w:tcPr>
            <w:tcW w:w="1500" w:type="dxa"/>
            <w:vAlign w:val="center"/>
          </w:tcPr>
          <w:p w14:paraId="4A1FA092" w14:textId="77777777" w:rsidR="005D691F" w:rsidRDefault="00F4227D" w:rsidP="004F6AF4">
            <w:pPr>
              <w:bidi/>
              <w:spacing w:after="0" w:line="260" w:lineRule="auto"/>
              <w:jc w:val="center"/>
            </w:pPr>
            <w:r>
              <w:rPr>
                <w:rFonts w:ascii="Traditional Arabic" w:hAnsi="Traditional Arabic" w:cs="Traditional Arabic"/>
                <w:rtl/>
              </w:rPr>
              <w:t>نمذجة نظرية</w:t>
            </w:r>
          </w:p>
        </w:tc>
        <w:tc>
          <w:tcPr>
            <w:tcW w:w="2000" w:type="dxa"/>
            <w:vAlign w:val="center"/>
          </w:tcPr>
          <w:p w14:paraId="3A5FD6D5" w14:textId="77777777" w:rsidR="005D691F" w:rsidRDefault="00F4227D" w:rsidP="004F6AF4">
            <w:pPr>
              <w:bidi/>
              <w:spacing w:after="0" w:line="260" w:lineRule="auto"/>
              <w:jc w:val="center"/>
            </w:pPr>
            <w:r>
              <w:rPr>
                <w:rFonts w:ascii="Traditional Arabic" w:hAnsi="Traditional Arabic" w:cs="Traditional Arabic"/>
                <w:rtl/>
              </w:rPr>
              <w:t>المستقل: ترميز الأصول / التابع: تكاليف الإصدار</w:t>
            </w:r>
          </w:p>
        </w:tc>
        <w:tc>
          <w:tcPr>
            <w:tcW w:w="2100" w:type="dxa"/>
            <w:vAlign w:val="center"/>
          </w:tcPr>
          <w:p w14:paraId="09C18266" w14:textId="77777777" w:rsidR="005D691F" w:rsidRDefault="00F4227D" w:rsidP="004F6AF4">
            <w:pPr>
              <w:bidi/>
              <w:spacing w:after="0" w:line="260" w:lineRule="auto"/>
              <w:jc w:val="center"/>
            </w:pPr>
            <w:r>
              <w:rPr>
                <w:rFonts w:ascii="Traditional Arabic" w:hAnsi="Traditional Arabic" w:cs="Traditional Arabic"/>
                <w:rtl/>
              </w:rPr>
              <w:t>خفض تكاليف الإصدار وتسهيل الرهن</w:t>
            </w:r>
          </w:p>
        </w:tc>
        <w:tc>
          <w:tcPr>
            <w:tcW w:w="1900" w:type="dxa"/>
            <w:vAlign w:val="center"/>
          </w:tcPr>
          <w:p w14:paraId="5FB42E70" w14:textId="77777777" w:rsidR="005D691F" w:rsidRDefault="00F4227D" w:rsidP="004F6AF4">
            <w:pPr>
              <w:bidi/>
              <w:spacing w:after="0" w:line="260" w:lineRule="auto"/>
              <w:jc w:val="center"/>
            </w:pPr>
            <w:r>
              <w:rPr>
                <w:rFonts w:ascii="Traditional Arabic" w:hAnsi="Traditional Arabic" w:cs="Traditional Arabic"/>
                <w:rtl/>
              </w:rPr>
              <w:t>محدودية فهم التأثيرات طويلة المدى</w:t>
            </w:r>
          </w:p>
        </w:tc>
        <w:tc>
          <w:tcPr>
            <w:tcW w:w="2000" w:type="dxa"/>
            <w:vAlign w:val="center"/>
          </w:tcPr>
          <w:p w14:paraId="1E665F0C" w14:textId="77777777" w:rsidR="005D691F" w:rsidRDefault="00F4227D" w:rsidP="004F6AF4">
            <w:pPr>
              <w:bidi/>
              <w:spacing w:after="0" w:line="260" w:lineRule="auto"/>
              <w:jc w:val="center"/>
            </w:pPr>
            <w:r>
              <w:rPr>
                <w:rFonts w:ascii="Traditional Arabic" w:hAnsi="Traditional Arabic" w:cs="Traditional Arabic"/>
                <w:rtl/>
              </w:rPr>
              <w:t>تحديد حدود التعميم الزمني لنتائج الدراسة الحالية</w:t>
            </w:r>
          </w:p>
        </w:tc>
      </w:tr>
      <w:tr w:rsidR="005D691F" w14:paraId="5955BEE5" w14:textId="77777777" w:rsidTr="004F6AF4">
        <w:tc>
          <w:tcPr>
            <w:tcW w:w="1600" w:type="dxa"/>
            <w:vAlign w:val="center"/>
          </w:tcPr>
          <w:p w14:paraId="6D32B65B" w14:textId="77777777" w:rsidR="005D691F" w:rsidRDefault="00F4227D" w:rsidP="004F6AF4">
            <w:pPr>
              <w:bidi/>
              <w:spacing w:after="0" w:line="260" w:lineRule="auto"/>
              <w:jc w:val="center"/>
            </w:pPr>
            <w:r>
              <w:rPr>
                <w:rFonts w:ascii="Traditional Arabic" w:hAnsi="Traditional Arabic" w:cs="Traditional Arabic"/>
                <w:rtl/>
              </w:rPr>
              <w:lastRenderedPageBreak/>
              <w:t>Udeh et al. (2025)</w:t>
            </w:r>
          </w:p>
        </w:tc>
        <w:tc>
          <w:tcPr>
            <w:tcW w:w="1700" w:type="dxa"/>
            <w:vAlign w:val="center"/>
          </w:tcPr>
          <w:p w14:paraId="4D8AAFE1" w14:textId="77777777" w:rsidR="005D691F" w:rsidRDefault="00F4227D" w:rsidP="004F6AF4">
            <w:pPr>
              <w:bidi/>
              <w:spacing w:after="0" w:line="260" w:lineRule="auto"/>
              <w:jc w:val="center"/>
            </w:pPr>
            <w:r>
              <w:rPr>
                <w:rFonts w:ascii="Traditional Arabic" w:hAnsi="Traditional Arabic" w:cs="Traditional Arabic"/>
                <w:rtl/>
              </w:rPr>
              <w:t>بيئات متعددة</w:t>
            </w:r>
          </w:p>
        </w:tc>
        <w:tc>
          <w:tcPr>
            <w:tcW w:w="1900" w:type="dxa"/>
            <w:vAlign w:val="center"/>
          </w:tcPr>
          <w:p w14:paraId="5C8A1717" w14:textId="77777777" w:rsidR="005D691F" w:rsidRDefault="00F4227D" w:rsidP="004F6AF4">
            <w:pPr>
              <w:bidi/>
              <w:spacing w:after="0" w:line="260" w:lineRule="auto"/>
              <w:jc w:val="center"/>
            </w:pPr>
            <w:r>
              <w:rPr>
                <w:rFonts w:ascii="Traditional Arabic" w:hAnsi="Traditional Arabic" w:cs="Traditional Arabic"/>
                <w:rtl/>
              </w:rPr>
              <w:t>دراسة أثر الترميز على الشفافية والثقة</w:t>
            </w:r>
          </w:p>
        </w:tc>
        <w:tc>
          <w:tcPr>
            <w:tcW w:w="1500" w:type="dxa"/>
            <w:vAlign w:val="center"/>
          </w:tcPr>
          <w:p w14:paraId="38A4AAB8" w14:textId="77777777" w:rsidR="005D691F" w:rsidRDefault="00F4227D" w:rsidP="004F6AF4">
            <w:pPr>
              <w:bidi/>
              <w:spacing w:after="0" w:line="260" w:lineRule="auto"/>
              <w:jc w:val="center"/>
            </w:pPr>
            <w:r>
              <w:rPr>
                <w:rFonts w:ascii="Traditional Arabic" w:hAnsi="Traditional Arabic" w:cs="Traditional Arabic"/>
                <w:rtl/>
              </w:rPr>
              <w:t>مختلطة ودراسات حالة</w:t>
            </w:r>
          </w:p>
        </w:tc>
        <w:tc>
          <w:tcPr>
            <w:tcW w:w="2000" w:type="dxa"/>
            <w:vAlign w:val="center"/>
          </w:tcPr>
          <w:p w14:paraId="203614C3" w14:textId="77777777" w:rsidR="005D691F" w:rsidRDefault="00F4227D" w:rsidP="004F6AF4">
            <w:pPr>
              <w:bidi/>
              <w:spacing w:after="0" w:line="260" w:lineRule="auto"/>
              <w:jc w:val="center"/>
            </w:pPr>
            <w:r>
              <w:rPr>
                <w:rFonts w:ascii="Traditional Arabic" w:hAnsi="Traditional Arabic" w:cs="Traditional Arabic"/>
                <w:rtl/>
              </w:rPr>
              <w:t>المستقل: الترميز / التابع: التكاليف والشفافية والأمن</w:t>
            </w:r>
          </w:p>
        </w:tc>
        <w:tc>
          <w:tcPr>
            <w:tcW w:w="2100" w:type="dxa"/>
            <w:vAlign w:val="center"/>
          </w:tcPr>
          <w:p w14:paraId="55C72DFE" w14:textId="77777777" w:rsidR="005D691F" w:rsidRDefault="00F4227D" w:rsidP="004F6AF4">
            <w:pPr>
              <w:bidi/>
              <w:spacing w:after="0" w:line="260" w:lineRule="auto"/>
              <w:jc w:val="center"/>
            </w:pPr>
            <w:r>
              <w:rPr>
                <w:rFonts w:ascii="Traditional Arabic" w:hAnsi="Traditional Arabic" w:cs="Traditional Arabic"/>
                <w:rtl/>
              </w:rPr>
              <w:t>تقليل التكاليف وتعزيز الشفافية والأمن</w:t>
            </w:r>
          </w:p>
        </w:tc>
        <w:tc>
          <w:tcPr>
            <w:tcW w:w="1900" w:type="dxa"/>
            <w:vAlign w:val="center"/>
          </w:tcPr>
          <w:p w14:paraId="553C491B" w14:textId="77777777" w:rsidR="005D691F" w:rsidRDefault="00F4227D" w:rsidP="004F6AF4">
            <w:pPr>
              <w:bidi/>
              <w:spacing w:after="0" w:line="260" w:lineRule="auto"/>
              <w:jc w:val="center"/>
            </w:pPr>
            <w:r>
              <w:rPr>
                <w:rFonts w:ascii="Traditional Arabic" w:hAnsi="Traditional Arabic" w:cs="Traditional Arabic"/>
                <w:rtl/>
              </w:rPr>
              <w:t>نقص أبحاث بناء الثقة بأطر ثقافية مختلفة</w:t>
            </w:r>
          </w:p>
        </w:tc>
        <w:tc>
          <w:tcPr>
            <w:tcW w:w="2000" w:type="dxa"/>
            <w:vAlign w:val="center"/>
          </w:tcPr>
          <w:p w14:paraId="04CD76DD" w14:textId="77777777" w:rsidR="005D691F" w:rsidRDefault="00F4227D" w:rsidP="004F6AF4">
            <w:pPr>
              <w:bidi/>
              <w:spacing w:after="0" w:line="260" w:lineRule="auto"/>
              <w:jc w:val="center"/>
            </w:pPr>
            <w:r>
              <w:rPr>
                <w:rFonts w:ascii="Traditional Arabic" w:hAnsi="Traditional Arabic" w:cs="Traditional Arabic"/>
                <w:rtl/>
              </w:rPr>
              <w:t>مبرر إضافي لدراسة السياق السعودي تحديداً</w:t>
            </w:r>
          </w:p>
        </w:tc>
      </w:tr>
      <w:tr w:rsidR="005D691F" w14:paraId="43614700" w14:textId="77777777" w:rsidTr="004F6AF4">
        <w:tc>
          <w:tcPr>
            <w:tcW w:w="1600" w:type="dxa"/>
            <w:vAlign w:val="center"/>
          </w:tcPr>
          <w:p w14:paraId="49894363" w14:textId="77777777" w:rsidR="005D691F" w:rsidRDefault="00F4227D" w:rsidP="004F6AF4">
            <w:pPr>
              <w:bidi/>
              <w:spacing w:after="0" w:line="260" w:lineRule="auto"/>
              <w:jc w:val="center"/>
            </w:pPr>
            <w:r>
              <w:rPr>
                <w:rFonts w:ascii="Traditional Arabic" w:hAnsi="Traditional Arabic" w:cs="Traditional Arabic"/>
                <w:rtl/>
              </w:rPr>
              <w:t>Sakarneh &amp; Kilani (2024)</w:t>
            </w:r>
          </w:p>
        </w:tc>
        <w:tc>
          <w:tcPr>
            <w:tcW w:w="1700" w:type="dxa"/>
            <w:vAlign w:val="center"/>
          </w:tcPr>
          <w:p w14:paraId="31EB11E5" w14:textId="77777777" w:rsidR="005D691F" w:rsidRDefault="00F4227D" w:rsidP="004F6AF4">
            <w:pPr>
              <w:bidi/>
              <w:spacing w:after="0" w:line="260" w:lineRule="auto"/>
              <w:jc w:val="center"/>
            </w:pPr>
            <w:r>
              <w:rPr>
                <w:rFonts w:ascii="Traditional Arabic" w:hAnsi="Traditional Arabic" w:cs="Traditional Arabic"/>
                <w:rtl/>
              </w:rPr>
              <w:t>الأردن</w:t>
            </w:r>
          </w:p>
        </w:tc>
        <w:tc>
          <w:tcPr>
            <w:tcW w:w="1900" w:type="dxa"/>
            <w:vAlign w:val="center"/>
          </w:tcPr>
          <w:p w14:paraId="221A4B5F" w14:textId="77777777" w:rsidR="005D691F" w:rsidRDefault="00F4227D" w:rsidP="004F6AF4">
            <w:pPr>
              <w:bidi/>
              <w:spacing w:after="0" w:line="260" w:lineRule="auto"/>
              <w:jc w:val="center"/>
            </w:pPr>
            <w:r>
              <w:rPr>
                <w:rFonts w:ascii="Traditional Arabic" w:hAnsi="Traditional Arabic" w:cs="Traditional Arabic"/>
                <w:rtl/>
              </w:rPr>
              <w:t>قياس أثر الترميز على الكفاءة ودور الدعم التنظيمي</w:t>
            </w:r>
          </w:p>
        </w:tc>
        <w:tc>
          <w:tcPr>
            <w:tcW w:w="1500" w:type="dxa"/>
            <w:vAlign w:val="center"/>
          </w:tcPr>
          <w:p w14:paraId="65CA326F" w14:textId="77777777" w:rsidR="005D691F" w:rsidRDefault="00F4227D" w:rsidP="004F6AF4">
            <w:pPr>
              <w:bidi/>
              <w:spacing w:after="0" w:line="260" w:lineRule="auto"/>
              <w:jc w:val="center"/>
            </w:pPr>
            <w:r>
              <w:rPr>
                <w:rFonts w:ascii="Traditional Arabic" w:hAnsi="Traditional Arabic" w:cs="Traditional Arabic"/>
                <w:rtl/>
              </w:rPr>
              <w:t>مسحية</w:t>
            </w:r>
          </w:p>
        </w:tc>
        <w:tc>
          <w:tcPr>
            <w:tcW w:w="2000" w:type="dxa"/>
            <w:vAlign w:val="center"/>
          </w:tcPr>
          <w:p w14:paraId="18FDABA3" w14:textId="77777777" w:rsidR="005D691F" w:rsidRDefault="00F4227D" w:rsidP="004F6AF4">
            <w:pPr>
              <w:bidi/>
              <w:spacing w:after="0" w:line="260" w:lineRule="auto"/>
              <w:jc w:val="center"/>
            </w:pPr>
            <w:r>
              <w:rPr>
                <w:rFonts w:ascii="Traditional Arabic" w:hAnsi="Traditional Arabic" w:cs="Traditional Arabic"/>
                <w:rtl/>
              </w:rPr>
              <w:t>المستقل: الترميز / الضابط: الدعم التنظيمي / التابع: الكفاءة</w:t>
            </w:r>
          </w:p>
        </w:tc>
        <w:tc>
          <w:tcPr>
            <w:tcW w:w="2100" w:type="dxa"/>
            <w:vAlign w:val="center"/>
          </w:tcPr>
          <w:p w14:paraId="56AE417D" w14:textId="77777777" w:rsidR="005D691F" w:rsidRDefault="00F4227D" w:rsidP="004F6AF4">
            <w:pPr>
              <w:bidi/>
              <w:spacing w:after="0" w:line="260" w:lineRule="auto"/>
              <w:jc w:val="center"/>
            </w:pPr>
            <w:r>
              <w:rPr>
                <w:rFonts w:ascii="Traditional Arabic" w:hAnsi="Traditional Arabic" w:cs="Traditional Arabic"/>
                <w:rtl/>
              </w:rPr>
              <w:t>تحسين الكفاءة وأهمية الدعم التنظيمي</w:t>
            </w:r>
          </w:p>
        </w:tc>
        <w:tc>
          <w:tcPr>
            <w:tcW w:w="1900" w:type="dxa"/>
            <w:vAlign w:val="center"/>
          </w:tcPr>
          <w:p w14:paraId="761337DE" w14:textId="77777777" w:rsidR="005D691F" w:rsidRDefault="00F4227D" w:rsidP="004F6AF4">
            <w:pPr>
              <w:bidi/>
              <w:spacing w:after="0" w:line="260" w:lineRule="auto"/>
              <w:jc w:val="center"/>
            </w:pPr>
            <w:r>
              <w:rPr>
                <w:rFonts w:ascii="Traditional Arabic" w:hAnsi="Traditional Arabic" w:cs="Traditional Arabic"/>
                <w:rtl/>
              </w:rPr>
              <w:t>نقص دراسات سعودية للعوامل الثقافية</w:t>
            </w:r>
          </w:p>
        </w:tc>
        <w:tc>
          <w:tcPr>
            <w:tcW w:w="2000" w:type="dxa"/>
            <w:vAlign w:val="center"/>
          </w:tcPr>
          <w:p w14:paraId="5A532939" w14:textId="77777777" w:rsidR="005D691F" w:rsidRDefault="00F4227D" w:rsidP="004F6AF4">
            <w:pPr>
              <w:bidi/>
              <w:spacing w:after="0" w:line="260" w:lineRule="auto"/>
              <w:jc w:val="center"/>
            </w:pPr>
            <w:r>
              <w:rPr>
                <w:rFonts w:ascii="Traditional Arabic" w:hAnsi="Traditional Arabic" w:cs="Traditional Arabic"/>
                <w:rtl/>
              </w:rPr>
              <w:t>سند لاعتماد خصائص المؤسسة متغيرات ضابطة</w:t>
            </w:r>
          </w:p>
        </w:tc>
      </w:tr>
      <w:tr w:rsidR="005D691F" w14:paraId="131D35E0" w14:textId="77777777" w:rsidTr="004F6AF4">
        <w:tc>
          <w:tcPr>
            <w:tcW w:w="1600" w:type="dxa"/>
            <w:vAlign w:val="center"/>
          </w:tcPr>
          <w:p w14:paraId="05ED95EF" w14:textId="77777777" w:rsidR="005D691F" w:rsidRDefault="00F4227D" w:rsidP="004F6AF4">
            <w:pPr>
              <w:bidi/>
              <w:spacing w:after="0" w:line="260" w:lineRule="auto"/>
              <w:jc w:val="center"/>
            </w:pPr>
            <w:r>
              <w:rPr>
                <w:rFonts w:ascii="Traditional Arabic" w:hAnsi="Traditional Arabic" w:cs="Traditional Arabic"/>
                <w:rtl/>
              </w:rPr>
              <w:t>Islam &amp; In (2024)</w:t>
            </w:r>
          </w:p>
        </w:tc>
        <w:tc>
          <w:tcPr>
            <w:tcW w:w="1700" w:type="dxa"/>
            <w:vAlign w:val="center"/>
          </w:tcPr>
          <w:p w14:paraId="069D9784" w14:textId="77777777" w:rsidR="005D691F" w:rsidRDefault="00F4227D" w:rsidP="004F6AF4">
            <w:pPr>
              <w:bidi/>
              <w:spacing w:after="0" w:line="260" w:lineRule="auto"/>
              <w:jc w:val="center"/>
            </w:pPr>
            <w:r>
              <w:rPr>
                <w:rFonts w:ascii="Traditional Arabic" w:hAnsi="Traditional Arabic" w:cs="Traditional Arabic"/>
                <w:rtl/>
              </w:rPr>
              <w:t>مراجعة منهجية دولية</w:t>
            </w:r>
          </w:p>
        </w:tc>
        <w:tc>
          <w:tcPr>
            <w:tcW w:w="1900" w:type="dxa"/>
            <w:vAlign w:val="center"/>
          </w:tcPr>
          <w:p w14:paraId="66CA6470" w14:textId="77777777" w:rsidR="005D691F" w:rsidRDefault="00F4227D" w:rsidP="004F6AF4">
            <w:pPr>
              <w:bidi/>
              <w:spacing w:after="0" w:line="260" w:lineRule="auto"/>
              <w:jc w:val="center"/>
            </w:pPr>
            <w:r>
              <w:rPr>
                <w:rFonts w:ascii="Traditional Arabic" w:hAnsi="Traditional Arabic" w:cs="Traditional Arabic"/>
                <w:rtl/>
              </w:rPr>
              <w:t>رصد اتجاهات الترميز واللامركزية</w:t>
            </w:r>
          </w:p>
        </w:tc>
        <w:tc>
          <w:tcPr>
            <w:tcW w:w="1500" w:type="dxa"/>
            <w:vAlign w:val="center"/>
          </w:tcPr>
          <w:p w14:paraId="7D7C1372" w14:textId="77777777" w:rsidR="005D691F" w:rsidRDefault="00F4227D" w:rsidP="004F6AF4">
            <w:pPr>
              <w:bidi/>
              <w:spacing w:after="0" w:line="260" w:lineRule="auto"/>
              <w:jc w:val="center"/>
            </w:pPr>
            <w:r>
              <w:rPr>
                <w:rFonts w:ascii="Traditional Arabic" w:hAnsi="Traditional Arabic" w:cs="Traditional Arabic"/>
                <w:rtl/>
              </w:rPr>
              <w:t>IntelliSLR وPRISMA</w:t>
            </w:r>
          </w:p>
        </w:tc>
        <w:tc>
          <w:tcPr>
            <w:tcW w:w="2000" w:type="dxa"/>
            <w:vAlign w:val="center"/>
          </w:tcPr>
          <w:p w14:paraId="1C02F8CC" w14:textId="77777777" w:rsidR="005D691F" w:rsidRDefault="00F4227D" w:rsidP="004F6AF4">
            <w:pPr>
              <w:bidi/>
              <w:spacing w:after="0" w:line="260" w:lineRule="auto"/>
              <w:jc w:val="center"/>
            </w:pPr>
            <w:r>
              <w:rPr>
                <w:rFonts w:ascii="Traditional Arabic" w:hAnsi="Traditional Arabic" w:cs="Traditional Arabic"/>
                <w:rtl/>
              </w:rPr>
              <w:t>المستقل: الترميز / التابع: اتجاهات CBDCs</w:t>
            </w:r>
          </w:p>
        </w:tc>
        <w:tc>
          <w:tcPr>
            <w:tcW w:w="2100" w:type="dxa"/>
            <w:vAlign w:val="center"/>
          </w:tcPr>
          <w:p w14:paraId="390F71AB" w14:textId="77777777" w:rsidR="005D691F" w:rsidRDefault="00F4227D" w:rsidP="004F6AF4">
            <w:pPr>
              <w:bidi/>
              <w:spacing w:after="0" w:line="260" w:lineRule="auto"/>
              <w:jc w:val="center"/>
            </w:pPr>
            <w:r>
              <w:rPr>
                <w:rFonts w:ascii="Traditional Arabic" w:hAnsi="Traditional Arabic" w:cs="Traditional Arabic"/>
                <w:rtl/>
              </w:rPr>
              <w:t>تسهيل الانتقال للامركزية واتجاه نحو CBDCs</w:t>
            </w:r>
          </w:p>
        </w:tc>
        <w:tc>
          <w:tcPr>
            <w:tcW w:w="1900" w:type="dxa"/>
            <w:vAlign w:val="center"/>
          </w:tcPr>
          <w:p w14:paraId="20887282" w14:textId="77777777" w:rsidR="005D691F" w:rsidRDefault="00F4227D" w:rsidP="004F6AF4">
            <w:pPr>
              <w:bidi/>
              <w:spacing w:after="0" w:line="260" w:lineRule="auto"/>
              <w:jc w:val="center"/>
            </w:pPr>
            <w:r>
              <w:rPr>
                <w:rFonts w:ascii="Traditional Arabic" w:hAnsi="Traditional Arabic" w:cs="Traditional Arabic"/>
                <w:rtl/>
              </w:rPr>
              <w:t>محدودية ربط البنوك المركزية برؤية 2030</w:t>
            </w:r>
          </w:p>
        </w:tc>
        <w:tc>
          <w:tcPr>
            <w:tcW w:w="2000" w:type="dxa"/>
            <w:vAlign w:val="center"/>
          </w:tcPr>
          <w:p w14:paraId="2D9DA059" w14:textId="77777777" w:rsidR="005D691F" w:rsidRDefault="00F4227D" w:rsidP="004F6AF4">
            <w:pPr>
              <w:bidi/>
              <w:spacing w:after="0" w:line="260" w:lineRule="auto"/>
              <w:jc w:val="center"/>
            </w:pPr>
            <w:r>
              <w:rPr>
                <w:rFonts w:ascii="Traditional Arabic" w:hAnsi="Traditional Arabic" w:cs="Traditional Arabic"/>
                <w:rtl/>
              </w:rPr>
              <w:t>مبرر مباشر لبُعد التوافق مع رؤية 2030 في الأداة</w:t>
            </w:r>
          </w:p>
        </w:tc>
      </w:tr>
      <w:tr w:rsidR="005D691F" w14:paraId="563BEC16" w14:textId="77777777" w:rsidTr="004F6AF4">
        <w:tc>
          <w:tcPr>
            <w:tcW w:w="1600" w:type="dxa"/>
            <w:vAlign w:val="center"/>
          </w:tcPr>
          <w:p w14:paraId="62A8870C" w14:textId="77777777" w:rsidR="005D691F" w:rsidRDefault="00F4227D" w:rsidP="004F6AF4">
            <w:pPr>
              <w:bidi/>
              <w:spacing w:after="0" w:line="260" w:lineRule="auto"/>
              <w:jc w:val="center"/>
            </w:pPr>
            <w:r>
              <w:rPr>
                <w:rFonts w:ascii="Traditional Arabic" w:hAnsi="Traditional Arabic" w:cs="Traditional Arabic"/>
                <w:rtl/>
              </w:rPr>
              <w:t>Park &amp; Hastings (2025)</w:t>
            </w:r>
          </w:p>
        </w:tc>
        <w:tc>
          <w:tcPr>
            <w:tcW w:w="1700" w:type="dxa"/>
            <w:vAlign w:val="center"/>
          </w:tcPr>
          <w:p w14:paraId="7651CBCC" w14:textId="77777777" w:rsidR="005D691F" w:rsidRDefault="00F4227D" w:rsidP="004F6AF4">
            <w:pPr>
              <w:bidi/>
              <w:spacing w:after="0" w:line="260" w:lineRule="auto"/>
              <w:jc w:val="center"/>
            </w:pPr>
            <w:r>
              <w:rPr>
                <w:rFonts w:ascii="Traditional Arabic" w:hAnsi="Traditional Arabic" w:cs="Traditional Arabic"/>
                <w:rtl/>
              </w:rPr>
              <w:t>دراسة مقارنة دولية</w:t>
            </w:r>
          </w:p>
        </w:tc>
        <w:tc>
          <w:tcPr>
            <w:tcW w:w="1900" w:type="dxa"/>
            <w:vAlign w:val="center"/>
          </w:tcPr>
          <w:p w14:paraId="3B04354A" w14:textId="77777777" w:rsidR="005D691F" w:rsidRDefault="00F4227D" w:rsidP="004F6AF4">
            <w:pPr>
              <w:bidi/>
              <w:spacing w:after="0" w:line="260" w:lineRule="auto"/>
              <w:jc w:val="center"/>
            </w:pPr>
            <w:r>
              <w:rPr>
                <w:rFonts w:ascii="Traditional Arabic" w:hAnsi="Traditional Arabic" w:cs="Traditional Arabic"/>
                <w:rtl/>
              </w:rPr>
              <w:t>فحص العلاقة بين آليات الإنفاذ ومستوى الامتثال لمعيار PCI DSS</w:t>
            </w:r>
          </w:p>
        </w:tc>
        <w:tc>
          <w:tcPr>
            <w:tcW w:w="1500" w:type="dxa"/>
            <w:vAlign w:val="center"/>
          </w:tcPr>
          <w:p w14:paraId="2B7D2C2E" w14:textId="77777777" w:rsidR="005D691F" w:rsidRDefault="00F4227D" w:rsidP="004F6AF4">
            <w:pPr>
              <w:bidi/>
              <w:spacing w:after="0" w:line="260" w:lineRule="auto"/>
              <w:jc w:val="center"/>
            </w:pPr>
            <w:r>
              <w:rPr>
                <w:rFonts w:ascii="Traditional Arabic" w:hAnsi="Traditional Arabic" w:cs="Traditional Arabic"/>
                <w:rtl/>
              </w:rPr>
              <w:t>تحليل مقارن نوعي ومؤشري</w:t>
            </w:r>
          </w:p>
        </w:tc>
        <w:tc>
          <w:tcPr>
            <w:tcW w:w="2000" w:type="dxa"/>
            <w:vAlign w:val="center"/>
          </w:tcPr>
          <w:p w14:paraId="7C14A172" w14:textId="77777777" w:rsidR="005D691F" w:rsidRDefault="00F4227D" w:rsidP="004F6AF4">
            <w:pPr>
              <w:bidi/>
              <w:spacing w:after="0" w:line="260" w:lineRule="auto"/>
              <w:jc w:val="center"/>
            </w:pPr>
            <w:r>
              <w:rPr>
                <w:rFonts w:ascii="Traditional Arabic" w:hAnsi="Traditional Arabic" w:cs="Traditional Arabic"/>
                <w:rtl/>
              </w:rPr>
              <w:t>المستقل: آليات الإنفاذ / التابع: مستوى الامتثال</w:t>
            </w:r>
          </w:p>
        </w:tc>
        <w:tc>
          <w:tcPr>
            <w:tcW w:w="2100" w:type="dxa"/>
            <w:vAlign w:val="center"/>
          </w:tcPr>
          <w:p w14:paraId="3E829038" w14:textId="77777777" w:rsidR="005D691F" w:rsidRDefault="00F4227D" w:rsidP="004F6AF4">
            <w:pPr>
              <w:bidi/>
              <w:spacing w:after="0" w:line="260" w:lineRule="auto"/>
              <w:jc w:val="center"/>
            </w:pPr>
            <w:r>
              <w:rPr>
                <w:rFonts w:ascii="Traditional Arabic" w:hAnsi="Traditional Arabic" w:cs="Traditional Arabic"/>
                <w:rtl/>
              </w:rPr>
              <w:t>ضعف الإنفاذ يرتبط بانخفاض الامتثال، إذ لم تتجاوز نسبة الامتثال الكامل 32.4%</w:t>
            </w:r>
          </w:p>
        </w:tc>
        <w:tc>
          <w:tcPr>
            <w:tcW w:w="1900" w:type="dxa"/>
            <w:vAlign w:val="center"/>
          </w:tcPr>
          <w:p w14:paraId="31E38D49" w14:textId="77777777" w:rsidR="005D691F" w:rsidRDefault="00F4227D" w:rsidP="004F6AF4">
            <w:pPr>
              <w:bidi/>
              <w:spacing w:after="0" w:line="260" w:lineRule="auto"/>
              <w:jc w:val="center"/>
            </w:pPr>
            <w:r>
              <w:rPr>
                <w:rFonts w:ascii="Traditional Arabic" w:hAnsi="Traditional Arabic" w:cs="Traditional Arabic"/>
                <w:rtl/>
              </w:rPr>
              <w:t>اقتصار الدراسة على التحليل المقارن دون اختبار ميداني، وعدم تناول البيئة الخليجية أو أثر الامتثال على الأداء التشغيلي.</w:t>
            </w:r>
          </w:p>
        </w:tc>
        <w:tc>
          <w:tcPr>
            <w:tcW w:w="2000" w:type="dxa"/>
            <w:vAlign w:val="center"/>
          </w:tcPr>
          <w:p w14:paraId="01AFF44D" w14:textId="77777777" w:rsidR="005D691F" w:rsidRDefault="00F4227D" w:rsidP="004F6AF4">
            <w:pPr>
              <w:bidi/>
              <w:spacing w:after="0" w:line="260" w:lineRule="auto"/>
              <w:jc w:val="center"/>
            </w:pPr>
            <w:r>
              <w:rPr>
                <w:rFonts w:ascii="Traditional Arabic" w:hAnsi="Traditional Arabic" w:cs="Traditional Arabic"/>
                <w:rtl/>
              </w:rPr>
              <w:t>تدعم اعتماد الامتثال للمعايير الدولية متغيراً مستقلاً ثانياً في الدراسة الحالية، وتبرّر قياس أثره منفصلاً عن أثر الترميز.</w:t>
            </w:r>
          </w:p>
        </w:tc>
      </w:tr>
      <w:tr w:rsidR="005D691F" w14:paraId="20207CBC" w14:textId="77777777" w:rsidTr="004F6AF4">
        <w:tc>
          <w:tcPr>
            <w:tcW w:w="1600" w:type="dxa"/>
            <w:vAlign w:val="center"/>
          </w:tcPr>
          <w:p w14:paraId="53DCF816" w14:textId="77777777" w:rsidR="005D691F" w:rsidRDefault="00F4227D" w:rsidP="004F6AF4">
            <w:pPr>
              <w:bidi/>
              <w:spacing w:after="0" w:line="260" w:lineRule="auto"/>
              <w:jc w:val="center"/>
            </w:pPr>
            <w:r>
              <w:rPr>
                <w:rFonts w:ascii="Traditional Arabic" w:hAnsi="Traditional Arabic" w:cs="Traditional Arabic"/>
                <w:rtl/>
              </w:rPr>
              <w:t>Adigwe et al. (2024)</w:t>
            </w:r>
          </w:p>
        </w:tc>
        <w:tc>
          <w:tcPr>
            <w:tcW w:w="1700" w:type="dxa"/>
            <w:vAlign w:val="center"/>
          </w:tcPr>
          <w:p w14:paraId="5F264AA4" w14:textId="77777777" w:rsidR="005D691F" w:rsidRDefault="00F4227D" w:rsidP="004F6AF4">
            <w:pPr>
              <w:bidi/>
              <w:spacing w:after="0" w:line="260" w:lineRule="auto"/>
              <w:jc w:val="center"/>
            </w:pPr>
            <w:r>
              <w:rPr>
                <w:rFonts w:ascii="Traditional Arabic" w:hAnsi="Traditional Arabic" w:cs="Traditional Arabic"/>
                <w:rtl/>
              </w:rPr>
              <w:t>بيانات البنك الدولي</w:t>
            </w:r>
          </w:p>
        </w:tc>
        <w:tc>
          <w:tcPr>
            <w:tcW w:w="1900" w:type="dxa"/>
            <w:vAlign w:val="center"/>
          </w:tcPr>
          <w:p w14:paraId="5B0A6FEF" w14:textId="77777777" w:rsidR="005D691F" w:rsidRDefault="00F4227D" w:rsidP="004F6AF4">
            <w:pPr>
              <w:bidi/>
              <w:spacing w:after="0" w:line="260" w:lineRule="auto"/>
              <w:jc w:val="center"/>
            </w:pPr>
            <w:r>
              <w:rPr>
                <w:rFonts w:ascii="Traditional Arabic" w:hAnsi="Traditional Arabic" w:cs="Traditional Arabic"/>
                <w:rtl/>
              </w:rPr>
              <w:t>قياس أثر الترميز على زمن القروض وتكلفتها</w:t>
            </w:r>
          </w:p>
        </w:tc>
        <w:tc>
          <w:tcPr>
            <w:tcW w:w="1500" w:type="dxa"/>
            <w:vAlign w:val="center"/>
          </w:tcPr>
          <w:p w14:paraId="3A75156B" w14:textId="77777777" w:rsidR="005D691F" w:rsidRDefault="00F4227D" w:rsidP="004F6AF4">
            <w:pPr>
              <w:bidi/>
              <w:spacing w:after="0" w:line="260" w:lineRule="auto"/>
              <w:jc w:val="center"/>
            </w:pPr>
            <w:r>
              <w:rPr>
                <w:rFonts w:ascii="Traditional Arabic" w:hAnsi="Traditional Arabic" w:cs="Traditional Arabic"/>
                <w:rtl/>
              </w:rPr>
              <w:t>تجريبية</w:t>
            </w:r>
          </w:p>
        </w:tc>
        <w:tc>
          <w:tcPr>
            <w:tcW w:w="2000" w:type="dxa"/>
            <w:vAlign w:val="center"/>
          </w:tcPr>
          <w:p w14:paraId="38C36B6F" w14:textId="77777777" w:rsidR="005D691F" w:rsidRDefault="00F4227D" w:rsidP="004F6AF4">
            <w:pPr>
              <w:bidi/>
              <w:spacing w:after="0" w:line="260" w:lineRule="auto"/>
              <w:jc w:val="center"/>
            </w:pPr>
            <w:r>
              <w:rPr>
                <w:rFonts w:ascii="Traditional Arabic" w:hAnsi="Traditional Arabic" w:cs="Traditional Arabic"/>
                <w:rtl/>
              </w:rPr>
              <w:t>المستقل: الترميز / التابع: زمن القروض والتكاليف</w:t>
            </w:r>
          </w:p>
        </w:tc>
        <w:tc>
          <w:tcPr>
            <w:tcW w:w="2100" w:type="dxa"/>
            <w:vAlign w:val="center"/>
          </w:tcPr>
          <w:p w14:paraId="3BFD58B1" w14:textId="77777777" w:rsidR="005D691F" w:rsidRDefault="00F4227D" w:rsidP="004F6AF4">
            <w:pPr>
              <w:bidi/>
              <w:spacing w:after="0" w:line="260" w:lineRule="auto"/>
              <w:jc w:val="center"/>
            </w:pPr>
            <w:r>
              <w:rPr>
                <w:rFonts w:ascii="Traditional Arabic" w:hAnsi="Traditional Arabic" w:cs="Traditional Arabic"/>
                <w:rtl/>
              </w:rPr>
              <w:t>خفض وقت القروض 31% والتكاليف 37%</w:t>
            </w:r>
          </w:p>
        </w:tc>
        <w:tc>
          <w:tcPr>
            <w:tcW w:w="1900" w:type="dxa"/>
            <w:vAlign w:val="center"/>
          </w:tcPr>
          <w:p w14:paraId="01405034" w14:textId="77777777" w:rsidR="005D691F" w:rsidRDefault="00F4227D" w:rsidP="004F6AF4">
            <w:pPr>
              <w:bidi/>
              <w:spacing w:after="0" w:line="260" w:lineRule="auto"/>
              <w:jc w:val="center"/>
            </w:pPr>
            <w:r>
              <w:rPr>
                <w:rFonts w:ascii="Traditional Arabic" w:hAnsi="Traditional Arabic" w:cs="Traditional Arabic"/>
                <w:rtl/>
              </w:rPr>
              <w:t>محدودية دراسات ترميز أصول متنوعة</w:t>
            </w:r>
          </w:p>
        </w:tc>
        <w:tc>
          <w:tcPr>
            <w:tcW w:w="2000" w:type="dxa"/>
            <w:vAlign w:val="center"/>
          </w:tcPr>
          <w:p w14:paraId="1B517C76" w14:textId="77777777" w:rsidR="005D691F" w:rsidRDefault="00F4227D" w:rsidP="004F6AF4">
            <w:pPr>
              <w:bidi/>
              <w:spacing w:after="0" w:line="260" w:lineRule="auto"/>
              <w:jc w:val="center"/>
            </w:pPr>
            <w:r>
              <w:rPr>
                <w:rFonts w:ascii="Traditional Arabic" w:hAnsi="Traditional Arabic" w:cs="Traditional Arabic"/>
                <w:rtl/>
              </w:rPr>
              <w:t>مرجع مقارنة لنتائج الفرض H2</w:t>
            </w:r>
          </w:p>
        </w:tc>
      </w:tr>
      <w:tr w:rsidR="005D691F" w14:paraId="20DC282D" w14:textId="77777777" w:rsidTr="004F6AF4">
        <w:tc>
          <w:tcPr>
            <w:tcW w:w="1600" w:type="dxa"/>
            <w:vAlign w:val="center"/>
          </w:tcPr>
          <w:p w14:paraId="195DEA50" w14:textId="77777777" w:rsidR="005D691F" w:rsidRDefault="00F4227D" w:rsidP="004F6AF4">
            <w:pPr>
              <w:bidi/>
              <w:spacing w:after="0" w:line="260" w:lineRule="auto"/>
              <w:jc w:val="center"/>
            </w:pPr>
            <w:r>
              <w:rPr>
                <w:rFonts w:ascii="Traditional Arabic" w:hAnsi="Traditional Arabic" w:cs="Traditional Arabic"/>
                <w:rtl/>
              </w:rPr>
              <w:t>Karanovic et al. (2024)</w:t>
            </w:r>
          </w:p>
        </w:tc>
        <w:tc>
          <w:tcPr>
            <w:tcW w:w="1700" w:type="dxa"/>
            <w:vAlign w:val="center"/>
          </w:tcPr>
          <w:p w14:paraId="42F2CF20" w14:textId="77777777" w:rsidR="005D691F" w:rsidRDefault="00F4227D" w:rsidP="004F6AF4">
            <w:pPr>
              <w:bidi/>
              <w:spacing w:after="0" w:line="260" w:lineRule="auto"/>
              <w:jc w:val="center"/>
            </w:pPr>
            <w:r>
              <w:rPr>
                <w:rFonts w:ascii="Traditional Arabic" w:hAnsi="Traditional Arabic" w:cs="Traditional Arabic"/>
                <w:rtl/>
              </w:rPr>
              <w:t>500 مؤسسة — بيئات متعددة</w:t>
            </w:r>
          </w:p>
        </w:tc>
        <w:tc>
          <w:tcPr>
            <w:tcW w:w="1900" w:type="dxa"/>
            <w:vAlign w:val="center"/>
          </w:tcPr>
          <w:p w14:paraId="7800C877" w14:textId="77777777" w:rsidR="005D691F" w:rsidRDefault="00F4227D" w:rsidP="004F6AF4">
            <w:pPr>
              <w:bidi/>
              <w:spacing w:after="0" w:line="260" w:lineRule="auto"/>
              <w:jc w:val="center"/>
            </w:pPr>
            <w:r>
              <w:rPr>
                <w:rFonts w:ascii="Traditional Arabic" w:hAnsi="Traditional Arabic" w:cs="Traditional Arabic"/>
                <w:rtl/>
              </w:rPr>
              <w:t>قياس أثر الترميز على التكاليف والأوقات</w:t>
            </w:r>
          </w:p>
        </w:tc>
        <w:tc>
          <w:tcPr>
            <w:tcW w:w="1500" w:type="dxa"/>
            <w:vAlign w:val="center"/>
          </w:tcPr>
          <w:p w14:paraId="51176A7A" w14:textId="77777777" w:rsidR="005D691F" w:rsidRDefault="00F4227D" w:rsidP="004F6AF4">
            <w:pPr>
              <w:bidi/>
              <w:spacing w:after="0" w:line="260" w:lineRule="auto"/>
              <w:jc w:val="center"/>
            </w:pPr>
            <w:r>
              <w:rPr>
                <w:rFonts w:ascii="Traditional Arabic" w:hAnsi="Traditional Arabic" w:cs="Traditional Arabic"/>
                <w:rtl/>
              </w:rPr>
              <w:t>مختلطة</w:t>
            </w:r>
          </w:p>
        </w:tc>
        <w:tc>
          <w:tcPr>
            <w:tcW w:w="2000" w:type="dxa"/>
            <w:vAlign w:val="center"/>
          </w:tcPr>
          <w:p w14:paraId="0A5C9DDE" w14:textId="77777777" w:rsidR="005D691F" w:rsidRDefault="00F4227D" w:rsidP="004F6AF4">
            <w:pPr>
              <w:bidi/>
              <w:spacing w:after="0" w:line="260" w:lineRule="auto"/>
              <w:jc w:val="center"/>
            </w:pPr>
            <w:r>
              <w:rPr>
                <w:rFonts w:ascii="Traditional Arabic" w:hAnsi="Traditional Arabic" w:cs="Traditional Arabic"/>
                <w:rtl/>
              </w:rPr>
              <w:t>المستقل: الترميز / التابع: التكاليف والأوقات</w:t>
            </w:r>
          </w:p>
        </w:tc>
        <w:tc>
          <w:tcPr>
            <w:tcW w:w="2100" w:type="dxa"/>
            <w:vAlign w:val="center"/>
          </w:tcPr>
          <w:p w14:paraId="1E21156F" w14:textId="77777777" w:rsidR="005D691F" w:rsidRDefault="00F4227D" w:rsidP="004F6AF4">
            <w:pPr>
              <w:bidi/>
              <w:spacing w:after="0" w:line="260" w:lineRule="auto"/>
              <w:jc w:val="center"/>
            </w:pPr>
            <w:r>
              <w:rPr>
                <w:rFonts w:ascii="Traditional Arabic" w:hAnsi="Traditional Arabic" w:cs="Traditional Arabic"/>
                <w:rtl/>
              </w:rPr>
              <w:t>انخفاض التكاليف 43% والأوقات 78%</w:t>
            </w:r>
          </w:p>
        </w:tc>
        <w:tc>
          <w:tcPr>
            <w:tcW w:w="1900" w:type="dxa"/>
            <w:vAlign w:val="center"/>
          </w:tcPr>
          <w:p w14:paraId="763FF73F" w14:textId="77777777" w:rsidR="005D691F" w:rsidRDefault="00F4227D" w:rsidP="004F6AF4">
            <w:pPr>
              <w:bidi/>
              <w:spacing w:after="0" w:line="260" w:lineRule="auto"/>
              <w:jc w:val="center"/>
            </w:pPr>
            <w:r>
              <w:rPr>
                <w:rFonts w:ascii="Traditional Arabic" w:hAnsi="Traditional Arabic" w:cs="Traditional Arabic"/>
                <w:rtl/>
              </w:rPr>
              <w:t>نقص دراسات مقارنة واسعة بالسعودية</w:t>
            </w:r>
          </w:p>
        </w:tc>
        <w:tc>
          <w:tcPr>
            <w:tcW w:w="2000" w:type="dxa"/>
            <w:vAlign w:val="center"/>
          </w:tcPr>
          <w:p w14:paraId="0EFD275F" w14:textId="77777777" w:rsidR="005D691F" w:rsidRDefault="00F4227D" w:rsidP="004F6AF4">
            <w:pPr>
              <w:bidi/>
              <w:spacing w:after="0" w:line="260" w:lineRule="auto"/>
              <w:jc w:val="center"/>
            </w:pPr>
            <w:r>
              <w:rPr>
                <w:rFonts w:ascii="Traditional Arabic" w:hAnsi="Traditional Arabic" w:cs="Traditional Arabic"/>
                <w:rtl/>
              </w:rPr>
              <w:t>أساس مقارنة لحجم الأثر المرصود في الدراسة الحالية</w:t>
            </w:r>
          </w:p>
        </w:tc>
      </w:tr>
    </w:tbl>
    <w:p w14:paraId="38FE16D2" w14:textId="77777777" w:rsidR="005D691F" w:rsidRDefault="005D691F" w:rsidP="00E000FF">
      <w:pPr>
        <w:bidi/>
        <w:spacing w:after="0"/>
        <w:sectPr w:rsidR="005D691F" w:rsidSect="006E2853">
          <w:pgSz w:w="16838" w:h="11906" w:orient="landscape"/>
          <w:pgMar w:top="1080" w:right="1080" w:bottom="1080" w:left="1080" w:header="708" w:footer="144" w:gutter="0"/>
          <w:cols w:space="708"/>
          <w:titlePg/>
          <w:bidi/>
          <w:rtlGutter/>
          <w:docGrid w:linePitch="360"/>
        </w:sectPr>
      </w:pPr>
    </w:p>
    <w:p w14:paraId="06BE5347" w14:textId="77777777" w:rsidR="00F00638" w:rsidRPr="00FB5EDA" w:rsidRDefault="00F00638" w:rsidP="00E000FF">
      <w:pPr>
        <w:pStyle w:val="HeadingTOCEntry"/>
        <w:bidi/>
        <w:spacing w:after="0" w:line="360" w:lineRule="auto"/>
        <w:ind w:left="432" w:hanging="432"/>
        <w:rPr>
          <w:rFonts w:ascii="Simplified Arabic" w:hAnsi="Simplified Arabic" w:cs="Simplified Arabic"/>
          <w:b/>
          <w:bCs/>
          <w:sz w:val="28"/>
          <w:szCs w:val="28"/>
          <w:u w:val="single"/>
        </w:rPr>
      </w:pPr>
      <w:bookmarkStart w:id="30" w:name="_Toc224563961"/>
      <w:bookmarkStart w:id="31" w:name="_Toc234424153"/>
      <w:r>
        <w:rPr>
          <w:rFonts w:ascii="Traditional Arabic" w:hAnsi="Traditional Arabic" w:cs="Traditional Arabic"/>
          <w:b/>
          <w:bCs/>
          <w:sz w:val="32"/>
          <w:szCs w:val="32"/>
          <w:u w:val="single"/>
          <w:rtl/>
        </w:rPr>
        <w:lastRenderedPageBreak/>
        <w:t>2.4 التعليق على الدراسات السابقة</w:t>
      </w:r>
      <w:bookmarkEnd w:id="30"/>
      <w:bookmarkEnd w:id="31"/>
    </w:p>
    <w:p w14:paraId="4E8D8E3A" w14:textId="77777777" w:rsidR="00F00638" w:rsidRPr="004F6AF4" w:rsidRDefault="00F00638"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من خلال عرض وتحليل الدراسات السابقة التي أجريت حول موضوع تأثير تقنية الترميز على الأمن السيبراني وكفاءة العمليات المالية في المؤسسات المالية، حيث تم استعراض عدد من الدراسات العربية والأجنبية الحديثة (Goghie, 2024; Ahammad et al., 2025; Al-Qudah et al., 2025; Carapella et al., 2023; Grossmann et al., 2025; Almadadha, 2025; Lavayssière &amp; Zhang, 2025; Udeh et al., 2025; Sakarneh &amp; Kilani, 2024; Islam &amp; In, 2024; Multiple Authors, 2025; Adigwe et al., 2024; Karanovic et al., 2024) ورغم أن هذه الدراسات أجريت في بيئات وأنظمة مختلفة إلا أنها متشابهة في المتغيرات الرئيسية ومتقاربة في الاهتمامات البحثية، ومن خلال هذه الدراسات تم رصد أوجه الشبه وأوجه الاختلاف بين الدراسة الحالية والدراسات السابقة وأوجه استفادة الدراسة الحالية من الدراسات السابقة والتي كان لها أثر كبير في بناء الدراسة الحالية وتحديد منهجيتها وصياغة فرضياتها.</w:t>
      </w:r>
    </w:p>
    <w:p w14:paraId="27963332"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2.4.1 أوجه الشبه بين الدراسة الحالية والدراسات السابقة</w:t>
      </w:r>
    </w:p>
    <w:p w14:paraId="4836BCC3" w14:textId="77777777" w:rsidR="00F00638" w:rsidRPr="004F6AF4" w:rsidRDefault="00F00638"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اتفقت الدراسة الحالية مع العديد من الدراسات السابقة في عدة جوانب رئيسية، حيث تتمثل أهم أوجه الشبه فيما يلي:</w:t>
      </w:r>
    </w:p>
    <w:p w14:paraId="76F45622" w14:textId="77777777" w:rsidR="00F00638" w:rsidRPr="004F6AF4" w:rsidRDefault="00F00638"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اتفقت الدراسة الحالية في الهدف العام والمتغيرات الرئيسية مع العديد من الدراسات السابقة مثل دراسة Goghie (2024) التي تناولت تأثير تقنية الترميز على النظام المصرفي، ودراسة Ahammad et al. (2025) التي تناولت تعزيز الأمن والكفاءة باستخدام البلوكشين في القطاع المصرفي، ودراسة Grossmann et al. (2025) التي تناولت خفض تكاليف المعاملات من خلال الترميز، بحيث تشترك جميع هذه الدراسات في الاهتمام بتأثير التقنيات الرقمية الحديثة على أداء وكفاءة المؤسسات المالية.</w:t>
      </w:r>
    </w:p>
    <w:p w14:paraId="169959A1" w14:textId="77777777" w:rsidR="00F00638" w:rsidRPr="004F6AF4" w:rsidRDefault="00F00638"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اتفقت الدراسة الحالية في المتغير المستقل وهو تقنية الترميز مع العديد من الدراسات السابقة مثل دراسة Carapella et al. (2023) التي فحصت تأثير الترميز على الاستقرار المالي، ودراسة Multiple Authors (2025) التي تناولت ترميز الأصول الواقعية، ودراسة Adigwe et al. (2024) التي تناولت ترميز الأصول الزراعية، بحيث تشترك هذه الدراسات في تناول تقنية الترميز كمتغير مستقل أو محوري في التحليل رغم اختلاف المجالات التطبيقية.</w:t>
      </w:r>
    </w:p>
    <w:p w14:paraId="141031F5" w14:textId="77777777" w:rsidR="00F00638" w:rsidRPr="004F6AF4" w:rsidRDefault="00F00638"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lastRenderedPageBreak/>
        <w:t>اتفقت الدراسة الحالية في أحد المتغيرات التابعة وهو الأمن السيبراني مع دراسة Goghie (2024) التي تناولت معايير الأمن والامتثال في أنظمة الترميز، ودراسة Ahammad et al. (2025) التي ركزت على تحسينات الأمن من خلال إلغاء الوسطاء وتقليل نقاط الضعف، ودراسة Karanovic et al. (2024) التي وثقت انخفاضاً بنسبة 56.2% في حوادث الأمن السيبراني بعد تبني البلوكشين، بحيث تشترك هذه الدراسات في الاهتمام بالبعد الأمني لتقنية الترميز.</w:t>
      </w:r>
    </w:p>
    <w:p w14:paraId="4C594DE2" w14:textId="77777777" w:rsidR="00F00638" w:rsidRPr="004F6AF4" w:rsidRDefault="00F00638"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اتفقت الدراسة الحالية في المتغير التابع الآخر وهو كفاءة العمليات المالية مع دراسة Al-Qudah et al. (2025) التي قاست تأثير البلوكشين على تكاليف المعاملات، ودراسة Almadadha (2025) التي ربطت تبني البلوكشين بتحسن الأداء المالي، ودراسة Lavayssière &amp; Zhang (2025) التي فحصت كيفية معالجة الترميز لأوجه القصور في الأسواق المالية، ودراسة Udeh et al. (2025) التي تناولت تقليل تكاليف المعاملات من خلال إلغاء الوسطاء، بحيث تتفق جميع هذه الدراسات على أن التقنيات الرقمية الحديثة تحسن من كفاءة العمليات المالية بطرق متعددة.</w:t>
      </w:r>
    </w:p>
    <w:p w14:paraId="190DB4B1" w14:textId="77777777" w:rsidR="00F00638" w:rsidRPr="004F6AF4" w:rsidRDefault="00F00638"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اتفقت الدراسة الحالية في الاهتمام بالسياق الإقليمي مع دراسة Sakarneh &amp; Kilani (2024) التي تناولت القطاع المصرفي الأردني كسياق عربي إقليمي، حيث تشترك هذه الدراسة مع الدراسة الحالية في الاهتمام بالبيئة العربية والإقليمية المشابهة من حيث التحديات والفرص التنظيمية والثقافية.</w:t>
      </w:r>
    </w:p>
    <w:p w14:paraId="3DD998C2" w14:textId="77777777" w:rsidR="00F00638" w:rsidRPr="004F6AF4" w:rsidRDefault="00F00638"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اتفقت الدراسة الحالية في الاهتمام بالتحول الرقمي والأهداف الاستراتيجية الوطنية مع دراسة Islam &amp; In (2024) التي ربطت تطبيقات البلوكشين بالعملات الرقمية للبنوك المركزية كجزء من التحول الرقمي الوطني، ودراسة Sakarneh &amp; Kilani (2024) التي أكدت على أهمية الدعم التنظيمي والتوعية المؤسسية، بحيث تعكس هذه الدراسات أهمية ربط التبني التقني بالرؤى والاستراتيجيات الوطنية.</w:t>
      </w:r>
    </w:p>
    <w:p w14:paraId="5FC615A1" w14:textId="77777777" w:rsidR="00F00638" w:rsidRPr="004F6AF4" w:rsidRDefault="00F00638"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اتفقت الدراسة الحالية في استخدام منهجيات بحثية متقدمة مع دراسة Al-Qudah et al. (2025) التي استخدمت تقنية Random Forest للتحليل الكمي، ودراسة Karanovic et al. (2024) التي استخدمت منهجية مختلطة واسعة النطاق، ودراسة Grossmann et al. (2025) التي استخدمت Design Science Research، بحيث تعكس هذه الدراسات التطور المنهجي في دراسة تأثير التقنيات الحديثة على القطاع المالي.</w:t>
      </w:r>
    </w:p>
    <w:p w14:paraId="4D38A272"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2.4.2 أوجه الاختلاف بين الدراسة الحالية والدراسات السابقة</w:t>
      </w:r>
    </w:p>
    <w:p w14:paraId="10BCCAE8" w14:textId="77777777" w:rsidR="00F00638" w:rsidRPr="004F6AF4" w:rsidRDefault="00F00638"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lastRenderedPageBreak/>
        <w:t>تختلف الدراسة الحالية عن الدراسات السابقة في عدة جوانب جوهرية، حيث تتمثل أهم أوجه الاختلاف فيما يلي:</w:t>
      </w:r>
    </w:p>
    <w:p w14:paraId="35C0D171" w14:textId="77777777" w:rsidR="00F00638" w:rsidRPr="004F6AF4" w:rsidRDefault="00F00638"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تختلف الدراسة الحالية في السياق الجغرافي والمؤسسي بشكل جوهري عن جميع الدراسات السابقة المستعرضة (Goghie, 2024; Ahammad et al., 2025; Al-Qudah et al., 2025; Carapella et al., 2023; Grossmann et al., 2025; Almadadha, 2025; Lavayssière &amp; Zhang, 2025; Udeh et al., 2025; Sakarneh &amp; Kilani, 2024; Islam &amp; In, 2024; Multiple Authors, 2025; Adigwe et al., 2024; Karanovic et al., 2024)، حيث أن الدراسة الحالية هي الأولى من نوعها التي تطبق على المؤسسات المالية السعودية بأنواعها المختلفة، بينما ركزت الدراسات السابقة على سياقات أوروبية (Goghie, 2024; Grossmann et al., 2025; Multiple Authors, 2025)، أو آسيوية (Ahammad et al., 2025; Islam &amp; In, 2024)، أو أمريكية (Carapella et al., 2023; Lavayssière &amp; Zhang, 2025)، أو إقليمية عربية غير سعودية (Al-Qudah et al., 2025; Sakarneh &amp; Kilani, 2024)، أو أسترالية (Almadadha, 2025)، مما يجعل الدراسة الحالية فريدة في تناولها للسياق السعودي المحدد بخصائصه التنظيمية والثقافية والاقتصادية المميزة.</w:t>
      </w:r>
    </w:p>
    <w:p w14:paraId="412FA781" w14:textId="77777777" w:rsidR="00F00638" w:rsidRPr="004F6AF4" w:rsidRDefault="00F00638"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تختلف الدراسة الحالية في ربطها المباشر والصريح برؤية السعودية 2030 وأهداف التحول الرقمي الوطني (Saudi Central Bank, 2024; IMF, 2024; Thunes Research, 2025)، بينما لم تتطرق أي من الدراسات السابقة لهذا الربط الاستراتيجي مع رؤية وطنية محددة، حيث أن الدراسة الحالية تفحص كيف تساهم تقنية الترميز في تحقيق أهداف رؤية 2030 من حيث رفع معدل الشمول المالي وتحسين كفاءة القطاع المالي وتعزيز الأمن السيبراني وجذب الاستثمارات ودعم الابتكار المالي، وهذا يضيف بعداً استراتيجياً ووطنياً فريداً للدراسة الحالية لا يتوفر في الدراسات السابقة.</w:t>
      </w:r>
    </w:p>
    <w:p w14:paraId="5C39D654" w14:textId="77777777" w:rsidR="00F00638" w:rsidRPr="004F6AF4" w:rsidRDefault="00F00638"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 xml:space="preserve">تختلف الدراسة الحالية في المقارنة المباشرة بين ثلاثة أنواع من المؤسسات المالية وهي البنوك التقليدية والبنوك الرقمية وشركات الفنتك في نفس السياق (Saudi Central Bank, 2024; Thunes Research, 2025)، بينما ركزت معظم الدراسات السابقة على نوع واحد من المؤسسات فقط مثل البنوك التقليدية الكبرى (Goghie, 2024; Almadadha, 2025; Sakarneh &amp; Kilani, 2024) أو قدمت مقارنات عامة دون تركيز على أنواع </w:t>
      </w:r>
      <w:r>
        <w:rPr>
          <w:rFonts w:ascii="Traditional Arabic" w:hAnsi="Traditional Arabic" w:cs="Traditional Arabic"/>
          <w:sz w:val="28"/>
          <w:szCs w:val="28"/>
          <w:rtl/>
        </w:rPr>
        <w:lastRenderedPageBreak/>
        <w:t>محددة (Karanovic et al., 2024)، وهذه المقارنة الثلاثية تمكن من فهم أعمق لكيفية اختلاف تأثير تقنية الترميز باختلاف حجم ونوع وطبيعة المؤسسة المالية.</w:t>
      </w:r>
    </w:p>
    <w:p w14:paraId="31E045E2" w14:textId="77777777" w:rsidR="00F00638" w:rsidRPr="004F6AF4" w:rsidRDefault="00F00638"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تختلف الدراسة الحالية في فحصها المتزامن والمتكامل لتأثير تقنية الترميز على كل من الأمن السيبراني وكفاءة العمليات المالية في نفس الوقت (ENISA, 2024; IBM Security, 2024; Al-Qudah et al., 2025; Karanovic et al., 2024)، بينما ركزت معظم الدراسات السابقة على أحد هذين البعدين دون الآخر، حيث اهتمت بعض الدراسات بالبعد الأمني بشكل أساسي (Goghie, 2024; Ahammad et al., 2025) بينما ركزت دراسات أخرى على بعد الكفاءة والتكاليف (Grossmann et al., 2025; Lavayssière &amp; Zhang, 2025; Sakarneh &amp; Kilani, 2024)، وهذا النهج المتكامل يمكن من فهم التأثيرات المتشابكة والمتبادلة بين البعدين.</w:t>
      </w:r>
    </w:p>
    <w:p w14:paraId="03E5C220" w14:textId="77777777" w:rsidR="00F00638" w:rsidRPr="004F6AF4" w:rsidRDefault="00F00638"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تختلف الدراسة الحالية في تطبيقها للأطر التنظيمية السعودية المحددة التي تحكم القطاع المالي (Saudi Central Bank, 2024; IMF, 2024)، بما في ذلك متطلبات مؤسسة النقد العربي السعودي (SAMA) ومتطلبات الهيئة الوطنية للأمن السيبراني (PCI Security Standards Council, 2024; ENISA, 2024)، بينما طبقت الدراسات السابقة أطر تنظيمية مختلفة تتناسب مع سياقاتها الخاصة، وهذا الاختلاف التنظيمي مهم لأن الأطر التنظيمية تشكل عوامل تمكين أو إعاقة رئيسية لتبني التقنيات الجديدة في القطاع المالي.</w:t>
      </w:r>
    </w:p>
    <w:p w14:paraId="205502FE" w14:textId="77777777" w:rsidR="00F00638" w:rsidRPr="004F6AF4" w:rsidRDefault="00F00638"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تختلف الدراسة الحالية في نطاقها الشامل الذي يغطي مختلف أنواع الخدمات المالية من المدفوعات والتحويلات إلى الإقراض والاستثمار وإدارة الأصول (Financial Stability Board, 2024; McKinsey &amp; Company, 2024; Thunes Research, 2025)، بينما ركزت بعض الدراسات السابقة على قطاعات أو تطبيقات محددة مثل أسواق السندات فقط (Grossmann et al., 2025; Lavayssière &amp; Zhang, 2025) أو الأصول الزراعية (Adigwe et al., 2024) أو الضمانات المصرفية (Almadadha, 2025)، مما يجعل الدراسة الحالية أكثر شمولية في تغطيتها لمختلف جوانب العمل المالي.</w:t>
      </w:r>
    </w:p>
    <w:p w14:paraId="78609B0B" w14:textId="77777777" w:rsidR="00F00638" w:rsidRPr="004F6AF4" w:rsidRDefault="00F00638"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 xml:space="preserve">تختلف الدراسة الحالية في استخدامها لمنهجية مختلطة مصممة خصيصاً للسياق السعودي تجمع بين الاستبانات الإلكترونية والمقابلات شبه المنظمة مع أصحاب المصلحة المتعددين من مستويات إدارية مختلفة (من المديرين التنفيذيين إلى المستخدمين </w:t>
      </w:r>
      <w:r>
        <w:rPr>
          <w:rFonts w:ascii="Traditional Arabic" w:hAnsi="Traditional Arabic" w:cs="Traditional Arabic"/>
          <w:sz w:val="28"/>
          <w:szCs w:val="28"/>
          <w:rtl/>
        </w:rPr>
        <w:lastRenderedPageBreak/>
        <w:t>النهائيين) في المؤسسات المالية السعودية، بينما استخدمت الدراسات السابقة منهجيات مختلفة تناسب سياقاتها، وهذا التصميم المنهجي المخصص يضمن الحصول على بيانات دقيقة وذات صلة بالواقع السعودي.</w:t>
      </w:r>
    </w:p>
    <w:p w14:paraId="2D28EDDB" w14:textId="77777777" w:rsidR="00F00638" w:rsidRPr="004F6AF4" w:rsidRDefault="00F00638"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تختلف الدراسة الحالية في توقيتها الحرج ضمن مسيرة التحول الرقمي في المملكة (Saudi Central Bank, 2024; Thunes Research, 2025; IMF, 2024)، حيث تأتي في وقت تشهد فيه المملكة تسارعاً كبيراً في التحول الرقمي للقطاع المالي مع وصول نسبة المدفوعات الإلكترونية إلى 79% ومعدل الشمول المالي إلى 94% ونمو قطاع الفنتك بشكل ملحوظ، مما يجعل نتائج الدراسة ذات قيمة عملية عالية لصناع القرار في المؤسسات المالية والجهات التنظيمية في توقيت حاسم من مسيرة التحول.</w:t>
      </w:r>
    </w:p>
    <w:p w14:paraId="1639C3F3"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2.4.3 أوجه استفادة الدراسة الحالية من الدراسات السابقة</w:t>
      </w:r>
    </w:p>
    <w:p w14:paraId="411F0F81" w14:textId="77777777" w:rsidR="00F00638" w:rsidRPr="004F6AF4" w:rsidRDefault="00F00638"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استفادت الدراسة الحالية من الدراسات السابقة في عدة جوانب مهمة، حيث تتمثل أهم أوجه الاستفادة فيما يلي:</w:t>
      </w:r>
    </w:p>
    <w:p w14:paraId="5FA2939D" w14:textId="77777777" w:rsidR="00F00638" w:rsidRPr="004F6AF4" w:rsidRDefault="00F00638"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ساعدت الدراسات السابقة في بناء الإطار المفاهيمي والنظري للدراسة الحالية (Goghie, 2024; Ahammad et al., 2025; Carapella et al., 2023; Grossmann et al., 2025; Udeh et al., 2025)، حيث استفادت الدراسة الحالية من التعريفات والمفاهيم والأطر النظرية التي طورتها تلك الدراسات حول تقنية الترميز والأمن السيبراني وكفاءة العمليات المالية، مما وفر أساساً علمياً قوياً لبناء فهم شامل ومتكامل للموضوع محل الدراسة.</w:t>
      </w:r>
    </w:p>
    <w:p w14:paraId="7B05E05F" w14:textId="77777777" w:rsidR="00F00638" w:rsidRPr="004F6AF4" w:rsidRDefault="00F00638"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ساعدت الدراسات السابقة في تحديد المتغيرات الرئيسية والعلاقات المفترضة بينها (Al-Qudah et al., 2025; Almadadha, 2025; Karanovic et al., 2024; Sakarneh &amp; Kilani, 2024)، حيث استفادت الدراسة الحالية من النتائج التي توصلت إليها تلك الدراسات حول تأثير تقنية الترميز على متغيرات مثل تكاليف المعاملات وسرعة التنفيذ وحوادث الأمن السيبراني والأداء المالي، مما ساعد في صياغة فرضيات الدراسة الحالية بشكل مدروس ومبني على أدلة سابقة.</w:t>
      </w:r>
    </w:p>
    <w:p w14:paraId="2B7DA3C2" w14:textId="77777777" w:rsidR="00F00638" w:rsidRPr="004F6AF4" w:rsidRDefault="00F00638"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 xml:space="preserve">ساعدت الدراسات السابقة في اختيار المنهجية المناسبة وتصميم أدوات جمع البيانات (Al-Qudah et al., 2025; Karanovic et al., 2024; Sakarneh &amp; Kilani, 2024; Islam &amp; In, 2024)، حيث استفادت الدراسة الحالية من المنهجيات المتنوعة التي استخدمتها تلك الدراسات من حيث الأساليب الكمية </w:t>
      </w:r>
      <w:r>
        <w:rPr>
          <w:rFonts w:ascii="Traditional Arabic" w:hAnsi="Traditional Arabic" w:cs="Traditional Arabic"/>
          <w:sz w:val="28"/>
          <w:szCs w:val="28"/>
          <w:rtl/>
        </w:rPr>
        <w:lastRenderedPageBreak/>
        <w:t>والنوعية والمختلطة، ومن تصميم الاستبانات والمقابلات وطرق التحليل الإحصائي، مما ساعد في تطوير منهجية شاملة ومناسبة للسياق السعودي.</w:t>
      </w:r>
    </w:p>
    <w:p w14:paraId="0E001E13" w14:textId="77777777" w:rsidR="00F00638" w:rsidRPr="004F6AF4" w:rsidRDefault="00F00638"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ساعدت الدراسات السابقة في تقدير حجم التأثيرات المتوقعة والمؤشرات الكمية المرجعية (Al-Qudah et al., 2025; Grossmann et al., 2025; Karanovic et al., 2024; Adigwe et al., 2024)، حيث وفرت تلك الدراسات أرقاماً ونسباً محددة حول التحسينات المتوقعة في التكاليف والسرعة والأمن، مثل انخفاض تكاليف المعاملات بنسبة 42-52% وانخفاض أوقات المعالجة بنسبة 78% وانخفاض حوادث الأمن السيبراني بنسبة 56%، وهذه المؤشرات توفر معياراً للمقارنة ولتقييم النتائج في السياق السعودي.</w:t>
      </w:r>
    </w:p>
    <w:p w14:paraId="358E7527" w14:textId="77777777" w:rsidR="00F00638" w:rsidRPr="004F6AF4" w:rsidRDefault="00F00638"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ساعدت الدراسات السابقة في فهم التحديات والعوائق المحتملة لتبني تقنية الترميز (Carapella et al., 2023; Goghie, 2024; Sakarneh &amp; Kilani, 2024; Multiple Authors, 2025)، حيث حددت تلك الدراسات تحديات مثل التعقيدات التقنية والفجوات التنظيمية ومقاومة المؤسسات التقليدية وقيود القابلية للتوسع ومخاوف الأمن السيبراني الجديدة، مما ساعد الدراسة الحالية في تضمين هذه الجوانب في تصميم البحث وفي صياغة الأسئلة والتوصيات بشكل أكثر واقعية.</w:t>
      </w:r>
    </w:p>
    <w:p w14:paraId="35312020" w14:textId="77777777" w:rsidR="00F00638" w:rsidRPr="004F6AF4" w:rsidRDefault="00F00638"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ساعدت الدراسات السابقة في إثراء الإطار النظري من خلال النظريات والنماذج المستخدمة (Grossmann et al., 2025; Udeh et al., 2025; Sakarneh &amp; Kilani, 2024; Islam &amp; In, 2024)، حيث استفادت الدراسة الحالية من النظريات مثل نظرية تكاليف المعاملات ونظرية أمن المعلومات ونموذج قبول التقنية ونظرية الانتشار والابتكار التي طبقتها تلك الدراسات، مما وفر عدسات نظرية متعددة الأبعاد لتفسير الظواهر المدروسة.</w:t>
      </w:r>
    </w:p>
    <w:p w14:paraId="38AA45FD" w14:textId="77777777" w:rsidR="00F00638" w:rsidRPr="004F6AF4" w:rsidRDefault="00F00638"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ساعدت الدراسات السابقة في تحديد الفجوة البحثية بوضوح ودقة (Goghie, 2024; Al-Qudah et al., 2025; Sakarneh &amp; Kilani, 2024; Karanovic et al., 2024)، حيث أظهرت تلك الدراسات بوضوح النقص في الأبحاث التي تطبق على السياق السعودي أو التي تربط تقنية الترميز برؤية 2030 أو التي تقارن بين أنواع مختلفة من المؤسسات المالية في نفس السياق، مما أكد على أهمية إجراء الدراسة الحالية لسد هذه الفجوة البحثية الواضحة.</w:t>
      </w:r>
    </w:p>
    <w:p w14:paraId="774BD6FE"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2.4.4 ما يميز الدراسة الحالية عن الدراسات السابقة</w:t>
      </w:r>
    </w:p>
    <w:p w14:paraId="3383D78B" w14:textId="77777777" w:rsidR="00F00638" w:rsidRPr="004F6AF4" w:rsidRDefault="00F00638"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lastRenderedPageBreak/>
        <w:t>تتميز الدراسة الحالية عن الدراسات السابقة بمجموعة من الخصائص الفريدة التي تجعلها إضافة نوعية ومهمة للأدبيات المتاحة حول تقنية الترميز وتأثيرها على الأمن السيبراني وكفاءة العمليات المالية، حيث تمثل هذه الدراسة أول دراسة شاملة تطبق على المؤسسات المالية السعودية بأنواعها المختلفة وتفحص بشكل متزامن تأثير تقنية الترميز على كل من الأمن السيبراني وكفاءة العمليات المالية في سياق رؤية السعودية 2030 والتحول الرقمي الوطني. وتقدم الدراسة إسهاماً معرفياً فريداً من خلال المقارنة المباشرة بين ثلاثة أنواع من المؤسسات المالية وهي البنوك التقليدية والبنوك الرقمية وشركات الفنتك في نفس السياق التنظيمي والثقافي والاقتصادي، مما يمكن من فهم أعمق لكيفية اختلاف تأثير التقنية باختلاف حجم ونوع وطبيعة المؤسسة. كما تتميز الدراسة بتطبيقها المباشر للأطر التنظيمية السعودية المحددة بما في ذلك متطلبات مؤسسة النقد العربي السعودي والهيئة الوطنية للأمن السيبراني، مما يجعل نتائجها ذات قيمة عملية مباشرة لصناع القرار في القطاع المالي السعودي. وتضيف الدراسة بعداً استراتيجياً فريداً من خلال ربطها الصريح بأهداف رؤية السعودية 2030، حيث لا تقتصر على قياس التأثيرات التقنية والتشغيلية فحسب بل تفحص أيضاً كيف تساهم تقنية الترميز في تحقيق الأهداف الوطنية للتحول الرقمي والشمول المالي والتنافسية الاقتصادية. وتوفر الدراسة قيمة علمية وعملية كبيرة للقطاع المالي السعودي من خلال توليد معرفة جديدة حول واقع تطبيق تقنية الترميز في المملكة والتحديات والفرص المرتبطة بها والتوصيات المبنية على أدلة تجريبية لتعزيز فعالية التبني، مما يجعلها مرجعاً مهماً للباحثين والممارسين وصناع السياسات في المملكة والمنطقة.</w:t>
      </w:r>
    </w:p>
    <w:p w14:paraId="63F0C058" w14:textId="77777777" w:rsidR="00F00638" w:rsidRPr="004F6AF4" w:rsidRDefault="00F00638" w:rsidP="00E000FF">
      <w:pPr>
        <w:bidi/>
        <w:spacing w:after="0" w:line="360" w:lineRule="auto"/>
        <w:jc w:val="both"/>
        <w:rPr>
          <w:rFonts w:ascii="Simplified Arabic" w:hAnsi="Simplified Arabic" w:cs="Simplified Arabic"/>
          <w:sz w:val="28"/>
          <w:szCs w:val="28"/>
        </w:rPr>
      </w:pPr>
    </w:p>
    <w:p w14:paraId="260FC96F"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2.4.5 الاتجاهات العامة للدراسات السابقة</w:t>
      </w:r>
    </w:p>
    <w:p w14:paraId="46AF7C85" w14:textId="77777777" w:rsidR="00E62032" w:rsidRPr="004F6AF4" w:rsidRDefault="00E62032" w:rsidP="00E000FF">
      <w:pPr>
        <w:pStyle w:val="21"/>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تكشف مراجعة الدراسات السابقة عن تركّز واضح في ثلاثة اتجاهات: الاتجاه الأول يتناول الأثر الأمني للترميز في حماية بيانات الدفع، وهو الأكثر تكراراً؛ والاتجاه الثاني يتناول الأثر التشغيلي على زمن المعاملة وكلفتها؛ والاتجاه الثالث يربط التقنية بالسياسات الوطنية للتحول الرقمي. ويلاحَظ ضعف حضور الاتجاه الذي يجمع بين الأثرين الأمني والتشغيلي في دراسة واحدة.</w:t>
      </w:r>
    </w:p>
    <w:p w14:paraId="5548C1F2"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2.4.6 نقاط الاتفاق ونقاط الاختلاف</w:t>
      </w:r>
    </w:p>
    <w:p w14:paraId="634553A1" w14:textId="77777777" w:rsidR="00E62032" w:rsidRPr="004F6AF4" w:rsidRDefault="00E62032" w:rsidP="00E000FF">
      <w:pPr>
        <w:pStyle w:val="21"/>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lastRenderedPageBreak/>
        <w:t>تتفق غالبية الدراسات على وجود أثر إيجابي دال للترميز في خفض حوادث تسريب البيانات وفي تقليص نطاق الامتثال. وتختلف في تقدير حجم الأثر التشغيلي، إذ تُرجع بعض الدراسات التحسّن إلى الترميز ذاته بينما تُرجعه أخرى إلى إعادة هندسة العمليات المصاحبة لتطبيقه. ويعود جانب من هذا الاختلاف إلى تباين البيئات التنظيمية وإلى اختلاف مؤشرات القياس المستخدمة بين دراسة وأخرى.</w:t>
      </w:r>
    </w:p>
    <w:p w14:paraId="75A624D9"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2.4.7 القيود المنهجية في الدراسات السابقة</w:t>
      </w:r>
    </w:p>
    <w:p w14:paraId="01E07F1D" w14:textId="77777777" w:rsidR="00E62032" w:rsidRPr="004F6AF4" w:rsidRDefault="00E62032" w:rsidP="00E000FF">
      <w:pPr>
        <w:pStyle w:val="21"/>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تتمثل أبرز القيود المنهجية في صغر أحجام العينات في عدد من الدراسات، وغلبة المنهج الوصفي غير الاختباري، والاعتماد على بيانات معلنة من المؤسسات دون تحقق مستقل، وتركّز الدراسات في بيئات أوروبية وأمريكية تختلف أطرها التنظيمية عن البيئة السعودية. كما يغلب على أدوات القياس المستخدمة الطابع السببي في صياغة العبارات، وهو ما قد يوجّه استجابات المبحوثين.</w:t>
      </w:r>
    </w:p>
    <w:p w14:paraId="1C792CC4"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2.4.8 الفجوة البحثية ومساهمة الدراسة الحالية</w:t>
      </w:r>
    </w:p>
    <w:p w14:paraId="6FB71BA4" w14:textId="77777777" w:rsidR="00E62032" w:rsidRPr="004F6AF4" w:rsidRDefault="00E62032" w:rsidP="00E000FF">
      <w:pPr>
        <w:pStyle w:val="21"/>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تتحدد الفجوة البحثية في غياب دراسة ميدانية كمية تختبر أثر تقنية الترميز على الأمن السيبراني وكفاءة العمليات المالية معاً داخل المؤسسات المالية السعودية، وتربط هذا الأثر بإطار نظري مفسّر وبمستهدفات رؤية 2030. وتسدّ الدراسة الحالية هذه الفجوة عبر أداة مطبّقة على عينة من العاملين في المؤسسات المالية السعودية، وبأساليب إحصائية لامعلمية تختبر الأثر والفروق معاً، وبإطار نظري مستمد من نظرية التقنية والتنظيم والبيئة يفسّر تفاوت الأثر باختلاف سياق المؤسسة.</w:t>
      </w:r>
    </w:p>
    <w:p w14:paraId="5EAC5B83" w14:textId="77777777" w:rsidR="00F00638" w:rsidRPr="004F6AF4" w:rsidRDefault="00F00638" w:rsidP="00E000FF">
      <w:pPr>
        <w:pStyle w:val="HeadingTOCEntry"/>
        <w:bidi/>
        <w:spacing w:after="0" w:line="360" w:lineRule="auto"/>
        <w:ind w:left="432" w:hanging="432"/>
        <w:rPr>
          <w:rFonts w:ascii="Simplified Arabic" w:hAnsi="Simplified Arabic" w:cs="Simplified Arabic"/>
          <w:b/>
          <w:bCs/>
          <w:sz w:val="28"/>
          <w:szCs w:val="28"/>
          <w:u w:val="single"/>
        </w:rPr>
      </w:pPr>
      <w:bookmarkStart w:id="32" w:name="_Toc224563962"/>
      <w:bookmarkStart w:id="33" w:name="_Toc234424154"/>
      <w:r>
        <w:rPr>
          <w:rFonts w:ascii="Traditional Arabic" w:hAnsi="Traditional Arabic" w:cs="Traditional Arabic"/>
          <w:b/>
          <w:bCs/>
          <w:sz w:val="28"/>
          <w:szCs w:val="28"/>
          <w:u w:val="single"/>
          <w:rtl/>
        </w:rPr>
        <w:t>2.5 خلاصة الفصل</w:t>
      </w:r>
      <w:bookmarkEnd w:id="32"/>
      <w:bookmarkEnd w:id="33"/>
    </w:p>
    <w:p w14:paraId="153F9107" w14:textId="77777777" w:rsidR="00F00638" w:rsidRPr="004F6AF4" w:rsidRDefault="00F00638"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 xml:space="preserve">تناول هذا الفصل الأسس النظرية والدراسات السابقة المرتبطة بموضوع تأثير تقنية الترميز على الأمن السيبراني وكفاءة العمليات المالية في المؤسسات السعودية في ضوء رؤية 2030، حيث قدم القسم الأول إطاراً نظرياً شاملاً غطى مفهوم تقنية الترميز وأهميتها وأنواعها وخصائصها، ومفهوم الأمن السيبراني وأهميته وأبعاده والتهديدات الرئيسية، ومفهوم كفاءة العمليات المالية وأبعادها ودور التحول الرقمي في تحسينها، ورؤية السعودية 2030 وأهدافها المرتبطة بالقطاع المالي الرقمي والإنجازات المحققة ودور تقنية الترميز في تحقيق هذه الأهداف، والأسس النظرية المفسرة للعلاقات بين المتغيرات. وقدم القسم الثاني استعراضاً شاملاً لثلاث عشرة دراسة حديثة من السياقات الجغرافية المتنوعة تم تصنيفها إلى أربع مجموعات </w:t>
      </w:r>
      <w:r>
        <w:rPr>
          <w:rFonts w:ascii="Traditional Arabic" w:hAnsi="Traditional Arabic" w:cs="Traditional Arabic"/>
          <w:sz w:val="28"/>
          <w:szCs w:val="28"/>
          <w:rtl/>
        </w:rPr>
        <w:lastRenderedPageBreak/>
        <w:t>رئيسية تغطي الأمن السيبراني وكفاءة المعاملات والتحول الرقمي الإقليمي وتطبيقات الترميز المتنوعة، وخلص التحليل إلى أن جميع الدراسات السابقة أكدت على التأثيرات الإيجابية لتقنية الترميز على الأمن والكفاءة لكنها أظهرت فجوة واضحة في غياب الدراسات التي تطبق على السياق السعودي تحديداً.</w:t>
      </w:r>
    </w:p>
    <w:p w14:paraId="42AB6441" w14:textId="77777777" w:rsidR="00F00638" w:rsidRPr="004F6AF4" w:rsidRDefault="00F00638"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واستفادت الدراسة الحالية من الدراسات السابقة في بناء الإطار المفاهيمي وتحديد المتغيرات وتصميم المنهجية وتقدير التأثيرات المتوقعة وفهم التحديات وإثراء الإطار النظري وتحديد الفجوة البحثية، مما ساعد في تطوير تصميم بحثي شامل ومتين للدراسة الحالية. وتتميز الدراسة الحالية عن الدراسات السابقة بكونها أول دراسة شاملة تطبق على المؤسسات المالية السعودية بأنواعها الثلاثة وتفحص بشكل متزامن تأثير تقنية الترميز على كل من الأمن السيبراني وكفاءة العمليات المالية في سياق رؤية السعودية 2030، مع تطبيق الأطر التنظيمية السعودية المحددة واستخدام منهجية مختلطة مصممة خصيصاً للسياق المحلي، مما يوفر قيمة علمية وعملية كبيرة للقطاع المالي السعودي ويسد فجوة بحثية واضحة في الأدبيات المتاحة.</w:t>
      </w:r>
    </w:p>
    <w:p w14:paraId="4431D99F" w14:textId="77777777" w:rsidR="00BC00FF" w:rsidRPr="00B21BA2" w:rsidRDefault="00BC00FF" w:rsidP="00E000FF">
      <w:pPr>
        <w:bidi/>
        <w:spacing w:after="0" w:line="360" w:lineRule="auto"/>
        <w:rPr>
          <w:rFonts w:ascii="Simplified Arabic" w:eastAsiaTheme="majorEastAsia" w:hAnsi="Simplified Arabic" w:cs="Simplified Arabic"/>
          <w:b/>
          <w:bCs/>
          <w:sz w:val="28"/>
          <w:szCs w:val="28"/>
          <w:u w:val="single"/>
          <w:rtl/>
        </w:rPr>
      </w:pPr>
    </w:p>
    <w:p w14:paraId="47767198" w14:textId="77777777" w:rsidR="00BC00FF" w:rsidRPr="00B21BA2" w:rsidRDefault="00BC00FF" w:rsidP="00E000FF">
      <w:pPr>
        <w:bidi/>
        <w:spacing w:after="0" w:line="360" w:lineRule="auto"/>
        <w:rPr>
          <w:rFonts w:ascii="Simplified Arabic" w:eastAsiaTheme="majorEastAsia" w:hAnsi="Simplified Arabic" w:cs="Simplified Arabic"/>
          <w:b/>
          <w:bCs/>
          <w:sz w:val="28"/>
          <w:szCs w:val="28"/>
          <w:u w:val="single"/>
          <w:rtl/>
        </w:rPr>
        <w:sectPr w:rsidR="00BC00FF" w:rsidRPr="00B21BA2" w:rsidSect="006E2853">
          <w:pgSz w:w="11906" w:h="16838"/>
          <w:pgMar w:top="1440" w:right="1800" w:bottom="1440" w:left="1800" w:header="708" w:footer="144" w:gutter="0"/>
          <w:cols w:space="708"/>
          <w:titlePg/>
          <w:bidi/>
          <w:rtlGutter/>
          <w:docGrid w:linePitch="360"/>
        </w:sectPr>
      </w:pPr>
    </w:p>
    <w:p w14:paraId="25F09CFA" w14:textId="77777777" w:rsidR="001C4FBE" w:rsidRDefault="001C4FBE" w:rsidP="00E000FF">
      <w:pPr>
        <w:bidi/>
        <w:spacing w:after="0" w:line="360" w:lineRule="auto"/>
        <w:jc w:val="center"/>
        <w:rPr>
          <w:rFonts w:ascii="Simplified Arabic" w:hAnsi="Simplified Arabic" w:cs="Simplified Arabic"/>
          <w:b/>
          <w:bCs/>
          <w:sz w:val="48"/>
          <w:szCs w:val="48"/>
          <w:rtl/>
        </w:rPr>
      </w:pPr>
    </w:p>
    <w:p w14:paraId="1AC2E49C" w14:textId="77777777" w:rsidR="001C4FBE" w:rsidRDefault="001C4FBE" w:rsidP="00E000FF">
      <w:pPr>
        <w:bidi/>
        <w:spacing w:after="0" w:line="360" w:lineRule="auto"/>
        <w:jc w:val="center"/>
        <w:rPr>
          <w:rFonts w:ascii="Simplified Arabic" w:hAnsi="Simplified Arabic" w:cs="Simplified Arabic"/>
          <w:b/>
          <w:bCs/>
          <w:sz w:val="48"/>
          <w:szCs w:val="48"/>
        </w:rPr>
      </w:pPr>
    </w:p>
    <w:p w14:paraId="41C8FA95" w14:textId="77777777" w:rsidR="001C4FBE" w:rsidRPr="004F6AF4" w:rsidRDefault="001C4FBE" w:rsidP="00E000FF">
      <w:pPr>
        <w:pStyle w:val="HeadingTOCEntry"/>
        <w:bidi/>
        <w:spacing w:after="0" w:line="360" w:lineRule="auto"/>
        <w:ind w:left="432" w:hanging="432"/>
        <w:jc w:val="center"/>
        <w:rPr>
          <w:rFonts w:ascii="Traditional Arabic" w:hAnsi="Traditional Arabic" w:cs="Traditional Arabic"/>
          <w:b/>
          <w:bCs/>
          <w:sz w:val="92"/>
          <w:szCs w:val="92"/>
          <w:rtl/>
        </w:rPr>
      </w:pPr>
      <w:bookmarkStart w:id="34" w:name="_Toc234424155"/>
      <w:r>
        <w:rPr>
          <w:rFonts w:ascii="Traditional Arabic" w:hAnsi="Traditional Arabic" w:cs="Traditional Arabic"/>
          <w:b/>
          <w:bCs/>
          <w:sz w:val="92"/>
          <w:szCs w:val="92"/>
          <w:rtl/>
        </w:rPr>
        <w:t xml:space="preserve">الفصل </w:t>
      </w:r>
      <w:r>
        <w:rPr>
          <w:rFonts w:ascii="Traditional Arabic" w:hAnsi="Traditional Arabic" w:cs="Traditional Arabic" w:hint="cs"/>
          <w:b/>
          <w:bCs/>
          <w:sz w:val="92"/>
          <w:szCs w:val="92"/>
          <w:rtl/>
        </w:rPr>
        <w:t>الثالث</w:t>
      </w:r>
      <w:bookmarkEnd w:id="34"/>
    </w:p>
    <w:p w14:paraId="5641EBA9" w14:textId="77777777" w:rsidR="003A3893" w:rsidRPr="004F6AF4" w:rsidRDefault="003A3893" w:rsidP="004F6AF4">
      <w:pPr>
        <w:pStyle w:val="HeadingTOCEntry"/>
        <w:bidi/>
        <w:spacing w:after="0" w:line="360" w:lineRule="auto"/>
        <w:ind w:left="432" w:hanging="432"/>
        <w:jc w:val="center"/>
        <w:rPr>
          <w:rFonts w:ascii="Traditional Arabic" w:hAnsi="Traditional Arabic" w:cs="Traditional Arabic"/>
          <w:b/>
          <w:bCs/>
          <w:sz w:val="92"/>
          <w:szCs w:val="92"/>
          <w:rtl/>
        </w:rPr>
      </w:pPr>
      <w:r>
        <w:rPr>
          <w:rFonts w:ascii="Traditional Arabic" w:hAnsi="Traditional Arabic" w:cs="Traditional Arabic" w:hint="cs"/>
          <w:b/>
          <w:bCs/>
          <w:sz w:val="92"/>
          <w:szCs w:val="92"/>
          <w:rtl/>
        </w:rPr>
        <w:t>منهجية الدراسة</w:t>
      </w:r>
    </w:p>
    <w:p w14:paraId="39FAA1D0" w14:textId="77777777" w:rsidR="001C4FBE" w:rsidRDefault="001C4FBE" w:rsidP="00E000FF">
      <w:pPr>
        <w:bidi/>
        <w:spacing w:after="0" w:line="360" w:lineRule="auto"/>
        <w:jc w:val="center"/>
        <w:rPr>
          <w:b/>
          <w:bCs/>
          <w:sz w:val="96"/>
          <w:szCs w:val="96"/>
          <w:rtl/>
          <w:lang w:bidi="ar-EG"/>
        </w:rPr>
      </w:pPr>
    </w:p>
    <w:p w14:paraId="5F1E8639" w14:textId="77777777" w:rsidR="001C4FBE" w:rsidRPr="00D370C1" w:rsidRDefault="001C4FBE" w:rsidP="00E000FF">
      <w:pPr>
        <w:bidi/>
        <w:spacing w:after="0" w:line="360" w:lineRule="auto"/>
        <w:jc w:val="center"/>
        <w:rPr>
          <w:b/>
          <w:bCs/>
          <w:sz w:val="96"/>
          <w:szCs w:val="96"/>
          <w:lang w:bidi="ar-EG"/>
        </w:rPr>
      </w:pPr>
    </w:p>
    <w:p w14:paraId="3110147F" w14:textId="77777777" w:rsidR="00B21BA2" w:rsidRDefault="00B21BA2" w:rsidP="00E000FF">
      <w:pPr>
        <w:bidi/>
        <w:spacing w:after="0" w:line="360" w:lineRule="auto"/>
        <w:jc w:val="center"/>
        <w:rPr>
          <w:b/>
          <w:bCs/>
          <w:sz w:val="96"/>
          <w:szCs w:val="96"/>
          <w:rtl/>
          <w:lang w:bidi="ar-EG"/>
        </w:rPr>
      </w:pPr>
    </w:p>
    <w:p w14:paraId="50EF132B" w14:textId="77777777" w:rsidR="001C4FBE" w:rsidRDefault="001C4FBE" w:rsidP="00E000FF">
      <w:pPr>
        <w:bidi/>
        <w:spacing w:after="0" w:line="360" w:lineRule="auto"/>
        <w:rPr>
          <w:b/>
          <w:bCs/>
          <w:sz w:val="96"/>
          <w:szCs w:val="96"/>
          <w:rtl/>
          <w:lang w:bidi="ar-EG"/>
        </w:rPr>
      </w:pPr>
      <w:r>
        <w:rPr>
          <w:rFonts w:ascii="Traditional Arabic" w:hAnsi="Traditional Arabic" w:cs="Traditional Arabic"/>
          <w:b/>
          <w:bCs/>
          <w:sz w:val="24"/>
          <w:szCs w:val="24"/>
          <w:rtl/>
          <w:lang w:bidi="ar-EG"/>
        </w:rPr>
        <w:br w:type="page"/>
      </w:r>
    </w:p>
    <w:p w14:paraId="7EBF39F3" w14:textId="77777777" w:rsidR="00B35152" w:rsidRPr="004F6AF4" w:rsidRDefault="00B35152" w:rsidP="00E000FF">
      <w:pPr>
        <w:pStyle w:val="HeadingTOCEntry"/>
        <w:bidi/>
        <w:spacing w:after="0" w:line="360" w:lineRule="auto"/>
        <w:ind w:left="432" w:hanging="432"/>
        <w:rPr>
          <w:rFonts w:ascii="Simplified Arabic" w:hAnsi="Simplified Arabic" w:cs="Simplified Arabic"/>
          <w:b/>
          <w:bCs/>
          <w:sz w:val="28"/>
          <w:szCs w:val="28"/>
          <w:u w:val="single"/>
        </w:rPr>
      </w:pPr>
      <w:bookmarkStart w:id="35" w:name="_Toc234424156"/>
      <w:r>
        <w:rPr>
          <w:rFonts w:ascii="Traditional Arabic" w:hAnsi="Traditional Arabic" w:cs="Traditional Arabic"/>
          <w:b/>
          <w:bCs/>
          <w:sz w:val="28"/>
          <w:szCs w:val="28"/>
          <w:u w:val="single"/>
          <w:rtl/>
        </w:rPr>
        <w:lastRenderedPageBreak/>
        <w:t>مقدمة</w:t>
      </w:r>
      <w:bookmarkEnd w:id="35"/>
    </w:p>
    <w:p w14:paraId="091F1D9C" w14:textId="77777777" w:rsidR="00B35152" w:rsidRPr="004F6AF4" w:rsidRDefault="00B35152" w:rsidP="00E000FF">
      <w:pPr>
        <w:bidi/>
        <w:spacing w:after="0" w:line="360" w:lineRule="auto"/>
        <w:jc w:val="both"/>
        <w:rPr>
          <w:rFonts w:ascii="Simplified Arabic" w:hAnsi="Simplified Arabic" w:cs="Simplified Arabic"/>
          <w:sz w:val="28"/>
          <w:szCs w:val="28"/>
          <w:rtl/>
        </w:rPr>
      </w:pPr>
      <w:r>
        <w:rPr>
          <w:rFonts w:ascii="Traditional Arabic" w:hAnsi="Traditional Arabic" w:cs="Traditional Arabic"/>
          <w:sz w:val="28"/>
          <w:szCs w:val="28"/>
          <w:rtl/>
        </w:rPr>
        <w:t>يتناول هذا الفصل منهجية الدراسة التي اعتُمدت لتحقيق أهدافها والإجابة عن تساؤلاتها، ويشمل عرضاً تفصيلياً لمنهج البحث المتبع، ومجتمع الدراسة وعينتها، وأدوات جمع البيانات، فضلاً عن الأساليب الإحصائية التي ستُطبَّق في تحليل البيانات واختبار الفرضيات. تسعى هذه الدراسة إلى استيعاب أثر تقنية الترميز (Tokenization) على الأمن السيبراني وكفاءة العمليات المالية في المؤسسات المالية السعودية، ضمن إطار أهداف رؤية المملكة العربية السعودية 2030 للتحول الرقمي في القطاع المالي.</w:t>
      </w:r>
    </w:p>
    <w:p w14:paraId="09BFA6BE" w14:textId="77777777" w:rsidR="00B35152" w:rsidRPr="00D329C2" w:rsidRDefault="00B35152" w:rsidP="00E000FF">
      <w:pPr>
        <w:bidi/>
        <w:spacing w:after="0" w:line="360" w:lineRule="auto"/>
        <w:jc w:val="both"/>
        <w:rPr>
          <w:rFonts w:ascii="Simplified Arabic" w:hAnsi="Simplified Arabic" w:cs="Simplified Arabic"/>
          <w:sz w:val="28"/>
          <w:szCs w:val="28"/>
        </w:rPr>
      </w:pPr>
    </w:p>
    <w:p w14:paraId="186C7BED" w14:textId="77777777" w:rsidR="00B35152" w:rsidRPr="004F6AF4" w:rsidRDefault="00B35152" w:rsidP="00E000FF">
      <w:pPr>
        <w:pStyle w:val="HeadingTOCEntry"/>
        <w:bidi/>
        <w:spacing w:after="0" w:line="360" w:lineRule="auto"/>
        <w:rPr>
          <w:rFonts w:ascii="Simplified Arabic" w:hAnsi="Simplified Arabic" w:cs="Simplified Arabic"/>
          <w:b/>
          <w:bCs/>
          <w:sz w:val="28"/>
          <w:szCs w:val="28"/>
          <w:u w:val="single"/>
        </w:rPr>
      </w:pPr>
      <w:bookmarkStart w:id="36" w:name="_Toc234424157"/>
      <w:r>
        <w:rPr>
          <w:rFonts w:ascii="Traditional Arabic" w:hAnsi="Traditional Arabic" w:cs="Traditional Arabic"/>
          <w:b/>
          <w:bCs/>
          <w:sz w:val="28"/>
          <w:szCs w:val="28"/>
          <w:u w:val="single"/>
          <w:rtl/>
        </w:rPr>
        <w:t>3.2 أهداف الدراسة وفرضياتها</w:t>
      </w:r>
      <w:bookmarkEnd w:id="36"/>
    </w:p>
    <w:p w14:paraId="14DAEFB8" w14:textId="77777777" w:rsidR="00B35152" w:rsidRPr="004F6AF4" w:rsidRDefault="00B35152"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3.2.1 أهداف الدراسة</w:t>
      </w:r>
    </w:p>
    <w:p w14:paraId="2E2B174C" w14:textId="77777777" w:rsidR="00B35152" w:rsidRPr="004F6AF4"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تسعى هذه الدراسة إلى تحقيق الأهداف الآتية:</w:t>
      </w:r>
    </w:p>
    <w:p w14:paraId="462993F4" w14:textId="77777777" w:rsidR="00B35152" w:rsidRPr="004F6AF4" w:rsidRDefault="00B35152" w:rsidP="00E000FF">
      <w:pPr>
        <w:pStyle w:val="a5"/>
        <w:numPr>
          <w:ilvl w:val="2"/>
          <w:numId w:val="3"/>
        </w:numPr>
        <w:tabs>
          <w:tab w:val="clear" w:pos="2160"/>
        </w:tabs>
        <w:bidi/>
        <w:spacing w:after="0" w:line="360" w:lineRule="auto"/>
        <w:ind w:left="386"/>
        <w:jc w:val="both"/>
        <w:rPr>
          <w:rFonts w:ascii="Simplified Arabic" w:hAnsi="Simplified Arabic" w:cs="Simplified Arabic"/>
          <w:sz w:val="28"/>
          <w:szCs w:val="28"/>
          <w:rtl/>
        </w:rPr>
      </w:pPr>
      <w:r>
        <w:rPr>
          <w:rFonts w:ascii="Traditional Arabic" w:hAnsi="Traditional Arabic" w:cs="Traditional Arabic"/>
          <w:sz w:val="28"/>
          <w:szCs w:val="28"/>
          <w:rtl/>
        </w:rPr>
        <w:t>قياس أثر تطبيق تقنية الترميز على مستوى الأمن السيبراني في المؤسسات المالية السعودية.</w:t>
      </w:r>
    </w:p>
    <w:p w14:paraId="441DCD35" w14:textId="77777777" w:rsidR="00B35152" w:rsidRPr="004F6AF4" w:rsidRDefault="00B35152" w:rsidP="00E000FF">
      <w:pPr>
        <w:pStyle w:val="a5"/>
        <w:numPr>
          <w:ilvl w:val="2"/>
          <w:numId w:val="3"/>
        </w:numPr>
        <w:tabs>
          <w:tab w:val="clear" w:pos="2160"/>
        </w:tabs>
        <w:bidi/>
        <w:spacing w:after="0" w:line="360" w:lineRule="auto"/>
        <w:ind w:left="386"/>
        <w:jc w:val="both"/>
        <w:rPr>
          <w:rFonts w:ascii="Simplified Arabic" w:hAnsi="Simplified Arabic" w:cs="Simplified Arabic"/>
          <w:sz w:val="28"/>
          <w:szCs w:val="28"/>
          <w:rtl/>
        </w:rPr>
      </w:pPr>
      <w:r>
        <w:rPr>
          <w:rFonts w:ascii="Traditional Arabic" w:hAnsi="Traditional Arabic" w:cs="Traditional Arabic"/>
          <w:sz w:val="28"/>
          <w:szCs w:val="28"/>
          <w:rtl/>
        </w:rPr>
        <w:t>تقييم أثر تطبيق تقنية الترميز على كفاءة العمليات المالية في المؤسسات المالية السعودية.</w:t>
      </w:r>
    </w:p>
    <w:p w14:paraId="465654BA" w14:textId="77777777" w:rsidR="00B35152" w:rsidRPr="004F6AF4" w:rsidRDefault="00B35152" w:rsidP="00E000FF">
      <w:pPr>
        <w:pStyle w:val="a5"/>
        <w:numPr>
          <w:ilvl w:val="2"/>
          <w:numId w:val="3"/>
        </w:numPr>
        <w:tabs>
          <w:tab w:val="clear" w:pos="2160"/>
        </w:tabs>
        <w:bidi/>
        <w:spacing w:after="0" w:line="360" w:lineRule="auto"/>
        <w:ind w:left="386"/>
        <w:jc w:val="both"/>
        <w:rPr>
          <w:rFonts w:ascii="Simplified Arabic" w:hAnsi="Simplified Arabic" w:cs="Simplified Arabic"/>
          <w:sz w:val="28"/>
          <w:szCs w:val="28"/>
          <w:rtl/>
        </w:rPr>
      </w:pPr>
      <w:r>
        <w:rPr>
          <w:rFonts w:ascii="Traditional Arabic" w:hAnsi="Traditional Arabic" w:cs="Traditional Arabic"/>
          <w:sz w:val="28"/>
          <w:szCs w:val="28"/>
          <w:rtl/>
        </w:rPr>
        <w:t>تحليل الفروق في أثر تقنية الترميز على الأمن السيبراني بين أنواع المؤسسات المالية السعودية (البنوك التقليدية، البنوك الرقمية، شركات التقنية المالية).</w:t>
      </w:r>
    </w:p>
    <w:p w14:paraId="78FD41AD" w14:textId="77777777" w:rsidR="00B35152" w:rsidRPr="004F6AF4" w:rsidRDefault="00B35152" w:rsidP="00E000FF">
      <w:pPr>
        <w:pStyle w:val="a5"/>
        <w:numPr>
          <w:ilvl w:val="2"/>
          <w:numId w:val="3"/>
        </w:numPr>
        <w:tabs>
          <w:tab w:val="clear" w:pos="2160"/>
        </w:tabs>
        <w:bidi/>
        <w:spacing w:after="0" w:line="360" w:lineRule="auto"/>
        <w:ind w:left="386"/>
        <w:jc w:val="both"/>
        <w:rPr>
          <w:rFonts w:ascii="Simplified Arabic" w:hAnsi="Simplified Arabic" w:cs="Simplified Arabic"/>
          <w:sz w:val="28"/>
          <w:szCs w:val="28"/>
        </w:rPr>
      </w:pPr>
      <w:r>
        <w:rPr>
          <w:rFonts w:ascii="Traditional Arabic" w:hAnsi="Traditional Arabic" w:cs="Traditional Arabic"/>
          <w:sz w:val="28"/>
          <w:szCs w:val="28"/>
          <w:rtl/>
        </w:rPr>
        <w:t>دراسة العلاقة بين مستوى تطبيق تقنية الترميز ومستوى الامتثال للمتطلبات التنظيمية السعودية.</w:t>
      </w:r>
    </w:p>
    <w:p w14:paraId="26CD8F72" w14:textId="77777777" w:rsidR="00B35152" w:rsidRPr="004F6AF4" w:rsidRDefault="00B35152" w:rsidP="00E000FF">
      <w:pPr>
        <w:pStyle w:val="a5"/>
        <w:numPr>
          <w:ilvl w:val="2"/>
          <w:numId w:val="3"/>
        </w:numPr>
        <w:tabs>
          <w:tab w:val="clear" w:pos="2160"/>
        </w:tabs>
        <w:bidi/>
        <w:spacing w:after="0" w:line="360" w:lineRule="auto"/>
        <w:ind w:left="386"/>
        <w:jc w:val="both"/>
        <w:rPr>
          <w:rFonts w:ascii="Simplified Arabic" w:hAnsi="Simplified Arabic" w:cs="Simplified Arabic"/>
          <w:sz w:val="28"/>
          <w:szCs w:val="28"/>
          <w:rtl/>
        </w:rPr>
      </w:pPr>
      <w:r>
        <w:rPr>
          <w:rFonts w:ascii="Traditional Arabic" w:hAnsi="Traditional Arabic" w:cs="Traditional Arabic"/>
          <w:sz w:val="28"/>
          <w:szCs w:val="28"/>
          <w:rtl/>
        </w:rPr>
        <w:t>الكشف عن الفروق في مستوى التوافق مع رؤية 2030 تبعاً لنوع المؤسسة المالية.</w:t>
      </w:r>
    </w:p>
    <w:p w14:paraId="3704DD29" w14:textId="77777777" w:rsidR="00B35152" w:rsidRPr="004F6AF4" w:rsidRDefault="00B35152" w:rsidP="00E000FF">
      <w:pPr>
        <w:bidi/>
        <w:spacing w:after="0" w:line="360" w:lineRule="auto"/>
        <w:jc w:val="both"/>
        <w:rPr>
          <w:rFonts w:ascii="Simplified Arabic" w:hAnsi="Simplified Arabic" w:cs="Simplified Arabic"/>
          <w:sz w:val="28"/>
          <w:szCs w:val="28"/>
        </w:rPr>
      </w:pPr>
    </w:p>
    <w:p w14:paraId="50A53214" w14:textId="77777777" w:rsidR="00E4583A" w:rsidRDefault="00000000">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3.2.2 فرضيات الدراسة</w:t>
      </w:r>
    </w:p>
    <w:p w14:paraId="6C7F0E57" w14:textId="77777777" w:rsidR="00E4583A" w:rsidRDefault="00000000">
      <w:pPr>
        <w:bidi/>
        <w:spacing w:after="0" w:line="360" w:lineRule="auto"/>
        <w:jc w:val="both"/>
        <w:rPr>
          <w:rFonts w:ascii="Traditional Arabic" w:hAnsi="Traditional Arabic" w:cs="Traditional Arabic"/>
          <w:sz w:val="28"/>
          <w:szCs w:val="28"/>
          <w:rtl/>
        </w:rPr>
      </w:pPr>
      <w:r>
        <w:rPr>
          <w:rFonts w:ascii="Traditional Arabic" w:hAnsi="Traditional Arabic" w:cs="Traditional Arabic"/>
          <w:sz w:val="28"/>
          <w:szCs w:val="28"/>
          <w:rtl/>
        </w:rPr>
        <w:t xml:space="preserve">اشتُقَّت فرضيات الدراسة من مشكلة الدراسة وأسئلتها والإطار النظري المستمد من نظرية التقنية والتنظيم والبيئة. وتنقسم الفرضيات إلى مجموعتين: فرضيتان رئيستان (H1، H2) يتفرع عن كل منهما فرعان بعدد متغيري الدراسة المستقلين، </w:t>
      </w:r>
      <w:r>
        <w:rPr>
          <w:rFonts w:ascii="Traditional Arabic" w:hAnsi="Traditional Arabic" w:cs="Traditional Arabic"/>
          <w:sz w:val="28"/>
          <w:szCs w:val="28"/>
          <w:rtl/>
        </w:rPr>
        <w:lastRenderedPageBreak/>
        <w:t>وتُختبَران بمعامل ارتباط سبيرمان ونموذج الانحدار المنقّح؛ وخمس فرضيات فروق (H3 إلى H7) دون فروع، تُختبَر باختبار كروسكال-واليس اللامعلمي على كل من المتغيرات التابعة الثلاثة، على النحو الآتي:</w:t>
      </w:r>
    </w:p>
    <w:p w14:paraId="61562114" w14:textId="77777777" w:rsidR="00E4583A" w:rsidRDefault="00E4583A">
      <w:pPr>
        <w:bidi/>
        <w:spacing w:after="0" w:line="360" w:lineRule="auto"/>
        <w:jc w:val="both"/>
        <w:rPr>
          <w:rFonts w:ascii="Simplified Arabic" w:hAnsi="Simplified Arabic" w:cs="Simplified Arabic"/>
          <w:sz w:val="28"/>
          <w:szCs w:val="28"/>
        </w:rPr>
      </w:pPr>
    </w:p>
    <w:p w14:paraId="403FF7AC" w14:textId="77777777" w:rsidR="00E4583A" w:rsidRDefault="00000000">
      <w:pPr>
        <w:bidi/>
        <w:spacing w:after="0" w:line="360" w:lineRule="auto"/>
        <w:jc w:val="both"/>
        <w:rPr>
          <w:rFonts w:ascii="Traditional Arabic" w:hAnsi="Traditional Arabic" w:cs="Traditional Arabic"/>
          <w:sz w:val="28"/>
          <w:szCs w:val="28"/>
          <w:rtl/>
        </w:rPr>
      </w:pPr>
      <w:r>
        <w:rPr>
          <w:rFonts w:ascii="Traditional Arabic" w:hAnsi="Traditional Arabic" w:cs="Traditional Arabic"/>
          <w:sz w:val="28"/>
          <w:szCs w:val="28"/>
          <w:rtl/>
        </w:rPr>
        <w:t>H1: يوجد أثر ذو دلالة إحصائية لتطبيق تقنية الترميز والامتثال للمعايير الدولية على الأمن السيبراني المؤسسي في المؤسسات المالية السعودية.</w:t>
      </w:r>
    </w:p>
    <w:p w14:paraId="710D618A" w14:textId="77777777" w:rsidR="00E4583A" w:rsidRDefault="00000000">
      <w:pPr>
        <w:pStyle w:val="21"/>
        <w:numPr>
          <w:ilvl w:val="0"/>
          <w:numId w:val="4"/>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H1a: يوجد أثر ذو دلالة إحصائية لتطبيق تقنية الترميز الأمني للبيانات على الأمن السيبراني المؤسسي في المؤسسات المالية السعودية.</w:t>
      </w:r>
    </w:p>
    <w:p w14:paraId="2963E618" w14:textId="77777777" w:rsidR="00E4583A" w:rsidRDefault="00000000">
      <w:pPr>
        <w:pStyle w:val="21"/>
        <w:numPr>
          <w:ilvl w:val="0"/>
          <w:numId w:val="4"/>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H1b: يوجد أثر ذو دلالة إحصائية لمستوى الامتثال للمعايير الدولية على الأمن السيبراني المؤسسي في المؤسسات المالية السعودية.</w:t>
      </w:r>
    </w:p>
    <w:p w14:paraId="787EDD0A" w14:textId="77777777" w:rsidR="00E4583A" w:rsidRDefault="00000000">
      <w:pPr>
        <w:bidi/>
        <w:spacing w:after="0" w:line="360" w:lineRule="auto"/>
        <w:jc w:val="both"/>
        <w:rPr>
          <w:rFonts w:ascii="Traditional Arabic" w:hAnsi="Traditional Arabic" w:cs="Traditional Arabic"/>
          <w:sz w:val="28"/>
          <w:szCs w:val="28"/>
          <w:rtl/>
        </w:rPr>
      </w:pPr>
      <w:r>
        <w:rPr>
          <w:rFonts w:ascii="Traditional Arabic" w:hAnsi="Traditional Arabic" w:cs="Traditional Arabic"/>
          <w:sz w:val="28"/>
          <w:szCs w:val="28"/>
          <w:rtl/>
        </w:rPr>
        <w:t>H2: يوجد أثر ذو دلالة إحصائية لتطبيق تقنية الترميز والامتثال للمعايير الدولية على كفاءة العمليات المالية في المؤسسات المالية السعودية.</w:t>
      </w:r>
    </w:p>
    <w:p w14:paraId="35F2BCEC" w14:textId="77777777" w:rsidR="00E4583A" w:rsidRDefault="00000000">
      <w:pPr>
        <w:pStyle w:val="21"/>
        <w:numPr>
          <w:ilvl w:val="0"/>
          <w:numId w:val="4"/>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H2a: يوجد أثر ذو دلالة إحصائية لتطبيق تقنية الترميز الأمني للبيانات على كفاءة العمليات المالية في المؤسسات المالية السعودية.</w:t>
      </w:r>
    </w:p>
    <w:p w14:paraId="3C467FFA" w14:textId="77777777" w:rsidR="00E4583A" w:rsidRDefault="00000000">
      <w:pPr>
        <w:pStyle w:val="21"/>
        <w:numPr>
          <w:ilvl w:val="0"/>
          <w:numId w:val="4"/>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H2b: يوجد أثر ذو دلالة إحصائية لمستوى الامتثال للمعايير الدولية على كفاءة العمليات المالية في المؤسسات المالية السعودية.</w:t>
      </w:r>
    </w:p>
    <w:p w14:paraId="77A87647" w14:textId="77777777" w:rsidR="00E4583A" w:rsidRDefault="00000000">
      <w:pPr>
        <w:bidi/>
        <w:spacing w:after="0" w:line="360" w:lineRule="auto"/>
        <w:jc w:val="both"/>
        <w:rPr>
          <w:rFonts w:ascii="Traditional Arabic" w:hAnsi="Traditional Arabic" w:cs="Traditional Arabic"/>
          <w:sz w:val="28"/>
          <w:szCs w:val="28"/>
          <w:rtl/>
        </w:rPr>
      </w:pPr>
      <w:r>
        <w:rPr>
          <w:rFonts w:ascii="Traditional Arabic" w:hAnsi="Traditional Arabic" w:cs="Traditional Arabic"/>
          <w:sz w:val="28"/>
          <w:szCs w:val="28"/>
          <w:rtl/>
        </w:rPr>
        <w:t>H3: توجد فروق ذات دلالة إحصائية بين متوسطات استجابات أفراد عينة الدراسة حول (كفاءة العمليات المالية / الأمن السيبراني المؤسسي / تطبيق تقنية الترميز الأمني للبيانات) تُعزى إلى نوع المؤسسة المالية (بنك تجاري تقليدي / بنك رقمي / شركة تقنية مالية).</w:t>
      </w:r>
    </w:p>
    <w:p w14:paraId="14CE878B" w14:textId="77777777" w:rsidR="00E4583A" w:rsidRDefault="00000000">
      <w:pPr>
        <w:bidi/>
        <w:spacing w:after="0" w:line="360" w:lineRule="auto"/>
        <w:jc w:val="both"/>
        <w:rPr>
          <w:rFonts w:ascii="Traditional Arabic" w:hAnsi="Traditional Arabic" w:cs="Traditional Arabic"/>
          <w:sz w:val="28"/>
          <w:szCs w:val="28"/>
          <w:rtl/>
        </w:rPr>
      </w:pPr>
      <w:r>
        <w:rPr>
          <w:rFonts w:ascii="Traditional Arabic" w:hAnsi="Traditional Arabic" w:cs="Traditional Arabic"/>
          <w:sz w:val="28"/>
          <w:szCs w:val="28"/>
          <w:rtl/>
        </w:rPr>
        <w:t>H4: توجد فروق ذات دلالة إحصائية بين متوسطات استجابات أفراد عينة الدراسة حول (كفاءة العمليات المالية / الأمن السيبراني المؤسسي / تطبيق تقنية الترميز الأمني للبيانات) تُعزى إلى سنوات الخبرة في المجال.</w:t>
      </w:r>
    </w:p>
    <w:p w14:paraId="52329BD0" w14:textId="77777777" w:rsidR="00E4583A" w:rsidRDefault="00000000">
      <w:pPr>
        <w:bidi/>
        <w:spacing w:after="0" w:line="360" w:lineRule="auto"/>
        <w:jc w:val="both"/>
        <w:rPr>
          <w:rFonts w:ascii="Traditional Arabic" w:hAnsi="Traditional Arabic" w:cs="Traditional Arabic"/>
          <w:sz w:val="28"/>
          <w:szCs w:val="28"/>
          <w:rtl/>
        </w:rPr>
      </w:pPr>
      <w:r>
        <w:rPr>
          <w:rFonts w:ascii="Traditional Arabic" w:hAnsi="Traditional Arabic" w:cs="Traditional Arabic"/>
          <w:sz w:val="28"/>
          <w:szCs w:val="28"/>
          <w:rtl/>
        </w:rPr>
        <w:t>H5: توجد فروق ذات دلالة إحصائية بين متوسطات استجابات أفراد عينة الدراسة حول (كفاءة العمليات المالية / الأمن السيبراني المؤسسي / تطبيق تقنية الترميز الأمني للبيانات) تُعزى إلى المستوى الوظيفي.</w:t>
      </w:r>
    </w:p>
    <w:p w14:paraId="7A905CDD" w14:textId="77777777" w:rsidR="00E4583A" w:rsidRDefault="00000000">
      <w:pPr>
        <w:bidi/>
        <w:spacing w:after="0" w:line="360" w:lineRule="auto"/>
        <w:jc w:val="both"/>
        <w:rPr>
          <w:rFonts w:ascii="Traditional Arabic" w:hAnsi="Traditional Arabic" w:cs="Traditional Arabic"/>
          <w:sz w:val="28"/>
          <w:szCs w:val="28"/>
          <w:rtl/>
        </w:rPr>
      </w:pPr>
      <w:r>
        <w:rPr>
          <w:rFonts w:ascii="Traditional Arabic" w:hAnsi="Traditional Arabic" w:cs="Traditional Arabic"/>
          <w:sz w:val="28"/>
          <w:szCs w:val="28"/>
          <w:rtl/>
        </w:rPr>
        <w:lastRenderedPageBreak/>
        <w:t>H6: توجد فروق ذات دلالة إحصائية بين متوسطات استجابات أفراد عينة الدراسة حول (كفاءة العمليات المالية / الأمن السيبراني المؤسسي / تطبيق تقنية الترميز الأمني للبيانات) تُعزى إلى المؤهل العلمي.</w:t>
      </w:r>
    </w:p>
    <w:p w14:paraId="0F47967B" w14:textId="77777777" w:rsidR="00E4583A" w:rsidRDefault="00000000">
      <w:pPr>
        <w:bidi/>
        <w:spacing w:after="0" w:line="360" w:lineRule="auto"/>
        <w:jc w:val="both"/>
        <w:rPr>
          <w:rFonts w:ascii="Traditional Arabic" w:hAnsi="Traditional Arabic" w:cs="Traditional Arabic"/>
          <w:sz w:val="28"/>
          <w:szCs w:val="28"/>
          <w:rtl/>
        </w:rPr>
      </w:pPr>
      <w:r>
        <w:rPr>
          <w:rFonts w:ascii="Traditional Arabic" w:hAnsi="Traditional Arabic" w:cs="Traditional Arabic"/>
          <w:sz w:val="28"/>
          <w:szCs w:val="28"/>
          <w:rtl/>
        </w:rPr>
        <w:t>H7: توجد فروق ذات دلالة إحصائية بين متوسطات استجابات أفراد عينة الدراسة حول (كفاءة العمليات المالية / الأمن السيبراني المؤسسي / تطبيق تقنية الترميز الأمني للبيانات) تُعزى إلى مجال التخصص.</w:t>
      </w:r>
    </w:p>
    <w:p w14:paraId="48649A77" w14:textId="77777777" w:rsidR="00E4583A" w:rsidRDefault="00000000">
      <w:pPr>
        <w:bidi/>
        <w:spacing w:after="0" w:line="360" w:lineRule="auto"/>
        <w:jc w:val="both"/>
        <w:rPr>
          <w:rFonts w:ascii="Traditional Arabic" w:hAnsi="Traditional Arabic" w:cs="Traditional Arabic"/>
          <w:sz w:val="28"/>
          <w:szCs w:val="28"/>
          <w:rtl/>
        </w:rPr>
      </w:pPr>
      <w:r>
        <w:rPr>
          <w:rFonts w:ascii="Traditional Arabic" w:hAnsi="Traditional Arabic" w:cs="Traditional Arabic"/>
          <w:sz w:val="28"/>
          <w:szCs w:val="28"/>
          <w:rtl/>
        </w:rPr>
        <w:t>وتُمثّل هذه الفروض الأحد عشر (H1 وفرعاه H1a وH1b؛ وH2 وفرعاه H2a وH2b؛ وH3، وH4، وH5، وH6، وH7 دون فروع) النسخة المعتمدة الوحيدة للدراسة، ويلتزم نصها وترقيمها بالتطابق التام في الفصل الأول والفصل الثالث والفصل الرابع. ويُطبَّق اختبار كروسكال-واليس على كل فرض من فروض H3 إلى H7 ثلاث مرات منفصلة (على كفاءة العمليات المالية، وعلى الأمن السيبراني المؤسسي، وعلى تطبيق تقنية الترميز الأمني للبيانات على التوالي)، وتُعرَض النتائج الثلاث في جدول واحد تحت الفرض نفسه دون ترقيمها فروعاً منفصلة. وعند ظهور فروق دالة إحصائياً في أي من هذه الاختبارات، تُجرى اختبارات المقارنات البعدية اللامعلمية (Dunn's Post-Hoc Test) بتصحيح بونفيروني (Bonferroni) لتحديد لصالح أي فئة تُعزى الفروق. ولم تتضمن الدراسة أي متغير وسيط أو معدِّل، ومن ثمّ لم تُجرَ أي اختبارات وساطة أو تعديل.</w:t>
      </w:r>
    </w:p>
    <w:p w14:paraId="5686A065" w14:textId="77777777" w:rsidR="00E4583A" w:rsidRDefault="00E4583A">
      <w:pPr>
        <w:bidi/>
        <w:spacing w:after="0" w:line="360" w:lineRule="auto"/>
        <w:jc w:val="both"/>
        <w:rPr>
          <w:rFonts w:ascii="Simplified Arabic" w:hAnsi="Simplified Arabic" w:cs="Simplified Arabic"/>
          <w:sz w:val="28"/>
          <w:szCs w:val="28"/>
        </w:rPr>
      </w:pPr>
    </w:p>
    <w:p w14:paraId="05C42261" w14:textId="77777777" w:rsidR="00B35152" w:rsidRPr="004F6AF4" w:rsidRDefault="00B35152" w:rsidP="00E000FF">
      <w:pPr>
        <w:pStyle w:val="HeadingTOCEntry"/>
        <w:bidi/>
        <w:spacing w:after="0" w:line="360" w:lineRule="auto"/>
        <w:rPr>
          <w:rFonts w:ascii="Simplified Arabic" w:hAnsi="Simplified Arabic" w:cs="Simplified Arabic"/>
          <w:b/>
          <w:bCs/>
          <w:sz w:val="28"/>
          <w:szCs w:val="28"/>
          <w:u w:val="single"/>
        </w:rPr>
      </w:pPr>
      <w:bookmarkStart w:id="37" w:name="_Toc234424158"/>
      <w:r>
        <w:rPr>
          <w:rFonts w:ascii="Traditional Arabic" w:hAnsi="Traditional Arabic" w:cs="Traditional Arabic"/>
          <w:b/>
          <w:bCs/>
          <w:sz w:val="28"/>
          <w:szCs w:val="28"/>
          <w:u w:val="single"/>
          <w:rtl/>
        </w:rPr>
        <w:t>3.3 منهج الدراسة</w:t>
      </w:r>
      <w:bookmarkEnd w:id="37"/>
    </w:p>
    <w:p w14:paraId="506794FD" w14:textId="77777777" w:rsidR="00B35152" w:rsidRPr="004F6AF4"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اعتمدت هذه الدراسة على المنهج الكمي الوصفي التحليلي، إذ يُتيح وصف ظاهرة تطبيق تقنية الترميز في المؤسسات المالية السعودية وتحليلها كمياً، واختبار فرضياتها بأساليب إحصائية دقيقة.</w:t>
      </w:r>
    </w:p>
    <w:p w14:paraId="30CB9F21" w14:textId="77777777" w:rsidR="00B35152" w:rsidRPr="004F6AF4" w:rsidRDefault="00B35152" w:rsidP="00E000FF">
      <w:pPr>
        <w:bidi/>
        <w:spacing w:after="0" w:line="360" w:lineRule="auto"/>
        <w:jc w:val="both"/>
        <w:rPr>
          <w:rFonts w:ascii="Simplified Arabic" w:hAnsi="Simplified Arabic" w:cs="Simplified Arabic"/>
          <w:sz w:val="28"/>
          <w:szCs w:val="28"/>
          <w:rtl/>
        </w:rPr>
      </w:pPr>
      <w:r>
        <w:rPr>
          <w:rFonts w:ascii="Traditional Arabic" w:hAnsi="Traditional Arabic" w:cs="Traditional Arabic"/>
          <w:sz w:val="28"/>
          <w:szCs w:val="28"/>
          <w:rtl/>
        </w:rPr>
        <w:t>استُخدم المنهج الوصفي التحليلي لوصف ظاهرة تطبيق تقنية الترميز في المؤسسات المالية السعودية وتشخيصها، في حين وُظِّف المنهج التحليلي لاختبار الفرضيات وقياس العلاقات بين المتغيرات باستخدام الأساليب الإحصائية المناسبة.</w:t>
      </w:r>
    </w:p>
    <w:p w14:paraId="0EA47A13" w14:textId="77777777" w:rsidR="00B35152" w:rsidRPr="004F6AF4" w:rsidRDefault="00B35152" w:rsidP="00E000FF">
      <w:pPr>
        <w:bidi/>
        <w:spacing w:after="0" w:line="360" w:lineRule="auto"/>
        <w:jc w:val="both"/>
        <w:rPr>
          <w:rFonts w:ascii="Simplified Arabic" w:hAnsi="Simplified Arabic" w:cs="Simplified Arabic"/>
          <w:sz w:val="28"/>
          <w:szCs w:val="28"/>
        </w:rPr>
      </w:pPr>
    </w:p>
    <w:p w14:paraId="56EBF082" w14:textId="77777777" w:rsidR="00B35152" w:rsidRPr="004F6AF4" w:rsidRDefault="00B35152"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3.3.1 مصادر البيانات</w:t>
      </w:r>
    </w:p>
    <w:p w14:paraId="3476A19D" w14:textId="77777777" w:rsidR="00B35152" w:rsidRPr="004F6AF4" w:rsidRDefault="00B35152"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أولاً: المصادر الثانوية</w:t>
      </w:r>
    </w:p>
    <w:p w14:paraId="4622DD93" w14:textId="77777777" w:rsidR="00B35152" w:rsidRPr="004F6AF4" w:rsidRDefault="00B35152" w:rsidP="00E000FF">
      <w:pPr>
        <w:bidi/>
        <w:spacing w:after="0" w:line="360" w:lineRule="auto"/>
        <w:jc w:val="both"/>
        <w:rPr>
          <w:rFonts w:ascii="Simplified Arabic" w:hAnsi="Simplified Arabic" w:cs="Simplified Arabic"/>
          <w:sz w:val="28"/>
          <w:szCs w:val="28"/>
          <w:rtl/>
        </w:rPr>
      </w:pPr>
      <w:r>
        <w:rPr>
          <w:rFonts w:ascii="Traditional Arabic" w:hAnsi="Traditional Arabic" w:cs="Traditional Arabic"/>
          <w:sz w:val="28"/>
          <w:szCs w:val="28"/>
          <w:rtl/>
        </w:rPr>
        <w:lastRenderedPageBreak/>
        <w:t>تمثلت في الإطار النظري للدراسة، حيث اعتمد الباحث على مراجعة وتحليل المراجع العلمية العربية والأجنبية، والدوريات المحكّمة، والتقارير الصادرة عن الجهات التنظيمية كالبنك المركزي السعودي (ساما) والهيئة الوطنية للأمن السيبراني، والمعايير الدولية ذات الصلة كـ PCI DSS وNIST وISO.</w:t>
      </w:r>
    </w:p>
    <w:p w14:paraId="429B2C90" w14:textId="77777777" w:rsidR="00B35152" w:rsidRPr="004F6AF4"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أسهمت هذه المصادر في بناء الأساس النظري للدراسة وصياغة فرضياتها.</w:t>
      </w:r>
    </w:p>
    <w:p w14:paraId="56097A2F" w14:textId="77777777" w:rsidR="00B35152" w:rsidRPr="004F6AF4" w:rsidRDefault="00B35152" w:rsidP="00E000FF">
      <w:pPr>
        <w:bidi/>
        <w:spacing w:after="0" w:line="360" w:lineRule="auto"/>
        <w:jc w:val="both"/>
        <w:rPr>
          <w:rFonts w:ascii="Simplified Arabic" w:hAnsi="Simplified Arabic" w:cs="Simplified Arabic"/>
          <w:sz w:val="28"/>
          <w:szCs w:val="28"/>
          <w:rtl/>
        </w:rPr>
      </w:pPr>
    </w:p>
    <w:p w14:paraId="44A1502A" w14:textId="77777777" w:rsidR="00B35152" w:rsidRPr="004F6AF4" w:rsidRDefault="00B35152"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ثانياً: المصادر الأولية</w:t>
      </w:r>
    </w:p>
    <w:p w14:paraId="7B8D3518" w14:textId="77777777" w:rsidR="00B35152" w:rsidRPr="004F6AF4"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تمثلت في البيانات الميدانية التي جُمعت من مجتمع الدراسة عبر الاستبانة الإلكترونية بوصفها الأداة الرئيسية لجمع البيانات الكمية في هذه الدراسة.</w:t>
      </w:r>
    </w:p>
    <w:p w14:paraId="733AD1C0" w14:textId="77777777" w:rsidR="00B35152" w:rsidRPr="004F6AF4" w:rsidRDefault="00B35152" w:rsidP="00E000FF">
      <w:pPr>
        <w:bidi/>
        <w:spacing w:after="0" w:line="360" w:lineRule="auto"/>
        <w:jc w:val="both"/>
        <w:rPr>
          <w:rFonts w:ascii="Simplified Arabic" w:hAnsi="Simplified Arabic" w:cs="Simplified Arabic"/>
          <w:sz w:val="28"/>
          <w:szCs w:val="28"/>
        </w:rPr>
      </w:pPr>
    </w:p>
    <w:p w14:paraId="328DB2A7" w14:textId="77777777" w:rsidR="00B35152" w:rsidRPr="004F6AF4" w:rsidRDefault="00B35152" w:rsidP="00E000FF">
      <w:pPr>
        <w:pStyle w:val="HeadingTOCEntry"/>
        <w:bidi/>
        <w:spacing w:after="0" w:line="360" w:lineRule="auto"/>
        <w:rPr>
          <w:rFonts w:ascii="Simplified Arabic" w:hAnsi="Simplified Arabic" w:cs="Simplified Arabic"/>
          <w:b/>
          <w:bCs/>
          <w:sz w:val="28"/>
          <w:szCs w:val="28"/>
          <w:u w:val="single"/>
        </w:rPr>
      </w:pPr>
      <w:bookmarkStart w:id="38" w:name="_Toc234424159"/>
      <w:r>
        <w:rPr>
          <w:rFonts w:ascii="Traditional Arabic" w:hAnsi="Traditional Arabic" w:cs="Traditional Arabic"/>
          <w:b/>
          <w:bCs/>
          <w:sz w:val="28"/>
          <w:szCs w:val="28"/>
          <w:u w:val="single"/>
          <w:rtl/>
        </w:rPr>
        <w:t>3.4 مجتمع الدراسة وعينتها</w:t>
      </w:r>
      <w:bookmarkEnd w:id="38"/>
    </w:p>
    <w:p w14:paraId="010B8CE9" w14:textId="77777777" w:rsidR="00B35152" w:rsidRPr="004F6AF4" w:rsidRDefault="00B35152"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3.4.1 مجتمع الدراسة</w:t>
      </w:r>
    </w:p>
    <w:p w14:paraId="33296AC3" w14:textId="77777777" w:rsidR="00B35152" w:rsidRPr="004F6AF4"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يتكون مجتمع الدراسة من جميع المؤسسات المالية العاملة في المملكة العربية السعودية والخاضعة لإشراف البنك المركزي السعودي (ساما)، ويشمل ذلك:</w:t>
      </w:r>
    </w:p>
    <w:p w14:paraId="56F18372" w14:textId="77777777" w:rsidR="00B35152" w:rsidRPr="004F6AF4"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البنوك التجارية التقليدية: 14 بنكاً مرخصاً.</w:t>
      </w:r>
    </w:p>
    <w:p w14:paraId="0A4C9222" w14:textId="77777777" w:rsidR="00B35152" w:rsidRPr="004F6AF4"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 xml:space="preserve">البنوك الرقمية: </w:t>
      </w:r>
      <w:r>
        <w:rPr>
          <w:rFonts w:ascii="Traditional Arabic" w:hAnsi="Traditional Arabic" w:cs="Traditional Arabic" w:hint="cs"/>
          <w:sz w:val="28"/>
          <w:szCs w:val="28"/>
          <w:rtl/>
        </w:rPr>
        <w:t>2</w:t>
      </w:r>
      <w:r>
        <w:rPr>
          <w:rFonts w:ascii="Traditional Arabic" w:hAnsi="Traditional Arabic" w:cs="Traditional Arabic"/>
          <w:sz w:val="28"/>
          <w:szCs w:val="28"/>
          <w:rtl/>
        </w:rPr>
        <w:t xml:space="preserve"> بنوك رقمية مرخصة وفق قائمة المرخصين الصادرة عن البنك المركزي السعودي (ساما، 2024)، وهي: بنك STC Pay، وبنك D360.</w:t>
      </w:r>
    </w:p>
    <w:p w14:paraId="368ED8C0" w14:textId="77777777" w:rsidR="00B35152" w:rsidRPr="004F6AF4"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شركات التقنية المالية (Fintech)</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224 شركة مرخصة أو حاصلة على موافقة تنظيمية.</w:t>
      </w:r>
    </w:p>
    <w:p w14:paraId="211E12A5" w14:textId="77777777" w:rsidR="00B35152" w:rsidRPr="004F6AF4"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وبذلك يبلغ إجمالي مجتمع الدراسة 23</w:t>
      </w:r>
      <w:r>
        <w:rPr>
          <w:rFonts w:ascii="Traditional Arabic" w:hAnsi="Traditional Arabic" w:cs="Traditional Arabic" w:hint="cs"/>
          <w:sz w:val="28"/>
          <w:szCs w:val="28"/>
          <w:rtl/>
        </w:rPr>
        <w:t>7</w:t>
      </w:r>
      <w:r>
        <w:rPr>
          <w:rFonts w:ascii="Traditional Arabic" w:hAnsi="Traditional Arabic" w:cs="Traditional Arabic"/>
          <w:sz w:val="28"/>
          <w:szCs w:val="28"/>
          <w:rtl/>
        </w:rPr>
        <w:t xml:space="preserve"> مؤسسة مالية تعمل في البيئة المالية الرقمية السعودية.</w:t>
      </w:r>
    </w:p>
    <w:p w14:paraId="19BE1611" w14:textId="77777777" w:rsidR="00B35152" w:rsidRPr="004F6AF4" w:rsidRDefault="00B35152"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3.4.2 عينة الدراسة</w:t>
      </w:r>
    </w:p>
    <w:p w14:paraId="2C6140A6" w14:textId="77777777" w:rsidR="00B35152" w:rsidRPr="004F6AF4"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نظراً لطبيعة الدراسة التي تستهدف تقييم أثر تقنية متخصصة في سياق تنظيمي محدد، اعتمد الباحث على أسلوب العينة القصدية (Purposive Sampling). تُعدّ هذه الطريقة الأنسب لأن اختيار المؤسسات يستند إلى معايير محددة مسبقاً تضمن أن تكون العينة ممثِّلة للسياق الرقمي المالي المستهدف.</w:t>
      </w:r>
    </w:p>
    <w:p w14:paraId="29F9FC2B" w14:textId="77777777" w:rsidR="00B35152" w:rsidRPr="004F6AF4" w:rsidRDefault="00B35152"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lastRenderedPageBreak/>
        <w:t>معايير اختيار العينة:</w:t>
      </w:r>
    </w:p>
    <w:p w14:paraId="764BCB9E" w14:textId="77777777" w:rsidR="00B35152" w:rsidRPr="004F6AF4"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أن تكون المؤسسة مُرخَّصة من قِبَل البنك المركزي السعودي (ساما).</w:t>
      </w:r>
    </w:p>
    <w:p w14:paraId="54CF6FF9" w14:textId="77777777" w:rsidR="00B35152" w:rsidRPr="004F6AF4"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أن تكون تقنية الترميز مطبَّقة أو في مرحلة دراسة التطبيق.</w:t>
      </w:r>
    </w:p>
    <w:p w14:paraId="35077BCC" w14:textId="77777777" w:rsidR="00B35152" w:rsidRPr="004F6AF4"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تنوع حجم المؤسسة (كبيرة، متوسطة، صغيرة).</w:t>
      </w:r>
    </w:p>
    <w:p w14:paraId="7B2520DD" w14:textId="77777777" w:rsidR="00B35152" w:rsidRPr="004F6AF4"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تنوع نوع المؤسسة (بنوك تقليدية، بنوك رقمية، شركات Fintech).</w:t>
      </w:r>
    </w:p>
    <w:p w14:paraId="5A6AC3BB" w14:textId="77777777" w:rsidR="00B35152" w:rsidRPr="004F6AF4"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وبناءً على هذه المعايير، وُزِّعت الاستبانة الإلكترونية على العاملين في وظائف تقنية المعلومات والأمن السيبراني والعمليات المالية والامتثال داخل المؤسسات المالية المستوفية لمعايير الاختيار، وبلغ عدد الاستجابات الصالحة للتحليل (196) استجابة، وهي العينة الفعلية المعتمدة في الفصل الرابع.</w:t>
      </w:r>
    </w:p>
    <w:p w14:paraId="4CE3CA1B" w14:textId="77777777" w:rsidR="00B35152" w:rsidRPr="004F6AF4" w:rsidRDefault="00B35152" w:rsidP="00E000FF">
      <w:pPr>
        <w:bidi/>
        <w:spacing w:after="0" w:line="360" w:lineRule="auto"/>
        <w:jc w:val="both"/>
        <w:rPr>
          <w:rFonts w:ascii="Simplified Arabic" w:hAnsi="Simplified Arabic" w:cs="Simplified Arabic"/>
          <w:sz w:val="28"/>
          <w:szCs w:val="28"/>
        </w:rPr>
      </w:pPr>
    </w:p>
    <w:p w14:paraId="59CD3A3C" w14:textId="77777777" w:rsidR="00B35152" w:rsidRPr="004F6AF4" w:rsidRDefault="00B35152"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3.4.3 حجم العينة وتوزيعها</w:t>
      </w:r>
    </w:p>
    <w:p w14:paraId="313FF421" w14:textId="77777777" w:rsidR="00E62032" w:rsidRPr="004F6AF4" w:rsidRDefault="00E62032" w:rsidP="00E000FF">
      <w:pPr>
        <w:pStyle w:val="21"/>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اعتمدت الدراسة وحدة معاينة فردية تتمثل في الموظف العامل في وظائف تقنية المعلومات والأمن السيبراني والعمليات المالية والامتثال داخل المؤسسات المالية السعودية المستوفية لمعايير الاختيار. وقد بلغ عدد الاستجابات الصالحة للتحليل الإحصائي (196) استجابة، وهي العينة الفعلية التي أُجري عليها التحليل الوارد في الفصل الرابع.</w:t>
      </w:r>
    </w:p>
    <w:p w14:paraId="7D8551C7" w14:textId="77777777" w:rsidR="00E62032" w:rsidRDefault="00E62032" w:rsidP="00E000FF">
      <w:pPr>
        <w:pStyle w:val="21"/>
        <w:bidi/>
        <w:spacing w:before="0" w:line="360" w:lineRule="auto"/>
        <w:jc w:val="both"/>
        <w:rPr>
          <w:rFonts w:ascii="Traditional Arabic" w:hAnsi="Traditional Arabic" w:cs="Traditional Arabic"/>
          <w:b/>
          <w:bCs/>
          <w:color w:val="auto"/>
          <w:sz w:val="28"/>
          <w:szCs w:val="28"/>
          <w:rtl/>
        </w:rPr>
      </w:pPr>
      <w:r>
        <w:rPr>
          <w:rFonts w:ascii="Traditional Arabic" w:hAnsi="Traditional Arabic" w:cs="Traditional Arabic"/>
          <w:b/>
          <w:bCs/>
          <w:color w:val="auto"/>
          <w:sz w:val="28"/>
          <w:szCs w:val="28"/>
          <w:rtl/>
        </w:rPr>
        <w:t>ويُعدّ هذا الحجم كافياً من الناحية الإحصائية، إذ يتجاوز القاعدة المتعارف عليها التي تشترط ما لا يقل عن عشر استجابات لكل متغير متنبئ في نماذج الانحدار، كما يتجاوز الحد الأدنى اللازم لتطبيق الاختبارات اللامعلمية المستخدمة في الدراسة. ويوضح الجدول الآتي التوزيع الفعلي للعينة وفق نوع المؤسسة.</w:t>
      </w:r>
    </w:p>
    <w:p w14:paraId="7E9F3D8B" w14:textId="77777777" w:rsidR="004F6AF4" w:rsidRDefault="004F6AF4" w:rsidP="004F6AF4">
      <w:pPr>
        <w:bidi/>
        <w:rPr>
          <w:rtl/>
        </w:rPr>
      </w:pPr>
    </w:p>
    <w:p w14:paraId="3E09003F" w14:textId="77777777" w:rsidR="004F6AF4" w:rsidRPr="004F6AF4" w:rsidRDefault="004F6AF4" w:rsidP="004F6AF4">
      <w:pPr>
        <w:bidi/>
      </w:pPr>
    </w:p>
    <w:tbl>
      <w:tblPr>
        <w:bidiVisual/>
        <w:tblW w:w="8300" w:type="dxa"/>
        <w:tblBorders>
          <w:top w:val="single" w:sz="6" w:space="0" w:color="7F9DB9"/>
          <w:left w:val="single" w:sz="6" w:space="0" w:color="7F9DB9"/>
          <w:bottom w:val="single" w:sz="6" w:space="0" w:color="7F9DB9"/>
          <w:right w:val="single" w:sz="6" w:space="0" w:color="7F9DB9"/>
          <w:insideH w:val="single" w:sz="6" w:space="0" w:color="7F9DB9"/>
          <w:insideV w:val="single" w:sz="6" w:space="0" w:color="7F9DB9"/>
        </w:tblBorders>
        <w:tblLook w:val="04A0" w:firstRow="1" w:lastRow="0" w:firstColumn="1" w:lastColumn="0" w:noHBand="0" w:noVBand="1"/>
      </w:tblPr>
      <w:tblGrid>
        <w:gridCol w:w="4316"/>
        <w:gridCol w:w="1992"/>
        <w:gridCol w:w="1992"/>
      </w:tblGrid>
      <w:tr w:rsidR="005D691F" w:rsidRPr="004F6AF4" w14:paraId="20475D96" w14:textId="77777777" w:rsidTr="004F6AF4">
        <w:tc>
          <w:tcPr>
            <w:tcW w:w="4316" w:type="dxa"/>
            <w:shd w:val="clear" w:color="auto" w:fill="DCE9F5"/>
            <w:vAlign w:val="center"/>
          </w:tcPr>
          <w:p w14:paraId="7A5B4960"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b/>
                <w:bCs/>
                <w:sz w:val="24"/>
                <w:szCs w:val="24"/>
                <w:rtl/>
              </w:rPr>
              <w:t>نوع المؤسسة</w:t>
            </w:r>
          </w:p>
        </w:tc>
        <w:tc>
          <w:tcPr>
            <w:tcW w:w="1992" w:type="dxa"/>
            <w:shd w:val="clear" w:color="auto" w:fill="DCE9F5"/>
            <w:vAlign w:val="center"/>
          </w:tcPr>
          <w:p w14:paraId="1B1AD593"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b/>
                <w:bCs/>
                <w:sz w:val="24"/>
                <w:szCs w:val="24"/>
                <w:rtl/>
              </w:rPr>
              <w:t>التكرار</w:t>
            </w:r>
          </w:p>
        </w:tc>
        <w:tc>
          <w:tcPr>
            <w:tcW w:w="1992" w:type="dxa"/>
            <w:shd w:val="clear" w:color="auto" w:fill="DCE9F5"/>
            <w:vAlign w:val="center"/>
          </w:tcPr>
          <w:p w14:paraId="6F8018E1"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b/>
                <w:bCs/>
                <w:sz w:val="24"/>
                <w:szCs w:val="24"/>
                <w:rtl/>
              </w:rPr>
              <w:t>النسبة المئوية</w:t>
            </w:r>
          </w:p>
        </w:tc>
      </w:tr>
      <w:tr w:rsidR="005D691F" w:rsidRPr="004F6AF4" w14:paraId="7600EC31" w14:textId="77777777" w:rsidTr="004F6AF4">
        <w:tc>
          <w:tcPr>
            <w:tcW w:w="4316" w:type="dxa"/>
            <w:vAlign w:val="center"/>
          </w:tcPr>
          <w:p w14:paraId="6CDE020E"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البنوك التجارية</w:t>
            </w:r>
          </w:p>
        </w:tc>
        <w:tc>
          <w:tcPr>
            <w:tcW w:w="1992" w:type="dxa"/>
            <w:vAlign w:val="center"/>
          </w:tcPr>
          <w:p w14:paraId="1C01C6A1"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87</w:t>
            </w:r>
          </w:p>
        </w:tc>
        <w:tc>
          <w:tcPr>
            <w:tcW w:w="1992" w:type="dxa"/>
            <w:vAlign w:val="center"/>
          </w:tcPr>
          <w:p w14:paraId="0B2DC590"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44.4%</w:t>
            </w:r>
          </w:p>
        </w:tc>
      </w:tr>
      <w:tr w:rsidR="005D691F" w:rsidRPr="004F6AF4" w14:paraId="5F7EE012" w14:textId="77777777" w:rsidTr="004F6AF4">
        <w:tc>
          <w:tcPr>
            <w:tcW w:w="4316" w:type="dxa"/>
            <w:vAlign w:val="center"/>
          </w:tcPr>
          <w:p w14:paraId="1C720D90"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مؤسسات مالية أخرى</w:t>
            </w:r>
          </w:p>
        </w:tc>
        <w:tc>
          <w:tcPr>
            <w:tcW w:w="1992" w:type="dxa"/>
            <w:vAlign w:val="center"/>
          </w:tcPr>
          <w:p w14:paraId="5E7F073B"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36</w:t>
            </w:r>
          </w:p>
        </w:tc>
        <w:tc>
          <w:tcPr>
            <w:tcW w:w="1992" w:type="dxa"/>
            <w:vAlign w:val="center"/>
          </w:tcPr>
          <w:p w14:paraId="4A454BEF"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18.4%</w:t>
            </w:r>
          </w:p>
        </w:tc>
      </w:tr>
      <w:tr w:rsidR="005D691F" w:rsidRPr="004F6AF4" w14:paraId="50C8C941" w14:textId="77777777" w:rsidTr="004F6AF4">
        <w:tc>
          <w:tcPr>
            <w:tcW w:w="4316" w:type="dxa"/>
            <w:vAlign w:val="center"/>
          </w:tcPr>
          <w:p w14:paraId="216700FC"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شركات الدفع الإلكتروني</w:t>
            </w:r>
          </w:p>
        </w:tc>
        <w:tc>
          <w:tcPr>
            <w:tcW w:w="1992" w:type="dxa"/>
            <w:vAlign w:val="center"/>
          </w:tcPr>
          <w:p w14:paraId="079D9359"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29</w:t>
            </w:r>
          </w:p>
        </w:tc>
        <w:tc>
          <w:tcPr>
            <w:tcW w:w="1992" w:type="dxa"/>
            <w:vAlign w:val="center"/>
          </w:tcPr>
          <w:p w14:paraId="432A81F7"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14.8%</w:t>
            </w:r>
          </w:p>
        </w:tc>
      </w:tr>
      <w:tr w:rsidR="005D691F" w:rsidRPr="004F6AF4" w14:paraId="35AA4238" w14:textId="77777777" w:rsidTr="004F6AF4">
        <w:tc>
          <w:tcPr>
            <w:tcW w:w="4316" w:type="dxa"/>
            <w:vAlign w:val="center"/>
          </w:tcPr>
          <w:p w14:paraId="41DDAB5D"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شركات التأمين</w:t>
            </w:r>
          </w:p>
        </w:tc>
        <w:tc>
          <w:tcPr>
            <w:tcW w:w="1992" w:type="dxa"/>
            <w:vAlign w:val="center"/>
          </w:tcPr>
          <w:p w14:paraId="7003E613"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26</w:t>
            </w:r>
          </w:p>
        </w:tc>
        <w:tc>
          <w:tcPr>
            <w:tcW w:w="1992" w:type="dxa"/>
            <w:vAlign w:val="center"/>
          </w:tcPr>
          <w:p w14:paraId="609E5831"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13.3%</w:t>
            </w:r>
          </w:p>
        </w:tc>
      </w:tr>
      <w:tr w:rsidR="005D691F" w:rsidRPr="004F6AF4" w14:paraId="4B953A9E" w14:textId="77777777" w:rsidTr="004F6AF4">
        <w:tc>
          <w:tcPr>
            <w:tcW w:w="4316" w:type="dxa"/>
            <w:vAlign w:val="center"/>
          </w:tcPr>
          <w:p w14:paraId="5FBB1FD4"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lastRenderedPageBreak/>
              <w:t>شركات التقنية المالية (Fintech)</w:t>
            </w:r>
          </w:p>
        </w:tc>
        <w:tc>
          <w:tcPr>
            <w:tcW w:w="1992" w:type="dxa"/>
            <w:vAlign w:val="center"/>
          </w:tcPr>
          <w:p w14:paraId="28C0FEC7"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18</w:t>
            </w:r>
          </w:p>
        </w:tc>
        <w:tc>
          <w:tcPr>
            <w:tcW w:w="1992" w:type="dxa"/>
            <w:vAlign w:val="center"/>
          </w:tcPr>
          <w:p w14:paraId="0EFAEE50"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9.2%</w:t>
            </w:r>
          </w:p>
        </w:tc>
      </w:tr>
      <w:tr w:rsidR="005D691F" w:rsidRPr="004F6AF4" w14:paraId="4E3BC241" w14:textId="77777777" w:rsidTr="004F6AF4">
        <w:tc>
          <w:tcPr>
            <w:tcW w:w="4316" w:type="dxa"/>
            <w:vAlign w:val="center"/>
          </w:tcPr>
          <w:p w14:paraId="36F6AB25"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الإجمالي</w:t>
            </w:r>
          </w:p>
        </w:tc>
        <w:tc>
          <w:tcPr>
            <w:tcW w:w="1992" w:type="dxa"/>
            <w:vAlign w:val="center"/>
          </w:tcPr>
          <w:p w14:paraId="30108BED"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196</w:t>
            </w:r>
          </w:p>
        </w:tc>
        <w:tc>
          <w:tcPr>
            <w:tcW w:w="1992" w:type="dxa"/>
            <w:vAlign w:val="center"/>
          </w:tcPr>
          <w:p w14:paraId="05D4C2A4"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100%</w:t>
            </w:r>
          </w:p>
        </w:tc>
      </w:tr>
    </w:tbl>
    <w:p w14:paraId="659805B0" w14:textId="77777777" w:rsidR="00B35152" w:rsidRDefault="00B35152" w:rsidP="004F6AF4">
      <w:pPr>
        <w:pStyle w:val="TableCaption"/>
        <w:bidi/>
        <w:spacing w:after="0" w:line="300" w:lineRule="auto"/>
        <w:jc w:val="center"/>
        <w:rPr>
          <w:rFonts w:ascii="Simplified Arabic" w:hAnsi="Simplified Arabic" w:cs="Simplified Arabic"/>
          <w:sz w:val="28"/>
          <w:szCs w:val="28"/>
          <w:rtl/>
        </w:rPr>
      </w:pPr>
      <w:r>
        <w:rPr>
          <w:rFonts w:ascii="Traditional Arabic" w:hAnsi="Traditional Arabic" w:cs="Traditional Arabic"/>
          <w:b/>
          <w:bCs/>
          <w:sz w:val="24"/>
          <w:szCs w:val="24"/>
          <w:rtl/>
        </w:rPr>
        <w:t>جدول (3.1): التوزيع الفعلي لعينة الدراسة وفق نوع المؤسسة (ن = 196)</w:t>
      </w:r>
    </w:p>
    <w:p w14:paraId="141F151F" w14:textId="77777777" w:rsidR="00E62032" w:rsidRPr="00E62032" w:rsidRDefault="00E62032" w:rsidP="00E000FF">
      <w:pPr>
        <w:pStyle w:val="21"/>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ويتضح من الجدول أن البنوك التجارية شكّلت النسبة الأكبر من العينة، وهو ما يتسق مع كونها الأوسع تطبيقاً لتقنية الترميز في القطاع المالي السعودي. ولأغراض اختبار فروض الفروق H3 إلى H7، تُصنَّف فئات المؤسسات المالية وفق أداة الدراسة إلى ثلاث فئات (بنك تجاري تقليدي / بنك رقمي / شركة تقنية مالية)، وتُعرَض نتائج هذا التصنيف وبقية المتغيرات الضابطة (سنوات الخبرة، المستوى الوظيفي، المؤهل العلمي، مجال التخصص) في الفصل الرابع.</w:t>
      </w:r>
    </w:p>
    <w:p w14:paraId="0779F41F" w14:textId="77777777" w:rsidR="00B35152" w:rsidRPr="00D329C2" w:rsidRDefault="00B35152" w:rsidP="00E000FF">
      <w:pPr>
        <w:bidi/>
        <w:spacing w:after="0" w:line="360" w:lineRule="auto"/>
        <w:jc w:val="both"/>
        <w:rPr>
          <w:rFonts w:ascii="Simplified Arabic" w:hAnsi="Simplified Arabic" w:cs="Simplified Arabic"/>
          <w:sz w:val="28"/>
          <w:szCs w:val="28"/>
        </w:rPr>
      </w:pPr>
    </w:p>
    <w:p w14:paraId="6C970307" w14:textId="77777777" w:rsidR="00B35152" w:rsidRPr="00310DA8" w:rsidRDefault="00B35152" w:rsidP="00E000FF">
      <w:pPr>
        <w:pStyle w:val="HeadingTOCEntry"/>
        <w:bidi/>
        <w:spacing w:after="0" w:line="360" w:lineRule="auto"/>
        <w:rPr>
          <w:rFonts w:ascii="Simplified Arabic" w:hAnsi="Simplified Arabic" w:cs="Simplified Arabic"/>
          <w:b/>
          <w:bCs/>
          <w:sz w:val="28"/>
          <w:szCs w:val="28"/>
          <w:u w:val="single"/>
        </w:rPr>
      </w:pPr>
      <w:bookmarkStart w:id="39" w:name="_Toc234424160"/>
      <w:r>
        <w:rPr>
          <w:rFonts w:ascii="Traditional Arabic" w:hAnsi="Traditional Arabic" w:cs="Traditional Arabic"/>
          <w:b/>
          <w:bCs/>
          <w:sz w:val="32"/>
          <w:szCs w:val="32"/>
          <w:u w:val="single"/>
          <w:rtl/>
        </w:rPr>
        <w:t>3.5 أدوات جمع البيانات</w:t>
      </w:r>
      <w:bookmarkEnd w:id="39"/>
    </w:p>
    <w:p w14:paraId="785C2577" w14:textId="77777777" w:rsidR="00B35152" w:rsidRPr="007F40DD" w:rsidRDefault="00B35152"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3.5.1 الاستبانة الإلكترونية</w:t>
      </w:r>
    </w:p>
    <w:p w14:paraId="0216453D" w14:textId="77777777" w:rsidR="00B35152" w:rsidRPr="007F40DD" w:rsidRDefault="00B35152" w:rsidP="00E000FF">
      <w:pPr>
        <w:bidi/>
        <w:spacing w:after="0" w:line="360" w:lineRule="auto"/>
        <w:jc w:val="both"/>
        <w:rPr>
          <w:rFonts w:ascii="Simplified Arabic" w:hAnsi="Simplified Arabic" w:cs="Simplified Arabic"/>
          <w:sz w:val="28"/>
          <w:szCs w:val="28"/>
          <w:rtl/>
        </w:rPr>
      </w:pPr>
      <w:r>
        <w:rPr>
          <w:rFonts w:ascii="Traditional Arabic" w:hAnsi="Traditional Arabic" w:cs="Traditional Arabic"/>
          <w:sz w:val="28"/>
          <w:szCs w:val="28"/>
          <w:rtl/>
        </w:rPr>
        <w:t>تُعدّ الاستبانة الأداة الرئيسية لجمع البيانات الكمية في هذه الدراسة. صُمِّمت وفق مراجعة شاملة للأدبيات العلمية ذات الصلة، وتتضمن مجموعتين رئيسيتين: بيانات ديموغرافية ووصفية، ومتغيرات الدراسة الرئيسية المقاسة بمقياس ليكرت الخماسي (1 = لا أوافق بشدة، 5 = أوافق بشدة). والجدول التالي يوضح أوزان الاستجابات ومستويات الموافقة المعتمدة في تفسير النتائج:</w:t>
      </w:r>
    </w:p>
    <w:tbl>
      <w:tblPr>
        <w:tblStyle w:val="a9"/>
        <w:bidiVisual/>
        <w:tblW w:w="8297" w:type="dxa"/>
        <w:tblBorders>
          <w:top w:val="single" w:sz="4" w:space="0" w:color="AAAAAA"/>
          <w:left w:val="single" w:sz="4" w:space="0" w:color="AAAAAA"/>
          <w:bottom w:val="single" w:sz="4" w:space="0" w:color="AAAAAA"/>
          <w:right w:val="single" w:sz="4" w:space="0" w:color="AAAAAA"/>
          <w:insideH w:val="single" w:sz="4" w:space="0" w:color="AAAAAA"/>
          <w:insideV w:val="single" w:sz="4" w:space="0" w:color="AAAAAA"/>
        </w:tblBorders>
        <w:tblLook w:val="0000" w:firstRow="0" w:lastRow="0" w:firstColumn="0" w:lastColumn="0" w:noHBand="0" w:noVBand="0"/>
      </w:tblPr>
      <w:tblGrid>
        <w:gridCol w:w="1655"/>
        <w:gridCol w:w="2298"/>
        <w:gridCol w:w="2172"/>
        <w:gridCol w:w="2172"/>
      </w:tblGrid>
      <w:tr w:rsidR="00B35152" w:rsidRPr="007F40DD" w14:paraId="74D45310" w14:textId="77777777" w:rsidTr="007F40DD">
        <w:tc>
          <w:tcPr>
            <w:tcW w:w="1655" w:type="dxa"/>
            <w:shd w:val="clear" w:color="auto" w:fill="1F4E79"/>
            <w:vAlign w:val="center"/>
          </w:tcPr>
          <w:p w14:paraId="2B6AE424" w14:textId="77777777" w:rsidR="00B35152" w:rsidRPr="007F40DD" w:rsidRDefault="00B35152" w:rsidP="007F40DD">
            <w:pPr>
              <w:bidi/>
              <w:spacing w:after="0" w:line="260" w:lineRule="auto"/>
              <w:jc w:val="center"/>
              <w:rPr>
                <w:rFonts w:ascii="Simplified Arabic" w:hAnsi="Simplified Arabic" w:cs="Simplified Arabic"/>
                <w:b/>
                <w:color w:val="FFFFFF"/>
                <w:sz w:val="24"/>
                <w:szCs w:val="24"/>
              </w:rPr>
            </w:pPr>
            <w:r>
              <w:rPr>
                <w:rFonts w:ascii="Traditional Arabic" w:hAnsi="Traditional Arabic" w:cs="Traditional Arabic"/>
                <w:b/>
                <w:color w:val="FFFFFF"/>
                <w:sz w:val="24"/>
                <w:szCs w:val="24"/>
                <w:rtl/>
              </w:rPr>
              <w:t>الوزن</w:t>
            </w:r>
          </w:p>
        </w:tc>
        <w:tc>
          <w:tcPr>
            <w:tcW w:w="2298" w:type="dxa"/>
            <w:shd w:val="clear" w:color="auto" w:fill="1F4E79"/>
            <w:vAlign w:val="center"/>
          </w:tcPr>
          <w:p w14:paraId="3EBF0EA6" w14:textId="77777777" w:rsidR="00B35152" w:rsidRPr="007F40DD" w:rsidRDefault="00B35152" w:rsidP="007F40DD">
            <w:pPr>
              <w:bidi/>
              <w:spacing w:after="0" w:line="260" w:lineRule="auto"/>
              <w:jc w:val="center"/>
              <w:rPr>
                <w:rFonts w:ascii="Simplified Arabic" w:hAnsi="Simplified Arabic" w:cs="Simplified Arabic"/>
                <w:b/>
                <w:color w:val="FFFFFF"/>
                <w:sz w:val="24"/>
                <w:szCs w:val="24"/>
              </w:rPr>
            </w:pPr>
            <w:r>
              <w:rPr>
                <w:rFonts w:ascii="Traditional Arabic" w:hAnsi="Traditional Arabic" w:cs="Traditional Arabic"/>
                <w:b/>
                <w:color w:val="FFFFFF"/>
                <w:sz w:val="24"/>
                <w:szCs w:val="24"/>
                <w:rtl/>
              </w:rPr>
              <w:t>مستوى الموافقة</w:t>
            </w:r>
          </w:p>
        </w:tc>
        <w:tc>
          <w:tcPr>
            <w:tcW w:w="2172" w:type="dxa"/>
            <w:shd w:val="clear" w:color="auto" w:fill="1F4E79"/>
            <w:vAlign w:val="center"/>
          </w:tcPr>
          <w:p w14:paraId="42A1D16B" w14:textId="77777777" w:rsidR="00B35152" w:rsidRPr="007F40DD" w:rsidRDefault="00B35152" w:rsidP="007F40DD">
            <w:pPr>
              <w:bidi/>
              <w:spacing w:after="0" w:line="260" w:lineRule="auto"/>
              <w:jc w:val="center"/>
              <w:rPr>
                <w:rFonts w:ascii="Simplified Arabic" w:hAnsi="Simplified Arabic" w:cs="Simplified Arabic"/>
                <w:b/>
                <w:color w:val="FFFFFF"/>
                <w:sz w:val="24"/>
                <w:szCs w:val="24"/>
              </w:rPr>
            </w:pPr>
            <w:r>
              <w:rPr>
                <w:rFonts w:ascii="Traditional Arabic" w:hAnsi="Traditional Arabic" w:cs="Traditional Arabic"/>
                <w:b/>
                <w:color w:val="FFFFFF"/>
                <w:sz w:val="24"/>
                <w:szCs w:val="24"/>
                <w:rtl/>
              </w:rPr>
              <w:t>المدى</w:t>
            </w:r>
          </w:p>
        </w:tc>
        <w:tc>
          <w:tcPr>
            <w:tcW w:w="2172" w:type="dxa"/>
            <w:shd w:val="clear" w:color="auto" w:fill="1F4E79"/>
            <w:vAlign w:val="center"/>
          </w:tcPr>
          <w:p w14:paraId="54EBCAEA" w14:textId="77777777" w:rsidR="00B35152" w:rsidRPr="007F40DD" w:rsidRDefault="00B35152" w:rsidP="007F40DD">
            <w:pPr>
              <w:bidi/>
              <w:spacing w:after="0" w:line="260" w:lineRule="auto"/>
              <w:jc w:val="center"/>
              <w:rPr>
                <w:rFonts w:ascii="Simplified Arabic" w:hAnsi="Simplified Arabic" w:cs="Simplified Arabic"/>
                <w:b/>
                <w:color w:val="FFFFFF"/>
                <w:sz w:val="24"/>
                <w:szCs w:val="24"/>
              </w:rPr>
            </w:pPr>
            <w:r>
              <w:rPr>
                <w:rFonts w:ascii="Traditional Arabic" w:hAnsi="Traditional Arabic" w:cs="Traditional Arabic"/>
                <w:b/>
                <w:color w:val="FFFFFF"/>
                <w:sz w:val="24"/>
                <w:szCs w:val="24"/>
                <w:rtl/>
              </w:rPr>
              <w:t>درجة الموافقة</w:t>
            </w:r>
          </w:p>
        </w:tc>
      </w:tr>
      <w:tr w:rsidR="00B35152" w:rsidRPr="007F40DD" w14:paraId="3F487756" w14:textId="77777777" w:rsidTr="007F40DD">
        <w:tc>
          <w:tcPr>
            <w:tcW w:w="1655" w:type="dxa"/>
            <w:vAlign w:val="center"/>
          </w:tcPr>
          <w:p w14:paraId="108387C6" w14:textId="77777777" w:rsidR="00B35152" w:rsidRPr="007F40DD" w:rsidRDefault="00B35152" w:rsidP="007F40DD">
            <w:pPr>
              <w:bidi/>
              <w:spacing w:after="0" w:line="260" w:lineRule="auto"/>
              <w:jc w:val="center"/>
              <w:rPr>
                <w:rFonts w:ascii="Simplified Arabic" w:hAnsi="Simplified Arabic" w:cs="Simplified Arabic"/>
                <w:sz w:val="24"/>
                <w:szCs w:val="24"/>
              </w:rPr>
            </w:pPr>
            <w:r>
              <w:rPr>
                <w:rFonts w:ascii="Traditional Arabic" w:hAnsi="Traditional Arabic" w:cs="Traditional Arabic"/>
                <w:sz w:val="24"/>
                <w:szCs w:val="24"/>
                <w:rtl/>
              </w:rPr>
              <w:t>5</w:t>
            </w:r>
          </w:p>
        </w:tc>
        <w:tc>
          <w:tcPr>
            <w:tcW w:w="2298" w:type="dxa"/>
            <w:vAlign w:val="center"/>
          </w:tcPr>
          <w:p w14:paraId="20FC6D41" w14:textId="77777777" w:rsidR="00B35152" w:rsidRPr="007F40DD" w:rsidRDefault="00B35152" w:rsidP="007F40DD">
            <w:pPr>
              <w:bidi/>
              <w:spacing w:after="0" w:line="260" w:lineRule="auto"/>
              <w:jc w:val="center"/>
              <w:rPr>
                <w:rFonts w:ascii="Simplified Arabic" w:hAnsi="Simplified Arabic" w:cs="Simplified Arabic"/>
                <w:sz w:val="24"/>
                <w:szCs w:val="24"/>
                <w:rtl/>
              </w:rPr>
            </w:pPr>
            <w:r>
              <w:rPr>
                <w:rFonts w:ascii="Traditional Arabic" w:hAnsi="Traditional Arabic" w:cs="Traditional Arabic"/>
                <w:sz w:val="24"/>
                <w:szCs w:val="24"/>
                <w:rtl/>
              </w:rPr>
              <w:t>مرتفع جداً</w:t>
            </w:r>
          </w:p>
        </w:tc>
        <w:tc>
          <w:tcPr>
            <w:tcW w:w="2172" w:type="dxa"/>
            <w:vAlign w:val="center"/>
          </w:tcPr>
          <w:p w14:paraId="0EF8248B" w14:textId="77777777" w:rsidR="00B35152" w:rsidRPr="007F40DD" w:rsidRDefault="00B35152" w:rsidP="007F40DD">
            <w:pPr>
              <w:bidi/>
              <w:spacing w:after="0" w:line="260" w:lineRule="auto"/>
              <w:jc w:val="center"/>
              <w:rPr>
                <w:rFonts w:ascii="Simplified Arabic" w:hAnsi="Simplified Arabic" w:cs="Simplified Arabic"/>
                <w:sz w:val="24"/>
                <w:szCs w:val="24"/>
                <w:rtl/>
              </w:rPr>
            </w:pPr>
            <w:r>
              <w:rPr>
                <w:rFonts w:ascii="Traditional Arabic" w:hAnsi="Traditional Arabic" w:cs="Traditional Arabic"/>
                <w:sz w:val="24"/>
                <w:szCs w:val="24"/>
                <w:rtl/>
              </w:rPr>
              <w:t>4.21 - 5.00</w:t>
            </w:r>
          </w:p>
        </w:tc>
        <w:tc>
          <w:tcPr>
            <w:tcW w:w="2172" w:type="dxa"/>
            <w:vAlign w:val="center"/>
          </w:tcPr>
          <w:p w14:paraId="609E9860" w14:textId="77777777" w:rsidR="00B35152" w:rsidRPr="007F40DD" w:rsidRDefault="00B35152" w:rsidP="007F40DD">
            <w:pPr>
              <w:bidi/>
              <w:spacing w:after="0" w:line="260" w:lineRule="auto"/>
              <w:jc w:val="center"/>
              <w:rPr>
                <w:rFonts w:ascii="Simplified Arabic" w:hAnsi="Simplified Arabic" w:cs="Simplified Arabic"/>
                <w:sz w:val="24"/>
                <w:szCs w:val="24"/>
                <w:rtl/>
              </w:rPr>
            </w:pPr>
            <w:r>
              <w:rPr>
                <w:rFonts w:ascii="Traditional Arabic" w:hAnsi="Traditional Arabic" w:cs="Traditional Arabic"/>
                <w:sz w:val="24"/>
                <w:szCs w:val="24"/>
                <w:rtl/>
              </w:rPr>
              <w:t>أوافق بشدة</w:t>
            </w:r>
          </w:p>
        </w:tc>
      </w:tr>
      <w:tr w:rsidR="00B35152" w:rsidRPr="007F40DD" w14:paraId="5A838C26" w14:textId="77777777" w:rsidTr="007F40DD">
        <w:tc>
          <w:tcPr>
            <w:tcW w:w="1655" w:type="dxa"/>
            <w:shd w:val="clear" w:color="auto" w:fill="E8F0F7"/>
            <w:vAlign w:val="center"/>
          </w:tcPr>
          <w:p w14:paraId="5A16FDA0" w14:textId="77777777" w:rsidR="00B35152" w:rsidRPr="007F40DD" w:rsidRDefault="00B35152" w:rsidP="007F40DD">
            <w:pPr>
              <w:bidi/>
              <w:spacing w:after="0" w:line="260" w:lineRule="auto"/>
              <w:jc w:val="center"/>
              <w:rPr>
                <w:rFonts w:ascii="Simplified Arabic" w:hAnsi="Simplified Arabic" w:cs="Simplified Arabic"/>
                <w:sz w:val="24"/>
                <w:szCs w:val="24"/>
              </w:rPr>
            </w:pPr>
            <w:r>
              <w:rPr>
                <w:rFonts w:ascii="Traditional Arabic" w:hAnsi="Traditional Arabic" w:cs="Traditional Arabic"/>
                <w:sz w:val="24"/>
                <w:szCs w:val="24"/>
                <w:rtl/>
              </w:rPr>
              <w:t>4</w:t>
            </w:r>
          </w:p>
        </w:tc>
        <w:tc>
          <w:tcPr>
            <w:tcW w:w="2298" w:type="dxa"/>
            <w:shd w:val="clear" w:color="auto" w:fill="E8F0F7"/>
            <w:vAlign w:val="center"/>
          </w:tcPr>
          <w:p w14:paraId="3F0CC5BB" w14:textId="77777777" w:rsidR="00B35152" w:rsidRPr="007F40DD" w:rsidRDefault="00B35152" w:rsidP="007F40DD">
            <w:pPr>
              <w:bidi/>
              <w:spacing w:after="0" w:line="260" w:lineRule="auto"/>
              <w:jc w:val="center"/>
              <w:rPr>
                <w:rFonts w:ascii="Simplified Arabic" w:hAnsi="Simplified Arabic" w:cs="Simplified Arabic"/>
                <w:sz w:val="24"/>
                <w:szCs w:val="24"/>
                <w:rtl/>
              </w:rPr>
            </w:pPr>
            <w:r>
              <w:rPr>
                <w:rFonts w:ascii="Traditional Arabic" w:hAnsi="Traditional Arabic" w:cs="Traditional Arabic"/>
                <w:sz w:val="24"/>
                <w:szCs w:val="24"/>
                <w:rtl/>
              </w:rPr>
              <w:t>مرتفع</w:t>
            </w:r>
          </w:p>
        </w:tc>
        <w:tc>
          <w:tcPr>
            <w:tcW w:w="2172" w:type="dxa"/>
            <w:shd w:val="clear" w:color="auto" w:fill="E8F0F7"/>
            <w:vAlign w:val="center"/>
          </w:tcPr>
          <w:p w14:paraId="680A7245" w14:textId="77777777" w:rsidR="00B35152" w:rsidRPr="007F40DD" w:rsidRDefault="00B35152" w:rsidP="007F40DD">
            <w:pPr>
              <w:bidi/>
              <w:spacing w:after="0" w:line="260" w:lineRule="auto"/>
              <w:jc w:val="center"/>
              <w:rPr>
                <w:rFonts w:ascii="Simplified Arabic" w:hAnsi="Simplified Arabic" w:cs="Simplified Arabic"/>
                <w:sz w:val="24"/>
                <w:szCs w:val="24"/>
              </w:rPr>
            </w:pPr>
            <w:r>
              <w:rPr>
                <w:rFonts w:ascii="Traditional Arabic" w:hAnsi="Traditional Arabic" w:cs="Traditional Arabic"/>
                <w:sz w:val="24"/>
                <w:szCs w:val="24"/>
                <w:rtl/>
              </w:rPr>
              <w:t>3.41 - 4.20</w:t>
            </w:r>
          </w:p>
        </w:tc>
        <w:tc>
          <w:tcPr>
            <w:tcW w:w="2172" w:type="dxa"/>
            <w:shd w:val="clear" w:color="auto" w:fill="E8F0F7"/>
            <w:vAlign w:val="center"/>
          </w:tcPr>
          <w:p w14:paraId="73CEAB03" w14:textId="77777777" w:rsidR="00B35152" w:rsidRPr="007F40DD" w:rsidRDefault="00B35152" w:rsidP="007F40DD">
            <w:pPr>
              <w:bidi/>
              <w:spacing w:after="0" w:line="260" w:lineRule="auto"/>
              <w:jc w:val="center"/>
              <w:rPr>
                <w:rFonts w:ascii="Simplified Arabic" w:hAnsi="Simplified Arabic" w:cs="Simplified Arabic"/>
                <w:sz w:val="24"/>
                <w:szCs w:val="24"/>
                <w:rtl/>
              </w:rPr>
            </w:pPr>
            <w:r>
              <w:rPr>
                <w:rFonts w:ascii="Traditional Arabic" w:hAnsi="Traditional Arabic" w:cs="Traditional Arabic"/>
                <w:sz w:val="24"/>
                <w:szCs w:val="24"/>
                <w:rtl/>
              </w:rPr>
              <w:t>أوافق</w:t>
            </w:r>
          </w:p>
        </w:tc>
      </w:tr>
      <w:tr w:rsidR="00B35152" w:rsidRPr="007F40DD" w14:paraId="1872E17B" w14:textId="77777777" w:rsidTr="007F40DD">
        <w:tc>
          <w:tcPr>
            <w:tcW w:w="1655" w:type="dxa"/>
            <w:vAlign w:val="center"/>
          </w:tcPr>
          <w:p w14:paraId="03A4639A" w14:textId="77777777" w:rsidR="00B35152" w:rsidRPr="007F40DD" w:rsidRDefault="00B35152" w:rsidP="007F40DD">
            <w:pPr>
              <w:bidi/>
              <w:spacing w:after="0" w:line="260" w:lineRule="auto"/>
              <w:jc w:val="center"/>
              <w:rPr>
                <w:rFonts w:ascii="Simplified Arabic" w:hAnsi="Simplified Arabic" w:cs="Simplified Arabic"/>
                <w:sz w:val="24"/>
                <w:szCs w:val="24"/>
              </w:rPr>
            </w:pPr>
            <w:r>
              <w:rPr>
                <w:rFonts w:ascii="Traditional Arabic" w:hAnsi="Traditional Arabic" w:cs="Traditional Arabic"/>
                <w:sz w:val="24"/>
                <w:szCs w:val="24"/>
                <w:rtl/>
              </w:rPr>
              <w:t>3</w:t>
            </w:r>
          </w:p>
        </w:tc>
        <w:tc>
          <w:tcPr>
            <w:tcW w:w="2298" w:type="dxa"/>
            <w:vAlign w:val="center"/>
          </w:tcPr>
          <w:p w14:paraId="548DBD99" w14:textId="77777777" w:rsidR="00B35152" w:rsidRPr="007F40DD" w:rsidRDefault="00B35152" w:rsidP="007F40DD">
            <w:pPr>
              <w:bidi/>
              <w:spacing w:after="0" w:line="260" w:lineRule="auto"/>
              <w:jc w:val="center"/>
              <w:rPr>
                <w:rFonts w:ascii="Simplified Arabic" w:hAnsi="Simplified Arabic" w:cs="Simplified Arabic"/>
                <w:sz w:val="24"/>
                <w:szCs w:val="24"/>
                <w:rtl/>
              </w:rPr>
            </w:pPr>
            <w:r>
              <w:rPr>
                <w:rFonts w:ascii="Traditional Arabic" w:hAnsi="Traditional Arabic" w:cs="Traditional Arabic"/>
                <w:sz w:val="24"/>
                <w:szCs w:val="24"/>
                <w:rtl/>
              </w:rPr>
              <w:t>متوسط</w:t>
            </w:r>
          </w:p>
        </w:tc>
        <w:tc>
          <w:tcPr>
            <w:tcW w:w="2172" w:type="dxa"/>
            <w:vAlign w:val="center"/>
          </w:tcPr>
          <w:p w14:paraId="5CAF6854" w14:textId="77777777" w:rsidR="00B35152" w:rsidRPr="007F40DD" w:rsidRDefault="00B35152" w:rsidP="007F40DD">
            <w:pPr>
              <w:bidi/>
              <w:spacing w:after="0" w:line="260" w:lineRule="auto"/>
              <w:jc w:val="center"/>
              <w:rPr>
                <w:rFonts w:ascii="Simplified Arabic" w:hAnsi="Simplified Arabic" w:cs="Simplified Arabic"/>
                <w:sz w:val="24"/>
                <w:szCs w:val="24"/>
              </w:rPr>
            </w:pPr>
            <w:r>
              <w:rPr>
                <w:rFonts w:ascii="Traditional Arabic" w:hAnsi="Traditional Arabic" w:cs="Traditional Arabic"/>
                <w:sz w:val="24"/>
                <w:szCs w:val="24"/>
                <w:rtl/>
              </w:rPr>
              <w:t>2.61 - 3.40</w:t>
            </w:r>
          </w:p>
        </w:tc>
        <w:tc>
          <w:tcPr>
            <w:tcW w:w="2172" w:type="dxa"/>
            <w:vAlign w:val="center"/>
          </w:tcPr>
          <w:p w14:paraId="50423EDF" w14:textId="77777777" w:rsidR="00B35152" w:rsidRPr="007F40DD" w:rsidRDefault="00B35152" w:rsidP="007F40DD">
            <w:pPr>
              <w:bidi/>
              <w:spacing w:after="0" w:line="260" w:lineRule="auto"/>
              <w:jc w:val="center"/>
              <w:rPr>
                <w:rFonts w:ascii="Simplified Arabic" w:hAnsi="Simplified Arabic" w:cs="Simplified Arabic"/>
                <w:sz w:val="24"/>
                <w:szCs w:val="24"/>
                <w:rtl/>
              </w:rPr>
            </w:pPr>
            <w:r>
              <w:rPr>
                <w:rFonts w:ascii="Traditional Arabic" w:hAnsi="Traditional Arabic" w:cs="Traditional Arabic"/>
                <w:sz w:val="24"/>
                <w:szCs w:val="24"/>
                <w:rtl/>
              </w:rPr>
              <w:t>محايد</w:t>
            </w:r>
          </w:p>
        </w:tc>
      </w:tr>
      <w:tr w:rsidR="00B35152" w:rsidRPr="007F40DD" w14:paraId="6F6E864F" w14:textId="77777777" w:rsidTr="007F40DD">
        <w:tc>
          <w:tcPr>
            <w:tcW w:w="1655" w:type="dxa"/>
            <w:shd w:val="clear" w:color="auto" w:fill="E8F0F7"/>
            <w:vAlign w:val="center"/>
          </w:tcPr>
          <w:p w14:paraId="0A40F7D0" w14:textId="77777777" w:rsidR="00B35152" w:rsidRPr="007F40DD" w:rsidRDefault="00B35152" w:rsidP="007F40DD">
            <w:pPr>
              <w:bidi/>
              <w:spacing w:after="0" w:line="260" w:lineRule="auto"/>
              <w:jc w:val="center"/>
              <w:rPr>
                <w:rFonts w:ascii="Simplified Arabic" w:hAnsi="Simplified Arabic" w:cs="Simplified Arabic"/>
                <w:sz w:val="24"/>
                <w:szCs w:val="24"/>
              </w:rPr>
            </w:pPr>
            <w:r>
              <w:rPr>
                <w:rFonts w:ascii="Traditional Arabic" w:hAnsi="Traditional Arabic" w:cs="Traditional Arabic"/>
                <w:sz w:val="24"/>
                <w:szCs w:val="24"/>
                <w:rtl/>
              </w:rPr>
              <w:t>2</w:t>
            </w:r>
          </w:p>
        </w:tc>
        <w:tc>
          <w:tcPr>
            <w:tcW w:w="2298" w:type="dxa"/>
            <w:shd w:val="clear" w:color="auto" w:fill="E8F0F7"/>
            <w:vAlign w:val="center"/>
          </w:tcPr>
          <w:p w14:paraId="796FAF04" w14:textId="77777777" w:rsidR="00B35152" w:rsidRPr="007F40DD" w:rsidRDefault="00B35152" w:rsidP="007F40DD">
            <w:pPr>
              <w:bidi/>
              <w:spacing w:after="0" w:line="260" w:lineRule="auto"/>
              <w:jc w:val="center"/>
              <w:rPr>
                <w:rFonts w:ascii="Simplified Arabic" w:hAnsi="Simplified Arabic" w:cs="Simplified Arabic"/>
                <w:sz w:val="24"/>
                <w:szCs w:val="24"/>
                <w:rtl/>
              </w:rPr>
            </w:pPr>
            <w:r>
              <w:rPr>
                <w:rFonts w:ascii="Traditional Arabic" w:hAnsi="Traditional Arabic" w:cs="Traditional Arabic"/>
                <w:sz w:val="24"/>
                <w:szCs w:val="24"/>
                <w:rtl/>
              </w:rPr>
              <w:t>منخفض</w:t>
            </w:r>
          </w:p>
        </w:tc>
        <w:tc>
          <w:tcPr>
            <w:tcW w:w="2172" w:type="dxa"/>
            <w:shd w:val="clear" w:color="auto" w:fill="E8F0F7"/>
            <w:vAlign w:val="center"/>
          </w:tcPr>
          <w:p w14:paraId="4C9A1F18" w14:textId="77777777" w:rsidR="00B35152" w:rsidRPr="007F40DD" w:rsidRDefault="00B35152" w:rsidP="007F40DD">
            <w:pPr>
              <w:bidi/>
              <w:spacing w:after="0" w:line="260" w:lineRule="auto"/>
              <w:jc w:val="center"/>
              <w:rPr>
                <w:rFonts w:ascii="Simplified Arabic" w:hAnsi="Simplified Arabic" w:cs="Simplified Arabic"/>
                <w:sz w:val="24"/>
                <w:szCs w:val="24"/>
              </w:rPr>
            </w:pPr>
            <w:r>
              <w:rPr>
                <w:rFonts w:ascii="Traditional Arabic" w:hAnsi="Traditional Arabic" w:cs="Traditional Arabic"/>
                <w:sz w:val="24"/>
                <w:szCs w:val="24"/>
                <w:rtl/>
              </w:rPr>
              <w:t>1.81 - 2.60</w:t>
            </w:r>
          </w:p>
        </w:tc>
        <w:tc>
          <w:tcPr>
            <w:tcW w:w="2172" w:type="dxa"/>
            <w:shd w:val="clear" w:color="auto" w:fill="E8F0F7"/>
            <w:vAlign w:val="center"/>
          </w:tcPr>
          <w:p w14:paraId="4FA7B243" w14:textId="77777777" w:rsidR="00B35152" w:rsidRPr="007F40DD" w:rsidRDefault="00B35152" w:rsidP="007F40DD">
            <w:pPr>
              <w:bidi/>
              <w:spacing w:after="0" w:line="260" w:lineRule="auto"/>
              <w:jc w:val="center"/>
              <w:rPr>
                <w:rFonts w:ascii="Simplified Arabic" w:hAnsi="Simplified Arabic" w:cs="Simplified Arabic"/>
                <w:sz w:val="24"/>
                <w:szCs w:val="24"/>
                <w:rtl/>
              </w:rPr>
            </w:pPr>
            <w:r>
              <w:rPr>
                <w:rFonts w:ascii="Traditional Arabic" w:hAnsi="Traditional Arabic" w:cs="Traditional Arabic"/>
                <w:sz w:val="24"/>
                <w:szCs w:val="24"/>
                <w:rtl/>
              </w:rPr>
              <w:t>لا أوافق</w:t>
            </w:r>
          </w:p>
        </w:tc>
      </w:tr>
      <w:tr w:rsidR="00B35152" w:rsidRPr="007F40DD" w14:paraId="4804A682" w14:textId="77777777" w:rsidTr="007F40DD">
        <w:tc>
          <w:tcPr>
            <w:tcW w:w="1655" w:type="dxa"/>
            <w:vAlign w:val="center"/>
          </w:tcPr>
          <w:p w14:paraId="7E2379F5" w14:textId="77777777" w:rsidR="00B35152" w:rsidRPr="007F40DD" w:rsidRDefault="00B35152" w:rsidP="007F40DD">
            <w:pPr>
              <w:bidi/>
              <w:spacing w:after="0" w:line="260" w:lineRule="auto"/>
              <w:jc w:val="center"/>
              <w:rPr>
                <w:rFonts w:ascii="Simplified Arabic" w:hAnsi="Simplified Arabic" w:cs="Simplified Arabic"/>
                <w:sz w:val="24"/>
                <w:szCs w:val="24"/>
              </w:rPr>
            </w:pPr>
            <w:r>
              <w:rPr>
                <w:rFonts w:ascii="Traditional Arabic" w:hAnsi="Traditional Arabic" w:cs="Traditional Arabic"/>
                <w:sz w:val="24"/>
                <w:szCs w:val="24"/>
                <w:rtl/>
              </w:rPr>
              <w:t>1</w:t>
            </w:r>
          </w:p>
        </w:tc>
        <w:tc>
          <w:tcPr>
            <w:tcW w:w="2298" w:type="dxa"/>
            <w:vAlign w:val="center"/>
          </w:tcPr>
          <w:p w14:paraId="320AB68C" w14:textId="77777777" w:rsidR="00B35152" w:rsidRPr="007F40DD" w:rsidRDefault="00B35152" w:rsidP="007F40DD">
            <w:pPr>
              <w:bidi/>
              <w:spacing w:after="0" w:line="260" w:lineRule="auto"/>
              <w:jc w:val="center"/>
              <w:rPr>
                <w:rFonts w:ascii="Simplified Arabic" w:hAnsi="Simplified Arabic" w:cs="Simplified Arabic"/>
                <w:sz w:val="24"/>
                <w:szCs w:val="24"/>
                <w:rtl/>
              </w:rPr>
            </w:pPr>
            <w:r>
              <w:rPr>
                <w:rFonts w:ascii="Traditional Arabic" w:hAnsi="Traditional Arabic" w:cs="Traditional Arabic"/>
                <w:sz w:val="24"/>
                <w:szCs w:val="24"/>
                <w:rtl/>
              </w:rPr>
              <w:t>منخفض جداً</w:t>
            </w:r>
          </w:p>
        </w:tc>
        <w:tc>
          <w:tcPr>
            <w:tcW w:w="2172" w:type="dxa"/>
            <w:vAlign w:val="center"/>
          </w:tcPr>
          <w:p w14:paraId="6009ED27" w14:textId="77777777" w:rsidR="00B35152" w:rsidRPr="007F40DD" w:rsidRDefault="00B35152" w:rsidP="007F40DD">
            <w:pPr>
              <w:bidi/>
              <w:spacing w:after="0" w:line="260" w:lineRule="auto"/>
              <w:jc w:val="center"/>
              <w:rPr>
                <w:rFonts w:ascii="Simplified Arabic" w:hAnsi="Simplified Arabic" w:cs="Simplified Arabic"/>
                <w:sz w:val="24"/>
                <w:szCs w:val="24"/>
              </w:rPr>
            </w:pPr>
            <w:r>
              <w:rPr>
                <w:rFonts w:ascii="Traditional Arabic" w:hAnsi="Traditional Arabic" w:cs="Traditional Arabic"/>
                <w:sz w:val="24"/>
                <w:szCs w:val="24"/>
                <w:rtl/>
              </w:rPr>
              <w:t>1.00 - 1.80</w:t>
            </w:r>
          </w:p>
        </w:tc>
        <w:tc>
          <w:tcPr>
            <w:tcW w:w="2172" w:type="dxa"/>
            <w:vAlign w:val="center"/>
          </w:tcPr>
          <w:p w14:paraId="77DBD844" w14:textId="77777777" w:rsidR="00B35152" w:rsidRPr="007F40DD" w:rsidRDefault="00B35152" w:rsidP="007F40DD">
            <w:pPr>
              <w:bidi/>
              <w:spacing w:after="0" w:line="260" w:lineRule="auto"/>
              <w:jc w:val="center"/>
              <w:rPr>
                <w:rFonts w:ascii="Simplified Arabic" w:hAnsi="Simplified Arabic" w:cs="Simplified Arabic"/>
                <w:sz w:val="24"/>
                <w:szCs w:val="24"/>
                <w:rtl/>
              </w:rPr>
            </w:pPr>
            <w:r>
              <w:rPr>
                <w:rFonts w:ascii="Traditional Arabic" w:hAnsi="Traditional Arabic" w:cs="Traditional Arabic"/>
                <w:sz w:val="24"/>
                <w:szCs w:val="24"/>
                <w:rtl/>
              </w:rPr>
              <w:t>لا أوافق بشدة</w:t>
            </w:r>
          </w:p>
        </w:tc>
      </w:tr>
    </w:tbl>
    <w:p w14:paraId="7574A22A" w14:textId="77777777" w:rsidR="00B35152" w:rsidRDefault="00B35152" w:rsidP="00E000FF">
      <w:pPr>
        <w:pStyle w:val="TableCaption"/>
        <w:bidi/>
        <w:spacing w:after="0" w:line="300" w:lineRule="auto"/>
        <w:jc w:val="center"/>
        <w:rPr>
          <w:rFonts w:ascii="Simplified Arabic" w:hAnsi="Simplified Arabic" w:cs="Simplified Arabic"/>
          <w:sz w:val="24"/>
          <w:szCs w:val="24"/>
          <w:rtl/>
        </w:rPr>
      </w:pPr>
      <w:r>
        <w:rPr>
          <w:rFonts w:ascii="Traditional Arabic" w:hAnsi="Traditional Arabic" w:cs="Traditional Arabic"/>
          <w:b/>
          <w:bCs/>
          <w:sz w:val="24"/>
          <w:szCs w:val="24"/>
          <w:rtl/>
        </w:rPr>
        <w:t>جدول (3.2-ب): أوزان مقياس ليكرت الخماسي ومستويات الموافقة</w:t>
      </w:r>
    </w:p>
    <w:p w14:paraId="167E1667" w14:textId="77777777" w:rsidR="00B35152" w:rsidRPr="007F40DD" w:rsidRDefault="00B35152" w:rsidP="00E000FF">
      <w:pPr>
        <w:bidi/>
        <w:spacing w:after="0" w:line="360" w:lineRule="auto"/>
        <w:jc w:val="both"/>
        <w:rPr>
          <w:rFonts w:ascii="Simplified Arabic" w:hAnsi="Simplified Arabic" w:cs="Simplified Arabic"/>
          <w:sz w:val="32"/>
          <w:szCs w:val="32"/>
          <w:rtl/>
        </w:rPr>
      </w:pPr>
      <w:r>
        <w:rPr>
          <w:rFonts w:ascii="Traditional Arabic" w:hAnsi="Traditional Arabic" w:cs="Traditional Arabic"/>
          <w:sz w:val="28"/>
          <w:szCs w:val="28"/>
          <w:rtl/>
        </w:rPr>
        <w:t xml:space="preserve">استُند في بناء فقرات الاستبانة إلى أدبيات علمية محكّمة ودراسات تطبيقية في مجال الأمن السيبراني والتقنية المالية، وتشمل هذه المصادر: الأدبيات العلمية المحكّمة المتخصصة في تقنية الترميز، والدراسات السابقة التي وظّفت مقاييس مماثلة في سياقات مشابهة، إضافةً إلى الوثائق الرسمية الصادرة عن المنظمات التنظيمية (ساما، الهيئة الوطنية للأمن السيبراني، PCI </w:t>
      </w:r>
      <w:r>
        <w:rPr>
          <w:rFonts w:ascii="Traditional Arabic" w:hAnsi="Traditional Arabic" w:cs="Traditional Arabic"/>
          <w:sz w:val="28"/>
          <w:szCs w:val="28"/>
          <w:rtl/>
        </w:rPr>
        <w:lastRenderedPageBreak/>
        <w:t>Security Standards Council). كما خضعت الفقرات لتعديلات أثناء التطوير استجابةً لملاحظات المشرف، وستخضع لمراجعة إضافية بناءً على مرئيات المحكّمين من جامعة Midocean قبل التوزيع النهائي.</w:t>
      </w:r>
    </w:p>
    <w:p w14:paraId="7E2E2BAE" w14:textId="77777777" w:rsidR="00B35152" w:rsidRPr="00D329C2" w:rsidRDefault="00B35152" w:rsidP="00E000FF">
      <w:pPr>
        <w:bidi/>
        <w:spacing w:after="0" w:line="360" w:lineRule="auto"/>
        <w:jc w:val="both"/>
        <w:rPr>
          <w:rFonts w:ascii="Simplified Arabic" w:hAnsi="Simplified Arabic" w:cs="Simplified Arabic"/>
          <w:sz w:val="28"/>
          <w:szCs w:val="28"/>
        </w:rPr>
      </w:pPr>
    </w:p>
    <w:tbl>
      <w:tblPr>
        <w:tblStyle w:val="a9"/>
        <w:bidiVisual/>
        <w:tblW w:w="10300" w:type="dxa"/>
        <w:tblBorders>
          <w:top w:val="single" w:sz="6" w:space="0" w:color="7F9DB9"/>
          <w:left w:val="single" w:sz="6" w:space="0" w:color="7F9DB9"/>
          <w:bottom w:val="single" w:sz="6" w:space="0" w:color="7F9DB9"/>
          <w:right w:val="single" w:sz="6" w:space="0" w:color="7F9DB9"/>
          <w:insideH w:val="single" w:sz="6" w:space="0" w:color="7F9DB9"/>
          <w:insideV w:val="single" w:sz="6" w:space="0" w:color="7F9DB9"/>
        </w:tblBorders>
        <w:tblLook w:val="04A0" w:firstRow="1" w:lastRow="0" w:firstColumn="1" w:lastColumn="0" w:noHBand="0" w:noVBand="1"/>
      </w:tblPr>
      <w:tblGrid>
        <w:gridCol w:w="2600"/>
        <w:gridCol w:w="1700"/>
        <w:gridCol w:w="2600"/>
        <w:gridCol w:w="1300"/>
        <w:gridCol w:w="2100"/>
      </w:tblGrid>
      <w:tr w:rsidR="00827F40" w14:paraId="58672FDF" w14:textId="77777777">
        <w:trPr>
          <w:tblHeader/>
        </w:trPr>
        <w:tc>
          <w:tcPr>
            <w:tcW w:w="2600" w:type="dxa"/>
            <w:shd w:val="clear" w:color="auto" w:fill="DCE9F5"/>
            <w:vAlign w:val="center"/>
          </w:tcPr>
          <w:p w14:paraId="4C4EB03D" w14:textId="77777777" w:rsidR="00827F40" w:rsidRDefault="00F03C2E">
            <w:pPr>
              <w:bidi/>
              <w:spacing w:after="0" w:line="280" w:lineRule="auto"/>
              <w:jc w:val="center"/>
            </w:pPr>
            <w:r>
              <w:rPr>
                <w:rFonts w:ascii="Traditional Arabic" w:hAnsi="Traditional Arabic" w:cs="Traditional Arabic"/>
                <w:b/>
                <w:bCs/>
                <w:rtl/>
              </w:rPr>
              <w:t>المتغير</w:t>
            </w:r>
          </w:p>
        </w:tc>
        <w:tc>
          <w:tcPr>
            <w:tcW w:w="1700" w:type="dxa"/>
            <w:shd w:val="clear" w:color="auto" w:fill="DCE9F5"/>
            <w:vAlign w:val="center"/>
          </w:tcPr>
          <w:p w14:paraId="01CC0216" w14:textId="77777777" w:rsidR="00827F40" w:rsidRDefault="00F03C2E">
            <w:pPr>
              <w:bidi/>
              <w:spacing w:after="0" w:line="280" w:lineRule="auto"/>
              <w:jc w:val="center"/>
            </w:pPr>
            <w:r>
              <w:rPr>
                <w:rFonts w:ascii="Traditional Arabic" w:hAnsi="Traditional Arabic" w:cs="Traditional Arabic"/>
                <w:b/>
                <w:bCs/>
                <w:rtl/>
              </w:rPr>
              <w:t>نوع المتغير</w:t>
            </w:r>
          </w:p>
        </w:tc>
        <w:tc>
          <w:tcPr>
            <w:tcW w:w="2600" w:type="dxa"/>
            <w:shd w:val="clear" w:color="auto" w:fill="DCE9F5"/>
            <w:vAlign w:val="center"/>
          </w:tcPr>
          <w:p w14:paraId="0A78A504" w14:textId="77777777" w:rsidR="00827F40" w:rsidRDefault="00F03C2E">
            <w:pPr>
              <w:bidi/>
              <w:spacing w:after="0" w:line="280" w:lineRule="auto"/>
              <w:jc w:val="center"/>
            </w:pPr>
            <w:r>
              <w:rPr>
                <w:rFonts w:ascii="Traditional Arabic" w:hAnsi="Traditional Arabic" w:cs="Traditional Arabic"/>
                <w:b/>
                <w:bCs/>
                <w:rtl/>
              </w:rPr>
              <w:t>الأبعاد / المؤشرات</w:t>
            </w:r>
          </w:p>
        </w:tc>
        <w:tc>
          <w:tcPr>
            <w:tcW w:w="1300" w:type="dxa"/>
            <w:shd w:val="clear" w:color="auto" w:fill="DCE9F5"/>
            <w:vAlign w:val="center"/>
          </w:tcPr>
          <w:p w14:paraId="515F4593" w14:textId="77777777" w:rsidR="00827F40" w:rsidRDefault="00F03C2E">
            <w:pPr>
              <w:bidi/>
              <w:spacing w:after="0" w:line="280" w:lineRule="auto"/>
              <w:jc w:val="center"/>
            </w:pPr>
            <w:r>
              <w:rPr>
                <w:rFonts w:ascii="Traditional Arabic" w:hAnsi="Traditional Arabic" w:cs="Traditional Arabic"/>
                <w:b/>
                <w:bCs/>
                <w:rtl/>
              </w:rPr>
              <w:t>عدد العبارات</w:t>
            </w:r>
          </w:p>
        </w:tc>
        <w:tc>
          <w:tcPr>
            <w:tcW w:w="2100" w:type="dxa"/>
            <w:shd w:val="clear" w:color="auto" w:fill="DCE9F5"/>
            <w:vAlign w:val="center"/>
          </w:tcPr>
          <w:p w14:paraId="4EFCEEEF" w14:textId="77777777" w:rsidR="00827F40" w:rsidRDefault="00F03C2E">
            <w:pPr>
              <w:bidi/>
              <w:spacing w:after="0" w:line="280" w:lineRule="auto"/>
              <w:jc w:val="center"/>
            </w:pPr>
            <w:r>
              <w:rPr>
                <w:rFonts w:ascii="Traditional Arabic" w:hAnsi="Traditional Arabic" w:cs="Traditional Arabic"/>
                <w:b/>
                <w:bCs/>
                <w:rtl/>
              </w:rPr>
              <w:t>المرجع الرئيسي</w:t>
            </w:r>
          </w:p>
        </w:tc>
      </w:tr>
      <w:tr w:rsidR="00827F40" w14:paraId="2235B834" w14:textId="77777777">
        <w:tc>
          <w:tcPr>
            <w:tcW w:w="2600" w:type="dxa"/>
            <w:vAlign w:val="center"/>
          </w:tcPr>
          <w:p w14:paraId="09A4712E" w14:textId="77777777" w:rsidR="00827F40" w:rsidRDefault="00F03C2E">
            <w:pPr>
              <w:bidi/>
              <w:spacing w:after="0" w:line="280" w:lineRule="auto"/>
              <w:jc w:val="right"/>
            </w:pPr>
            <w:r>
              <w:rPr>
                <w:rFonts w:ascii="Traditional Arabic" w:hAnsi="Traditional Arabic" w:cs="Traditional Arabic"/>
                <w:rtl/>
              </w:rPr>
              <w:t>تطبيق تقنية الترميز الأمني للبيانات</w:t>
            </w:r>
          </w:p>
        </w:tc>
        <w:tc>
          <w:tcPr>
            <w:tcW w:w="1700" w:type="dxa"/>
            <w:vAlign w:val="center"/>
          </w:tcPr>
          <w:p w14:paraId="0496AC29" w14:textId="77777777" w:rsidR="00827F40" w:rsidRDefault="00F03C2E">
            <w:pPr>
              <w:bidi/>
              <w:spacing w:after="0" w:line="280" w:lineRule="auto"/>
              <w:jc w:val="right"/>
            </w:pPr>
            <w:r>
              <w:rPr>
                <w:rFonts w:ascii="Traditional Arabic" w:hAnsi="Traditional Arabic" w:cs="Traditional Arabic"/>
                <w:rtl/>
              </w:rPr>
              <w:t>مستقل أول</w:t>
            </w:r>
          </w:p>
        </w:tc>
        <w:tc>
          <w:tcPr>
            <w:tcW w:w="2600" w:type="dxa"/>
            <w:vAlign w:val="center"/>
          </w:tcPr>
          <w:p w14:paraId="23574816" w14:textId="77777777" w:rsidR="00827F40" w:rsidRDefault="00F03C2E">
            <w:pPr>
              <w:bidi/>
              <w:spacing w:after="0" w:line="280" w:lineRule="auto"/>
              <w:jc w:val="right"/>
            </w:pPr>
            <w:r>
              <w:rPr>
                <w:rFonts w:ascii="Traditional Arabic" w:hAnsi="Traditional Arabic" w:cs="Traditional Arabic"/>
                <w:rtl/>
              </w:rPr>
              <w:t>حماية بيانات الدفع، الحد من الاحتيال، الترميز الديناميكي</w:t>
            </w:r>
          </w:p>
        </w:tc>
        <w:tc>
          <w:tcPr>
            <w:tcW w:w="1300" w:type="dxa"/>
            <w:vAlign w:val="center"/>
          </w:tcPr>
          <w:p w14:paraId="66752764" w14:textId="77777777" w:rsidR="00827F40" w:rsidRDefault="00F03C2E">
            <w:pPr>
              <w:bidi/>
              <w:spacing w:after="0" w:line="280" w:lineRule="auto"/>
              <w:jc w:val="right"/>
            </w:pPr>
            <w:r>
              <w:rPr>
                <w:rFonts w:ascii="Traditional Arabic" w:hAnsi="Traditional Arabic" w:cs="Traditional Arabic"/>
                <w:rtl/>
              </w:rPr>
              <w:t>6 عبارات</w:t>
            </w:r>
          </w:p>
        </w:tc>
        <w:tc>
          <w:tcPr>
            <w:tcW w:w="2100" w:type="dxa"/>
            <w:vAlign w:val="center"/>
          </w:tcPr>
          <w:p w14:paraId="37751865" w14:textId="77777777" w:rsidR="00827F40" w:rsidRDefault="00F03C2E">
            <w:pPr>
              <w:bidi/>
              <w:spacing w:after="0" w:line="280" w:lineRule="auto"/>
              <w:jc w:val="right"/>
            </w:pPr>
            <w:r>
              <w:rPr>
                <w:rFonts w:ascii="Traditional Arabic" w:hAnsi="Traditional Arabic" w:cs="Traditional Arabic"/>
                <w:rtl/>
              </w:rPr>
              <w:t>EMVCo (2023); PCI SSC (2024)</w:t>
            </w:r>
          </w:p>
        </w:tc>
      </w:tr>
      <w:tr w:rsidR="00827F40" w14:paraId="1DD1ED88" w14:textId="77777777">
        <w:tc>
          <w:tcPr>
            <w:tcW w:w="2600" w:type="dxa"/>
            <w:vAlign w:val="center"/>
          </w:tcPr>
          <w:p w14:paraId="01E870BF" w14:textId="77777777" w:rsidR="00827F40" w:rsidRDefault="00F03C2E">
            <w:pPr>
              <w:bidi/>
              <w:spacing w:after="0" w:line="280" w:lineRule="auto"/>
              <w:jc w:val="right"/>
            </w:pPr>
            <w:r>
              <w:rPr>
                <w:rFonts w:ascii="Traditional Arabic" w:hAnsi="Traditional Arabic" w:cs="Traditional Arabic"/>
                <w:rtl/>
              </w:rPr>
              <w:t>الامتثال للمعايير الدولية</w:t>
            </w:r>
          </w:p>
        </w:tc>
        <w:tc>
          <w:tcPr>
            <w:tcW w:w="1700" w:type="dxa"/>
            <w:vAlign w:val="center"/>
          </w:tcPr>
          <w:p w14:paraId="4D39F84C" w14:textId="77777777" w:rsidR="00827F40" w:rsidRDefault="00F03C2E">
            <w:pPr>
              <w:bidi/>
              <w:spacing w:after="0" w:line="280" w:lineRule="auto"/>
              <w:jc w:val="right"/>
            </w:pPr>
            <w:r>
              <w:rPr>
                <w:rFonts w:ascii="Traditional Arabic" w:hAnsi="Traditional Arabic" w:cs="Traditional Arabic"/>
                <w:rtl/>
              </w:rPr>
              <w:t>مستقل ثانٍ</w:t>
            </w:r>
          </w:p>
        </w:tc>
        <w:tc>
          <w:tcPr>
            <w:tcW w:w="2600" w:type="dxa"/>
            <w:vAlign w:val="center"/>
          </w:tcPr>
          <w:p w14:paraId="43F75C32" w14:textId="77777777" w:rsidR="00827F40" w:rsidRDefault="00F03C2E">
            <w:pPr>
              <w:bidi/>
              <w:spacing w:after="0" w:line="280" w:lineRule="auto"/>
              <w:jc w:val="right"/>
            </w:pPr>
            <w:r>
              <w:rPr>
                <w:rFonts w:ascii="Traditional Arabic" w:hAnsi="Traditional Arabic" w:cs="Traditional Arabic"/>
                <w:rtl/>
              </w:rPr>
              <w:t>PCI DSS، ISO 27001، الضوابط الرقابية الوطنية</w:t>
            </w:r>
          </w:p>
        </w:tc>
        <w:tc>
          <w:tcPr>
            <w:tcW w:w="1300" w:type="dxa"/>
            <w:vAlign w:val="center"/>
          </w:tcPr>
          <w:p w14:paraId="0398B9D1" w14:textId="77777777" w:rsidR="00827F40" w:rsidRDefault="00F03C2E">
            <w:pPr>
              <w:bidi/>
              <w:spacing w:after="0" w:line="280" w:lineRule="auto"/>
              <w:jc w:val="right"/>
            </w:pPr>
            <w:r>
              <w:rPr>
                <w:rFonts w:ascii="Traditional Arabic" w:hAnsi="Traditional Arabic" w:cs="Traditional Arabic"/>
                <w:rtl/>
              </w:rPr>
              <w:t>6 عبارات</w:t>
            </w:r>
          </w:p>
        </w:tc>
        <w:tc>
          <w:tcPr>
            <w:tcW w:w="2100" w:type="dxa"/>
            <w:vAlign w:val="center"/>
          </w:tcPr>
          <w:p w14:paraId="151D3DA0" w14:textId="77777777" w:rsidR="00827F40" w:rsidRDefault="00F03C2E">
            <w:pPr>
              <w:bidi/>
              <w:spacing w:after="0" w:line="280" w:lineRule="auto"/>
              <w:jc w:val="right"/>
            </w:pPr>
            <w:r>
              <w:rPr>
                <w:rFonts w:ascii="Traditional Arabic" w:hAnsi="Traditional Arabic" w:cs="Traditional Arabic"/>
                <w:rtl/>
              </w:rPr>
              <w:t>PCI SSC (2024); Park &amp; Hastings (2025)</w:t>
            </w:r>
          </w:p>
        </w:tc>
      </w:tr>
      <w:tr w:rsidR="00827F40" w14:paraId="687DCC8C" w14:textId="77777777">
        <w:tc>
          <w:tcPr>
            <w:tcW w:w="2600" w:type="dxa"/>
            <w:vAlign w:val="center"/>
          </w:tcPr>
          <w:p w14:paraId="19923C0C" w14:textId="77777777" w:rsidR="00827F40" w:rsidRDefault="00F03C2E">
            <w:pPr>
              <w:bidi/>
              <w:spacing w:after="0" w:line="280" w:lineRule="auto"/>
              <w:jc w:val="right"/>
            </w:pPr>
            <w:r>
              <w:rPr>
                <w:rFonts w:ascii="Traditional Arabic" w:hAnsi="Traditional Arabic" w:cs="Traditional Arabic"/>
                <w:rtl/>
              </w:rPr>
              <w:t>الأمن السيبراني المؤسسي</w:t>
            </w:r>
          </w:p>
        </w:tc>
        <w:tc>
          <w:tcPr>
            <w:tcW w:w="1700" w:type="dxa"/>
            <w:vAlign w:val="center"/>
          </w:tcPr>
          <w:p w14:paraId="1A165055" w14:textId="77777777" w:rsidR="00827F40" w:rsidRDefault="00F03C2E">
            <w:pPr>
              <w:bidi/>
              <w:spacing w:after="0" w:line="280" w:lineRule="auto"/>
              <w:jc w:val="right"/>
            </w:pPr>
            <w:r>
              <w:rPr>
                <w:rFonts w:ascii="Traditional Arabic" w:hAnsi="Traditional Arabic" w:cs="Traditional Arabic"/>
                <w:rtl/>
              </w:rPr>
              <w:t>تابع أول</w:t>
            </w:r>
          </w:p>
        </w:tc>
        <w:tc>
          <w:tcPr>
            <w:tcW w:w="2600" w:type="dxa"/>
            <w:vAlign w:val="center"/>
          </w:tcPr>
          <w:p w14:paraId="65149AA7" w14:textId="77777777" w:rsidR="00827F40" w:rsidRDefault="00F03C2E">
            <w:pPr>
              <w:bidi/>
              <w:spacing w:after="0" w:line="280" w:lineRule="auto"/>
              <w:jc w:val="right"/>
            </w:pPr>
            <w:r>
              <w:rPr>
                <w:rFonts w:ascii="Traditional Arabic" w:hAnsi="Traditional Arabic" w:cs="Traditional Arabic"/>
                <w:rtl/>
              </w:rPr>
              <w:t>الوقاية، الاستجابة للحوادث، استمرارية الأعمال</w:t>
            </w:r>
          </w:p>
        </w:tc>
        <w:tc>
          <w:tcPr>
            <w:tcW w:w="1300" w:type="dxa"/>
            <w:vAlign w:val="center"/>
          </w:tcPr>
          <w:p w14:paraId="627DE756" w14:textId="77777777" w:rsidR="00827F40" w:rsidRDefault="00F03C2E">
            <w:pPr>
              <w:bidi/>
              <w:spacing w:after="0" w:line="280" w:lineRule="auto"/>
              <w:jc w:val="right"/>
            </w:pPr>
            <w:r>
              <w:rPr>
                <w:rFonts w:ascii="Traditional Arabic" w:hAnsi="Traditional Arabic" w:cs="Traditional Arabic"/>
                <w:rtl/>
              </w:rPr>
              <w:t>6 عبارات</w:t>
            </w:r>
          </w:p>
        </w:tc>
        <w:tc>
          <w:tcPr>
            <w:tcW w:w="2100" w:type="dxa"/>
            <w:vAlign w:val="center"/>
          </w:tcPr>
          <w:p w14:paraId="1320B2F3" w14:textId="77777777" w:rsidR="00827F40" w:rsidRDefault="00F03C2E">
            <w:pPr>
              <w:bidi/>
              <w:spacing w:after="0" w:line="280" w:lineRule="auto"/>
              <w:jc w:val="right"/>
            </w:pPr>
            <w:r>
              <w:rPr>
                <w:rFonts w:ascii="Traditional Arabic" w:hAnsi="Traditional Arabic" w:cs="Traditional Arabic"/>
                <w:rtl/>
              </w:rPr>
              <w:t>NIST (2023); ENISA (2024)</w:t>
            </w:r>
          </w:p>
        </w:tc>
      </w:tr>
      <w:tr w:rsidR="00827F40" w14:paraId="6ADD63FA" w14:textId="77777777">
        <w:tc>
          <w:tcPr>
            <w:tcW w:w="2600" w:type="dxa"/>
            <w:vAlign w:val="center"/>
          </w:tcPr>
          <w:p w14:paraId="3D1D0082" w14:textId="77777777" w:rsidR="00827F40" w:rsidRDefault="00F03C2E">
            <w:pPr>
              <w:bidi/>
              <w:spacing w:after="0" w:line="280" w:lineRule="auto"/>
              <w:jc w:val="right"/>
            </w:pPr>
            <w:r>
              <w:rPr>
                <w:rFonts w:ascii="Traditional Arabic" w:hAnsi="Traditional Arabic" w:cs="Traditional Arabic"/>
                <w:rtl/>
              </w:rPr>
              <w:t>كفاءة العمليات المالية</w:t>
            </w:r>
          </w:p>
        </w:tc>
        <w:tc>
          <w:tcPr>
            <w:tcW w:w="1700" w:type="dxa"/>
            <w:vAlign w:val="center"/>
          </w:tcPr>
          <w:p w14:paraId="1CA9596A" w14:textId="77777777" w:rsidR="00827F40" w:rsidRDefault="00F03C2E">
            <w:pPr>
              <w:bidi/>
              <w:spacing w:after="0" w:line="280" w:lineRule="auto"/>
              <w:jc w:val="right"/>
            </w:pPr>
            <w:r>
              <w:rPr>
                <w:rFonts w:ascii="Traditional Arabic" w:hAnsi="Traditional Arabic" w:cs="Traditional Arabic"/>
                <w:rtl/>
              </w:rPr>
              <w:t>تابع ثانٍ</w:t>
            </w:r>
          </w:p>
        </w:tc>
        <w:tc>
          <w:tcPr>
            <w:tcW w:w="2600" w:type="dxa"/>
            <w:vAlign w:val="center"/>
          </w:tcPr>
          <w:p w14:paraId="27D7F759" w14:textId="77777777" w:rsidR="00827F40" w:rsidRDefault="00F03C2E">
            <w:pPr>
              <w:bidi/>
              <w:spacing w:after="0" w:line="280" w:lineRule="auto"/>
              <w:jc w:val="right"/>
            </w:pPr>
            <w:r>
              <w:rPr>
                <w:rFonts w:ascii="Traditional Arabic" w:hAnsi="Traditional Arabic" w:cs="Traditional Arabic"/>
                <w:rtl/>
              </w:rPr>
              <w:t>سرعة المعالجة، دقة التنفيذ، تكلفة التشغيل</w:t>
            </w:r>
          </w:p>
        </w:tc>
        <w:tc>
          <w:tcPr>
            <w:tcW w:w="1300" w:type="dxa"/>
            <w:vAlign w:val="center"/>
          </w:tcPr>
          <w:p w14:paraId="2338E1E2" w14:textId="77777777" w:rsidR="00827F40" w:rsidRDefault="00F03C2E">
            <w:pPr>
              <w:bidi/>
              <w:spacing w:after="0" w:line="280" w:lineRule="auto"/>
              <w:jc w:val="right"/>
            </w:pPr>
            <w:r>
              <w:rPr>
                <w:rFonts w:ascii="Traditional Arabic" w:hAnsi="Traditional Arabic" w:cs="Traditional Arabic"/>
                <w:rtl/>
              </w:rPr>
              <w:t>6 عبارات</w:t>
            </w:r>
          </w:p>
        </w:tc>
        <w:tc>
          <w:tcPr>
            <w:tcW w:w="2100" w:type="dxa"/>
            <w:vAlign w:val="center"/>
          </w:tcPr>
          <w:p w14:paraId="583E58B1" w14:textId="77777777" w:rsidR="00827F40" w:rsidRDefault="00F03C2E">
            <w:pPr>
              <w:bidi/>
              <w:spacing w:after="0" w:line="280" w:lineRule="auto"/>
              <w:jc w:val="right"/>
            </w:pPr>
            <w:r>
              <w:rPr>
                <w:rFonts w:ascii="Traditional Arabic" w:hAnsi="Traditional Arabic" w:cs="Traditional Arabic"/>
                <w:rtl/>
              </w:rPr>
              <w:t>SAMA (2024); BIS (2024)</w:t>
            </w:r>
          </w:p>
        </w:tc>
      </w:tr>
      <w:tr w:rsidR="00827F40" w14:paraId="64907C2A" w14:textId="77777777">
        <w:tc>
          <w:tcPr>
            <w:tcW w:w="2600" w:type="dxa"/>
            <w:vAlign w:val="center"/>
          </w:tcPr>
          <w:p w14:paraId="4A515A51" w14:textId="77777777" w:rsidR="00827F40" w:rsidRDefault="00F03C2E">
            <w:pPr>
              <w:bidi/>
              <w:spacing w:after="0" w:line="280" w:lineRule="auto"/>
              <w:jc w:val="right"/>
            </w:pPr>
            <w:r>
              <w:rPr>
                <w:rFonts w:ascii="Traditional Arabic" w:hAnsi="Traditional Arabic" w:cs="Traditional Arabic"/>
                <w:rtl/>
              </w:rPr>
              <w:t>نوع المؤسسة، سنوات الخبرة، المستوى الوظيفي، المؤهل العلمي، مجال التخصص</w:t>
            </w:r>
          </w:p>
        </w:tc>
        <w:tc>
          <w:tcPr>
            <w:tcW w:w="1700" w:type="dxa"/>
            <w:vAlign w:val="center"/>
          </w:tcPr>
          <w:p w14:paraId="2E02AFDE" w14:textId="77777777" w:rsidR="00827F40" w:rsidRDefault="00F03C2E">
            <w:pPr>
              <w:bidi/>
              <w:spacing w:after="0" w:line="280" w:lineRule="auto"/>
              <w:jc w:val="right"/>
            </w:pPr>
            <w:r>
              <w:rPr>
                <w:rFonts w:ascii="Traditional Arabic" w:hAnsi="Traditional Arabic" w:cs="Traditional Arabic"/>
                <w:rtl/>
              </w:rPr>
              <w:t>ضابطة (تصنيفية)</w:t>
            </w:r>
          </w:p>
        </w:tc>
        <w:tc>
          <w:tcPr>
            <w:tcW w:w="2600" w:type="dxa"/>
            <w:vAlign w:val="center"/>
          </w:tcPr>
          <w:p w14:paraId="38219457" w14:textId="77777777" w:rsidR="00827F40" w:rsidRDefault="00F03C2E">
            <w:pPr>
              <w:bidi/>
              <w:spacing w:after="0" w:line="280" w:lineRule="auto"/>
              <w:jc w:val="right"/>
            </w:pPr>
            <w:r>
              <w:rPr>
                <w:rFonts w:ascii="Traditional Arabic" w:hAnsi="Traditional Arabic" w:cs="Traditional Arabic"/>
                <w:rtl/>
              </w:rPr>
              <w:t>تُستخدَم في تقسيم العينة عند اختبار الفروق</w:t>
            </w:r>
          </w:p>
        </w:tc>
        <w:tc>
          <w:tcPr>
            <w:tcW w:w="1300" w:type="dxa"/>
            <w:vAlign w:val="center"/>
          </w:tcPr>
          <w:p w14:paraId="7B44AC63" w14:textId="77777777" w:rsidR="00827F40" w:rsidRDefault="00F03C2E">
            <w:pPr>
              <w:bidi/>
              <w:spacing w:after="0" w:line="280" w:lineRule="auto"/>
              <w:jc w:val="right"/>
            </w:pPr>
            <w:r>
              <w:rPr>
                <w:rFonts w:ascii="Traditional Arabic" w:hAnsi="Traditional Arabic" w:cs="Traditional Arabic"/>
                <w:rtl/>
              </w:rPr>
              <w:t>6 عبارات (بيانات أولية)</w:t>
            </w:r>
          </w:p>
        </w:tc>
        <w:tc>
          <w:tcPr>
            <w:tcW w:w="2100" w:type="dxa"/>
            <w:vAlign w:val="center"/>
          </w:tcPr>
          <w:p w14:paraId="1496498E" w14:textId="77777777" w:rsidR="00827F40" w:rsidRDefault="00F03C2E">
            <w:pPr>
              <w:bidi/>
              <w:spacing w:after="0" w:line="280" w:lineRule="auto"/>
              <w:jc w:val="right"/>
            </w:pPr>
            <w:r>
              <w:rPr>
                <w:rFonts w:ascii="Traditional Arabic" w:hAnsi="Traditional Arabic" w:cs="Traditional Arabic"/>
                <w:rtl/>
              </w:rPr>
              <w:t>إعداد الباحث</w:t>
            </w:r>
          </w:p>
        </w:tc>
      </w:tr>
      <w:tr w:rsidR="00827F40" w14:paraId="2E1581C7" w14:textId="77777777">
        <w:tc>
          <w:tcPr>
            <w:tcW w:w="2600" w:type="dxa"/>
            <w:vAlign w:val="center"/>
          </w:tcPr>
          <w:p w14:paraId="15F83E36" w14:textId="77777777" w:rsidR="00827F40" w:rsidRDefault="00F03C2E">
            <w:pPr>
              <w:bidi/>
              <w:spacing w:after="0" w:line="280" w:lineRule="auto"/>
              <w:jc w:val="right"/>
            </w:pPr>
            <w:r>
              <w:rPr>
                <w:rFonts w:ascii="Traditional Arabic" w:hAnsi="Traditional Arabic" w:cs="Traditional Arabic"/>
                <w:rtl/>
              </w:rPr>
              <w:t>التوافق مع رؤية 2030 والتحول الرقمي المالي</w:t>
            </w:r>
          </w:p>
        </w:tc>
        <w:tc>
          <w:tcPr>
            <w:tcW w:w="1700" w:type="dxa"/>
            <w:vAlign w:val="center"/>
          </w:tcPr>
          <w:p w14:paraId="6F77671F" w14:textId="77777777" w:rsidR="00827F40" w:rsidRDefault="00F03C2E">
            <w:pPr>
              <w:bidi/>
              <w:spacing w:after="0" w:line="280" w:lineRule="auto"/>
              <w:jc w:val="right"/>
            </w:pPr>
            <w:r>
              <w:rPr>
                <w:rFonts w:ascii="Traditional Arabic" w:hAnsi="Traditional Arabic" w:cs="Traditional Arabic"/>
                <w:rtl/>
              </w:rPr>
              <w:t>إطار تفسيري (خارج الفروض)</w:t>
            </w:r>
          </w:p>
        </w:tc>
        <w:tc>
          <w:tcPr>
            <w:tcW w:w="2600" w:type="dxa"/>
            <w:vAlign w:val="center"/>
          </w:tcPr>
          <w:p w14:paraId="52BBF15E" w14:textId="77777777" w:rsidR="00827F40" w:rsidRDefault="00F03C2E">
            <w:pPr>
              <w:bidi/>
              <w:spacing w:after="0" w:line="280" w:lineRule="auto"/>
              <w:jc w:val="right"/>
            </w:pPr>
            <w:r>
              <w:rPr>
                <w:rFonts w:ascii="Traditional Arabic" w:hAnsi="Traditional Arabic" w:cs="Traditional Arabic"/>
                <w:rtl/>
              </w:rPr>
              <w:t>لا يدخل في نماذج الانحدار ولا في اختبارات الفروق</w:t>
            </w:r>
          </w:p>
        </w:tc>
        <w:tc>
          <w:tcPr>
            <w:tcW w:w="1300" w:type="dxa"/>
            <w:vAlign w:val="center"/>
          </w:tcPr>
          <w:p w14:paraId="0F278C93" w14:textId="77777777" w:rsidR="00827F40" w:rsidRDefault="00F03C2E">
            <w:pPr>
              <w:bidi/>
              <w:spacing w:after="0" w:line="280" w:lineRule="auto"/>
              <w:jc w:val="right"/>
            </w:pPr>
            <w:r>
              <w:rPr>
                <w:rFonts w:ascii="Traditional Arabic" w:hAnsi="Traditional Arabic" w:cs="Traditional Arabic"/>
                <w:rtl/>
              </w:rPr>
              <w:t>7 عبارات</w:t>
            </w:r>
          </w:p>
        </w:tc>
        <w:tc>
          <w:tcPr>
            <w:tcW w:w="2100" w:type="dxa"/>
            <w:vAlign w:val="center"/>
          </w:tcPr>
          <w:p w14:paraId="7B48ACAE" w14:textId="77777777" w:rsidR="00827F40" w:rsidRDefault="00F03C2E">
            <w:pPr>
              <w:bidi/>
              <w:spacing w:after="0" w:line="280" w:lineRule="auto"/>
              <w:jc w:val="right"/>
            </w:pPr>
            <w:r>
              <w:rPr>
                <w:rFonts w:ascii="Traditional Arabic" w:hAnsi="Traditional Arabic" w:cs="Traditional Arabic"/>
                <w:rtl/>
              </w:rPr>
              <w:t>رؤية المملكة 2030 (2024)</w:t>
            </w:r>
          </w:p>
        </w:tc>
      </w:tr>
    </w:tbl>
    <w:p w14:paraId="0A207ECC" w14:textId="77777777" w:rsidR="00B35152" w:rsidRPr="00085CAB" w:rsidRDefault="00B35152" w:rsidP="00FD6BAF">
      <w:pPr>
        <w:pStyle w:val="TableCaption"/>
        <w:bidi/>
        <w:spacing w:after="0" w:line="300" w:lineRule="auto"/>
        <w:jc w:val="center"/>
        <w:rPr>
          <w:rFonts w:ascii="Simplified Arabic" w:hAnsi="Simplified Arabic" w:cs="Simplified Arabic"/>
          <w:sz w:val="28"/>
          <w:szCs w:val="28"/>
        </w:rPr>
      </w:pPr>
      <w:r>
        <w:rPr>
          <w:rFonts w:ascii="Traditional Arabic" w:hAnsi="Traditional Arabic" w:cs="Traditional Arabic"/>
          <w:b/>
          <w:bCs/>
          <w:sz w:val="24"/>
          <w:szCs w:val="24"/>
          <w:rtl/>
        </w:rPr>
        <w:t>جدول (3.2): متغيرات الدراسة وتصنيفها ومقاييسها</w:t>
      </w:r>
    </w:p>
    <w:p w14:paraId="1BAD00DF" w14:textId="77777777" w:rsidR="00D46A37" w:rsidRPr="0005531B" w:rsidRDefault="00D46A37" w:rsidP="00E000FF">
      <w:pPr>
        <w:bidi/>
        <w:spacing w:after="0" w:line="360" w:lineRule="auto"/>
        <w:jc w:val="both"/>
        <w:rPr>
          <w:rFonts w:ascii="Traditional Arabic" w:hAnsi="Traditional Arabic" w:cs="Traditional Arabic"/>
          <w:sz w:val="28"/>
          <w:szCs w:val="28"/>
        </w:rPr>
      </w:pPr>
      <w:r>
        <w:rPr>
          <w:rFonts w:ascii="Traditional Arabic" w:hAnsi="Traditional Arabic" w:cs="Traditional Arabic"/>
          <w:sz w:val="28"/>
          <w:szCs w:val="28"/>
          <w:rtl/>
        </w:rPr>
        <w:t>ملحوظة منهجية بشأن صياغة العبارات: صيغت عبارات الأداة بأسلوب إدراكي يقيس تصوّر المستجيب لمستوى تطبيق كل متغير داخل مؤسسته، لا بأسلوب سببي يفترض العلاقة مسبقاً. وقد رُوعي عند التحكيم أن تنتمي كل عبارة إلى بُعدها المقصود، وأكّدت نتائج صدق الاتساق الداخلي في الفصل الرابع انتماء جميع العبارات إلى أبعادها بمعاملات ارتباط دالة إحصائياً عند مستوى (0.01)، كما تجاوزت معاملات ألفا كرونباخ لجميع الأبعاد الحد المقبول. ومع ذلك، يوصي الباحث في مقترحات البحوث المستقبلية بإعادة صياغة عدد من العبارات التي تتضمن إشارة صريحة إلى الترميز داخل بُعدَي الأمن السيبراني وكفاءة العمليات، بما يزيد من الاستقلال المفاهيمي بين الأبعاد في الدراسات اللاحقة.</w:t>
      </w:r>
    </w:p>
    <w:p w14:paraId="57073DA8" w14:textId="77777777" w:rsidR="00D46A37" w:rsidRPr="0005531B" w:rsidRDefault="00D46A37" w:rsidP="00E000FF">
      <w:pPr>
        <w:bidi/>
        <w:spacing w:after="0" w:line="360" w:lineRule="auto"/>
        <w:jc w:val="both"/>
        <w:rPr>
          <w:rFonts w:ascii="Traditional Arabic" w:hAnsi="Traditional Arabic" w:cs="Traditional Arabic"/>
          <w:sz w:val="28"/>
          <w:szCs w:val="28"/>
        </w:rPr>
      </w:pPr>
      <w:r>
        <w:rPr>
          <w:rFonts w:ascii="Traditional Arabic" w:hAnsi="Traditional Arabic" w:cs="Traditional Arabic"/>
          <w:sz w:val="28"/>
          <w:szCs w:val="28"/>
          <w:rtl/>
        </w:rPr>
        <w:t>ويتضح من الجدول أن الدراسة تقوم على متغيرين مستقلين ومتغيرين تابعين، دون أي متغير وسيط أو معدِّل، وهو ما يتطابق مع نموذج الدراسة في الفصل الأول ومع فروضها الثلاثة الرئيسة وفروعها الستة ومع الأساليب الإحصائية المطبَّقة في الفصل الرابع.</w:t>
      </w:r>
    </w:p>
    <w:p w14:paraId="4BD53D48" w14:textId="77777777" w:rsidR="00B35152" w:rsidRDefault="00B35152" w:rsidP="00E000FF">
      <w:pPr>
        <w:bidi/>
        <w:spacing w:after="0" w:line="360" w:lineRule="auto"/>
        <w:jc w:val="both"/>
        <w:rPr>
          <w:rFonts w:ascii="Simplified Arabic" w:hAnsi="Simplified Arabic" w:cs="Simplified Arabic"/>
          <w:sz w:val="28"/>
          <w:szCs w:val="28"/>
        </w:rPr>
      </w:pPr>
    </w:p>
    <w:p w14:paraId="4E9CD889" w14:textId="77777777" w:rsidR="00B35152" w:rsidRPr="0050606C" w:rsidRDefault="00B35152" w:rsidP="00FD6BAF">
      <w:pPr>
        <w:pStyle w:val="TableCaption"/>
        <w:bidi/>
        <w:spacing w:after="0" w:line="300" w:lineRule="auto"/>
        <w:jc w:val="center"/>
        <w:rPr>
          <w:rFonts w:ascii="Simplified Arabic" w:hAnsi="Simplified Arabic" w:cs="Simplified Arabic"/>
          <w:sz w:val="28"/>
          <w:szCs w:val="28"/>
        </w:rPr>
      </w:pPr>
      <w:r>
        <w:rPr>
          <w:rFonts w:ascii="Traditional Arabic" w:hAnsi="Traditional Arabic" w:cs="Traditional Arabic" w:hint="cs"/>
          <w:b/>
          <w:bCs/>
          <w:sz w:val="24"/>
          <w:szCs w:val="24"/>
          <w:rtl/>
        </w:rPr>
        <w:t>جدول</w:t>
      </w:r>
      <w:r>
        <w:rPr>
          <w:rFonts w:ascii="Traditional Arabic" w:hAnsi="Traditional Arabic" w:cs="Traditional Arabic"/>
          <w:b/>
          <w:bCs/>
          <w:sz w:val="24"/>
          <w:szCs w:val="24"/>
          <w:rtl/>
        </w:rPr>
        <w:t xml:space="preserve"> (3.2-</w:t>
      </w:r>
      <w:r>
        <w:rPr>
          <w:rFonts w:ascii="Traditional Arabic" w:hAnsi="Traditional Arabic" w:cs="Traditional Arabic" w:hint="cs"/>
          <w:b/>
          <w:bCs/>
          <w:sz w:val="24"/>
          <w:szCs w:val="24"/>
          <w:rtl/>
        </w:rPr>
        <w:t>أ</w:t>
      </w:r>
      <w:r>
        <w:rPr>
          <w:rFonts w:ascii="Traditional Arabic" w:hAnsi="Traditional Arabic" w:cs="Traditional Arabic"/>
          <w:b/>
          <w:bCs/>
          <w:sz w:val="24"/>
          <w:szCs w:val="24"/>
          <w:rtl/>
        </w:rPr>
        <w:t xml:space="preserve">): </w:t>
      </w:r>
      <w:r>
        <w:rPr>
          <w:rFonts w:ascii="Traditional Arabic" w:hAnsi="Traditional Arabic" w:cs="Traditional Arabic" w:hint="cs"/>
          <w:b/>
          <w:bCs/>
          <w:sz w:val="24"/>
          <w:szCs w:val="24"/>
          <w:rtl/>
        </w:rPr>
        <w:t>المصادر</w:t>
      </w:r>
      <w:r>
        <w:rPr>
          <w:rFonts w:ascii="Traditional Arabic" w:hAnsi="Traditional Arabic" w:cs="Traditional Arabic"/>
          <w:b/>
          <w:bCs/>
          <w:sz w:val="24"/>
          <w:szCs w:val="24"/>
          <w:rtl/>
        </w:rPr>
        <w:t xml:space="preserve"> </w:t>
      </w:r>
      <w:r>
        <w:rPr>
          <w:rFonts w:ascii="Traditional Arabic" w:hAnsi="Traditional Arabic" w:cs="Traditional Arabic" w:hint="cs"/>
          <w:b/>
          <w:bCs/>
          <w:sz w:val="24"/>
          <w:szCs w:val="24"/>
          <w:rtl/>
        </w:rPr>
        <w:t>العلمية</w:t>
      </w:r>
      <w:r>
        <w:rPr>
          <w:rFonts w:ascii="Traditional Arabic" w:hAnsi="Traditional Arabic" w:cs="Traditional Arabic"/>
          <w:b/>
          <w:bCs/>
          <w:sz w:val="24"/>
          <w:szCs w:val="24"/>
          <w:rtl/>
        </w:rPr>
        <w:t xml:space="preserve"> </w:t>
      </w:r>
      <w:r>
        <w:rPr>
          <w:rFonts w:ascii="Traditional Arabic" w:hAnsi="Traditional Arabic" w:cs="Traditional Arabic" w:hint="cs"/>
          <w:b/>
          <w:bCs/>
          <w:sz w:val="24"/>
          <w:szCs w:val="24"/>
          <w:rtl/>
        </w:rPr>
        <w:t>لبناء</w:t>
      </w:r>
      <w:r>
        <w:rPr>
          <w:rFonts w:ascii="Traditional Arabic" w:hAnsi="Traditional Arabic" w:cs="Traditional Arabic"/>
          <w:b/>
          <w:bCs/>
          <w:sz w:val="24"/>
          <w:szCs w:val="24"/>
          <w:rtl/>
        </w:rPr>
        <w:t xml:space="preserve"> </w:t>
      </w:r>
      <w:r>
        <w:rPr>
          <w:rFonts w:ascii="Traditional Arabic" w:hAnsi="Traditional Arabic" w:cs="Traditional Arabic" w:hint="cs"/>
          <w:b/>
          <w:bCs/>
          <w:sz w:val="24"/>
          <w:szCs w:val="24"/>
          <w:rtl/>
        </w:rPr>
        <w:t>محاور</w:t>
      </w:r>
      <w:r>
        <w:rPr>
          <w:rFonts w:ascii="Traditional Arabic" w:hAnsi="Traditional Arabic" w:cs="Traditional Arabic"/>
          <w:b/>
          <w:bCs/>
          <w:sz w:val="24"/>
          <w:szCs w:val="24"/>
          <w:rtl/>
        </w:rPr>
        <w:t xml:space="preserve"> </w:t>
      </w:r>
      <w:r>
        <w:rPr>
          <w:rFonts w:ascii="Traditional Arabic" w:hAnsi="Traditional Arabic" w:cs="Traditional Arabic" w:hint="cs"/>
          <w:b/>
          <w:bCs/>
          <w:sz w:val="24"/>
          <w:szCs w:val="24"/>
          <w:rtl/>
        </w:rPr>
        <w:t>الاستبانة</w:t>
      </w:r>
    </w:p>
    <w:tbl>
      <w:tblPr>
        <w:tblStyle w:val="4-1"/>
        <w:tblW w:w="8298" w:type="dxa"/>
        <w:tblLook w:val="04A0" w:firstRow="1" w:lastRow="0" w:firstColumn="1" w:lastColumn="0" w:noHBand="0" w:noVBand="1"/>
      </w:tblPr>
      <w:tblGrid>
        <w:gridCol w:w="3218"/>
        <w:gridCol w:w="3154"/>
        <w:gridCol w:w="1926"/>
      </w:tblGrid>
      <w:tr w:rsidR="00B35152" w:rsidRPr="00DB43FD" w14:paraId="68F6B293" w14:textId="77777777" w:rsidTr="00B943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18" w:type="dxa"/>
            <w:vAlign w:val="center"/>
          </w:tcPr>
          <w:p w14:paraId="722BD064" w14:textId="77777777" w:rsidR="00B35152" w:rsidRPr="00DB43FD"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المرجع الرئيسي المعتمد</w:t>
            </w:r>
          </w:p>
        </w:tc>
        <w:tc>
          <w:tcPr>
            <w:tcW w:w="3154" w:type="dxa"/>
            <w:vAlign w:val="center"/>
          </w:tcPr>
          <w:p w14:paraId="15E67741" w14:textId="77777777" w:rsidR="00B35152" w:rsidRPr="00DB43FD"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المصادر العلمية</w:t>
            </w:r>
          </w:p>
        </w:tc>
        <w:tc>
          <w:tcPr>
            <w:tcW w:w="1926" w:type="dxa"/>
            <w:vAlign w:val="center"/>
          </w:tcPr>
          <w:p w14:paraId="4579B3E2" w14:textId="77777777" w:rsidR="00B35152" w:rsidRPr="00DB43FD"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المحور</w:t>
            </w:r>
          </w:p>
        </w:tc>
      </w:tr>
      <w:tr w:rsidR="00B35152" w:rsidRPr="00DB43FD" w14:paraId="418E5892"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18" w:type="dxa"/>
            <w:vAlign w:val="center"/>
          </w:tcPr>
          <w:p w14:paraId="5B2DAA8F" w14:textId="77777777" w:rsidR="00B35152" w:rsidRPr="00DB43FD"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EMVCo (2023); PCI DSS (2022); Al-Otaibi et al. (2023)</w:t>
            </w:r>
          </w:p>
        </w:tc>
        <w:tc>
          <w:tcPr>
            <w:tcW w:w="3154" w:type="dxa"/>
            <w:vAlign w:val="center"/>
          </w:tcPr>
          <w:p w14:paraId="01F52524" w14:textId="77777777" w:rsidR="00B35152" w:rsidRPr="00DB43FD"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معايير دولية + دراسات تطبيقية في الترميز المالي</w:t>
            </w:r>
          </w:p>
        </w:tc>
        <w:tc>
          <w:tcPr>
            <w:tcW w:w="1926" w:type="dxa"/>
            <w:vAlign w:val="center"/>
          </w:tcPr>
          <w:p w14:paraId="349E8CDA" w14:textId="77777777" w:rsidR="00B35152" w:rsidRPr="00DB43FD"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تطبيق تقنية الترميز</w:t>
            </w:r>
          </w:p>
        </w:tc>
      </w:tr>
      <w:tr w:rsidR="00B35152" w:rsidRPr="00DB43FD" w14:paraId="73C14398" w14:textId="77777777" w:rsidTr="00B943E6">
        <w:tc>
          <w:tcPr>
            <w:cnfStyle w:val="001000000000" w:firstRow="0" w:lastRow="0" w:firstColumn="1" w:lastColumn="0" w:oddVBand="0" w:evenVBand="0" w:oddHBand="0" w:evenHBand="0" w:firstRowFirstColumn="0" w:firstRowLastColumn="0" w:lastRowFirstColumn="0" w:lastRowLastColumn="0"/>
            <w:tcW w:w="3218" w:type="dxa"/>
            <w:vAlign w:val="center"/>
          </w:tcPr>
          <w:p w14:paraId="0CE8AD90" w14:textId="77777777" w:rsidR="00B35152" w:rsidRPr="00DB43FD"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NCA (2022); NIST (2021); Al-Ghamdi &amp; Hassan (2022)</w:t>
            </w:r>
          </w:p>
        </w:tc>
        <w:tc>
          <w:tcPr>
            <w:tcW w:w="3154" w:type="dxa"/>
            <w:vAlign w:val="center"/>
          </w:tcPr>
          <w:p w14:paraId="55571C97" w14:textId="77777777" w:rsidR="00B35152" w:rsidRPr="00DB43FD"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إطار الأمن السيبراني الوطني + دراسات أمن المعلومات</w:t>
            </w:r>
          </w:p>
        </w:tc>
        <w:tc>
          <w:tcPr>
            <w:tcW w:w="1926" w:type="dxa"/>
            <w:vAlign w:val="center"/>
          </w:tcPr>
          <w:p w14:paraId="09F0BE4D" w14:textId="77777777" w:rsidR="00B35152" w:rsidRPr="00DB43FD"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الأمن السيبراني</w:t>
            </w:r>
          </w:p>
        </w:tc>
      </w:tr>
      <w:tr w:rsidR="00B35152" w:rsidRPr="00DB43FD" w14:paraId="60615352"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18" w:type="dxa"/>
            <w:vAlign w:val="center"/>
          </w:tcPr>
          <w:p w14:paraId="584B2430" w14:textId="77777777" w:rsidR="00B35152" w:rsidRPr="00DB43FD"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BIS (2022); Arner et al. (2023); Al-Zahrani (2023)</w:t>
            </w:r>
          </w:p>
        </w:tc>
        <w:tc>
          <w:tcPr>
            <w:tcW w:w="3154" w:type="dxa"/>
            <w:vAlign w:val="center"/>
          </w:tcPr>
          <w:p w14:paraId="55B83CF2" w14:textId="77777777" w:rsidR="00B35152" w:rsidRPr="00DB43FD"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تقارير دولية + دراسات كفاءة العمليات المالية</w:t>
            </w:r>
          </w:p>
        </w:tc>
        <w:tc>
          <w:tcPr>
            <w:tcW w:w="1926" w:type="dxa"/>
            <w:vAlign w:val="center"/>
          </w:tcPr>
          <w:p w14:paraId="18070541" w14:textId="77777777" w:rsidR="00B35152" w:rsidRPr="00DB43FD"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كفاءة العمليات المالية</w:t>
            </w:r>
          </w:p>
        </w:tc>
      </w:tr>
      <w:tr w:rsidR="00B35152" w:rsidRPr="00DB43FD" w14:paraId="5C340358" w14:textId="77777777" w:rsidTr="00B943E6">
        <w:tc>
          <w:tcPr>
            <w:cnfStyle w:val="001000000000" w:firstRow="0" w:lastRow="0" w:firstColumn="1" w:lastColumn="0" w:oddVBand="0" w:evenVBand="0" w:oddHBand="0" w:evenHBand="0" w:firstRowFirstColumn="0" w:firstRowLastColumn="0" w:lastRowFirstColumn="0" w:lastRowLastColumn="0"/>
            <w:tcW w:w="3218" w:type="dxa"/>
            <w:vAlign w:val="center"/>
          </w:tcPr>
          <w:p w14:paraId="10C66049" w14:textId="77777777" w:rsidR="00B35152" w:rsidRPr="00DB43FD" w:rsidRDefault="00B35152" w:rsidP="00E000FF">
            <w:pPr>
              <w:bidi/>
              <w:spacing w:after="0" w:line="260" w:lineRule="auto"/>
              <w:jc w:val="center"/>
              <w:rPr>
                <w:rFonts w:ascii="Simplified Arabic" w:hAnsi="Simplified Arabic" w:cs="Simplified Arabic"/>
                <w:sz w:val="24"/>
                <w:szCs w:val="24"/>
                <w:lang w:val="pt-BR"/>
              </w:rPr>
            </w:pPr>
            <w:r>
              <w:rPr>
                <w:rFonts w:ascii="Traditional Arabic" w:hAnsi="Traditional Arabic" w:cs="Traditional Arabic"/>
                <w:rtl/>
                <w:lang w:val="pt-BR"/>
              </w:rPr>
              <w:t>SAMA (2023); Basel III; Al-Malki (2022)</w:t>
            </w:r>
          </w:p>
        </w:tc>
        <w:tc>
          <w:tcPr>
            <w:tcW w:w="3154" w:type="dxa"/>
            <w:vAlign w:val="center"/>
          </w:tcPr>
          <w:p w14:paraId="25688EC9" w14:textId="77777777" w:rsidR="00B35152" w:rsidRPr="00DB43FD"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لوائح ساما + إطار بازل + دراسات الامتثال</w:t>
            </w:r>
          </w:p>
        </w:tc>
        <w:tc>
          <w:tcPr>
            <w:tcW w:w="1926" w:type="dxa"/>
            <w:vAlign w:val="center"/>
          </w:tcPr>
          <w:p w14:paraId="373A8CB0" w14:textId="77777777" w:rsidR="00B35152" w:rsidRPr="00DB43FD"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الامتثال التنظيمي</w:t>
            </w:r>
          </w:p>
        </w:tc>
      </w:tr>
      <w:tr w:rsidR="00B35152" w:rsidRPr="00DB43FD" w14:paraId="416E3264"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18" w:type="dxa"/>
            <w:vAlign w:val="center"/>
          </w:tcPr>
          <w:p w14:paraId="527124C7" w14:textId="77777777" w:rsidR="00B35152" w:rsidRPr="00DB43FD"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Rogers (2003); Venkatesh et al. (2021); Al-Shehri (2022)</w:t>
            </w:r>
          </w:p>
        </w:tc>
        <w:tc>
          <w:tcPr>
            <w:tcW w:w="3154" w:type="dxa"/>
            <w:vAlign w:val="center"/>
          </w:tcPr>
          <w:p w14:paraId="599CD004" w14:textId="77777777" w:rsidR="00B35152" w:rsidRPr="00DB43FD"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نظرية الابتكار + UTAUT + دراسات التبني التقني</w:t>
            </w:r>
          </w:p>
        </w:tc>
        <w:tc>
          <w:tcPr>
            <w:tcW w:w="1926" w:type="dxa"/>
            <w:vAlign w:val="center"/>
          </w:tcPr>
          <w:p w14:paraId="6FE50E9B" w14:textId="77777777" w:rsidR="00B35152" w:rsidRPr="00DB43FD"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تحديات التطبيق</w:t>
            </w:r>
          </w:p>
        </w:tc>
      </w:tr>
    </w:tbl>
    <w:p w14:paraId="3B8FF754" w14:textId="77777777" w:rsidR="00B35152" w:rsidRDefault="00B35152" w:rsidP="00E000FF">
      <w:pPr>
        <w:bidi/>
        <w:spacing w:after="0" w:line="360" w:lineRule="auto"/>
        <w:jc w:val="both"/>
        <w:rPr>
          <w:rFonts w:ascii="Simplified Arabic" w:hAnsi="Simplified Arabic" w:cs="Simplified Arabic"/>
          <w:sz w:val="28"/>
          <w:szCs w:val="28"/>
          <w:rtl/>
        </w:rPr>
      </w:pPr>
    </w:p>
    <w:p w14:paraId="1D10128E" w14:textId="77777777" w:rsidR="00FD6BAF" w:rsidRPr="00085CAB" w:rsidRDefault="00FD6BAF" w:rsidP="00FD6BAF">
      <w:pPr>
        <w:bidi/>
        <w:spacing w:after="0" w:line="360" w:lineRule="auto"/>
        <w:jc w:val="both"/>
        <w:rPr>
          <w:rFonts w:ascii="Simplified Arabic" w:hAnsi="Simplified Arabic" w:cs="Simplified Arabic"/>
          <w:sz w:val="28"/>
          <w:szCs w:val="28"/>
        </w:rPr>
      </w:pPr>
    </w:p>
    <w:p w14:paraId="0CA49E8A" w14:textId="77777777" w:rsidR="00B35152" w:rsidRPr="00310DA8" w:rsidRDefault="00B35152" w:rsidP="00E000FF">
      <w:pPr>
        <w:pStyle w:val="HeadingTOCEntry"/>
        <w:bidi/>
        <w:spacing w:after="0" w:line="360" w:lineRule="auto"/>
        <w:rPr>
          <w:rFonts w:ascii="Simplified Arabic" w:hAnsi="Simplified Arabic" w:cs="Simplified Arabic"/>
          <w:b/>
          <w:bCs/>
          <w:sz w:val="28"/>
          <w:szCs w:val="28"/>
          <w:u w:val="single"/>
        </w:rPr>
      </w:pPr>
      <w:bookmarkStart w:id="40" w:name="_Toc234424161"/>
      <w:r>
        <w:rPr>
          <w:rFonts w:ascii="Traditional Arabic" w:hAnsi="Traditional Arabic" w:cs="Traditional Arabic"/>
          <w:b/>
          <w:bCs/>
          <w:sz w:val="32"/>
          <w:szCs w:val="32"/>
          <w:u w:val="single"/>
          <w:rtl/>
        </w:rPr>
        <w:t>3.6 صدق أداة القياس</w:t>
      </w:r>
      <w:bookmarkEnd w:id="40"/>
    </w:p>
    <w:p w14:paraId="2262DC84" w14:textId="77777777" w:rsidR="00B35152" w:rsidRPr="00DD4597" w:rsidRDefault="00B35152"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3.6.1 صدق المحكّمين</w:t>
      </w:r>
    </w:p>
    <w:p w14:paraId="45B27943" w14:textId="77777777" w:rsidR="00B35152" w:rsidRPr="00FD6BAF" w:rsidRDefault="00B35152" w:rsidP="00E000FF">
      <w:pPr>
        <w:bidi/>
        <w:spacing w:after="0" w:line="360" w:lineRule="auto"/>
        <w:jc w:val="both"/>
        <w:rPr>
          <w:rFonts w:ascii="Simplified Arabic" w:hAnsi="Simplified Arabic" w:cs="Simplified Arabic"/>
          <w:sz w:val="32"/>
          <w:szCs w:val="32"/>
        </w:rPr>
      </w:pPr>
      <w:r>
        <w:rPr>
          <w:rFonts w:ascii="Traditional Arabic" w:hAnsi="Traditional Arabic" w:cs="Traditional Arabic"/>
          <w:sz w:val="28"/>
          <w:szCs w:val="28"/>
          <w:rtl/>
        </w:rPr>
        <w:t>عُرضت الاستبانة في صورتها الأولية على مجموعة من الأساتذة المتخصصين في مجالات الأمن السيبراني والتقنية المالية والمناهج البحثية، بهدف تقييم: مدى ملاءمة العبارات للمتغيرات التي صُمِّمت لقياسها، ووضوح الصياغة اللغوية وسلامتها، وشمولية المحاور وتغطية أهداف الدراسة. وبناءً على ملاحظاتهم، عُدِّلت العبارات التي استدعت التعديل أو الحذف أو الإضافة قبل التطبيق الفعلي.</w:t>
      </w:r>
    </w:p>
    <w:p w14:paraId="6AE2D9DA" w14:textId="77777777" w:rsidR="00B35152" w:rsidRPr="00DD4597" w:rsidRDefault="00B35152"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3.6.2 صدق الاتساق الداخلي</w:t>
      </w:r>
    </w:p>
    <w:p w14:paraId="1BCC6A39" w14:textId="77777777" w:rsidR="00B35152" w:rsidRPr="00FD6BAF" w:rsidRDefault="00B35152" w:rsidP="00E000FF">
      <w:pPr>
        <w:bidi/>
        <w:spacing w:after="0" w:line="360" w:lineRule="auto"/>
        <w:jc w:val="both"/>
        <w:rPr>
          <w:rFonts w:ascii="Simplified Arabic" w:hAnsi="Simplified Arabic" w:cs="Simplified Arabic"/>
          <w:sz w:val="32"/>
          <w:szCs w:val="32"/>
          <w:rtl/>
        </w:rPr>
      </w:pPr>
      <w:r>
        <w:rPr>
          <w:rFonts w:ascii="Traditional Arabic" w:hAnsi="Traditional Arabic" w:cs="Traditional Arabic"/>
          <w:sz w:val="28"/>
          <w:szCs w:val="28"/>
          <w:rtl/>
        </w:rPr>
        <w:t>حُسِبَ معامل ارتباط سبيرمان بين درجة كل عبارة والدرجة الكلية للبُعد الذي تنتمي إليه، للتحقق من اتساق العبارات داخلياً. وقد جاءت جميع معاملات الارتباط دالة إحصائياً عند مستوى (0.01)، وتفصيل النتائج معروض في الفصل الرابع.</w:t>
      </w:r>
    </w:p>
    <w:p w14:paraId="0C13C116" w14:textId="77777777" w:rsidR="00B35152" w:rsidRPr="00D329C2" w:rsidRDefault="00B35152" w:rsidP="00E000FF">
      <w:pPr>
        <w:bidi/>
        <w:spacing w:after="0" w:line="360" w:lineRule="auto"/>
        <w:jc w:val="both"/>
        <w:rPr>
          <w:rFonts w:ascii="Simplified Arabic" w:hAnsi="Simplified Arabic" w:cs="Simplified Arabic"/>
          <w:sz w:val="28"/>
          <w:szCs w:val="28"/>
        </w:rPr>
      </w:pPr>
    </w:p>
    <w:tbl>
      <w:tblPr>
        <w:tblStyle w:val="4-1"/>
        <w:tblW w:w="5000" w:type="pct"/>
        <w:tblLook w:val="04A0" w:firstRow="1" w:lastRow="0" w:firstColumn="1" w:lastColumn="0" w:noHBand="0" w:noVBand="1"/>
      </w:tblPr>
      <w:tblGrid>
        <w:gridCol w:w="1660"/>
        <w:gridCol w:w="1659"/>
        <w:gridCol w:w="1659"/>
        <w:gridCol w:w="1659"/>
        <w:gridCol w:w="1659"/>
      </w:tblGrid>
      <w:tr w:rsidR="00B35152" w:rsidRPr="00FD6BAF" w14:paraId="7A974EE3" w14:textId="77777777" w:rsidTr="00B943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pct"/>
            <w:vAlign w:val="center"/>
          </w:tcPr>
          <w:p w14:paraId="6CE31B31" w14:textId="77777777" w:rsidR="00B35152" w:rsidRPr="00FD6BAF"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sz w:val="24"/>
                <w:szCs w:val="24"/>
                <w:rtl/>
              </w:rPr>
              <w:lastRenderedPageBreak/>
              <w:t>القيمة الاحتمالية</w:t>
            </w:r>
          </w:p>
        </w:tc>
        <w:tc>
          <w:tcPr>
            <w:tcW w:w="1000" w:type="pct"/>
            <w:vAlign w:val="center"/>
          </w:tcPr>
          <w:p w14:paraId="5F971B76" w14:textId="77777777" w:rsidR="00B35152" w:rsidRPr="00FD6BAF"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sz w:val="24"/>
                <w:szCs w:val="24"/>
                <w:rtl/>
              </w:rPr>
              <w:t>معامل الارتباط مع الدرجة الكلية</w:t>
            </w:r>
          </w:p>
        </w:tc>
        <w:tc>
          <w:tcPr>
            <w:tcW w:w="1000" w:type="pct"/>
            <w:vAlign w:val="center"/>
          </w:tcPr>
          <w:p w14:paraId="43057707" w14:textId="77777777" w:rsidR="00B35152" w:rsidRPr="00FD6BAF"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sz w:val="24"/>
                <w:szCs w:val="24"/>
                <w:rtl/>
              </w:rPr>
              <w:t>القيمة الاحتمالية</w:t>
            </w:r>
          </w:p>
        </w:tc>
        <w:tc>
          <w:tcPr>
            <w:tcW w:w="1000" w:type="pct"/>
            <w:vAlign w:val="center"/>
          </w:tcPr>
          <w:p w14:paraId="43B4165E" w14:textId="77777777" w:rsidR="00B35152" w:rsidRPr="00FD6BAF"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sz w:val="24"/>
                <w:szCs w:val="24"/>
                <w:rtl/>
              </w:rPr>
              <w:t>معامل الارتباط مع البُعد</w:t>
            </w:r>
          </w:p>
        </w:tc>
        <w:tc>
          <w:tcPr>
            <w:tcW w:w="1000" w:type="pct"/>
            <w:vAlign w:val="center"/>
          </w:tcPr>
          <w:p w14:paraId="6ECAF148" w14:textId="77777777" w:rsidR="00B35152" w:rsidRPr="00FD6BAF"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sz w:val="24"/>
                <w:szCs w:val="24"/>
                <w:rtl/>
              </w:rPr>
              <w:t>رقم العبارة</w:t>
            </w:r>
          </w:p>
        </w:tc>
      </w:tr>
      <w:tr w:rsidR="00B35152" w:rsidRPr="00FD6BAF" w14:paraId="11A5DBF6"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pct"/>
            <w:vAlign w:val="center"/>
          </w:tcPr>
          <w:p w14:paraId="19BA64DC" w14:textId="77777777" w:rsidR="00B35152" w:rsidRPr="00FD6BAF"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sz w:val="24"/>
                <w:szCs w:val="24"/>
                <w:rtl/>
              </w:rPr>
              <w:t>0.001&gt;</w:t>
            </w:r>
          </w:p>
        </w:tc>
        <w:tc>
          <w:tcPr>
            <w:tcW w:w="1000" w:type="pct"/>
            <w:vAlign w:val="center"/>
          </w:tcPr>
          <w:p w14:paraId="1EBC1248" w14:textId="77777777" w:rsidR="00B35152" w:rsidRPr="00FD6BAF"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sz w:val="24"/>
                <w:szCs w:val="24"/>
                <w:rtl/>
              </w:rPr>
              <w:t>0.565</w:t>
            </w:r>
          </w:p>
        </w:tc>
        <w:tc>
          <w:tcPr>
            <w:tcW w:w="1000" w:type="pct"/>
            <w:vAlign w:val="center"/>
          </w:tcPr>
          <w:p w14:paraId="30161D23" w14:textId="77777777" w:rsidR="00B35152" w:rsidRPr="00FD6BAF"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sz w:val="24"/>
                <w:szCs w:val="24"/>
                <w:rtl/>
              </w:rPr>
              <w:t>0.001&gt;</w:t>
            </w:r>
          </w:p>
        </w:tc>
        <w:tc>
          <w:tcPr>
            <w:tcW w:w="1000" w:type="pct"/>
            <w:vAlign w:val="center"/>
          </w:tcPr>
          <w:p w14:paraId="5B689E68" w14:textId="77777777" w:rsidR="00B35152" w:rsidRPr="00FD6BAF"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sz w:val="24"/>
                <w:szCs w:val="24"/>
                <w:rtl/>
              </w:rPr>
              <w:t>0.626</w:t>
            </w:r>
          </w:p>
        </w:tc>
        <w:tc>
          <w:tcPr>
            <w:tcW w:w="1000" w:type="pct"/>
            <w:vAlign w:val="center"/>
          </w:tcPr>
          <w:p w14:paraId="5791DBB0" w14:textId="77777777" w:rsidR="00B35152" w:rsidRPr="00FD6BAF"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sz w:val="24"/>
                <w:szCs w:val="24"/>
                <w:rtl/>
              </w:rPr>
              <w:t>1</w:t>
            </w:r>
          </w:p>
        </w:tc>
      </w:tr>
      <w:tr w:rsidR="00B35152" w:rsidRPr="00FD6BAF" w14:paraId="10487B3A" w14:textId="77777777" w:rsidTr="00B943E6">
        <w:tc>
          <w:tcPr>
            <w:cnfStyle w:val="001000000000" w:firstRow="0" w:lastRow="0" w:firstColumn="1" w:lastColumn="0" w:oddVBand="0" w:evenVBand="0" w:oddHBand="0" w:evenHBand="0" w:firstRowFirstColumn="0" w:firstRowLastColumn="0" w:lastRowFirstColumn="0" w:lastRowLastColumn="0"/>
            <w:tcW w:w="1000" w:type="pct"/>
            <w:vAlign w:val="center"/>
          </w:tcPr>
          <w:p w14:paraId="22F42ADC" w14:textId="77777777" w:rsidR="00B35152" w:rsidRPr="00FD6BAF"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sz w:val="24"/>
                <w:szCs w:val="24"/>
                <w:rtl/>
              </w:rPr>
              <w:t>0.001&gt;</w:t>
            </w:r>
          </w:p>
        </w:tc>
        <w:tc>
          <w:tcPr>
            <w:tcW w:w="1000" w:type="pct"/>
            <w:vAlign w:val="center"/>
          </w:tcPr>
          <w:p w14:paraId="0C1D0022" w14:textId="77777777" w:rsidR="00B35152" w:rsidRPr="00FD6BAF"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sz w:val="24"/>
                <w:szCs w:val="24"/>
                <w:rtl/>
              </w:rPr>
              <w:t>0.512</w:t>
            </w:r>
          </w:p>
        </w:tc>
        <w:tc>
          <w:tcPr>
            <w:tcW w:w="1000" w:type="pct"/>
            <w:vAlign w:val="center"/>
          </w:tcPr>
          <w:p w14:paraId="4F9AD365" w14:textId="77777777" w:rsidR="00B35152" w:rsidRPr="00FD6BAF"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sz w:val="24"/>
                <w:szCs w:val="24"/>
                <w:rtl/>
              </w:rPr>
              <w:t>0.001&gt;</w:t>
            </w:r>
          </w:p>
        </w:tc>
        <w:tc>
          <w:tcPr>
            <w:tcW w:w="1000" w:type="pct"/>
            <w:vAlign w:val="center"/>
          </w:tcPr>
          <w:p w14:paraId="01ACA8A1" w14:textId="77777777" w:rsidR="00B35152" w:rsidRPr="00FD6BAF"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sz w:val="24"/>
                <w:szCs w:val="24"/>
                <w:rtl/>
              </w:rPr>
              <w:t>0.634</w:t>
            </w:r>
          </w:p>
        </w:tc>
        <w:tc>
          <w:tcPr>
            <w:tcW w:w="1000" w:type="pct"/>
            <w:vAlign w:val="center"/>
          </w:tcPr>
          <w:p w14:paraId="57CDE148" w14:textId="77777777" w:rsidR="00B35152" w:rsidRPr="00FD6BAF"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sz w:val="24"/>
                <w:szCs w:val="24"/>
                <w:rtl/>
              </w:rPr>
              <w:t>2</w:t>
            </w:r>
          </w:p>
        </w:tc>
      </w:tr>
      <w:tr w:rsidR="00B35152" w:rsidRPr="00FD6BAF" w14:paraId="432FA37C"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pct"/>
            <w:vAlign w:val="center"/>
          </w:tcPr>
          <w:p w14:paraId="47AC120C" w14:textId="77777777" w:rsidR="00B35152" w:rsidRPr="00FD6BAF"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sz w:val="24"/>
                <w:szCs w:val="24"/>
                <w:rtl/>
              </w:rPr>
              <w:t>0.001&gt;</w:t>
            </w:r>
          </w:p>
        </w:tc>
        <w:tc>
          <w:tcPr>
            <w:tcW w:w="1000" w:type="pct"/>
            <w:vAlign w:val="center"/>
          </w:tcPr>
          <w:p w14:paraId="2F3D361E" w14:textId="77777777" w:rsidR="00B35152" w:rsidRPr="00FD6BAF"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sz w:val="24"/>
                <w:szCs w:val="24"/>
                <w:rtl/>
              </w:rPr>
              <w:t>0.539</w:t>
            </w:r>
          </w:p>
        </w:tc>
        <w:tc>
          <w:tcPr>
            <w:tcW w:w="1000" w:type="pct"/>
            <w:vAlign w:val="center"/>
          </w:tcPr>
          <w:p w14:paraId="5A51FBFB" w14:textId="77777777" w:rsidR="00B35152" w:rsidRPr="00FD6BAF"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sz w:val="24"/>
                <w:szCs w:val="24"/>
                <w:rtl/>
              </w:rPr>
              <w:t>0.001&gt;</w:t>
            </w:r>
          </w:p>
        </w:tc>
        <w:tc>
          <w:tcPr>
            <w:tcW w:w="1000" w:type="pct"/>
            <w:vAlign w:val="center"/>
          </w:tcPr>
          <w:p w14:paraId="163CB948" w14:textId="77777777" w:rsidR="00B35152" w:rsidRPr="00FD6BAF"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sz w:val="24"/>
                <w:szCs w:val="24"/>
                <w:rtl/>
              </w:rPr>
              <w:t>0.677</w:t>
            </w:r>
          </w:p>
        </w:tc>
        <w:tc>
          <w:tcPr>
            <w:tcW w:w="1000" w:type="pct"/>
            <w:vAlign w:val="center"/>
          </w:tcPr>
          <w:p w14:paraId="329CC49E" w14:textId="77777777" w:rsidR="00B35152" w:rsidRPr="00FD6BAF"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sz w:val="24"/>
                <w:szCs w:val="24"/>
                <w:rtl/>
              </w:rPr>
              <w:t>3</w:t>
            </w:r>
          </w:p>
        </w:tc>
      </w:tr>
    </w:tbl>
    <w:p w14:paraId="159FADD5" w14:textId="77777777" w:rsidR="00B35152" w:rsidRDefault="00B35152" w:rsidP="00FD6BAF">
      <w:pPr>
        <w:pStyle w:val="TableCaption"/>
        <w:bidi/>
        <w:spacing w:after="0" w:line="300" w:lineRule="auto"/>
        <w:jc w:val="center"/>
        <w:rPr>
          <w:rFonts w:ascii="Simplified Arabic" w:hAnsi="Simplified Arabic" w:cs="Simplified Arabic"/>
          <w:sz w:val="28"/>
          <w:szCs w:val="28"/>
          <w:rtl/>
        </w:rPr>
      </w:pPr>
      <w:r>
        <w:rPr>
          <w:rFonts w:ascii="Traditional Arabic" w:hAnsi="Traditional Arabic" w:cs="Traditional Arabic"/>
          <w:b/>
          <w:bCs/>
          <w:sz w:val="24"/>
          <w:szCs w:val="24"/>
          <w:rtl/>
        </w:rPr>
        <w:t>جدول (3.3): نموذج عرض نتائج صدق الاتساق الداخلي</w:t>
      </w:r>
    </w:p>
    <w:p w14:paraId="29DC796E" w14:textId="77777777" w:rsidR="00B35152" w:rsidRDefault="00B35152" w:rsidP="00E000FF">
      <w:pPr>
        <w:bidi/>
        <w:spacing w:after="0" w:line="360" w:lineRule="auto"/>
        <w:jc w:val="both"/>
        <w:rPr>
          <w:rFonts w:ascii="Simplified Arabic" w:hAnsi="Simplified Arabic" w:cs="Simplified Arabic"/>
          <w:sz w:val="28"/>
          <w:szCs w:val="28"/>
          <w:rtl/>
        </w:rPr>
      </w:pPr>
    </w:p>
    <w:p w14:paraId="0A2B3B85" w14:textId="77777777" w:rsidR="00B35152" w:rsidRDefault="00B35152" w:rsidP="00E000FF">
      <w:pPr>
        <w:bidi/>
        <w:spacing w:after="0" w:line="360" w:lineRule="auto"/>
        <w:jc w:val="both"/>
        <w:rPr>
          <w:rFonts w:ascii="Simplified Arabic" w:hAnsi="Simplified Arabic" w:cs="Simplified Arabic"/>
          <w:sz w:val="28"/>
          <w:szCs w:val="28"/>
          <w:rtl/>
        </w:rPr>
      </w:pPr>
    </w:p>
    <w:p w14:paraId="37970687" w14:textId="77777777" w:rsidR="00FD6BAF" w:rsidRDefault="00FD6BAF" w:rsidP="00FD6BAF">
      <w:pPr>
        <w:bidi/>
        <w:spacing w:after="0" w:line="360" w:lineRule="auto"/>
        <w:jc w:val="both"/>
        <w:rPr>
          <w:rFonts w:ascii="Simplified Arabic" w:hAnsi="Simplified Arabic" w:cs="Simplified Arabic"/>
          <w:sz w:val="28"/>
          <w:szCs w:val="28"/>
          <w:rtl/>
        </w:rPr>
      </w:pPr>
    </w:p>
    <w:p w14:paraId="37E23F23" w14:textId="77777777" w:rsidR="00FD6BAF" w:rsidRDefault="00FD6BAF" w:rsidP="00FD6BAF">
      <w:pPr>
        <w:bidi/>
        <w:spacing w:after="0" w:line="360" w:lineRule="auto"/>
        <w:jc w:val="both"/>
        <w:rPr>
          <w:rFonts w:ascii="Simplified Arabic" w:hAnsi="Simplified Arabic" w:cs="Simplified Arabic"/>
          <w:sz w:val="28"/>
          <w:szCs w:val="28"/>
          <w:rtl/>
        </w:rPr>
      </w:pPr>
    </w:p>
    <w:p w14:paraId="7D9CF03C" w14:textId="77777777" w:rsidR="00B35152" w:rsidRPr="00682DDF" w:rsidRDefault="00B35152"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3.6.3</w:t>
      </w:r>
      <w:r>
        <w:rPr>
          <w:rFonts w:ascii="Traditional Arabic" w:hAnsi="Traditional Arabic" w:cs="Traditional Arabic" w:hint="cs"/>
          <w:b/>
          <w:bCs/>
          <w:sz w:val="28"/>
          <w:szCs w:val="28"/>
          <w:rtl/>
        </w:rPr>
        <w:t xml:space="preserve"> صدق</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المحتوى</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وإجراءات</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التحكيم</w:t>
      </w:r>
    </w:p>
    <w:p w14:paraId="08B93BCA" w14:textId="77777777" w:rsidR="00B35152" w:rsidRPr="00FD6BAF"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يُعدّ صدق المحتوى (Content Validity) ركيزةً أساسية في التحقق من قدرة الاستبانة على قياس المفاهيم التي صُمِّمت لأجلها. ولإثبات هذا الصدق، عُرضت الاستبانة في صورتها الأولية على الدكتور أيمن باكير والدكتورة سارة محمود من جامعة Midocean قبل تطبيقها الفعلي.</w:t>
      </w:r>
    </w:p>
    <w:p w14:paraId="45376FF3" w14:textId="77777777" w:rsidR="00B35152" w:rsidRPr="00FD6BAF"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أولاً: المحكّمون وتخصصاتهم</w:t>
      </w:r>
    </w:p>
    <w:p w14:paraId="7ACEA6A0" w14:textId="77777777" w:rsidR="00B35152" w:rsidRPr="00FD6BAF"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 xml:space="preserve">تولّى تحكيم الأداة الدكتور </w:t>
      </w:r>
      <w:commentRangeStart w:id="41"/>
      <w:r>
        <w:rPr>
          <w:rFonts w:ascii="Traditional Arabic" w:hAnsi="Traditional Arabic" w:cs="Traditional Arabic"/>
          <w:sz w:val="28"/>
          <w:szCs w:val="28"/>
          <w:rtl/>
        </w:rPr>
        <w:t xml:space="preserve">أيمن باكير والدكتورة سارة محمود من جامعة Midocean، </w:t>
      </w:r>
      <w:commentRangeEnd w:id="41"/>
      <w:r w:rsidR="00614C20">
        <w:rPr>
          <w:rStyle w:val="affa"/>
          <w:rFonts w:ascii="Traditional Arabic" w:hAnsi="Traditional Arabic" w:cs="Traditional Arabic"/>
          <w:sz w:val="28"/>
          <w:szCs w:val="28"/>
          <w:rtl/>
        </w:rPr>
        <w:commentReference w:id="41"/>
      </w:r>
      <w:r>
        <w:rPr>
          <w:rFonts w:ascii="Traditional Arabic" w:hAnsi="Traditional Arabic" w:cs="Traditional Arabic"/>
          <w:sz w:val="28"/>
          <w:szCs w:val="28"/>
          <w:rtl/>
        </w:rPr>
        <w:t>وهما من ذوي الخبرة الأكاديمية في مجالات: الأمن السيبراني، وتقنية المعلومات المالية، والمناهج البحثية الكمية. وقائمة المحكّمين وبياناتهما (الاسم والتخصص الأكاديمي وجهة العمل والمؤهل العلمي) مرفقة في ملحق الدراسة.</w:t>
      </w:r>
    </w:p>
    <w:p w14:paraId="64DB30CC" w14:textId="77777777" w:rsidR="00B35152" w:rsidRPr="00FD6BAF"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ثانياً: إجراءات التحكيم</w:t>
      </w:r>
    </w:p>
    <w:p w14:paraId="47EBF8DF" w14:textId="77777777" w:rsidR="00B35152" w:rsidRPr="00FD6BAF"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أُرسلت الاستبانة في صورتها الأولية إلى الدكتور أيمن باكير والدكتورة سارة محمود من أعضاء هيئة التدريس في جامعة Midocean، وطُلب من كل محكّم تقييمها من حيث: مدى ملاءمة العبارات للمتغيرات التي تقيسها، ووضوح الصياغة اللغوية، وشمولية المحاور، ومناسبة التدرج الخماسي للسياق التطبيقي. ونتيجة لذلك، اعتُمدت النسخة النهائية من الأبعاد والفروض والاستبانة الواردة في هذا الفصل.</w:t>
      </w:r>
    </w:p>
    <w:p w14:paraId="42B75908" w14:textId="77777777" w:rsidR="00B35152" w:rsidRPr="00FD6BAF"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ثالثاً: معيار قبول التحكيم</w:t>
      </w:r>
    </w:p>
    <w:p w14:paraId="0EDF4F77" w14:textId="77777777" w:rsidR="00B35152" w:rsidRPr="00FD6BAF" w:rsidRDefault="00B35152" w:rsidP="00E000FF">
      <w:pPr>
        <w:bidi/>
        <w:spacing w:after="0" w:line="360" w:lineRule="auto"/>
        <w:jc w:val="both"/>
        <w:rPr>
          <w:rFonts w:ascii="Simplified Arabic" w:hAnsi="Simplified Arabic" w:cs="Simplified Arabic"/>
          <w:sz w:val="28"/>
          <w:szCs w:val="28"/>
          <w:rtl/>
        </w:rPr>
      </w:pPr>
      <w:r>
        <w:rPr>
          <w:rFonts w:ascii="Traditional Arabic" w:hAnsi="Traditional Arabic" w:cs="Traditional Arabic"/>
          <w:sz w:val="28"/>
          <w:szCs w:val="28"/>
          <w:rtl/>
        </w:rPr>
        <w:lastRenderedPageBreak/>
        <w:t>تُعدّ الفقرة مقبولة إذا حصلت على موافقة ما لا يقل عن (80%) من المحكّمين. أما الفقرات التي تقل نسبة موافقتها عن ذلك فتُعرَض للمراجعة والتعديل أو الحذف وفق طبيعة الملاحظات الواردة.</w:t>
      </w:r>
    </w:p>
    <w:p w14:paraId="27F84D9E" w14:textId="77777777" w:rsidR="00B35152" w:rsidRPr="00FD6BAF" w:rsidRDefault="00B35152" w:rsidP="00E000FF">
      <w:pPr>
        <w:bidi/>
        <w:spacing w:after="0" w:line="360" w:lineRule="auto"/>
        <w:jc w:val="both"/>
        <w:rPr>
          <w:rFonts w:ascii="Simplified Arabic" w:hAnsi="Simplified Arabic" w:cs="Simplified Arabic"/>
          <w:b/>
          <w:bCs/>
          <w:sz w:val="28"/>
          <w:szCs w:val="28"/>
          <w:rtl/>
        </w:rPr>
      </w:pPr>
      <w:r>
        <w:rPr>
          <w:rFonts w:ascii="Traditional Arabic" w:hAnsi="Traditional Arabic" w:cs="Traditional Arabic"/>
          <w:b/>
          <w:bCs/>
          <w:sz w:val="28"/>
          <w:szCs w:val="28"/>
          <w:rtl/>
        </w:rPr>
        <w:t>رابعاً: نتائج التحكيم</w:t>
      </w:r>
    </w:p>
    <w:p w14:paraId="7BC66183" w14:textId="77777777" w:rsidR="00B35152" w:rsidRPr="00FD6BAF" w:rsidRDefault="00B35152" w:rsidP="00E000FF">
      <w:pPr>
        <w:bidi/>
        <w:spacing w:after="0" w:line="360" w:lineRule="auto"/>
        <w:jc w:val="both"/>
        <w:rPr>
          <w:rFonts w:ascii="Simplified Arabic" w:hAnsi="Simplified Arabic" w:cs="Simplified Arabic"/>
          <w:sz w:val="28"/>
          <w:szCs w:val="28"/>
          <w:rtl/>
        </w:rPr>
      </w:pPr>
      <w:r>
        <w:rPr>
          <w:rFonts w:ascii="Traditional Arabic" w:hAnsi="Traditional Arabic" w:cs="Traditional Arabic"/>
          <w:sz w:val="28"/>
          <w:szCs w:val="28"/>
          <w:rtl/>
        </w:rPr>
        <w:t>بناءً على ملاحظات المحكّمين، أُعيدت صياغة عدد من الفقرات التي كانت تفترض علاقة سببية مباشرة إلى صيغة إدراكية تقيس تصوّر المستجيب، وحُذفت فقرات مكررة، وعُدِّلت صياغة أخرى لغوياً. وقد أُجريت جميع التعديلات المطلوبة قبل التطبيق النهائي للأداة. وتُرفَق قائمة المحكّمين وصورة الاستبانة في صورتها النهائية ضمن ملاحق الدراسة.</w:t>
      </w:r>
    </w:p>
    <w:p w14:paraId="0497EADC" w14:textId="77777777" w:rsidR="00B35152" w:rsidRPr="00D329C2" w:rsidRDefault="00B35152" w:rsidP="00E000FF">
      <w:pPr>
        <w:bidi/>
        <w:spacing w:after="0" w:line="360" w:lineRule="auto"/>
        <w:jc w:val="both"/>
        <w:rPr>
          <w:rFonts w:ascii="Simplified Arabic" w:hAnsi="Simplified Arabic" w:cs="Simplified Arabic"/>
          <w:sz w:val="28"/>
          <w:szCs w:val="28"/>
        </w:rPr>
      </w:pPr>
    </w:p>
    <w:p w14:paraId="5319AE98" w14:textId="77777777" w:rsidR="00B35152" w:rsidRPr="00310DA8" w:rsidRDefault="00B35152" w:rsidP="00E000FF">
      <w:pPr>
        <w:pStyle w:val="HeadingTOCEntry"/>
        <w:bidi/>
        <w:spacing w:after="0" w:line="360" w:lineRule="auto"/>
        <w:rPr>
          <w:rFonts w:ascii="Simplified Arabic" w:hAnsi="Simplified Arabic" w:cs="Simplified Arabic"/>
          <w:b/>
          <w:bCs/>
          <w:sz w:val="28"/>
          <w:szCs w:val="28"/>
          <w:u w:val="single"/>
        </w:rPr>
      </w:pPr>
      <w:bookmarkStart w:id="42" w:name="_Toc234424162"/>
      <w:r>
        <w:rPr>
          <w:rFonts w:ascii="Traditional Arabic" w:hAnsi="Traditional Arabic" w:cs="Traditional Arabic"/>
          <w:b/>
          <w:bCs/>
          <w:sz w:val="32"/>
          <w:szCs w:val="32"/>
          <w:u w:val="single"/>
          <w:rtl/>
        </w:rPr>
        <w:t>3.7 ثبات أداة القياس</w:t>
      </w:r>
      <w:bookmarkEnd w:id="42"/>
    </w:p>
    <w:p w14:paraId="1B4BF1A9" w14:textId="77777777" w:rsidR="00B35152" w:rsidRPr="00FD6BAF" w:rsidRDefault="00B35152" w:rsidP="00E000FF">
      <w:pPr>
        <w:bidi/>
        <w:spacing w:after="0" w:line="360" w:lineRule="auto"/>
        <w:jc w:val="both"/>
        <w:rPr>
          <w:rFonts w:ascii="Simplified Arabic" w:hAnsi="Simplified Arabic" w:cs="Simplified Arabic"/>
          <w:sz w:val="32"/>
          <w:szCs w:val="32"/>
          <w:rtl/>
        </w:rPr>
      </w:pPr>
      <w:r>
        <w:rPr>
          <w:rFonts w:ascii="Traditional Arabic" w:hAnsi="Traditional Arabic" w:cs="Traditional Arabic"/>
          <w:sz w:val="28"/>
          <w:szCs w:val="28"/>
          <w:rtl/>
        </w:rPr>
        <w:t>استُخدم معامل ألفا كرونباخ (Cronbach's Alpha) لقياس ثبات الاستبانة لكل بُعد على حدة وللأداة ككل، وتُعدّ القيمة (0.70) فأكثر مؤشراً مقبولاً على الثبات. وقد تجاوزت جميع القيم المحسوبة هذا الحد، وبلغ معامل الثبات الكلي للأداة (0.873)، وتفصيل النتائج معروض في الفصل الرابع.</w:t>
      </w:r>
    </w:p>
    <w:p w14:paraId="4B829E36" w14:textId="77777777" w:rsidR="00B35152" w:rsidRPr="00D329C2" w:rsidRDefault="00B35152" w:rsidP="00E000FF">
      <w:pPr>
        <w:bidi/>
        <w:spacing w:after="0" w:line="360" w:lineRule="auto"/>
        <w:jc w:val="both"/>
        <w:rPr>
          <w:rFonts w:ascii="Simplified Arabic" w:hAnsi="Simplified Arabic" w:cs="Simplified Arabic"/>
          <w:sz w:val="28"/>
          <w:szCs w:val="28"/>
        </w:rPr>
      </w:pPr>
    </w:p>
    <w:tbl>
      <w:tblPr>
        <w:tblStyle w:val="4-1"/>
        <w:tblW w:w="5000" w:type="pct"/>
        <w:tblLook w:val="04A0" w:firstRow="1" w:lastRow="0" w:firstColumn="1" w:lastColumn="0" w:noHBand="0" w:noVBand="1"/>
      </w:tblPr>
      <w:tblGrid>
        <w:gridCol w:w="3481"/>
        <w:gridCol w:w="1923"/>
        <w:gridCol w:w="2892"/>
      </w:tblGrid>
      <w:tr w:rsidR="00B35152" w:rsidRPr="00CA7275" w14:paraId="3584B98D" w14:textId="77777777" w:rsidTr="00FD6B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8" w:type="pct"/>
            <w:vAlign w:val="center"/>
          </w:tcPr>
          <w:p w14:paraId="6CFC51D6" w14:textId="77777777" w:rsidR="00B35152" w:rsidRPr="00C919A0" w:rsidRDefault="00B35152" w:rsidP="00FD6BA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معامل ألفا كرونباخ</w:t>
            </w:r>
          </w:p>
        </w:tc>
        <w:tc>
          <w:tcPr>
            <w:tcW w:w="1159" w:type="pct"/>
            <w:vAlign w:val="center"/>
          </w:tcPr>
          <w:p w14:paraId="26DC5EE1" w14:textId="77777777" w:rsidR="00B35152" w:rsidRPr="00C919A0" w:rsidRDefault="00B35152" w:rsidP="00FD6BA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عدد العبارات</w:t>
            </w:r>
          </w:p>
        </w:tc>
        <w:tc>
          <w:tcPr>
            <w:tcW w:w="1743" w:type="pct"/>
            <w:vAlign w:val="center"/>
          </w:tcPr>
          <w:p w14:paraId="6F309302" w14:textId="77777777" w:rsidR="00B35152" w:rsidRPr="00C919A0" w:rsidRDefault="00B35152" w:rsidP="00FD6BA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المتغير</w:t>
            </w:r>
          </w:p>
        </w:tc>
      </w:tr>
      <w:tr w:rsidR="00B35152" w:rsidRPr="00CA7275" w14:paraId="7287AF14" w14:textId="77777777" w:rsidTr="00FD6B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8" w:type="pct"/>
            <w:vAlign w:val="center"/>
          </w:tcPr>
          <w:p w14:paraId="3FCF1995" w14:textId="77777777" w:rsidR="00B35152" w:rsidRPr="00C919A0" w:rsidRDefault="00B35152" w:rsidP="00FD6BA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0.859</w:t>
            </w:r>
          </w:p>
        </w:tc>
        <w:tc>
          <w:tcPr>
            <w:tcW w:w="1159" w:type="pct"/>
            <w:vAlign w:val="center"/>
          </w:tcPr>
          <w:p w14:paraId="07154E49" w14:textId="77777777" w:rsidR="00B35152" w:rsidRPr="00C919A0" w:rsidRDefault="00B35152" w:rsidP="00FD6BA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6</w:t>
            </w:r>
          </w:p>
        </w:tc>
        <w:tc>
          <w:tcPr>
            <w:tcW w:w="1743" w:type="pct"/>
            <w:vAlign w:val="center"/>
          </w:tcPr>
          <w:p w14:paraId="5769023C" w14:textId="77777777" w:rsidR="00B35152" w:rsidRPr="00C919A0" w:rsidRDefault="00B35152" w:rsidP="00FD6BA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تطبيق تقنية الترميز</w:t>
            </w:r>
          </w:p>
        </w:tc>
      </w:tr>
      <w:tr w:rsidR="00B35152" w:rsidRPr="00CA7275" w14:paraId="15ABD3D5" w14:textId="77777777" w:rsidTr="00FD6BAF">
        <w:tc>
          <w:tcPr>
            <w:cnfStyle w:val="001000000000" w:firstRow="0" w:lastRow="0" w:firstColumn="1" w:lastColumn="0" w:oddVBand="0" w:evenVBand="0" w:oddHBand="0" w:evenHBand="0" w:firstRowFirstColumn="0" w:firstRowLastColumn="0" w:lastRowFirstColumn="0" w:lastRowLastColumn="0"/>
            <w:tcW w:w="2098" w:type="pct"/>
            <w:vAlign w:val="center"/>
          </w:tcPr>
          <w:p w14:paraId="5A54990F" w14:textId="77777777" w:rsidR="00B35152" w:rsidRPr="00C919A0" w:rsidRDefault="00B35152" w:rsidP="00FD6BA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0.845</w:t>
            </w:r>
          </w:p>
        </w:tc>
        <w:tc>
          <w:tcPr>
            <w:tcW w:w="1159" w:type="pct"/>
            <w:vAlign w:val="center"/>
          </w:tcPr>
          <w:p w14:paraId="7A80CBF5" w14:textId="77777777" w:rsidR="00B35152" w:rsidRPr="00C919A0" w:rsidRDefault="00B35152" w:rsidP="00FD6BA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6</w:t>
            </w:r>
          </w:p>
        </w:tc>
        <w:tc>
          <w:tcPr>
            <w:tcW w:w="1743" w:type="pct"/>
            <w:vAlign w:val="center"/>
          </w:tcPr>
          <w:p w14:paraId="3A1D6B58" w14:textId="77777777" w:rsidR="00B35152" w:rsidRPr="00C919A0" w:rsidRDefault="00B35152" w:rsidP="00FD6BA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الأمن السيبراني</w:t>
            </w:r>
          </w:p>
        </w:tc>
      </w:tr>
      <w:tr w:rsidR="00B35152" w:rsidRPr="00CA7275" w14:paraId="25CFF93F" w14:textId="77777777" w:rsidTr="00FD6B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8" w:type="pct"/>
            <w:vAlign w:val="center"/>
          </w:tcPr>
          <w:p w14:paraId="7BEA4314" w14:textId="77777777" w:rsidR="00B35152" w:rsidRPr="00C919A0" w:rsidRDefault="00B35152" w:rsidP="00FD6BA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0.839</w:t>
            </w:r>
          </w:p>
        </w:tc>
        <w:tc>
          <w:tcPr>
            <w:tcW w:w="1159" w:type="pct"/>
            <w:vAlign w:val="center"/>
          </w:tcPr>
          <w:p w14:paraId="651C5903" w14:textId="77777777" w:rsidR="00B35152" w:rsidRPr="00C919A0" w:rsidRDefault="00B35152" w:rsidP="00FD6BA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6</w:t>
            </w:r>
          </w:p>
        </w:tc>
        <w:tc>
          <w:tcPr>
            <w:tcW w:w="1743" w:type="pct"/>
            <w:vAlign w:val="center"/>
          </w:tcPr>
          <w:p w14:paraId="0B8FC6F2" w14:textId="77777777" w:rsidR="00B35152" w:rsidRPr="00C919A0" w:rsidRDefault="00B35152" w:rsidP="00FD6BA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كفاءة العمليات المالية</w:t>
            </w:r>
          </w:p>
        </w:tc>
      </w:tr>
      <w:tr w:rsidR="00B35152" w:rsidRPr="00CA7275" w14:paraId="3F58C21F" w14:textId="77777777" w:rsidTr="00FD6BAF">
        <w:tc>
          <w:tcPr>
            <w:cnfStyle w:val="001000000000" w:firstRow="0" w:lastRow="0" w:firstColumn="1" w:lastColumn="0" w:oddVBand="0" w:evenVBand="0" w:oddHBand="0" w:evenHBand="0" w:firstRowFirstColumn="0" w:firstRowLastColumn="0" w:lastRowFirstColumn="0" w:lastRowLastColumn="0"/>
            <w:tcW w:w="2098" w:type="pct"/>
            <w:vAlign w:val="center"/>
          </w:tcPr>
          <w:p w14:paraId="3699BCBB" w14:textId="77777777" w:rsidR="00B35152" w:rsidRPr="00C919A0" w:rsidRDefault="00B35152" w:rsidP="00FD6BA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0.869</w:t>
            </w:r>
          </w:p>
        </w:tc>
        <w:tc>
          <w:tcPr>
            <w:tcW w:w="1159" w:type="pct"/>
            <w:vAlign w:val="center"/>
          </w:tcPr>
          <w:p w14:paraId="42EA196A" w14:textId="77777777" w:rsidR="00B35152" w:rsidRPr="00C919A0" w:rsidRDefault="00B35152" w:rsidP="00FD6BA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6</w:t>
            </w:r>
          </w:p>
        </w:tc>
        <w:tc>
          <w:tcPr>
            <w:tcW w:w="1743" w:type="pct"/>
            <w:vAlign w:val="center"/>
          </w:tcPr>
          <w:p w14:paraId="29DDDC4A" w14:textId="77777777" w:rsidR="00B35152" w:rsidRPr="00C919A0" w:rsidRDefault="00B35152" w:rsidP="00FD6BA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الامتثال التنظيمي</w:t>
            </w:r>
          </w:p>
        </w:tc>
      </w:tr>
      <w:tr w:rsidR="00B35152" w:rsidRPr="00CA7275" w14:paraId="334448BE" w14:textId="77777777" w:rsidTr="00FD6B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8" w:type="pct"/>
            <w:vAlign w:val="center"/>
          </w:tcPr>
          <w:p w14:paraId="4B1C04CA" w14:textId="77777777" w:rsidR="00B35152" w:rsidRPr="00C919A0" w:rsidRDefault="00B35152" w:rsidP="00FD6BA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0.859</w:t>
            </w:r>
          </w:p>
        </w:tc>
        <w:tc>
          <w:tcPr>
            <w:tcW w:w="1159" w:type="pct"/>
            <w:vAlign w:val="center"/>
          </w:tcPr>
          <w:p w14:paraId="0CF097F2" w14:textId="77777777" w:rsidR="00B35152" w:rsidRPr="00C919A0" w:rsidRDefault="00B35152" w:rsidP="00FD6BA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6</w:t>
            </w:r>
          </w:p>
        </w:tc>
        <w:tc>
          <w:tcPr>
            <w:tcW w:w="1743" w:type="pct"/>
            <w:vAlign w:val="center"/>
          </w:tcPr>
          <w:p w14:paraId="0501DB3C" w14:textId="77777777" w:rsidR="00B35152" w:rsidRPr="00C919A0" w:rsidRDefault="00B35152" w:rsidP="00FD6BA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تحديات التطبيق</w:t>
            </w:r>
          </w:p>
        </w:tc>
      </w:tr>
      <w:tr w:rsidR="00B35152" w:rsidRPr="00CA7275" w14:paraId="19A8029F" w14:textId="77777777" w:rsidTr="00FD6BAF">
        <w:tc>
          <w:tcPr>
            <w:cnfStyle w:val="001000000000" w:firstRow="0" w:lastRow="0" w:firstColumn="1" w:lastColumn="0" w:oddVBand="0" w:evenVBand="0" w:oddHBand="0" w:evenHBand="0" w:firstRowFirstColumn="0" w:firstRowLastColumn="0" w:lastRowFirstColumn="0" w:lastRowLastColumn="0"/>
            <w:tcW w:w="2098" w:type="pct"/>
            <w:vAlign w:val="center"/>
          </w:tcPr>
          <w:p w14:paraId="5DA7607C" w14:textId="77777777" w:rsidR="00B35152" w:rsidRPr="00C919A0" w:rsidRDefault="00B35152" w:rsidP="00FD6BA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0.873</w:t>
            </w:r>
          </w:p>
        </w:tc>
        <w:tc>
          <w:tcPr>
            <w:tcW w:w="1159" w:type="pct"/>
            <w:vAlign w:val="center"/>
          </w:tcPr>
          <w:p w14:paraId="792D6F7A" w14:textId="77777777" w:rsidR="00B35152" w:rsidRPr="00C919A0" w:rsidRDefault="00B35152" w:rsidP="00FD6BA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30</w:t>
            </w:r>
          </w:p>
        </w:tc>
        <w:tc>
          <w:tcPr>
            <w:tcW w:w="1743" w:type="pct"/>
            <w:vAlign w:val="center"/>
          </w:tcPr>
          <w:p w14:paraId="5F1A93E1" w14:textId="77777777" w:rsidR="00B35152" w:rsidRPr="00C919A0" w:rsidRDefault="00B35152" w:rsidP="00FD6BA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الاستبانة ككل</w:t>
            </w:r>
          </w:p>
        </w:tc>
      </w:tr>
    </w:tbl>
    <w:p w14:paraId="5D79461B" w14:textId="77777777" w:rsidR="00B35152" w:rsidRPr="00CA7275" w:rsidRDefault="00B35152" w:rsidP="00FD6BAF">
      <w:pPr>
        <w:pStyle w:val="TableCaption"/>
        <w:bidi/>
        <w:spacing w:after="0" w:line="300" w:lineRule="auto"/>
        <w:jc w:val="center"/>
        <w:rPr>
          <w:rFonts w:ascii="Simplified Arabic" w:hAnsi="Simplified Arabic" w:cs="Simplified Arabic"/>
          <w:sz w:val="28"/>
          <w:szCs w:val="28"/>
        </w:rPr>
      </w:pPr>
      <w:r>
        <w:rPr>
          <w:rFonts w:ascii="Traditional Arabic" w:hAnsi="Traditional Arabic" w:cs="Traditional Arabic"/>
          <w:b/>
          <w:bCs/>
          <w:sz w:val="24"/>
          <w:szCs w:val="24"/>
          <w:rtl/>
        </w:rPr>
        <w:t>جدول (3.4): نموذج عرض قيم معامل ألفا كرونباخ</w:t>
      </w:r>
    </w:p>
    <w:p w14:paraId="10836A6E" w14:textId="77777777" w:rsidR="00B35152" w:rsidRDefault="00B35152" w:rsidP="00E000FF">
      <w:pPr>
        <w:bidi/>
        <w:spacing w:after="0" w:line="360" w:lineRule="auto"/>
        <w:jc w:val="both"/>
        <w:rPr>
          <w:rFonts w:ascii="Simplified Arabic" w:hAnsi="Simplified Arabic" w:cs="Simplified Arabic"/>
          <w:sz w:val="28"/>
          <w:szCs w:val="28"/>
          <w:rtl/>
        </w:rPr>
      </w:pPr>
    </w:p>
    <w:p w14:paraId="1C96B1AA" w14:textId="77777777" w:rsidR="00B35152" w:rsidRPr="009A42B9" w:rsidRDefault="00B35152" w:rsidP="00E000FF">
      <w:pPr>
        <w:pStyle w:val="HeadingTOCEntry"/>
        <w:bidi/>
        <w:spacing w:after="0" w:line="360" w:lineRule="auto"/>
        <w:rPr>
          <w:rFonts w:ascii="Simplified Arabic" w:hAnsi="Simplified Arabic" w:cs="Simplified Arabic"/>
          <w:b/>
          <w:bCs/>
          <w:sz w:val="28"/>
          <w:szCs w:val="28"/>
          <w:u w:val="single"/>
        </w:rPr>
      </w:pPr>
      <w:bookmarkStart w:id="43" w:name="_Toc234424163"/>
      <w:r>
        <w:rPr>
          <w:rFonts w:ascii="Traditional Arabic" w:hAnsi="Traditional Arabic" w:cs="Traditional Arabic"/>
          <w:b/>
          <w:bCs/>
          <w:sz w:val="32"/>
          <w:szCs w:val="32"/>
          <w:u w:val="single"/>
          <w:rtl/>
        </w:rPr>
        <w:t>3.7.1</w:t>
      </w:r>
      <w:r>
        <w:rPr>
          <w:rFonts w:ascii="Traditional Arabic" w:hAnsi="Traditional Arabic" w:cs="Traditional Arabic" w:hint="cs"/>
          <w:b/>
          <w:bCs/>
          <w:sz w:val="32"/>
          <w:szCs w:val="32"/>
          <w:u w:val="single"/>
          <w:rtl/>
        </w:rPr>
        <w:t xml:space="preserve"> نتائج</w:t>
      </w:r>
      <w:r>
        <w:rPr>
          <w:rFonts w:ascii="Traditional Arabic" w:hAnsi="Traditional Arabic" w:cs="Traditional Arabic"/>
          <w:b/>
          <w:bCs/>
          <w:sz w:val="32"/>
          <w:szCs w:val="32"/>
          <w:u w:val="single"/>
          <w:rtl/>
        </w:rPr>
        <w:t xml:space="preserve"> </w:t>
      </w:r>
      <w:r>
        <w:rPr>
          <w:rFonts w:ascii="Traditional Arabic" w:hAnsi="Traditional Arabic" w:cs="Traditional Arabic" w:hint="cs"/>
          <w:b/>
          <w:bCs/>
          <w:sz w:val="32"/>
          <w:szCs w:val="32"/>
          <w:u w:val="single"/>
          <w:rtl/>
        </w:rPr>
        <w:t>التطبيق</w:t>
      </w:r>
      <w:r>
        <w:rPr>
          <w:rFonts w:ascii="Traditional Arabic" w:hAnsi="Traditional Arabic" w:cs="Traditional Arabic"/>
          <w:b/>
          <w:bCs/>
          <w:sz w:val="32"/>
          <w:szCs w:val="32"/>
          <w:u w:val="single"/>
          <w:rtl/>
        </w:rPr>
        <w:t xml:space="preserve"> </w:t>
      </w:r>
      <w:r>
        <w:rPr>
          <w:rFonts w:ascii="Traditional Arabic" w:hAnsi="Traditional Arabic" w:cs="Traditional Arabic" w:hint="cs"/>
          <w:b/>
          <w:bCs/>
          <w:sz w:val="32"/>
          <w:szCs w:val="32"/>
          <w:u w:val="single"/>
          <w:rtl/>
        </w:rPr>
        <w:t>الاستطلاعي</w:t>
      </w:r>
      <w:r>
        <w:rPr>
          <w:rFonts w:ascii="Traditional Arabic" w:hAnsi="Traditional Arabic" w:cs="Traditional Arabic"/>
          <w:b/>
          <w:bCs/>
          <w:sz w:val="32"/>
          <w:szCs w:val="32"/>
          <w:u w:val="single"/>
          <w:rtl/>
        </w:rPr>
        <w:t xml:space="preserve"> (Prototype)</w:t>
      </w:r>
      <w:bookmarkEnd w:id="43"/>
    </w:p>
    <w:p w14:paraId="5C2A86F8" w14:textId="77777777" w:rsidR="00B35152" w:rsidRPr="00FD6BAF" w:rsidRDefault="00B35152" w:rsidP="00E000FF">
      <w:pPr>
        <w:bidi/>
        <w:spacing w:after="0" w:line="360" w:lineRule="auto"/>
        <w:jc w:val="both"/>
        <w:rPr>
          <w:rFonts w:ascii="Simplified Arabic" w:hAnsi="Simplified Arabic" w:cs="Simplified Arabic"/>
          <w:sz w:val="32"/>
          <w:szCs w:val="32"/>
        </w:rPr>
      </w:pPr>
      <w:r>
        <w:rPr>
          <w:rFonts w:ascii="Traditional Arabic" w:hAnsi="Traditional Arabic" w:cs="Traditional Arabic"/>
          <w:sz w:val="28"/>
          <w:szCs w:val="28"/>
          <w:rtl/>
        </w:rPr>
        <w:t>قبل الشروع في التطبيق الفعلي للاستبانة، سيُجرَى تطبيق استطلاعي (Prototype) يهدف إلى التحقق من جاهزية الأداة وصلاحيتها للتطبيق على عينة الدراسة الأساسية.</w:t>
      </w:r>
    </w:p>
    <w:p w14:paraId="6688CB7B" w14:textId="77777777" w:rsidR="00B35152" w:rsidRPr="00FD6BAF" w:rsidRDefault="00B35152" w:rsidP="00E000FF">
      <w:pPr>
        <w:bidi/>
        <w:spacing w:after="0" w:line="360" w:lineRule="auto"/>
        <w:jc w:val="both"/>
        <w:rPr>
          <w:rFonts w:ascii="Simplified Arabic" w:hAnsi="Simplified Arabic" w:cs="Simplified Arabic"/>
          <w:sz w:val="32"/>
          <w:szCs w:val="32"/>
        </w:rPr>
      </w:pPr>
      <w:r>
        <w:rPr>
          <w:rFonts w:ascii="Traditional Arabic" w:hAnsi="Traditional Arabic" w:cs="Traditional Arabic"/>
          <w:sz w:val="28"/>
          <w:szCs w:val="28"/>
          <w:rtl/>
        </w:rPr>
        <w:lastRenderedPageBreak/>
        <w:t>أولاً: حجم العينة الاستطلاعية وأسلوب اختيارها</w:t>
      </w:r>
    </w:p>
    <w:p w14:paraId="28F32366" w14:textId="77777777" w:rsidR="00B35152" w:rsidRPr="00FD6BAF" w:rsidRDefault="00B35152" w:rsidP="00E000FF">
      <w:pPr>
        <w:bidi/>
        <w:spacing w:after="0" w:line="360" w:lineRule="auto"/>
        <w:jc w:val="both"/>
        <w:rPr>
          <w:rFonts w:ascii="Simplified Arabic" w:hAnsi="Simplified Arabic" w:cs="Simplified Arabic"/>
          <w:sz w:val="32"/>
          <w:szCs w:val="32"/>
        </w:rPr>
      </w:pPr>
      <w:r>
        <w:rPr>
          <w:rFonts w:ascii="Traditional Arabic" w:hAnsi="Traditional Arabic" w:cs="Traditional Arabic"/>
          <w:sz w:val="28"/>
          <w:szCs w:val="28"/>
          <w:rtl/>
        </w:rPr>
        <w:t>ستتكون العينة الاستطلاعية من (30) مشاركاً على الأقل، يُختارون من مؤسسات مالية سعودية من خارج عينة الدراسة الأساسية، مع مراعاة التنوع في نوع المؤسسة وحجمها والمسمى الوظيفي للمشاركين.</w:t>
      </w:r>
    </w:p>
    <w:p w14:paraId="12A1C13F" w14:textId="77777777" w:rsidR="00B35152" w:rsidRPr="00FD6BAF" w:rsidRDefault="00B35152" w:rsidP="00E000FF">
      <w:pPr>
        <w:bidi/>
        <w:spacing w:after="0" w:line="360" w:lineRule="auto"/>
        <w:jc w:val="both"/>
        <w:rPr>
          <w:rFonts w:ascii="Simplified Arabic" w:hAnsi="Simplified Arabic" w:cs="Simplified Arabic"/>
          <w:sz w:val="32"/>
          <w:szCs w:val="32"/>
        </w:rPr>
      </w:pPr>
      <w:r>
        <w:rPr>
          <w:rFonts w:ascii="Traditional Arabic" w:hAnsi="Traditional Arabic" w:cs="Traditional Arabic"/>
          <w:sz w:val="28"/>
          <w:szCs w:val="28"/>
          <w:rtl/>
        </w:rPr>
        <w:t>ثانياً: أهداف التطبيق الاستطلاعي</w:t>
      </w:r>
    </w:p>
    <w:p w14:paraId="627F4269" w14:textId="77777777" w:rsidR="00B35152" w:rsidRPr="00FD6BAF" w:rsidRDefault="00B35152" w:rsidP="00E000FF">
      <w:pPr>
        <w:bidi/>
        <w:spacing w:after="0" w:line="360" w:lineRule="auto"/>
        <w:jc w:val="both"/>
        <w:rPr>
          <w:rFonts w:ascii="Simplified Arabic" w:hAnsi="Simplified Arabic" w:cs="Simplified Arabic"/>
          <w:sz w:val="32"/>
          <w:szCs w:val="32"/>
        </w:rPr>
      </w:pPr>
      <w:r>
        <w:rPr>
          <w:rFonts w:ascii="Traditional Arabic" w:hAnsi="Traditional Arabic" w:cs="Traditional Arabic"/>
          <w:sz w:val="28"/>
          <w:szCs w:val="28"/>
          <w:rtl/>
        </w:rPr>
        <w:t>يهدف التطبيق الاستطلاعي إلى تحقيق الأغراض الآتية:</w:t>
      </w:r>
    </w:p>
    <w:p w14:paraId="47239CA5" w14:textId="77777777" w:rsidR="00B35152" w:rsidRPr="00FD6BAF" w:rsidRDefault="00B35152" w:rsidP="00E000FF">
      <w:pPr>
        <w:pStyle w:val="a5"/>
        <w:numPr>
          <w:ilvl w:val="0"/>
          <w:numId w:val="34"/>
        </w:numPr>
        <w:bidi/>
        <w:spacing w:after="0" w:line="360" w:lineRule="auto"/>
        <w:jc w:val="both"/>
        <w:rPr>
          <w:rFonts w:ascii="Simplified Arabic" w:hAnsi="Simplified Arabic" w:cs="Simplified Arabic"/>
          <w:sz w:val="32"/>
          <w:szCs w:val="32"/>
        </w:rPr>
      </w:pPr>
      <w:r>
        <w:rPr>
          <w:rFonts w:ascii="Traditional Arabic" w:hAnsi="Traditional Arabic" w:cs="Traditional Arabic"/>
          <w:sz w:val="28"/>
          <w:szCs w:val="28"/>
          <w:rtl/>
        </w:rPr>
        <w:t>التحقق من وضوح العبارات وفهمها بالشكل المقصود دون لبس.</w:t>
      </w:r>
    </w:p>
    <w:p w14:paraId="3C3D525D" w14:textId="77777777" w:rsidR="00B35152" w:rsidRPr="00FD6BAF" w:rsidRDefault="00B35152" w:rsidP="00E000FF">
      <w:pPr>
        <w:pStyle w:val="a5"/>
        <w:numPr>
          <w:ilvl w:val="0"/>
          <w:numId w:val="34"/>
        </w:numPr>
        <w:bidi/>
        <w:spacing w:after="0" w:line="360" w:lineRule="auto"/>
        <w:jc w:val="both"/>
        <w:rPr>
          <w:rFonts w:ascii="Simplified Arabic" w:hAnsi="Simplified Arabic" w:cs="Simplified Arabic"/>
          <w:sz w:val="32"/>
          <w:szCs w:val="32"/>
        </w:rPr>
      </w:pPr>
      <w:r>
        <w:rPr>
          <w:rFonts w:ascii="Traditional Arabic" w:hAnsi="Traditional Arabic" w:cs="Traditional Arabic"/>
          <w:sz w:val="28"/>
          <w:szCs w:val="28"/>
          <w:rtl/>
        </w:rPr>
        <w:t>تقدير الزمن المناسب للإجابة على الاستبانة كاملةً.</w:t>
      </w:r>
    </w:p>
    <w:p w14:paraId="178D8D42" w14:textId="77777777" w:rsidR="00B35152" w:rsidRPr="00FD6BAF" w:rsidRDefault="00B35152" w:rsidP="00E000FF">
      <w:pPr>
        <w:pStyle w:val="a5"/>
        <w:numPr>
          <w:ilvl w:val="0"/>
          <w:numId w:val="34"/>
        </w:numPr>
        <w:bidi/>
        <w:spacing w:after="0" w:line="360" w:lineRule="auto"/>
        <w:jc w:val="both"/>
        <w:rPr>
          <w:rFonts w:ascii="Simplified Arabic" w:hAnsi="Simplified Arabic" w:cs="Simplified Arabic"/>
          <w:sz w:val="32"/>
          <w:szCs w:val="32"/>
        </w:rPr>
      </w:pPr>
      <w:r>
        <w:rPr>
          <w:rFonts w:ascii="Traditional Arabic" w:hAnsi="Traditional Arabic" w:cs="Traditional Arabic"/>
          <w:sz w:val="28"/>
          <w:szCs w:val="28"/>
          <w:rtl/>
        </w:rPr>
        <w:t>تقييم تسلسل الفقرات ومنطقيتها من منظور المستجيب.</w:t>
      </w:r>
    </w:p>
    <w:p w14:paraId="2C70DDCB" w14:textId="77777777" w:rsidR="00B35152" w:rsidRPr="00FD6BAF" w:rsidRDefault="00B35152" w:rsidP="00E000FF">
      <w:pPr>
        <w:pStyle w:val="a5"/>
        <w:numPr>
          <w:ilvl w:val="0"/>
          <w:numId w:val="34"/>
        </w:numPr>
        <w:bidi/>
        <w:spacing w:after="0" w:line="360" w:lineRule="auto"/>
        <w:jc w:val="both"/>
        <w:rPr>
          <w:rFonts w:ascii="Simplified Arabic" w:hAnsi="Simplified Arabic" w:cs="Simplified Arabic"/>
          <w:sz w:val="32"/>
          <w:szCs w:val="32"/>
        </w:rPr>
      </w:pPr>
      <w:r>
        <w:rPr>
          <w:rFonts w:ascii="Traditional Arabic" w:hAnsi="Traditional Arabic" w:cs="Traditional Arabic"/>
          <w:sz w:val="28"/>
          <w:szCs w:val="28"/>
          <w:rtl/>
        </w:rPr>
        <w:t>رصد أي عبارات إشكالية تحتاج إعادة صياغة.</w:t>
      </w:r>
    </w:p>
    <w:p w14:paraId="00F96CCC" w14:textId="77777777" w:rsidR="00B35152" w:rsidRPr="00FD6BAF" w:rsidRDefault="00B35152" w:rsidP="00E000FF">
      <w:pPr>
        <w:pStyle w:val="a5"/>
        <w:numPr>
          <w:ilvl w:val="0"/>
          <w:numId w:val="34"/>
        </w:numPr>
        <w:bidi/>
        <w:spacing w:after="0" w:line="360" w:lineRule="auto"/>
        <w:jc w:val="both"/>
        <w:rPr>
          <w:rFonts w:ascii="Simplified Arabic" w:hAnsi="Simplified Arabic" w:cs="Simplified Arabic"/>
          <w:sz w:val="32"/>
          <w:szCs w:val="32"/>
        </w:rPr>
      </w:pPr>
      <w:r>
        <w:rPr>
          <w:rFonts w:ascii="Traditional Arabic" w:hAnsi="Traditional Arabic" w:cs="Traditional Arabic"/>
          <w:sz w:val="28"/>
          <w:szCs w:val="28"/>
          <w:rtl/>
        </w:rPr>
        <w:t>حساب مؤشرات الصدق والثبات الأولية قبل التطبيق النهائي.</w:t>
      </w:r>
    </w:p>
    <w:p w14:paraId="7BCF7C7D" w14:textId="77777777" w:rsidR="00B35152" w:rsidRPr="00FD6BAF" w:rsidRDefault="00B35152" w:rsidP="00E000FF">
      <w:pPr>
        <w:bidi/>
        <w:spacing w:after="0" w:line="360" w:lineRule="auto"/>
        <w:jc w:val="both"/>
        <w:rPr>
          <w:rFonts w:ascii="Simplified Arabic" w:hAnsi="Simplified Arabic" w:cs="Simplified Arabic"/>
          <w:sz w:val="32"/>
          <w:szCs w:val="32"/>
        </w:rPr>
      </w:pPr>
      <w:r>
        <w:rPr>
          <w:rFonts w:ascii="Traditional Arabic" w:hAnsi="Traditional Arabic" w:cs="Traditional Arabic"/>
          <w:sz w:val="28"/>
          <w:szCs w:val="28"/>
          <w:rtl/>
        </w:rPr>
        <w:t>ثالثاً: التعديلات المتوقعة</w:t>
      </w:r>
    </w:p>
    <w:p w14:paraId="61E7B1F5" w14:textId="77777777" w:rsidR="00B35152" w:rsidRPr="00FD6BAF" w:rsidRDefault="00B35152" w:rsidP="00E000FF">
      <w:pPr>
        <w:bidi/>
        <w:spacing w:after="0" w:line="360" w:lineRule="auto"/>
        <w:jc w:val="both"/>
        <w:rPr>
          <w:rFonts w:ascii="Simplified Arabic" w:hAnsi="Simplified Arabic" w:cs="Simplified Arabic"/>
          <w:sz w:val="32"/>
          <w:szCs w:val="32"/>
        </w:rPr>
      </w:pPr>
      <w:r>
        <w:rPr>
          <w:rFonts w:ascii="Traditional Arabic" w:hAnsi="Traditional Arabic" w:cs="Traditional Arabic"/>
          <w:sz w:val="28"/>
          <w:szCs w:val="28"/>
          <w:rtl/>
        </w:rPr>
        <w:t>بناءً على نتائج التطبيق الاستطلاعي، ستُوثَّق جميع التعديلات التي أُجريت على الاستبانة قبل التطبيق الفعلي، مع بيان طبيعة كل تعديل (إعادة صياغة / حذف / إضافة) وسببه، للتدليل على جاهزية الأداة ومراحل تطويرها.</w:t>
      </w:r>
    </w:p>
    <w:p w14:paraId="10A2F4A0" w14:textId="77777777" w:rsidR="00B35152" w:rsidRPr="009A42B9" w:rsidRDefault="00B35152" w:rsidP="00E000FF">
      <w:pPr>
        <w:bidi/>
        <w:spacing w:after="0" w:line="360" w:lineRule="auto"/>
        <w:jc w:val="both"/>
        <w:rPr>
          <w:rFonts w:ascii="Simplified Arabic" w:hAnsi="Simplified Arabic" w:cs="Simplified Arabic"/>
          <w:sz w:val="28"/>
          <w:szCs w:val="28"/>
        </w:rPr>
      </w:pPr>
    </w:p>
    <w:p w14:paraId="568F51D3" w14:textId="77777777" w:rsidR="00B35152" w:rsidRPr="00310DA8" w:rsidRDefault="00B35152" w:rsidP="00E000FF">
      <w:pPr>
        <w:pStyle w:val="HeadingTOCEntry"/>
        <w:bidi/>
        <w:spacing w:after="0" w:line="360" w:lineRule="auto"/>
        <w:rPr>
          <w:rFonts w:ascii="Simplified Arabic" w:hAnsi="Simplified Arabic" w:cs="Simplified Arabic"/>
          <w:b/>
          <w:bCs/>
          <w:sz w:val="28"/>
          <w:szCs w:val="28"/>
          <w:u w:val="single"/>
        </w:rPr>
      </w:pPr>
      <w:bookmarkStart w:id="44" w:name="_Toc234424164"/>
      <w:r>
        <w:rPr>
          <w:rFonts w:ascii="Traditional Arabic" w:hAnsi="Traditional Arabic" w:cs="Traditional Arabic"/>
          <w:b/>
          <w:bCs/>
          <w:sz w:val="32"/>
          <w:szCs w:val="32"/>
          <w:u w:val="single"/>
          <w:rtl/>
        </w:rPr>
        <w:t>3.8 الأساليب الإحصائية</w:t>
      </w:r>
      <w:bookmarkEnd w:id="44"/>
    </w:p>
    <w:p w14:paraId="5342F23A" w14:textId="77777777" w:rsidR="00B35152" w:rsidRPr="00FD6BAF" w:rsidRDefault="00B35152" w:rsidP="00E000FF">
      <w:pPr>
        <w:bidi/>
        <w:spacing w:after="0" w:line="360" w:lineRule="auto"/>
        <w:jc w:val="both"/>
        <w:rPr>
          <w:rFonts w:ascii="Simplified Arabic" w:hAnsi="Simplified Arabic" w:cs="Simplified Arabic"/>
          <w:sz w:val="32"/>
          <w:szCs w:val="32"/>
          <w:rtl/>
        </w:rPr>
      </w:pPr>
      <w:r>
        <w:rPr>
          <w:rFonts w:ascii="Traditional Arabic" w:hAnsi="Traditional Arabic" w:cs="Traditional Arabic"/>
          <w:sz w:val="28"/>
          <w:szCs w:val="28"/>
          <w:rtl/>
        </w:rPr>
        <w:t>نظراً لاعتماد الدراسة على العينة القصدية (غير الاحتمالية)، فإن الأساليب الإحصائية اللابارامترية (Non-parametric) هي الأنسب لتحليل البيانات. وستُستخدَم الأساليب الآتية:</w:t>
      </w:r>
    </w:p>
    <w:p w14:paraId="4A538E76" w14:textId="77777777" w:rsidR="00B35152" w:rsidRPr="00D329C2" w:rsidRDefault="00B35152" w:rsidP="00E000FF">
      <w:pPr>
        <w:bidi/>
        <w:spacing w:after="0" w:line="360" w:lineRule="auto"/>
        <w:jc w:val="both"/>
        <w:rPr>
          <w:rFonts w:ascii="Simplified Arabic" w:hAnsi="Simplified Arabic" w:cs="Simplified Arabic"/>
          <w:sz w:val="28"/>
          <w:szCs w:val="28"/>
        </w:rPr>
      </w:pPr>
    </w:p>
    <w:tbl>
      <w:tblPr>
        <w:tblStyle w:val="4-1"/>
        <w:tblpPr w:leftFromText="180" w:rightFromText="180" w:vertAnchor="text" w:tblpXSpec="center" w:tblpY="1"/>
        <w:tblOverlap w:val="never"/>
        <w:bidiVisual/>
        <w:tblW w:w="4994" w:type="pct"/>
        <w:tblLook w:val="04A0" w:firstRow="1" w:lastRow="0" w:firstColumn="1" w:lastColumn="0" w:noHBand="0" w:noVBand="1"/>
      </w:tblPr>
      <w:tblGrid>
        <w:gridCol w:w="1630"/>
        <w:gridCol w:w="3154"/>
        <w:gridCol w:w="3502"/>
      </w:tblGrid>
      <w:tr w:rsidR="00B35152" w:rsidRPr="00FD6BAF" w14:paraId="205F77C1" w14:textId="77777777" w:rsidTr="00B943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4" w:type="pct"/>
          </w:tcPr>
          <w:p w14:paraId="028D1438" w14:textId="77777777" w:rsidR="00B35152" w:rsidRPr="00FD6BAF"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sz w:val="24"/>
                <w:szCs w:val="24"/>
                <w:rtl/>
              </w:rPr>
              <w:t>الفرضية المرتبطة</w:t>
            </w:r>
          </w:p>
        </w:tc>
        <w:tc>
          <w:tcPr>
            <w:tcW w:w="1903" w:type="pct"/>
          </w:tcPr>
          <w:p w14:paraId="794D6987" w14:textId="77777777" w:rsidR="00B35152" w:rsidRPr="00FD6BAF"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sz w:val="24"/>
                <w:szCs w:val="24"/>
                <w:rtl/>
              </w:rPr>
              <w:t>الهدف من الاستخدام</w:t>
            </w:r>
          </w:p>
        </w:tc>
        <w:tc>
          <w:tcPr>
            <w:tcW w:w="2113" w:type="pct"/>
          </w:tcPr>
          <w:p w14:paraId="29D6614C" w14:textId="77777777" w:rsidR="00B35152" w:rsidRPr="00FD6BAF"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sz w:val="24"/>
                <w:szCs w:val="24"/>
                <w:rtl/>
              </w:rPr>
              <w:t>الأسلوب الإحصائي</w:t>
            </w:r>
          </w:p>
        </w:tc>
      </w:tr>
      <w:tr w:rsidR="00B35152" w:rsidRPr="00FD6BAF" w14:paraId="59CD424D"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4" w:type="pct"/>
          </w:tcPr>
          <w:p w14:paraId="0981E41C" w14:textId="77777777" w:rsidR="00B35152" w:rsidRPr="00FD6BAF"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sz w:val="24"/>
                <w:szCs w:val="24"/>
                <w:rtl/>
              </w:rPr>
              <w:t>وصف العينة</w:t>
            </w:r>
          </w:p>
        </w:tc>
        <w:tc>
          <w:tcPr>
            <w:tcW w:w="1903" w:type="pct"/>
          </w:tcPr>
          <w:p w14:paraId="5718B41A" w14:textId="77777777" w:rsidR="00B35152" w:rsidRPr="00FD6BAF"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sz w:val="24"/>
                <w:szCs w:val="24"/>
                <w:rtl/>
              </w:rPr>
              <w:t>وصف خصائص عينة الدراسة والمتغيرات</w:t>
            </w:r>
          </w:p>
        </w:tc>
        <w:tc>
          <w:tcPr>
            <w:tcW w:w="2113" w:type="pct"/>
          </w:tcPr>
          <w:p w14:paraId="69C2308B" w14:textId="77777777" w:rsidR="00B35152" w:rsidRPr="00FD6BAF"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sz w:val="24"/>
                <w:szCs w:val="24"/>
                <w:rtl/>
              </w:rPr>
              <w:t>الإحصاء الوصفي (Mean, SD)</w:t>
            </w:r>
          </w:p>
        </w:tc>
      </w:tr>
      <w:tr w:rsidR="00B35152" w:rsidRPr="00FD6BAF" w14:paraId="6B527E06" w14:textId="77777777" w:rsidTr="00B943E6">
        <w:tc>
          <w:tcPr>
            <w:cnfStyle w:val="001000000000" w:firstRow="0" w:lastRow="0" w:firstColumn="1" w:lastColumn="0" w:oddVBand="0" w:evenVBand="0" w:oddHBand="0" w:evenHBand="0" w:firstRowFirstColumn="0" w:firstRowLastColumn="0" w:lastRowFirstColumn="0" w:lastRowLastColumn="0"/>
            <w:tcW w:w="984" w:type="pct"/>
          </w:tcPr>
          <w:p w14:paraId="32755CD7" w14:textId="77777777" w:rsidR="00B35152" w:rsidRPr="00FD6BAF"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sz w:val="24"/>
                <w:szCs w:val="24"/>
                <w:rtl/>
              </w:rPr>
              <w:t>H1, H2</w:t>
            </w:r>
          </w:p>
        </w:tc>
        <w:tc>
          <w:tcPr>
            <w:tcW w:w="1903" w:type="pct"/>
          </w:tcPr>
          <w:p w14:paraId="5B7767EA" w14:textId="77777777" w:rsidR="00B35152" w:rsidRPr="00FD6BAF"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sz w:val="24"/>
                <w:szCs w:val="24"/>
                <w:rtl/>
              </w:rPr>
              <w:t>قياس قوة العلاقة بين المتغيرات الكمية</w:t>
            </w:r>
          </w:p>
        </w:tc>
        <w:tc>
          <w:tcPr>
            <w:tcW w:w="2113" w:type="pct"/>
          </w:tcPr>
          <w:p w14:paraId="0EDA649C" w14:textId="77777777" w:rsidR="00B35152" w:rsidRPr="00FD6BAF"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sz w:val="24"/>
                <w:szCs w:val="24"/>
                <w:rtl/>
              </w:rPr>
              <w:t>معامل ارتباط سبيرمان</w:t>
            </w:r>
          </w:p>
        </w:tc>
      </w:tr>
      <w:tr w:rsidR="00E4583A" w14:paraId="7A451B3F" w14:textId="77777777" w:rsidTr="00E458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4" w:type="pct"/>
          </w:tcPr>
          <w:p w14:paraId="56B9A5B6" w14:textId="77777777" w:rsidR="00E4583A" w:rsidRDefault="00000000">
            <w:pPr>
              <w:bidi/>
              <w:spacing w:after="0" w:line="260" w:lineRule="auto"/>
              <w:jc w:val="center"/>
              <w:rPr>
                <w:rFonts w:ascii="Simplified Arabic" w:hAnsi="Simplified Arabic" w:cs="Simplified Arabic"/>
                <w:sz w:val="24"/>
                <w:szCs w:val="24"/>
              </w:rPr>
            </w:pPr>
            <w:r>
              <w:rPr>
                <w:rFonts w:ascii="Traditional Arabic" w:hAnsi="Traditional Arabic" w:cs="Traditional Arabic"/>
                <w:sz w:val="24"/>
                <w:szCs w:val="24"/>
                <w:rtl/>
              </w:rPr>
              <w:t>H3، H4، H5، H6، H7</w:t>
            </w:r>
          </w:p>
        </w:tc>
        <w:tc>
          <w:tcPr>
            <w:tcW w:w="1903" w:type="pct"/>
          </w:tcPr>
          <w:p w14:paraId="2B1728EF" w14:textId="77777777" w:rsidR="00E4583A" w:rsidRDefault="00000000">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sz w:val="24"/>
                <w:szCs w:val="24"/>
                <w:rtl/>
              </w:rPr>
              <w:t>المقارنة بين أكثر من مجموعتين لكل فرض على حدة، وتُختبَر على المتغيرات التابعة الثلاثة</w:t>
            </w:r>
          </w:p>
        </w:tc>
        <w:tc>
          <w:tcPr>
            <w:tcW w:w="2113" w:type="pct"/>
          </w:tcPr>
          <w:p w14:paraId="328A2F4B" w14:textId="77777777" w:rsidR="00E4583A" w:rsidRDefault="00000000">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sz w:val="24"/>
                <w:szCs w:val="24"/>
                <w:rtl/>
              </w:rPr>
              <w:t>اختبار كروسكال-واليس (Kruskal-Wallis)</w:t>
            </w:r>
          </w:p>
        </w:tc>
      </w:tr>
      <w:tr w:rsidR="00E4583A" w14:paraId="0413F1C0" w14:textId="77777777" w:rsidTr="00E4583A">
        <w:tc>
          <w:tcPr>
            <w:cnfStyle w:val="001000000000" w:firstRow="0" w:lastRow="0" w:firstColumn="1" w:lastColumn="0" w:oddVBand="0" w:evenVBand="0" w:oddHBand="0" w:evenHBand="0" w:firstRowFirstColumn="0" w:firstRowLastColumn="0" w:lastRowFirstColumn="0" w:lastRowLastColumn="0"/>
            <w:tcW w:w="984" w:type="pct"/>
          </w:tcPr>
          <w:p w14:paraId="48333945" w14:textId="77777777" w:rsidR="00E4583A" w:rsidRDefault="00000000">
            <w:pPr>
              <w:bidi/>
              <w:spacing w:after="0" w:line="260" w:lineRule="auto"/>
              <w:jc w:val="center"/>
              <w:rPr>
                <w:rFonts w:ascii="Simplified Arabic" w:hAnsi="Simplified Arabic" w:cs="Simplified Arabic"/>
                <w:sz w:val="24"/>
                <w:szCs w:val="24"/>
              </w:rPr>
            </w:pPr>
            <w:r>
              <w:rPr>
                <w:rFonts w:ascii="Traditional Arabic" w:hAnsi="Traditional Arabic" w:cs="Traditional Arabic"/>
                <w:sz w:val="24"/>
                <w:szCs w:val="24"/>
                <w:rtl/>
              </w:rPr>
              <w:lastRenderedPageBreak/>
              <w:t>H3 إلى H7</w:t>
            </w:r>
          </w:p>
        </w:tc>
        <w:tc>
          <w:tcPr>
            <w:tcW w:w="1903" w:type="pct"/>
          </w:tcPr>
          <w:p w14:paraId="7028EFCB" w14:textId="77777777" w:rsidR="00E4583A" w:rsidRDefault="00000000">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sz w:val="24"/>
                <w:szCs w:val="24"/>
                <w:rtl/>
              </w:rPr>
              <w:t>تحديد الفئة التي تُعزى إليها الفروق الدالة إحصائياً</w:t>
            </w:r>
          </w:p>
        </w:tc>
        <w:tc>
          <w:tcPr>
            <w:tcW w:w="2113" w:type="pct"/>
          </w:tcPr>
          <w:p w14:paraId="6D8435E1" w14:textId="77777777" w:rsidR="00E4583A" w:rsidRDefault="00000000">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sz w:val="24"/>
                <w:szCs w:val="24"/>
                <w:rtl/>
              </w:rPr>
              <w:t>اختبار دن البعدي (Dunn's Post-Hoc) بتصحيح بونفيروني (Bonferroni)</w:t>
            </w:r>
          </w:p>
        </w:tc>
      </w:tr>
      <w:tr w:rsidR="00B35152" w:rsidRPr="00FD6BAF" w14:paraId="33670F3B"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4" w:type="pct"/>
          </w:tcPr>
          <w:p w14:paraId="0C2E13B7" w14:textId="77777777" w:rsidR="00B35152" w:rsidRPr="00FD6BAF"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sz w:val="24"/>
                <w:szCs w:val="24"/>
                <w:rtl/>
              </w:rPr>
              <w:t>الفرضية المرتبطة</w:t>
            </w:r>
          </w:p>
        </w:tc>
        <w:tc>
          <w:tcPr>
            <w:tcW w:w="1903" w:type="pct"/>
          </w:tcPr>
          <w:p w14:paraId="5EB71976" w14:textId="77777777" w:rsidR="00B35152" w:rsidRPr="00FD6BAF"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sz w:val="24"/>
                <w:szCs w:val="24"/>
                <w:rtl/>
              </w:rPr>
              <w:t>الهدف من الاستخدام</w:t>
            </w:r>
          </w:p>
        </w:tc>
        <w:tc>
          <w:tcPr>
            <w:tcW w:w="2113" w:type="pct"/>
          </w:tcPr>
          <w:p w14:paraId="3158B6BC" w14:textId="77777777" w:rsidR="00B35152" w:rsidRPr="00FD6BAF"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sz w:val="24"/>
                <w:szCs w:val="24"/>
                <w:rtl/>
              </w:rPr>
              <w:t>الأسلوب الإحصائي</w:t>
            </w:r>
          </w:p>
        </w:tc>
      </w:tr>
    </w:tbl>
    <w:p w14:paraId="13C02879" w14:textId="77777777" w:rsidR="00B35152" w:rsidRPr="0087261A" w:rsidRDefault="00B35152" w:rsidP="00FD6BAF">
      <w:pPr>
        <w:pStyle w:val="TableCaption"/>
        <w:bidi/>
        <w:spacing w:after="0" w:line="300" w:lineRule="auto"/>
        <w:jc w:val="center"/>
        <w:rPr>
          <w:rFonts w:ascii="Simplified Arabic" w:hAnsi="Simplified Arabic" w:cs="Simplified Arabic"/>
          <w:sz w:val="28"/>
          <w:szCs w:val="28"/>
        </w:rPr>
      </w:pPr>
      <w:r>
        <w:rPr>
          <w:rFonts w:ascii="Traditional Arabic" w:hAnsi="Traditional Arabic" w:cs="Traditional Arabic"/>
          <w:b/>
          <w:bCs/>
          <w:sz w:val="24"/>
          <w:szCs w:val="24"/>
          <w:rtl/>
        </w:rPr>
        <w:t>جدول (3.5): الأساليب الإحصائية وارتباطها بفرضيات الدراسة</w:t>
      </w:r>
    </w:p>
    <w:p w14:paraId="4DDD5BDC" w14:textId="77777777" w:rsidR="00B35152" w:rsidRPr="00DF2AA7" w:rsidRDefault="00B35152" w:rsidP="00E000FF">
      <w:pPr>
        <w:bidi/>
        <w:spacing w:after="0" w:line="360" w:lineRule="auto"/>
        <w:jc w:val="both"/>
        <w:rPr>
          <w:rFonts w:ascii="Simplified Arabic" w:hAnsi="Simplified Arabic" w:cs="Simplified Arabic"/>
          <w:sz w:val="28"/>
          <w:szCs w:val="28"/>
          <w:rtl/>
        </w:rPr>
      </w:pPr>
    </w:p>
    <w:p w14:paraId="4019DFB6" w14:textId="77777777" w:rsidR="00B35152" w:rsidRPr="00FD6BAF" w:rsidRDefault="00B35152" w:rsidP="00E000FF">
      <w:pPr>
        <w:bidi/>
        <w:spacing w:after="0" w:line="360" w:lineRule="auto"/>
        <w:jc w:val="both"/>
        <w:rPr>
          <w:rFonts w:ascii="Simplified Arabic" w:hAnsi="Simplified Arabic" w:cs="Simplified Arabic"/>
          <w:sz w:val="32"/>
          <w:szCs w:val="32"/>
        </w:rPr>
      </w:pPr>
      <w:r>
        <w:rPr>
          <w:rFonts w:ascii="Traditional Arabic" w:hAnsi="Traditional Arabic" w:cs="Traditional Arabic"/>
          <w:sz w:val="28"/>
          <w:szCs w:val="28"/>
          <w:rtl/>
        </w:rPr>
        <w:t>ستُحلَّل جميع البيانات الكمية باستخدام برنامج الحزم الإحصائية للعلوم الاجتماعية (SPSS).</w:t>
      </w:r>
    </w:p>
    <w:p w14:paraId="3BA82C53" w14:textId="77777777" w:rsidR="00B35152" w:rsidRDefault="00B35152" w:rsidP="00E000FF">
      <w:pPr>
        <w:bidi/>
        <w:spacing w:after="0" w:line="360" w:lineRule="auto"/>
        <w:jc w:val="both"/>
        <w:rPr>
          <w:rFonts w:ascii="Simplified Arabic" w:hAnsi="Simplified Arabic" w:cs="Simplified Arabic"/>
          <w:sz w:val="28"/>
          <w:szCs w:val="28"/>
          <w:rtl/>
        </w:rPr>
      </w:pPr>
    </w:p>
    <w:p w14:paraId="3DB93283" w14:textId="77777777" w:rsidR="00FD6BAF" w:rsidRDefault="00FD6BAF" w:rsidP="00FD6BAF">
      <w:pPr>
        <w:bidi/>
        <w:spacing w:after="0" w:line="360" w:lineRule="auto"/>
        <w:jc w:val="both"/>
        <w:rPr>
          <w:rFonts w:ascii="Simplified Arabic" w:hAnsi="Simplified Arabic" w:cs="Simplified Arabic"/>
          <w:sz w:val="28"/>
          <w:szCs w:val="28"/>
          <w:rtl/>
        </w:rPr>
      </w:pPr>
    </w:p>
    <w:p w14:paraId="04D39493" w14:textId="77777777" w:rsidR="00FD6BAF" w:rsidRPr="0087261A" w:rsidRDefault="00FD6BAF" w:rsidP="00FD6BAF">
      <w:pPr>
        <w:bidi/>
        <w:spacing w:after="0" w:line="360" w:lineRule="auto"/>
        <w:jc w:val="both"/>
        <w:rPr>
          <w:rFonts w:ascii="Simplified Arabic" w:hAnsi="Simplified Arabic" w:cs="Simplified Arabic"/>
          <w:sz w:val="28"/>
          <w:szCs w:val="28"/>
        </w:rPr>
      </w:pPr>
    </w:p>
    <w:p w14:paraId="43F77BBB" w14:textId="77777777" w:rsidR="00B35152" w:rsidRPr="00310DA8" w:rsidRDefault="00B35152" w:rsidP="00E000FF">
      <w:pPr>
        <w:pStyle w:val="HeadingTOCEntry"/>
        <w:bidi/>
        <w:spacing w:after="0" w:line="360" w:lineRule="auto"/>
        <w:rPr>
          <w:rFonts w:ascii="Simplified Arabic" w:hAnsi="Simplified Arabic" w:cs="Simplified Arabic"/>
          <w:b/>
          <w:bCs/>
          <w:sz w:val="28"/>
          <w:szCs w:val="28"/>
          <w:u w:val="single"/>
        </w:rPr>
      </w:pPr>
      <w:bookmarkStart w:id="45" w:name="_Toc234424165"/>
      <w:r>
        <w:rPr>
          <w:rFonts w:ascii="Traditional Arabic" w:hAnsi="Traditional Arabic" w:cs="Traditional Arabic"/>
          <w:b/>
          <w:bCs/>
          <w:sz w:val="32"/>
          <w:szCs w:val="32"/>
          <w:u w:val="single"/>
          <w:rtl/>
        </w:rPr>
        <w:t>3.9 الاعتبارات الأخلاقية</w:t>
      </w:r>
      <w:bookmarkEnd w:id="45"/>
    </w:p>
    <w:p w14:paraId="085294D8" w14:textId="77777777" w:rsidR="00B35152" w:rsidRPr="00FD6BAF" w:rsidRDefault="00B35152" w:rsidP="00E000FF">
      <w:pPr>
        <w:bidi/>
        <w:spacing w:after="0" w:line="360" w:lineRule="auto"/>
        <w:jc w:val="both"/>
        <w:rPr>
          <w:rFonts w:ascii="Simplified Arabic" w:hAnsi="Simplified Arabic" w:cs="Simplified Arabic"/>
          <w:sz w:val="32"/>
          <w:szCs w:val="32"/>
        </w:rPr>
      </w:pPr>
      <w:commentRangeStart w:id="46"/>
      <w:r>
        <w:rPr>
          <w:rFonts w:ascii="Traditional Arabic" w:hAnsi="Traditional Arabic" w:cs="Traditional Arabic"/>
          <w:sz w:val="28"/>
          <w:szCs w:val="28"/>
          <w:rtl/>
        </w:rPr>
        <w:t>ستُراعَى</w:t>
      </w:r>
      <w:commentRangeEnd w:id="46"/>
      <w:r w:rsidR="00614C20">
        <w:rPr>
          <w:rStyle w:val="affa"/>
          <w:rFonts w:ascii="Traditional Arabic" w:hAnsi="Traditional Arabic" w:cs="Traditional Arabic"/>
          <w:sz w:val="28"/>
          <w:szCs w:val="28"/>
          <w:rtl/>
        </w:rPr>
        <w:commentReference w:id="46"/>
      </w:r>
      <w:r>
        <w:rPr>
          <w:rFonts w:ascii="Traditional Arabic" w:hAnsi="Traditional Arabic" w:cs="Traditional Arabic"/>
          <w:sz w:val="28"/>
          <w:szCs w:val="28"/>
          <w:rtl/>
        </w:rPr>
        <w:t xml:space="preserve"> في هذه الدراسة جميع الاعتبارات الأخلاقية المتعلقة بالبحث العلمي، وتشمل:</w:t>
      </w:r>
    </w:p>
    <w:p w14:paraId="6324E920" w14:textId="77777777" w:rsidR="00B35152" w:rsidRPr="00FD6BAF" w:rsidRDefault="00B35152" w:rsidP="00E000FF">
      <w:pPr>
        <w:pStyle w:val="a5"/>
        <w:numPr>
          <w:ilvl w:val="0"/>
          <w:numId w:val="59"/>
        </w:numPr>
        <w:bidi/>
        <w:spacing w:after="0" w:line="360" w:lineRule="auto"/>
        <w:jc w:val="both"/>
        <w:rPr>
          <w:rFonts w:ascii="Simplified Arabic" w:hAnsi="Simplified Arabic" w:cs="Simplified Arabic"/>
          <w:sz w:val="32"/>
          <w:szCs w:val="32"/>
        </w:rPr>
      </w:pPr>
      <w:r>
        <w:rPr>
          <w:rFonts w:ascii="Traditional Arabic" w:hAnsi="Traditional Arabic" w:cs="Traditional Arabic"/>
          <w:sz w:val="28"/>
          <w:szCs w:val="28"/>
          <w:rtl/>
        </w:rPr>
        <w:t>الحصول على الموافقة المُستنيرة (Informed Consent) من جميع المشاركين قبل جمع البيانات.</w:t>
      </w:r>
    </w:p>
    <w:p w14:paraId="1A10557B" w14:textId="77777777" w:rsidR="00B35152" w:rsidRPr="00FD6BAF" w:rsidRDefault="00B35152" w:rsidP="00E000FF">
      <w:pPr>
        <w:pStyle w:val="a5"/>
        <w:numPr>
          <w:ilvl w:val="0"/>
          <w:numId w:val="59"/>
        </w:numPr>
        <w:bidi/>
        <w:spacing w:after="0" w:line="360" w:lineRule="auto"/>
        <w:jc w:val="both"/>
        <w:rPr>
          <w:rFonts w:ascii="Simplified Arabic" w:hAnsi="Simplified Arabic" w:cs="Simplified Arabic"/>
          <w:sz w:val="32"/>
          <w:szCs w:val="32"/>
        </w:rPr>
      </w:pPr>
      <w:r>
        <w:rPr>
          <w:rFonts w:ascii="Traditional Arabic" w:hAnsi="Traditional Arabic" w:cs="Traditional Arabic"/>
          <w:sz w:val="28"/>
          <w:szCs w:val="28"/>
          <w:rtl/>
        </w:rPr>
        <w:t>ضمان سرية هوية المشاركين وعدم الكشف عن المعلومات الخاصة بهم.</w:t>
      </w:r>
    </w:p>
    <w:p w14:paraId="7FAC15E3" w14:textId="77777777" w:rsidR="00B35152" w:rsidRPr="00FD6BAF" w:rsidRDefault="00B35152" w:rsidP="00E000FF">
      <w:pPr>
        <w:pStyle w:val="a5"/>
        <w:numPr>
          <w:ilvl w:val="0"/>
          <w:numId w:val="59"/>
        </w:numPr>
        <w:bidi/>
        <w:spacing w:after="0" w:line="360" w:lineRule="auto"/>
        <w:jc w:val="both"/>
        <w:rPr>
          <w:rFonts w:ascii="Simplified Arabic" w:hAnsi="Simplified Arabic" w:cs="Simplified Arabic"/>
          <w:sz w:val="32"/>
          <w:szCs w:val="32"/>
        </w:rPr>
      </w:pPr>
      <w:r>
        <w:rPr>
          <w:rFonts w:ascii="Traditional Arabic" w:hAnsi="Traditional Arabic" w:cs="Traditional Arabic"/>
          <w:sz w:val="28"/>
          <w:szCs w:val="28"/>
          <w:rtl/>
        </w:rPr>
        <w:t>توضيح أن المشاركة طوعية وأن للمشارك الحق في الانسحاب في أي وقت.</w:t>
      </w:r>
    </w:p>
    <w:p w14:paraId="07D0AD3D" w14:textId="77777777" w:rsidR="00B35152" w:rsidRPr="0087261A" w:rsidRDefault="00B35152" w:rsidP="00E000FF">
      <w:pPr>
        <w:pStyle w:val="a5"/>
        <w:numPr>
          <w:ilvl w:val="0"/>
          <w:numId w:val="59"/>
        </w:num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استخدام البيانات لأغراض البحث العلمي فقط.</w:t>
      </w:r>
    </w:p>
    <w:p w14:paraId="6B92B5BB" w14:textId="77777777" w:rsidR="00B35152" w:rsidRDefault="00B35152" w:rsidP="00E000FF">
      <w:pPr>
        <w:bidi/>
        <w:spacing w:after="0" w:line="360" w:lineRule="auto"/>
        <w:jc w:val="both"/>
        <w:rPr>
          <w:rFonts w:ascii="Simplified Arabic" w:hAnsi="Simplified Arabic" w:cs="Simplified Arabic"/>
          <w:sz w:val="28"/>
          <w:szCs w:val="28"/>
          <w:rtl/>
        </w:rPr>
      </w:pPr>
      <w:r>
        <w:rPr>
          <w:rFonts w:ascii="Traditional Arabic" w:hAnsi="Traditional Arabic" w:cs="Traditional Arabic"/>
          <w:sz w:val="24"/>
          <w:szCs w:val="24"/>
          <w:rtl/>
        </w:rPr>
        <w:br w:type="page"/>
      </w:r>
    </w:p>
    <w:p w14:paraId="7652A617" w14:textId="77777777" w:rsidR="00FD201E" w:rsidRDefault="00FD201E" w:rsidP="00E000FF">
      <w:pPr>
        <w:bidi/>
        <w:spacing w:after="0" w:line="360" w:lineRule="auto"/>
        <w:jc w:val="both"/>
        <w:rPr>
          <w:rFonts w:ascii="Simplified Arabic" w:hAnsi="Simplified Arabic" w:cs="Simplified Arabic"/>
          <w:sz w:val="28"/>
          <w:szCs w:val="28"/>
          <w:rtl/>
        </w:rPr>
      </w:pPr>
    </w:p>
    <w:p w14:paraId="5BBAB491" w14:textId="77777777" w:rsidR="00FD201E" w:rsidRDefault="00FD201E" w:rsidP="00E000FF">
      <w:pPr>
        <w:bidi/>
        <w:spacing w:after="0" w:line="360" w:lineRule="auto"/>
        <w:jc w:val="both"/>
        <w:rPr>
          <w:rFonts w:ascii="Simplified Arabic" w:hAnsi="Simplified Arabic" w:cs="Simplified Arabic"/>
          <w:sz w:val="28"/>
          <w:szCs w:val="28"/>
          <w:rtl/>
        </w:rPr>
      </w:pPr>
    </w:p>
    <w:p w14:paraId="24AE1464" w14:textId="77777777" w:rsidR="00FD201E" w:rsidRDefault="00FD201E" w:rsidP="00E000FF">
      <w:pPr>
        <w:bidi/>
        <w:spacing w:after="0" w:line="360" w:lineRule="auto"/>
        <w:jc w:val="both"/>
        <w:rPr>
          <w:rFonts w:ascii="Simplified Arabic" w:hAnsi="Simplified Arabic" w:cs="Simplified Arabic"/>
          <w:sz w:val="28"/>
          <w:szCs w:val="28"/>
          <w:rtl/>
        </w:rPr>
      </w:pPr>
    </w:p>
    <w:p w14:paraId="45510184" w14:textId="77777777" w:rsidR="00FD201E" w:rsidRDefault="00FD201E" w:rsidP="00E000FF">
      <w:pPr>
        <w:bidi/>
        <w:spacing w:after="0" w:line="360" w:lineRule="auto"/>
        <w:jc w:val="both"/>
        <w:rPr>
          <w:rFonts w:ascii="Simplified Arabic" w:hAnsi="Simplified Arabic" w:cs="Simplified Arabic"/>
          <w:sz w:val="28"/>
          <w:szCs w:val="28"/>
          <w:rtl/>
        </w:rPr>
      </w:pPr>
    </w:p>
    <w:p w14:paraId="4FB3FFD7" w14:textId="77777777" w:rsidR="00FD201E" w:rsidRDefault="00FD201E" w:rsidP="00E000FF">
      <w:pPr>
        <w:bidi/>
        <w:spacing w:after="0" w:line="360" w:lineRule="auto"/>
        <w:jc w:val="both"/>
        <w:rPr>
          <w:rFonts w:ascii="Simplified Arabic" w:hAnsi="Simplified Arabic" w:cs="Simplified Arabic"/>
          <w:sz w:val="28"/>
          <w:szCs w:val="28"/>
          <w:rtl/>
        </w:rPr>
      </w:pPr>
    </w:p>
    <w:p w14:paraId="476AC19B" w14:textId="77777777" w:rsidR="00FD201E" w:rsidRDefault="00FD201E" w:rsidP="00E000FF">
      <w:pPr>
        <w:bidi/>
        <w:spacing w:after="0" w:line="360" w:lineRule="auto"/>
        <w:jc w:val="both"/>
        <w:rPr>
          <w:rFonts w:ascii="Simplified Arabic" w:hAnsi="Simplified Arabic" w:cs="Simplified Arabic"/>
          <w:sz w:val="28"/>
          <w:szCs w:val="28"/>
          <w:rtl/>
        </w:rPr>
      </w:pPr>
    </w:p>
    <w:p w14:paraId="659243BA" w14:textId="77777777" w:rsidR="00FD201E" w:rsidRDefault="00FD201E" w:rsidP="00E000FF">
      <w:pPr>
        <w:bidi/>
        <w:spacing w:after="0" w:line="360" w:lineRule="auto"/>
        <w:jc w:val="both"/>
        <w:rPr>
          <w:rFonts w:ascii="Simplified Arabic" w:hAnsi="Simplified Arabic" w:cs="Simplified Arabic"/>
          <w:sz w:val="28"/>
          <w:szCs w:val="28"/>
          <w:rtl/>
        </w:rPr>
      </w:pPr>
    </w:p>
    <w:p w14:paraId="373D3068" w14:textId="77777777" w:rsidR="00FD201E" w:rsidRDefault="00FD201E" w:rsidP="00E000FF">
      <w:pPr>
        <w:bidi/>
        <w:spacing w:after="0" w:line="360" w:lineRule="auto"/>
        <w:jc w:val="both"/>
        <w:rPr>
          <w:rFonts w:ascii="Simplified Arabic" w:hAnsi="Simplified Arabic" w:cs="Simplified Arabic"/>
          <w:sz w:val="28"/>
          <w:szCs w:val="28"/>
          <w:rtl/>
        </w:rPr>
      </w:pPr>
    </w:p>
    <w:p w14:paraId="4176C698" w14:textId="77777777" w:rsidR="00FD201E" w:rsidRDefault="00FD201E" w:rsidP="00E000FF">
      <w:pPr>
        <w:bidi/>
        <w:spacing w:after="0" w:line="360" w:lineRule="auto"/>
        <w:jc w:val="both"/>
        <w:rPr>
          <w:rFonts w:ascii="Simplified Arabic" w:hAnsi="Simplified Arabic" w:cs="Simplified Arabic"/>
          <w:sz w:val="28"/>
          <w:szCs w:val="28"/>
          <w:rtl/>
        </w:rPr>
      </w:pPr>
    </w:p>
    <w:p w14:paraId="04AD93A2" w14:textId="77777777" w:rsidR="00FD201E" w:rsidRPr="00D329C2" w:rsidRDefault="00FD201E" w:rsidP="00E000FF">
      <w:pPr>
        <w:bidi/>
        <w:spacing w:after="0" w:line="360" w:lineRule="auto"/>
        <w:jc w:val="both"/>
        <w:rPr>
          <w:rFonts w:ascii="Simplified Arabic" w:hAnsi="Simplified Arabic" w:cs="Simplified Arabic"/>
          <w:sz w:val="28"/>
          <w:szCs w:val="28"/>
        </w:rPr>
      </w:pPr>
    </w:p>
    <w:p w14:paraId="12055C3C" w14:textId="77777777" w:rsidR="00481285" w:rsidRPr="00FD6BAF" w:rsidRDefault="00481285" w:rsidP="00E000FF">
      <w:pPr>
        <w:pStyle w:val="HeadingTOCEntry"/>
        <w:bidi/>
        <w:spacing w:after="0" w:line="360" w:lineRule="auto"/>
        <w:ind w:left="432" w:hanging="432"/>
        <w:jc w:val="center"/>
        <w:rPr>
          <w:rFonts w:ascii="Traditional Arabic" w:hAnsi="Traditional Arabic" w:cs="Traditional Arabic"/>
          <w:b/>
          <w:bCs/>
          <w:sz w:val="92"/>
          <w:szCs w:val="92"/>
          <w:rtl/>
        </w:rPr>
      </w:pPr>
      <w:bookmarkStart w:id="47" w:name="_Toc234424166"/>
      <w:r>
        <w:rPr>
          <w:rFonts w:ascii="Traditional Arabic" w:hAnsi="Traditional Arabic" w:cs="Traditional Arabic"/>
          <w:b/>
          <w:bCs/>
          <w:sz w:val="92"/>
          <w:szCs w:val="92"/>
          <w:rtl/>
        </w:rPr>
        <w:t xml:space="preserve">الفصل </w:t>
      </w:r>
      <w:r>
        <w:rPr>
          <w:rFonts w:ascii="Traditional Arabic" w:hAnsi="Traditional Arabic" w:cs="Traditional Arabic" w:hint="cs"/>
          <w:b/>
          <w:bCs/>
          <w:sz w:val="92"/>
          <w:szCs w:val="92"/>
          <w:rtl/>
        </w:rPr>
        <w:t>الرابع</w:t>
      </w:r>
      <w:bookmarkEnd w:id="47"/>
    </w:p>
    <w:p w14:paraId="72B02DFB" w14:textId="77777777" w:rsidR="007C5A80" w:rsidRPr="007C5A80" w:rsidRDefault="007C5A80" w:rsidP="00E000FF">
      <w:pPr>
        <w:pStyle w:val="HeadingTOCEntry"/>
        <w:bidi/>
        <w:spacing w:after="0" w:line="360" w:lineRule="auto"/>
        <w:ind w:left="432" w:hanging="432"/>
        <w:jc w:val="center"/>
        <w:rPr>
          <w:rFonts w:ascii="Simplified Arabic" w:hAnsi="Simplified Arabic" w:cs="Simplified Arabic"/>
          <w:b/>
          <w:bCs/>
          <w:sz w:val="96"/>
          <w:szCs w:val="96"/>
        </w:rPr>
      </w:pPr>
      <w:bookmarkStart w:id="48" w:name="_Toc234424167"/>
      <w:r>
        <w:rPr>
          <w:rFonts w:ascii="Traditional Arabic" w:hAnsi="Traditional Arabic" w:cs="Traditional Arabic"/>
          <w:b/>
          <w:bCs/>
          <w:sz w:val="92"/>
          <w:szCs w:val="92"/>
          <w:rtl/>
        </w:rPr>
        <w:t>عرض وتحليل نتائج الدراسة</w:t>
      </w:r>
      <w:bookmarkEnd w:id="48"/>
    </w:p>
    <w:p w14:paraId="6BE0DB42" w14:textId="77777777" w:rsidR="00E07760" w:rsidRDefault="00E07760" w:rsidP="00E000FF">
      <w:pPr>
        <w:bidi/>
        <w:spacing w:after="0" w:line="360" w:lineRule="auto"/>
        <w:rPr>
          <w:rtl/>
        </w:rPr>
      </w:pPr>
      <w:r>
        <w:rPr>
          <w:rFonts w:ascii="Traditional Arabic" w:hAnsi="Traditional Arabic" w:cs="Traditional Arabic"/>
          <w:sz w:val="24"/>
          <w:szCs w:val="24"/>
          <w:rtl/>
        </w:rPr>
        <w:br w:type="page"/>
      </w:r>
    </w:p>
    <w:p w14:paraId="2C487487" w14:textId="77777777" w:rsidR="00E4583A" w:rsidRDefault="00000000">
      <w:pPr>
        <w:pStyle w:val="HeadingTOCEntry"/>
        <w:bidi/>
        <w:spacing w:after="0" w:line="360" w:lineRule="auto"/>
        <w:ind w:left="432" w:hanging="432"/>
        <w:rPr>
          <w:rFonts w:ascii="Simplified Arabic" w:hAnsi="Simplified Arabic" w:cs="Simplified Arabic"/>
          <w:b/>
          <w:bCs/>
          <w:sz w:val="28"/>
          <w:szCs w:val="28"/>
          <w:u w:val="single"/>
        </w:rPr>
      </w:pPr>
      <w:r>
        <w:rPr>
          <w:rFonts w:ascii="Traditional Arabic" w:eastAsia="Simplified Arabic" w:hAnsi="Traditional Arabic" w:cs="Traditional Arabic"/>
          <w:b/>
          <w:bCs/>
          <w:sz w:val="32"/>
          <w:szCs w:val="32"/>
          <w:u w:val="single"/>
          <w:rtl/>
        </w:rPr>
        <w:lastRenderedPageBreak/>
        <w:t>مقدمة</w:t>
      </w:r>
    </w:p>
    <w:p w14:paraId="72AB3B21" w14:textId="77777777" w:rsidR="00E4583A" w:rsidRDefault="00000000">
      <w:pPr>
        <w:bidi/>
        <w:spacing w:after="0" w:line="360" w:lineRule="auto"/>
        <w:jc w:val="both"/>
      </w:pPr>
      <w:r>
        <w:rPr>
          <w:rFonts w:ascii="Traditional Arabic" w:eastAsia="Simplified Arabic" w:hAnsi="Traditional Arabic" w:cs="Traditional Arabic"/>
          <w:sz w:val="28"/>
          <w:szCs w:val="28"/>
          <w:rtl/>
        </w:rPr>
        <w:t>يعرض هذا الفصل نتائج التحليل الإحصائي لبيانات الدراسة الميدانية، بعد جمعها عبر أداة الاستبانة المعتمدة وتطبيقها على عينة قوامها (196) استجابة صالحة للتحليل. ويتناول الفصل وصف الخصائص الديموغرافية لأفراد العينة، والتحليل الوصفي لمتغيرات الدراسة، واختبار صدق الأداة وثباتها، واختبار افتراضات التحليل الإحصائي، واختبار فرضيات الدراسة الأحد عشر (H1 إلى H7)، وصولاً إلى ملخص شامل لنتائج الفصل.</w:t>
      </w:r>
    </w:p>
    <w:p w14:paraId="2E0843E5" w14:textId="77777777" w:rsidR="00E4583A" w:rsidRDefault="00E4583A">
      <w:pPr>
        <w:bidi/>
        <w:spacing w:after="0" w:line="240" w:lineRule="auto"/>
      </w:pPr>
    </w:p>
    <w:p w14:paraId="0E21790B" w14:textId="77777777" w:rsidR="00E4583A" w:rsidRDefault="00000000">
      <w:pPr>
        <w:pStyle w:val="HeadingTOCEntry"/>
        <w:bidi/>
        <w:spacing w:after="0" w:line="360" w:lineRule="auto"/>
        <w:ind w:left="432" w:hanging="432"/>
        <w:rPr>
          <w:rFonts w:ascii="Simplified Arabic" w:hAnsi="Simplified Arabic" w:cs="Simplified Arabic"/>
          <w:b/>
          <w:bCs/>
          <w:sz w:val="28"/>
          <w:szCs w:val="28"/>
          <w:u w:val="single"/>
        </w:rPr>
      </w:pPr>
      <w:r>
        <w:rPr>
          <w:rFonts w:ascii="Traditional Arabic" w:eastAsia="Simplified Arabic" w:hAnsi="Traditional Arabic" w:cs="Traditional Arabic"/>
          <w:b/>
          <w:bCs/>
          <w:sz w:val="32"/>
          <w:szCs w:val="32"/>
          <w:u w:val="single"/>
          <w:rtl/>
        </w:rPr>
        <w:t>أولاً: الخصائص الديموغرافية لأفراد العينة</w:t>
      </w:r>
    </w:p>
    <w:p w14:paraId="352D4E19" w14:textId="77777777" w:rsidR="00E4583A" w:rsidRDefault="00000000">
      <w:pPr>
        <w:bidi/>
        <w:spacing w:after="0" w:line="360" w:lineRule="auto"/>
        <w:jc w:val="both"/>
      </w:pPr>
      <w:r>
        <w:rPr>
          <w:rFonts w:ascii="Traditional Arabic" w:eastAsia="Simplified Arabic" w:hAnsi="Traditional Arabic" w:cs="Traditional Arabic"/>
          <w:sz w:val="28"/>
          <w:szCs w:val="28"/>
          <w:rtl/>
        </w:rPr>
        <w:t>اعتمدت الدراسة وحدة معاينة فردية تتمثل في الموظف العامل في وظائف تقنية المعلومات والأمن السيبراني والعمليات المالية والامتثال داخل المؤسسات المالية السعودية. وقد بلغ عدد الاستجابات الصالحة للتحليل الإحصائي (196) استجابة.</w:t>
      </w:r>
    </w:p>
    <w:p w14:paraId="2619EA47" w14:textId="77777777" w:rsidR="00E4583A" w:rsidRDefault="00E4583A">
      <w:pPr>
        <w:bidi/>
        <w:spacing w:after="0" w:line="240" w:lineRule="auto"/>
      </w:pPr>
    </w:p>
    <w:p w14:paraId="4B3D6D6D" w14:textId="77777777" w:rsidR="00E4583A" w:rsidRDefault="00000000">
      <w:pPr>
        <w:bidi/>
        <w:spacing w:after="0" w:line="360" w:lineRule="auto"/>
        <w:jc w:val="both"/>
      </w:pPr>
      <w:r>
        <w:rPr>
          <w:rFonts w:ascii="Traditional Arabic" w:eastAsia="Simplified Arabic" w:hAnsi="Traditional Arabic" w:cs="Traditional Arabic"/>
          <w:b/>
          <w:bCs/>
          <w:sz w:val="28"/>
          <w:szCs w:val="28"/>
          <w:rtl/>
        </w:rPr>
        <w:t>1. نوع المؤسسة</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5014"/>
        <w:gridCol w:w="1641"/>
        <w:gridCol w:w="1641"/>
      </w:tblGrid>
      <w:tr w:rsidR="00E4583A" w14:paraId="76774149" w14:textId="77777777">
        <w:trPr>
          <w:tblHeader/>
          <w:jc w:val="center"/>
        </w:trPr>
        <w:tc>
          <w:tcPr>
            <w:tcW w:w="3022" w:type="pct"/>
            <w:shd w:val="clear" w:color="auto" w:fill="2E5395"/>
            <w:tcMar>
              <w:top w:w="60" w:type="dxa"/>
              <w:left w:w="100" w:type="dxa"/>
              <w:bottom w:w="60" w:type="dxa"/>
              <w:right w:w="100" w:type="dxa"/>
            </w:tcMar>
            <w:vAlign w:val="center"/>
          </w:tcPr>
          <w:p w14:paraId="0E9BBAF4"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نوع المؤسسة</w:t>
            </w:r>
          </w:p>
        </w:tc>
        <w:tc>
          <w:tcPr>
            <w:tcW w:w="989" w:type="pct"/>
            <w:shd w:val="clear" w:color="auto" w:fill="2E5395"/>
            <w:tcMar>
              <w:top w:w="60" w:type="dxa"/>
              <w:left w:w="100" w:type="dxa"/>
              <w:bottom w:w="60" w:type="dxa"/>
              <w:right w:w="100" w:type="dxa"/>
            </w:tcMar>
            <w:vAlign w:val="center"/>
          </w:tcPr>
          <w:p w14:paraId="075FD9A4"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التكرار</w:t>
            </w:r>
          </w:p>
        </w:tc>
        <w:tc>
          <w:tcPr>
            <w:tcW w:w="989" w:type="pct"/>
            <w:shd w:val="clear" w:color="auto" w:fill="2E5395"/>
            <w:tcMar>
              <w:top w:w="60" w:type="dxa"/>
              <w:left w:w="100" w:type="dxa"/>
              <w:bottom w:w="60" w:type="dxa"/>
              <w:right w:w="100" w:type="dxa"/>
            </w:tcMar>
            <w:vAlign w:val="center"/>
          </w:tcPr>
          <w:p w14:paraId="032D287F"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النسبة المئوية</w:t>
            </w:r>
          </w:p>
        </w:tc>
      </w:tr>
      <w:tr w:rsidR="00E4583A" w14:paraId="3EFD94DE" w14:textId="77777777">
        <w:trPr>
          <w:jc w:val="center"/>
        </w:trPr>
        <w:tc>
          <w:tcPr>
            <w:tcW w:w="3022" w:type="pct"/>
            <w:tcMar>
              <w:top w:w="60" w:type="dxa"/>
              <w:left w:w="100" w:type="dxa"/>
              <w:bottom w:w="60" w:type="dxa"/>
              <w:right w:w="100" w:type="dxa"/>
            </w:tcMar>
            <w:vAlign w:val="center"/>
          </w:tcPr>
          <w:p w14:paraId="581093B8"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بنك تجاري تقليدي</w:t>
            </w:r>
          </w:p>
        </w:tc>
        <w:tc>
          <w:tcPr>
            <w:tcW w:w="989" w:type="pct"/>
            <w:tcMar>
              <w:top w:w="60" w:type="dxa"/>
              <w:left w:w="100" w:type="dxa"/>
              <w:bottom w:w="60" w:type="dxa"/>
              <w:right w:w="100" w:type="dxa"/>
            </w:tcMar>
            <w:vAlign w:val="center"/>
          </w:tcPr>
          <w:p w14:paraId="0EFFD08A"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114</w:t>
            </w:r>
          </w:p>
        </w:tc>
        <w:tc>
          <w:tcPr>
            <w:tcW w:w="989" w:type="pct"/>
            <w:tcMar>
              <w:top w:w="60" w:type="dxa"/>
              <w:left w:w="100" w:type="dxa"/>
              <w:bottom w:w="60" w:type="dxa"/>
              <w:right w:w="100" w:type="dxa"/>
            </w:tcMar>
            <w:vAlign w:val="center"/>
          </w:tcPr>
          <w:p w14:paraId="06EFF7AE"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58.2%</w:t>
            </w:r>
          </w:p>
        </w:tc>
      </w:tr>
      <w:tr w:rsidR="00E4583A" w14:paraId="3B505DD9" w14:textId="77777777">
        <w:trPr>
          <w:jc w:val="center"/>
        </w:trPr>
        <w:tc>
          <w:tcPr>
            <w:tcW w:w="3022" w:type="pct"/>
            <w:tcMar>
              <w:top w:w="60" w:type="dxa"/>
              <w:left w:w="100" w:type="dxa"/>
              <w:bottom w:w="60" w:type="dxa"/>
              <w:right w:w="100" w:type="dxa"/>
            </w:tcMar>
            <w:vAlign w:val="center"/>
          </w:tcPr>
          <w:p w14:paraId="2144ED81"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بنك رقمي</w:t>
            </w:r>
          </w:p>
        </w:tc>
        <w:tc>
          <w:tcPr>
            <w:tcW w:w="989" w:type="pct"/>
            <w:tcMar>
              <w:top w:w="60" w:type="dxa"/>
              <w:left w:w="100" w:type="dxa"/>
              <w:bottom w:w="60" w:type="dxa"/>
              <w:right w:w="100" w:type="dxa"/>
            </w:tcMar>
            <w:vAlign w:val="center"/>
          </w:tcPr>
          <w:p w14:paraId="6C583412"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31</w:t>
            </w:r>
          </w:p>
        </w:tc>
        <w:tc>
          <w:tcPr>
            <w:tcW w:w="989" w:type="pct"/>
            <w:tcMar>
              <w:top w:w="60" w:type="dxa"/>
              <w:left w:w="100" w:type="dxa"/>
              <w:bottom w:w="60" w:type="dxa"/>
              <w:right w:w="100" w:type="dxa"/>
            </w:tcMar>
            <w:vAlign w:val="center"/>
          </w:tcPr>
          <w:p w14:paraId="0ED277F3"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15.8%</w:t>
            </w:r>
          </w:p>
        </w:tc>
      </w:tr>
      <w:tr w:rsidR="00E4583A" w14:paraId="33FBA05C" w14:textId="77777777">
        <w:trPr>
          <w:jc w:val="center"/>
        </w:trPr>
        <w:tc>
          <w:tcPr>
            <w:tcW w:w="3022" w:type="pct"/>
            <w:tcMar>
              <w:top w:w="60" w:type="dxa"/>
              <w:left w:w="100" w:type="dxa"/>
              <w:bottom w:w="60" w:type="dxa"/>
              <w:right w:w="100" w:type="dxa"/>
            </w:tcMar>
            <w:vAlign w:val="center"/>
          </w:tcPr>
          <w:p w14:paraId="152D2CFE"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شركة تقنية مالية (Fintech)</w:t>
            </w:r>
          </w:p>
        </w:tc>
        <w:tc>
          <w:tcPr>
            <w:tcW w:w="989" w:type="pct"/>
            <w:tcMar>
              <w:top w:w="60" w:type="dxa"/>
              <w:left w:w="100" w:type="dxa"/>
              <w:bottom w:w="60" w:type="dxa"/>
              <w:right w:w="100" w:type="dxa"/>
            </w:tcMar>
            <w:vAlign w:val="center"/>
          </w:tcPr>
          <w:p w14:paraId="0123D9FA"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51</w:t>
            </w:r>
          </w:p>
        </w:tc>
        <w:tc>
          <w:tcPr>
            <w:tcW w:w="989" w:type="pct"/>
            <w:tcMar>
              <w:top w:w="60" w:type="dxa"/>
              <w:left w:w="100" w:type="dxa"/>
              <w:bottom w:w="60" w:type="dxa"/>
              <w:right w:w="100" w:type="dxa"/>
            </w:tcMar>
            <w:vAlign w:val="center"/>
          </w:tcPr>
          <w:p w14:paraId="576E0D28"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26.0%</w:t>
            </w:r>
          </w:p>
        </w:tc>
      </w:tr>
      <w:tr w:rsidR="00E4583A" w14:paraId="31D76714" w14:textId="77777777">
        <w:trPr>
          <w:jc w:val="center"/>
        </w:trPr>
        <w:tc>
          <w:tcPr>
            <w:tcW w:w="3022" w:type="pct"/>
            <w:tcMar>
              <w:top w:w="60" w:type="dxa"/>
              <w:left w:w="100" w:type="dxa"/>
              <w:bottom w:w="60" w:type="dxa"/>
              <w:right w:w="100" w:type="dxa"/>
            </w:tcMar>
            <w:vAlign w:val="center"/>
          </w:tcPr>
          <w:p w14:paraId="5743ACC8" w14:textId="77777777" w:rsidR="00E4583A" w:rsidRDefault="00000000">
            <w:pPr>
              <w:bidi/>
              <w:spacing w:after="0" w:line="260" w:lineRule="auto"/>
              <w:jc w:val="center"/>
              <w:rPr>
                <w:sz w:val="24"/>
                <w:szCs w:val="24"/>
              </w:rPr>
            </w:pPr>
            <w:commentRangeStart w:id="49"/>
            <w:r>
              <w:rPr>
                <w:rFonts w:ascii="Traditional Arabic" w:eastAsia="Simplified Arabic" w:hAnsi="Traditional Arabic" w:cs="Traditional Arabic"/>
                <w:color w:val="000000"/>
                <w:sz w:val="24"/>
                <w:szCs w:val="24"/>
                <w:rtl/>
              </w:rPr>
              <w:t>الإجمالي</w:t>
            </w:r>
          </w:p>
        </w:tc>
        <w:tc>
          <w:tcPr>
            <w:tcW w:w="989" w:type="pct"/>
            <w:tcMar>
              <w:top w:w="60" w:type="dxa"/>
              <w:left w:w="100" w:type="dxa"/>
              <w:bottom w:w="60" w:type="dxa"/>
              <w:right w:w="100" w:type="dxa"/>
            </w:tcMar>
            <w:vAlign w:val="center"/>
          </w:tcPr>
          <w:p w14:paraId="5A4859CF"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196</w:t>
            </w:r>
          </w:p>
        </w:tc>
        <w:tc>
          <w:tcPr>
            <w:tcW w:w="989" w:type="pct"/>
            <w:tcMar>
              <w:top w:w="60" w:type="dxa"/>
              <w:left w:w="100" w:type="dxa"/>
              <w:bottom w:w="60" w:type="dxa"/>
              <w:right w:w="100" w:type="dxa"/>
            </w:tcMar>
            <w:vAlign w:val="center"/>
          </w:tcPr>
          <w:p w14:paraId="24AA3C48"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100.0%</w:t>
            </w:r>
            <w:commentRangeEnd w:id="49"/>
            <w:r w:rsidR="002C5C7C">
              <w:rPr>
                <w:rStyle w:val="affa"/>
                <w:sz w:val="24"/>
                <w:szCs w:val="24"/>
              </w:rPr>
              <w:commentReference w:id="49"/>
            </w:r>
          </w:p>
        </w:tc>
      </w:tr>
    </w:tbl>
    <w:p w14:paraId="2F9A4AB3" w14:textId="77777777" w:rsidR="00E4583A" w:rsidRDefault="00000000">
      <w:pPr>
        <w:bidi/>
        <w:spacing w:after="0" w:line="360" w:lineRule="auto"/>
        <w:jc w:val="center"/>
      </w:pPr>
      <w:r>
        <w:rPr>
          <w:rFonts w:ascii="Traditional Arabic" w:eastAsia="Simplified Arabic" w:hAnsi="Traditional Arabic" w:cs="Traditional Arabic"/>
          <w:b/>
          <w:bCs/>
          <w:sz w:val="24"/>
          <w:szCs w:val="24"/>
          <w:rtl/>
        </w:rPr>
        <w:t>جدول (4.1): توزيع أفراد العينة وفق نوع المؤسسة</w:t>
      </w:r>
    </w:p>
    <w:p w14:paraId="4D308619" w14:textId="77777777" w:rsidR="00E4583A" w:rsidRDefault="00000000">
      <w:pPr>
        <w:bidi/>
        <w:spacing w:after="0" w:line="360" w:lineRule="auto"/>
        <w:jc w:val="both"/>
      </w:pPr>
      <w:r>
        <w:rPr>
          <w:rFonts w:ascii="Traditional Arabic" w:eastAsia="Simplified Arabic" w:hAnsi="Traditional Arabic" w:cs="Traditional Arabic"/>
          <w:sz w:val="28"/>
          <w:szCs w:val="28"/>
          <w:rtl/>
        </w:rPr>
        <w:t>يتضح من الجدول أن فئة (بنك تجاري تقليدي) شكّلت النسبة الأكبر من أفراد العينة بنسبة (58.2%)، وهو ما يعكس تنوعاً معقولاً في توزيع أفراد العينة وفق هذا المتغير.</w:t>
      </w:r>
    </w:p>
    <w:p w14:paraId="59955B73" w14:textId="77777777" w:rsidR="00E4583A" w:rsidRDefault="00E4583A">
      <w:pPr>
        <w:bidi/>
        <w:spacing w:after="0" w:line="240" w:lineRule="auto"/>
      </w:pPr>
    </w:p>
    <w:p w14:paraId="51E239F8" w14:textId="77777777" w:rsidR="00E4583A" w:rsidRDefault="00000000">
      <w:pPr>
        <w:bidi/>
        <w:spacing w:after="0" w:line="360" w:lineRule="auto"/>
        <w:jc w:val="both"/>
      </w:pPr>
      <w:r>
        <w:rPr>
          <w:rFonts w:ascii="Traditional Arabic" w:eastAsia="Simplified Arabic" w:hAnsi="Traditional Arabic" w:cs="Traditional Arabic"/>
          <w:b/>
          <w:bCs/>
          <w:sz w:val="28"/>
          <w:szCs w:val="28"/>
          <w:rtl/>
        </w:rPr>
        <w:t>2. سنوات الخبرة في المجال</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5014"/>
        <w:gridCol w:w="1641"/>
        <w:gridCol w:w="1641"/>
      </w:tblGrid>
      <w:tr w:rsidR="00E4583A" w14:paraId="0A854999" w14:textId="77777777">
        <w:trPr>
          <w:tblHeader/>
          <w:jc w:val="center"/>
        </w:trPr>
        <w:tc>
          <w:tcPr>
            <w:tcW w:w="3022" w:type="pct"/>
            <w:shd w:val="clear" w:color="auto" w:fill="2E5395"/>
            <w:tcMar>
              <w:top w:w="60" w:type="dxa"/>
              <w:left w:w="100" w:type="dxa"/>
              <w:bottom w:w="60" w:type="dxa"/>
              <w:right w:w="100" w:type="dxa"/>
            </w:tcMar>
            <w:vAlign w:val="center"/>
          </w:tcPr>
          <w:p w14:paraId="6ED6CE36"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سنوات الخبرة</w:t>
            </w:r>
          </w:p>
        </w:tc>
        <w:tc>
          <w:tcPr>
            <w:tcW w:w="989" w:type="pct"/>
            <w:shd w:val="clear" w:color="auto" w:fill="2E5395"/>
            <w:tcMar>
              <w:top w:w="60" w:type="dxa"/>
              <w:left w:w="100" w:type="dxa"/>
              <w:bottom w:w="60" w:type="dxa"/>
              <w:right w:w="100" w:type="dxa"/>
            </w:tcMar>
            <w:vAlign w:val="center"/>
          </w:tcPr>
          <w:p w14:paraId="41B1D5C5"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التكرار</w:t>
            </w:r>
          </w:p>
        </w:tc>
        <w:tc>
          <w:tcPr>
            <w:tcW w:w="989" w:type="pct"/>
            <w:shd w:val="clear" w:color="auto" w:fill="2E5395"/>
            <w:tcMar>
              <w:top w:w="60" w:type="dxa"/>
              <w:left w:w="100" w:type="dxa"/>
              <w:bottom w:w="60" w:type="dxa"/>
              <w:right w:w="100" w:type="dxa"/>
            </w:tcMar>
            <w:vAlign w:val="center"/>
          </w:tcPr>
          <w:p w14:paraId="5E62AC9F"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النسبة المئوية</w:t>
            </w:r>
          </w:p>
        </w:tc>
      </w:tr>
      <w:tr w:rsidR="00E4583A" w14:paraId="494F75FC" w14:textId="77777777">
        <w:trPr>
          <w:jc w:val="center"/>
        </w:trPr>
        <w:tc>
          <w:tcPr>
            <w:tcW w:w="3022" w:type="pct"/>
            <w:tcMar>
              <w:top w:w="60" w:type="dxa"/>
              <w:left w:w="100" w:type="dxa"/>
              <w:bottom w:w="60" w:type="dxa"/>
              <w:right w:w="100" w:type="dxa"/>
            </w:tcMar>
            <w:vAlign w:val="center"/>
          </w:tcPr>
          <w:p w14:paraId="36653365"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أقل من 3 سنوات</w:t>
            </w:r>
          </w:p>
        </w:tc>
        <w:tc>
          <w:tcPr>
            <w:tcW w:w="989" w:type="pct"/>
            <w:tcMar>
              <w:top w:w="60" w:type="dxa"/>
              <w:left w:w="100" w:type="dxa"/>
              <w:bottom w:w="60" w:type="dxa"/>
              <w:right w:w="100" w:type="dxa"/>
            </w:tcMar>
            <w:vAlign w:val="center"/>
          </w:tcPr>
          <w:p w14:paraId="63718819"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34</w:t>
            </w:r>
          </w:p>
        </w:tc>
        <w:tc>
          <w:tcPr>
            <w:tcW w:w="989" w:type="pct"/>
            <w:tcMar>
              <w:top w:w="60" w:type="dxa"/>
              <w:left w:w="100" w:type="dxa"/>
              <w:bottom w:w="60" w:type="dxa"/>
              <w:right w:w="100" w:type="dxa"/>
            </w:tcMar>
            <w:vAlign w:val="center"/>
          </w:tcPr>
          <w:p w14:paraId="157F2231"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17.3%</w:t>
            </w:r>
          </w:p>
        </w:tc>
      </w:tr>
      <w:tr w:rsidR="00E4583A" w14:paraId="266129F3" w14:textId="77777777">
        <w:trPr>
          <w:jc w:val="center"/>
        </w:trPr>
        <w:tc>
          <w:tcPr>
            <w:tcW w:w="3022" w:type="pct"/>
            <w:tcMar>
              <w:top w:w="60" w:type="dxa"/>
              <w:left w:w="100" w:type="dxa"/>
              <w:bottom w:w="60" w:type="dxa"/>
              <w:right w:w="100" w:type="dxa"/>
            </w:tcMar>
            <w:vAlign w:val="center"/>
          </w:tcPr>
          <w:p w14:paraId="086E29A1"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3-6 سنوات</w:t>
            </w:r>
          </w:p>
        </w:tc>
        <w:tc>
          <w:tcPr>
            <w:tcW w:w="989" w:type="pct"/>
            <w:tcMar>
              <w:top w:w="60" w:type="dxa"/>
              <w:left w:w="100" w:type="dxa"/>
              <w:bottom w:w="60" w:type="dxa"/>
              <w:right w:w="100" w:type="dxa"/>
            </w:tcMar>
            <w:vAlign w:val="center"/>
          </w:tcPr>
          <w:p w14:paraId="053FBA3E"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55</w:t>
            </w:r>
          </w:p>
        </w:tc>
        <w:tc>
          <w:tcPr>
            <w:tcW w:w="989" w:type="pct"/>
            <w:tcMar>
              <w:top w:w="60" w:type="dxa"/>
              <w:left w:w="100" w:type="dxa"/>
              <w:bottom w:w="60" w:type="dxa"/>
              <w:right w:w="100" w:type="dxa"/>
            </w:tcMar>
            <w:vAlign w:val="center"/>
          </w:tcPr>
          <w:p w14:paraId="78D88B33"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28.1%</w:t>
            </w:r>
          </w:p>
        </w:tc>
      </w:tr>
      <w:tr w:rsidR="00E4583A" w14:paraId="14A6EB24" w14:textId="77777777">
        <w:trPr>
          <w:jc w:val="center"/>
        </w:trPr>
        <w:tc>
          <w:tcPr>
            <w:tcW w:w="3022" w:type="pct"/>
            <w:tcMar>
              <w:top w:w="60" w:type="dxa"/>
              <w:left w:w="100" w:type="dxa"/>
              <w:bottom w:w="60" w:type="dxa"/>
              <w:right w:w="100" w:type="dxa"/>
            </w:tcMar>
            <w:vAlign w:val="center"/>
          </w:tcPr>
          <w:p w14:paraId="78932405"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lastRenderedPageBreak/>
              <w:t>7-10 سنوات</w:t>
            </w:r>
          </w:p>
        </w:tc>
        <w:tc>
          <w:tcPr>
            <w:tcW w:w="989" w:type="pct"/>
            <w:tcMar>
              <w:top w:w="60" w:type="dxa"/>
              <w:left w:w="100" w:type="dxa"/>
              <w:bottom w:w="60" w:type="dxa"/>
              <w:right w:w="100" w:type="dxa"/>
            </w:tcMar>
            <w:vAlign w:val="center"/>
          </w:tcPr>
          <w:p w14:paraId="3FD9BE5D"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56</w:t>
            </w:r>
          </w:p>
        </w:tc>
        <w:tc>
          <w:tcPr>
            <w:tcW w:w="989" w:type="pct"/>
            <w:tcMar>
              <w:top w:w="60" w:type="dxa"/>
              <w:left w:w="100" w:type="dxa"/>
              <w:bottom w:w="60" w:type="dxa"/>
              <w:right w:w="100" w:type="dxa"/>
            </w:tcMar>
            <w:vAlign w:val="center"/>
          </w:tcPr>
          <w:p w14:paraId="1F68DB04"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28.6%</w:t>
            </w:r>
          </w:p>
        </w:tc>
      </w:tr>
      <w:tr w:rsidR="00E4583A" w14:paraId="255565FC" w14:textId="77777777">
        <w:trPr>
          <w:jc w:val="center"/>
        </w:trPr>
        <w:tc>
          <w:tcPr>
            <w:tcW w:w="3022" w:type="pct"/>
            <w:tcMar>
              <w:top w:w="60" w:type="dxa"/>
              <w:left w:w="100" w:type="dxa"/>
              <w:bottom w:w="60" w:type="dxa"/>
              <w:right w:w="100" w:type="dxa"/>
            </w:tcMar>
            <w:vAlign w:val="center"/>
          </w:tcPr>
          <w:p w14:paraId="629790E1"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أكثر من 10 سنوات</w:t>
            </w:r>
          </w:p>
        </w:tc>
        <w:tc>
          <w:tcPr>
            <w:tcW w:w="989" w:type="pct"/>
            <w:tcMar>
              <w:top w:w="60" w:type="dxa"/>
              <w:left w:w="100" w:type="dxa"/>
              <w:bottom w:w="60" w:type="dxa"/>
              <w:right w:w="100" w:type="dxa"/>
            </w:tcMar>
            <w:vAlign w:val="center"/>
          </w:tcPr>
          <w:p w14:paraId="6B9DE88B"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51</w:t>
            </w:r>
          </w:p>
        </w:tc>
        <w:tc>
          <w:tcPr>
            <w:tcW w:w="989" w:type="pct"/>
            <w:tcMar>
              <w:top w:w="60" w:type="dxa"/>
              <w:left w:w="100" w:type="dxa"/>
              <w:bottom w:w="60" w:type="dxa"/>
              <w:right w:w="100" w:type="dxa"/>
            </w:tcMar>
            <w:vAlign w:val="center"/>
          </w:tcPr>
          <w:p w14:paraId="23EF106A"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26.0%</w:t>
            </w:r>
          </w:p>
        </w:tc>
      </w:tr>
      <w:tr w:rsidR="00E4583A" w14:paraId="5494F56E" w14:textId="77777777">
        <w:trPr>
          <w:jc w:val="center"/>
        </w:trPr>
        <w:tc>
          <w:tcPr>
            <w:tcW w:w="3022" w:type="pct"/>
            <w:tcMar>
              <w:top w:w="60" w:type="dxa"/>
              <w:left w:w="100" w:type="dxa"/>
              <w:bottom w:w="60" w:type="dxa"/>
              <w:right w:w="100" w:type="dxa"/>
            </w:tcMar>
            <w:vAlign w:val="center"/>
          </w:tcPr>
          <w:p w14:paraId="58364638"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الإجمالي</w:t>
            </w:r>
          </w:p>
        </w:tc>
        <w:tc>
          <w:tcPr>
            <w:tcW w:w="989" w:type="pct"/>
            <w:tcMar>
              <w:top w:w="60" w:type="dxa"/>
              <w:left w:w="100" w:type="dxa"/>
              <w:bottom w:w="60" w:type="dxa"/>
              <w:right w:w="100" w:type="dxa"/>
            </w:tcMar>
            <w:vAlign w:val="center"/>
          </w:tcPr>
          <w:p w14:paraId="3530ABBC"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196</w:t>
            </w:r>
          </w:p>
        </w:tc>
        <w:tc>
          <w:tcPr>
            <w:tcW w:w="989" w:type="pct"/>
            <w:tcMar>
              <w:top w:w="60" w:type="dxa"/>
              <w:left w:w="100" w:type="dxa"/>
              <w:bottom w:w="60" w:type="dxa"/>
              <w:right w:w="100" w:type="dxa"/>
            </w:tcMar>
            <w:vAlign w:val="center"/>
          </w:tcPr>
          <w:p w14:paraId="27391986"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100.0%</w:t>
            </w:r>
          </w:p>
        </w:tc>
      </w:tr>
    </w:tbl>
    <w:p w14:paraId="71986F4C" w14:textId="77777777" w:rsidR="00E4583A" w:rsidRDefault="00000000">
      <w:pPr>
        <w:bidi/>
        <w:spacing w:after="0" w:line="360" w:lineRule="auto"/>
        <w:jc w:val="center"/>
      </w:pPr>
      <w:r>
        <w:rPr>
          <w:rFonts w:ascii="Traditional Arabic" w:eastAsia="Simplified Arabic" w:hAnsi="Traditional Arabic" w:cs="Traditional Arabic"/>
          <w:b/>
          <w:bCs/>
          <w:sz w:val="24"/>
          <w:szCs w:val="24"/>
          <w:rtl/>
        </w:rPr>
        <w:t>جدول (4.2): توزيع أفراد العينة وفق سنوات الخبرة</w:t>
      </w:r>
    </w:p>
    <w:p w14:paraId="7FF2BDDA" w14:textId="77777777" w:rsidR="00E4583A" w:rsidRDefault="00000000">
      <w:pPr>
        <w:bidi/>
        <w:spacing w:after="0" w:line="360" w:lineRule="auto"/>
        <w:jc w:val="both"/>
      </w:pPr>
      <w:r>
        <w:rPr>
          <w:rFonts w:ascii="Traditional Arabic" w:eastAsia="Simplified Arabic" w:hAnsi="Traditional Arabic" w:cs="Traditional Arabic"/>
          <w:sz w:val="28"/>
          <w:szCs w:val="28"/>
          <w:rtl/>
        </w:rPr>
        <w:t>يتضح من الجدول أن فئة (7-10 سنوات) شكّلت النسبة الأكبر من أفراد العينة بنسبة (28.6%)، وهو ما يعكس تنوعاً معقولاً في توزيع أفراد العينة وفق هذا المتغير.</w:t>
      </w:r>
    </w:p>
    <w:p w14:paraId="1E6A4F28" w14:textId="77777777" w:rsidR="00E4583A" w:rsidRDefault="00E4583A">
      <w:pPr>
        <w:bidi/>
        <w:spacing w:after="0" w:line="240" w:lineRule="auto"/>
      </w:pPr>
    </w:p>
    <w:p w14:paraId="6F6B67DA" w14:textId="77777777" w:rsidR="00E4583A" w:rsidRDefault="00000000">
      <w:pPr>
        <w:bidi/>
        <w:spacing w:after="0" w:line="360" w:lineRule="auto"/>
        <w:jc w:val="both"/>
      </w:pPr>
      <w:r>
        <w:rPr>
          <w:rFonts w:ascii="Traditional Arabic" w:eastAsia="Simplified Arabic" w:hAnsi="Traditional Arabic" w:cs="Traditional Arabic"/>
          <w:b/>
          <w:bCs/>
          <w:sz w:val="28"/>
          <w:szCs w:val="28"/>
          <w:rtl/>
        </w:rPr>
        <w:t>3. المستوى الوظيفي</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5014"/>
        <w:gridCol w:w="1641"/>
        <w:gridCol w:w="1641"/>
      </w:tblGrid>
      <w:tr w:rsidR="00E4583A" w14:paraId="19C58B5B" w14:textId="77777777">
        <w:trPr>
          <w:tblHeader/>
          <w:jc w:val="center"/>
        </w:trPr>
        <w:tc>
          <w:tcPr>
            <w:tcW w:w="3022" w:type="pct"/>
            <w:shd w:val="clear" w:color="auto" w:fill="2E5395"/>
            <w:tcMar>
              <w:top w:w="60" w:type="dxa"/>
              <w:left w:w="100" w:type="dxa"/>
              <w:bottom w:w="60" w:type="dxa"/>
              <w:right w:w="100" w:type="dxa"/>
            </w:tcMar>
            <w:vAlign w:val="center"/>
          </w:tcPr>
          <w:p w14:paraId="067C0A7D"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المستوى الوظيفي</w:t>
            </w:r>
          </w:p>
        </w:tc>
        <w:tc>
          <w:tcPr>
            <w:tcW w:w="989" w:type="pct"/>
            <w:shd w:val="clear" w:color="auto" w:fill="2E5395"/>
            <w:tcMar>
              <w:top w:w="60" w:type="dxa"/>
              <w:left w:w="100" w:type="dxa"/>
              <w:bottom w:w="60" w:type="dxa"/>
              <w:right w:w="100" w:type="dxa"/>
            </w:tcMar>
            <w:vAlign w:val="center"/>
          </w:tcPr>
          <w:p w14:paraId="5FAB0D4A"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التكرار</w:t>
            </w:r>
          </w:p>
        </w:tc>
        <w:tc>
          <w:tcPr>
            <w:tcW w:w="989" w:type="pct"/>
            <w:shd w:val="clear" w:color="auto" w:fill="2E5395"/>
            <w:tcMar>
              <w:top w:w="60" w:type="dxa"/>
              <w:left w:w="100" w:type="dxa"/>
              <w:bottom w:w="60" w:type="dxa"/>
              <w:right w:w="100" w:type="dxa"/>
            </w:tcMar>
            <w:vAlign w:val="center"/>
          </w:tcPr>
          <w:p w14:paraId="4029AC58"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النسبة المئوية</w:t>
            </w:r>
          </w:p>
        </w:tc>
      </w:tr>
      <w:tr w:rsidR="00E4583A" w14:paraId="174B1701" w14:textId="77777777">
        <w:trPr>
          <w:jc w:val="center"/>
        </w:trPr>
        <w:tc>
          <w:tcPr>
            <w:tcW w:w="3022" w:type="pct"/>
            <w:tcMar>
              <w:top w:w="60" w:type="dxa"/>
              <w:left w:w="100" w:type="dxa"/>
              <w:bottom w:w="60" w:type="dxa"/>
              <w:right w:w="100" w:type="dxa"/>
            </w:tcMar>
            <w:vAlign w:val="center"/>
          </w:tcPr>
          <w:p w14:paraId="4A7FDE4D"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مدير تنفيذي/قيادي</w:t>
            </w:r>
          </w:p>
        </w:tc>
        <w:tc>
          <w:tcPr>
            <w:tcW w:w="989" w:type="pct"/>
            <w:tcMar>
              <w:top w:w="60" w:type="dxa"/>
              <w:left w:w="100" w:type="dxa"/>
              <w:bottom w:w="60" w:type="dxa"/>
              <w:right w:w="100" w:type="dxa"/>
            </w:tcMar>
            <w:vAlign w:val="center"/>
          </w:tcPr>
          <w:p w14:paraId="26800B50"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24</w:t>
            </w:r>
          </w:p>
        </w:tc>
        <w:tc>
          <w:tcPr>
            <w:tcW w:w="989" w:type="pct"/>
            <w:tcMar>
              <w:top w:w="60" w:type="dxa"/>
              <w:left w:w="100" w:type="dxa"/>
              <w:bottom w:w="60" w:type="dxa"/>
              <w:right w:w="100" w:type="dxa"/>
            </w:tcMar>
            <w:vAlign w:val="center"/>
          </w:tcPr>
          <w:p w14:paraId="193EBFA7"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12.2%</w:t>
            </w:r>
          </w:p>
        </w:tc>
      </w:tr>
      <w:tr w:rsidR="00E4583A" w14:paraId="6CFC00A5" w14:textId="77777777">
        <w:trPr>
          <w:jc w:val="center"/>
        </w:trPr>
        <w:tc>
          <w:tcPr>
            <w:tcW w:w="3022" w:type="pct"/>
            <w:tcMar>
              <w:top w:w="60" w:type="dxa"/>
              <w:left w:w="100" w:type="dxa"/>
              <w:bottom w:w="60" w:type="dxa"/>
              <w:right w:w="100" w:type="dxa"/>
            </w:tcMar>
            <w:vAlign w:val="center"/>
          </w:tcPr>
          <w:p w14:paraId="36BE30B8"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مدير وسطى</w:t>
            </w:r>
          </w:p>
        </w:tc>
        <w:tc>
          <w:tcPr>
            <w:tcW w:w="989" w:type="pct"/>
            <w:tcMar>
              <w:top w:w="60" w:type="dxa"/>
              <w:left w:w="100" w:type="dxa"/>
              <w:bottom w:w="60" w:type="dxa"/>
              <w:right w:w="100" w:type="dxa"/>
            </w:tcMar>
            <w:vAlign w:val="center"/>
          </w:tcPr>
          <w:p w14:paraId="395FD4E4"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65</w:t>
            </w:r>
          </w:p>
        </w:tc>
        <w:tc>
          <w:tcPr>
            <w:tcW w:w="989" w:type="pct"/>
            <w:tcMar>
              <w:top w:w="60" w:type="dxa"/>
              <w:left w:w="100" w:type="dxa"/>
              <w:bottom w:w="60" w:type="dxa"/>
              <w:right w:w="100" w:type="dxa"/>
            </w:tcMar>
            <w:vAlign w:val="center"/>
          </w:tcPr>
          <w:p w14:paraId="2C7704B3"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33.2%</w:t>
            </w:r>
          </w:p>
        </w:tc>
      </w:tr>
      <w:tr w:rsidR="00E4583A" w14:paraId="43FAB546" w14:textId="77777777">
        <w:trPr>
          <w:jc w:val="center"/>
        </w:trPr>
        <w:tc>
          <w:tcPr>
            <w:tcW w:w="3022" w:type="pct"/>
            <w:tcMar>
              <w:top w:w="60" w:type="dxa"/>
              <w:left w:w="100" w:type="dxa"/>
              <w:bottom w:w="60" w:type="dxa"/>
              <w:right w:w="100" w:type="dxa"/>
            </w:tcMar>
            <w:vAlign w:val="center"/>
          </w:tcPr>
          <w:p w14:paraId="1AB1ADEF"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متخصص تقني</w:t>
            </w:r>
          </w:p>
        </w:tc>
        <w:tc>
          <w:tcPr>
            <w:tcW w:w="989" w:type="pct"/>
            <w:tcMar>
              <w:top w:w="60" w:type="dxa"/>
              <w:left w:w="100" w:type="dxa"/>
              <w:bottom w:w="60" w:type="dxa"/>
              <w:right w:w="100" w:type="dxa"/>
            </w:tcMar>
            <w:vAlign w:val="center"/>
          </w:tcPr>
          <w:p w14:paraId="2D6A6432"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90</w:t>
            </w:r>
          </w:p>
        </w:tc>
        <w:tc>
          <w:tcPr>
            <w:tcW w:w="989" w:type="pct"/>
            <w:tcMar>
              <w:top w:w="60" w:type="dxa"/>
              <w:left w:w="100" w:type="dxa"/>
              <w:bottom w:w="60" w:type="dxa"/>
              <w:right w:w="100" w:type="dxa"/>
            </w:tcMar>
            <w:vAlign w:val="center"/>
          </w:tcPr>
          <w:p w14:paraId="659298BF"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45.9%</w:t>
            </w:r>
          </w:p>
        </w:tc>
      </w:tr>
      <w:tr w:rsidR="00E4583A" w14:paraId="177AC2FA" w14:textId="77777777">
        <w:trPr>
          <w:jc w:val="center"/>
        </w:trPr>
        <w:tc>
          <w:tcPr>
            <w:tcW w:w="3022" w:type="pct"/>
            <w:tcMar>
              <w:top w:w="60" w:type="dxa"/>
              <w:left w:w="100" w:type="dxa"/>
              <w:bottom w:w="60" w:type="dxa"/>
              <w:right w:w="100" w:type="dxa"/>
            </w:tcMar>
            <w:vAlign w:val="center"/>
          </w:tcPr>
          <w:p w14:paraId="040908C3"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أخرى</w:t>
            </w:r>
          </w:p>
        </w:tc>
        <w:tc>
          <w:tcPr>
            <w:tcW w:w="989" w:type="pct"/>
            <w:tcMar>
              <w:top w:w="60" w:type="dxa"/>
              <w:left w:w="100" w:type="dxa"/>
              <w:bottom w:w="60" w:type="dxa"/>
              <w:right w:w="100" w:type="dxa"/>
            </w:tcMar>
            <w:vAlign w:val="center"/>
          </w:tcPr>
          <w:p w14:paraId="69A1DB82"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17</w:t>
            </w:r>
          </w:p>
        </w:tc>
        <w:tc>
          <w:tcPr>
            <w:tcW w:w="989" w:type="pct"/>
            <w:tcMar>
              <w:top w:w="60" w:type="dxa"/>
              <w:left w:w="100" w:type="dxa"/>
              <w:bottom w:w="60" w:type="dxa"/>
              <w:right w:w="100" w:type="dxa"/>
            </w:tcMar>
            <w:vAlign w:val="center"/>
          </w:tcPr>
          <w:p w14:paraId="016EECB0"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8.7%</w:t>
            </w:r>
          </w:p>
        </w:tc>
      </w:tr>
      <w:tr w:rsidR="00E4583A" w14:paraId="1A399123" w14:textId="77777777">
        <w:trPr>
          <w:jc w:val="center"/>
        </w:trPr>
        <w:tc>
          <w:tcPr>
            <w:tcW w:w="3022" w:type="pct"/>
            <w:tcMar>
              <w:top w:w="60" w:type="dxa"/>
              <w:left w:w="100" w:type="dxa"/>
              <w:bottom w:w="60" w:type="dxa"/>
              <w:right w:w="100" w:type="dxa"/>
            </w:tcMar>
            <w:vAlign w:val="center"/>
          </w:tcPr>
          <w:p w14:paraId="5B96BCA6"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الإجمالي</w:t>
            </w:r>
          </w:p>
        </w:tc>
        <w:tc>
          <w:tcPr>
            <w:tcW w:w="989" w:type="pct"/>
            <w:tcMar>
              <w:top w:w="60" w:type="dxa"/>
              <w:left w:w="100" w:type="dxa"/>
              <w:bottom w:w="60" w:type="dxa"/>
              <w:right w:w="100" w:type="dxa"/>
            </w:tcMar>
            <w:vAlign w:val="center"/>
          </w:tcPr>
          <w:p w14:paraId="40D00AC1"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196</w:t>
            </w:r>
          </w:p>
        </w:tc>
        <w:tc>
          <w:tcPr>
            <w:tcW w:w="989" w:type="pct"/>
            <w:tcMar>
              <w:top w:w="60" w:type="dxa"/>
              <w:left w:w="100" w:type="dxa"/>
              <w:bottom w:w="60" w:type="dxa"/>
              <w:right w:w="100" w:type="dxa"/>
            </w:tcMar>
            <w:vAlign w:val="center"/>
          </w:tcPr>
          <w:p w14:paraId="08395333"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100.0%</w:t>
            </w:r>
          </w:p>
        </w:tc>
      </w:tr>
    </w:tbl>
    <w:p w14:paraId="2D81BBBD" w14:textId="77777777" w:rsidR="00E4583A" w:rsidRDefault="00000000">
      <w:pPr>
        <w:bidi/>
        <w:spacing w:after="0" w:line="360" w:lineRule="auto"/>
        <w:jc w:val="center"/>
      </w:pPr>
      <w:r>
        <w:rPr>
          <w:rFonts w:ascii="Traditional Arabic" w:eastAsia="Simplified Arabic" w:hAnsi="Traditional Arabic" w:cs="Traditional Arabic"/>
          <w:b/>
          <w:bCs/>
          <w:sz w:val="24"/>
          <w:szCs w:val="24"/>
          <w:rtl/>
        </w:rPr>
        <w:t>جدول (4.3): توزيع أفراد العينة وفق المستوى الوظيفي</w:t>
      </w:r>
    </w:p>
    <w:p w14:paraId="650C1B33" w14:textId="77777777" w:rsidR="00E4583A" w:rsidRDefault="00000000">
      <w:pPr>
        <w:bidi/>
        <w:spacing w:after="0" w:line="360" w:lineRule="auto"/>
        <w:jc w:val="both"/>
      </w:pPr>
      <w:r>
        <w:rPr>
          <w:rFonts w:ascii="Traditional Arabic" w:eastAsia="Simplified Arabic" w:hAnsi="Traditional Arabic" w:cs="Traditional Arabic"/>
          <w:sz w:val="28"/>
          <w:szCs w:val="28"/>
          <w:rtl/>
        </w:rPr>
        <w:t>يتضح من الجدول أن فئة (متخصص تقني) شكّلت النسبة الأكبر من أفراد العينة بنسبة (45.9%)، وهو ما يعكس تنوعاً معقولاً في توزيع أفراد العينة وفق هذا المتغير.</w:t>
      </w:r>
    </w:p>
    <w:p w14:paraId="1C7C4FB1" w14:textId="77777777" w:rsidR="00E4583A" w:rsidRDefault="00E4583A">
      <w:pPr>
        <w:bidi/>
        <w:spacing w:after="0" w:line="240" w:lineRule="auto"/>
      </w:pPr>
    </w:p>
    <w:p w14:paraId="6809FCCF" w14:textId="77777777" w:rsidR="00E4583A" w:rsidRDefault="00000000">
      <w:pPr>
        <w:bidi/>
        <w:spacing w:after="0" w:line="360" w:lineRule="auto"/>
        <w:jc w:val="both"/>
      </w:pPr>
      <w:r>
        <w:rPr>
          <w:rFonts w:ascii="Traditional Arabic" w:eastAsia="Simplified Arabic" w:hAnsi="Traditional Arabic" w:cs="Traditional Arabic"/>
          <w:b/>
          <w:bCs/>
          <w:sz w:val="28"/>
          <w:szCs w:val="28"/>
          <w:rtl/>
        </w:rPr>
        <w:t>4. المؤهل العلمي</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5014"/>
        <w:gridCol w:w="1641"/>
        <w:gridCol w:w="1641"/>
      </w:tblGrid>
      <w:tr w:rsidR="00E4583A" w14:paraId="3D86B721" w14:textId="77777777">
        <w:trPr>
          <w:tblHeader/>
          <w:jc w:val="center"/>
        </w:trPr>
        <w:tc>
          <w:tcPr>
            <w:tcW w:w="3022" w:type="pct"/>
            <w:shd w:val="clear" w:color="auto" w:fill="2E5395"/>
            <w:tcMar>
              <w:top w:w="60" w:type="dxa"/>
              <w:left w:w="100" w:type="dxa"/>
              <w:bottom w:w="60" w:type="dxa"/>
              <w:right w:w="100" w:type="dxa"/>
            </w:tcMar>
            <w:vAlign w:val="center"/>
          </w:tcPr>
          <w:p w14:paraId="6234844A"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المؤهل العلمي</w:t>
            </w:r>
          </w:p>
        </w:tc>
        <w:tc>
          <w:tcPr>
            <w:tcW w:w="989" w:type="pct"/>
            <w:shd w:val="clear" w:color="auto" w:fill="2E5395"/>
            <w:tcMar>
              <w:top w:w="60" w:type="dxa"/>
              <w:left w:w="100" w:type="dxa"/>
              <w:bottom w:w="60" w:type="dxa"/>
              <w:right w:w="100" w:type="dxa"/>
            </w:tcMar>
            <w:vAlign w:val="center"/>
          </w:tcPr>
          <w:p w14:paraId="13C3E4BA"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التكرار</w:t>
            </w:r>
          </w:p>
        </w:tc>
        <w:tc>
          <w:tcPr>
            <w:tcW w:w="989" w:type="pct"/>
            <w:shd w:val="clear" w:color="auto" w:fill="2E5395"/>
            <w:tcMar>
              <w:top w:w="60" w:type="dxa"/>
              <w:left w:w="100" w:type="dxa"/>
              <w:bottom w:w="60" w:type="dxa"/>
              <w:right w:w="100" w:type="dxa"/>
            </w:tcMar>
            <w:vAlign w:val="center"/>
          </w:tcPr>
          <w:p w14:paraId="5D2A5EE1"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النسبة المئوية</w:t>
            </w:r>
          </w:p>
        </w:tc>
      </w:tr>
      <w:tr w:rsidR="00E4583A" w14:paraId="03EA8E30" w14:textId="77777777">
        <w:trPr>
          <w:jc w:val="center"/>
        </w:trPr>
        <w:tc>
          <w:tcPr>
            <w:tcW w:w="3022" w:type="pct"/>
            <w:tcMar>
              <w:top w:w="60" w:type="dxa"/>
              <w:left w:w="100" w:type="dxa"/>
              <w:bottom w:w="60" w:type="dxa"/>
              <w:right w:w="100" w:type="dxa"/>
            </w:tcMar>
            <w:vAlign w:val="center"/>
          </w:tcPr>
          <w:p w14:paraId="742C3B36"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بكالوريوس</w:t>
            </w:r>
          </w:p>
        </w:tc>
        <w:tc>
          <w:tcPr>
            <w:tcW w:w="989" w:type="pct"/>
            <w:tcMar>
              <w:top w:w="60" w:type="dxa"/>
              <w:left w:w="100" w:type="dxa"/>
              <w:bottom w:w="60" w:type="dxa"/>
              <w:right w:w="100" w:type="dxa"/>
            </w:tcMar>
            <w:vAlign w:val="center"/>
          </w:tcPr>
          <w:p w14:paraId="5FE878BB"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99</w:t>
            </w:r>
          </w:p>
        </w:tc>
        <w:tc>
          <w:tcPr>
            <w:tcW w:w="989" w:type="pct"/>
            <w:tcMar>
              <w:top w:w="60" w:type="dxa"/>
              <w:left w:w="100" w:type="dxa"/>
              <w:bottom w:w="60" w:type="dxa"/>
              <w:right w:w="100" w:type="dxa"/>
            </w:tcMar>
            <w:vAlign w:val="center"/>
          </w:tcPr>
          <w:p w14:paraId="746C9059"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50.5%</w:t>
            </w:r>
          </w:p>
        </w:tc>
      </w:tr>
      <w:tr w:rsidR="00E4583A" w14:paraId="45EE9907" w14:textId="77777777">
        <w:trPr>
          <w:jc w:val="center"/>
        </w:trPr>
        <w:tc>
          <w:tcPr>
            <w:tcW w:w="3022" w:type="pct"/>
            <w:tcMar>
              <w:top w:w="60" w:type="dxa"/>
              <w:left w:w="100" w:type="dxa"/>
              <w:bottom w:w="60" w:type="dxa"/>
              <w:right w:w="100" w:type="dxa"/>
            </w:tcMar>
            <w:vAlign w:val="center"/>
          </w:tcPr>
          <w:p w14:paraId="585D719F"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ماجستير</w:t>
            </w:r>
          </w:p>
        </w:tc>
        <w:tc>
          <w:tcPr>
            <w:tcW w:w="989" w:type="pct"/>
            <w:tcMar>
              <w:top w:w="60" w:type="dxa"/>
              <w:left w:w="100" w:type="dxa"/>
              <w:bottom w:w="60" w:type="dxa"/>
              <w:right w:w="100" w:type="dxa"/>
            </w:tcMar>
            <w:vAlign w:val="center"/>
          </w:tcPr>
          <w:p w14:paraId="13DCC4B8"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80</w:t>
            </w:r>
          </w:p>
        </w:tc>
        <w:tc>
          <w:tcPr>
            <w:tcW w:w="989" w:type="pct"/>
            <w:tcMar>
              <w:top w:w="60" w:type="dxa"/>
              <w:left w:w="100" w:type="dxa"/>
              <w:bottom w:w="60" w:type="dxa"/>
              <w:right w:w="100" w:type="dxa"/>
            </w:tcMar>
            <w:vAlign w:val="center"/>
          </w:tcPr>
          <w:p w14:paraId="17738629"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40.8%</w:t>
            </w:r>
          </w:p>
        </w:tc>
      </w:tr>
      <w:tr w:rsidR="00E4583A" w14:paraId="05F775E2" w14:textId="77777777">
        <w:trPr>
          <w:jc w:val="center"/>
        </w:trPr>
        <w:tc>
          <w:tcPr>
            <w:tcW w:w="3022" w:type="pct"/>
            <w:tcMar>
              <w:top w:w="60" w:type="dxa"/>
              <w:left w:w="100" w:type="dxa"/>
              <w:bottom w:w="60" w:type="dxa"/>
              <w:right w:w="100" w:type="dxa"/>
            </w:tcMar>
            <w:vAlign w:val="center"/>
          </w:tcPr>
          <w:p w14:paraId="6D717BFB"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دكتوراه</w:t>
            </w:r>
          </w:p>
        </w:tc>
        <w:tc>
          <w:tcPr>
            <w:tcW w:w="989" w:type="pct"/>
            <w:tcMar>
              <w:top w:w="60" w:type="dxa"/>
              <w:left w:w="100" w:type="dxa"/>
              <w:bottom w:w="60" w:type="dxa"/>
              <w:right w:w="100" w:type="dxa"/>
            </w:tcMar>
            <w:vAlign w:val="center"/>
          </w:tcPr>
          <w:p w14:paraId="35AE2F3D"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17</w:t>
            </w:r>
          </w:p>
        </w:tc>
        <w:tc>
          <w:tcPr>
            <w:tcW w:w="989" w:type="pct"/>
            <w:tcMar>
              <w:top w:w="60" w:type="dxa"/>
              <w:left w:w="100" w:type="dxa"/>
              <w:bottom w:w="60" w:type="dxa"/>
              <w:right w:w="100" w:type="dxa"/>
            </w:tcMar>
            <w:vAlign w:val="center"/>
          </w:tcPr>
          <w:p w14:paraId="76571617"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8.7%</w:t>
            </w:r>
          </w:p>
        </w:tc>
      </w:tr>
      <w:tr w:rsidR="00E4583A" w14:paraId="2C35238D" w14:textId="77777777">
        <w:trPr>
          <w:jc w:val="center"/>
        </w:trPr>
        <w:tc>
          <w:tcPr>
            <w:tcW w:w="3022" w:type="pct"/>
            <w:tcMar>
              <w:top w:w="60" w:type="dxa"/>
              <w:left w:w="100" w:type="dxa"/>
              <w:bottom w:w="60" w:type="dxa"/>
              <w:right w:w="100" w:type="dxa"/>
            </w:tcMar>
            <w:vAlign w:val="center"/>
          </w:tcPr>
          <w:p w14:paraId="01720698"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الإجمالي</w:t>
            </w:r>
          </w:p>
        </w:tc>
        <w:tc>
          <w:tcPr>
            <w:tcW w:w="989" w:type="pct"/>
            <w:tcMar>
              <w:top w:w="60" w:type="dxa"/>
              <w:left w:w="100" w:type="dxa"/>
              <w:bottom w:w="60" w:type="dxa"/>
              <w:right w:w="100" w:type="dxa"/>
            </w:tcMar>
            <w:vAlign w:val="center"/>
          </w:tcPr>
          <w:p w14:paraId="0E739E22"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196</w:t>
            </w:r>
          </w:p>
        </w:tc>
        <w:tc>
          <w:tcPr>
            <w:tcW w:w="989" w:type="pct"/>
            <w:tcMar>
              <w:top w:w="60" w:type="dxa"/>
              <w:left w:w="100" w:type="dxa"/>
              <w:bottom w:w="60" w:type="dxa"/>
              <w:right w:w="100" w:type="dxa"/>
            </w:tcMar>
            <w:vAlign w:val="center"/>
          </w:tcPr>
          <w:p w14:paraId="04863893"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100.0%</w:t>
            </w:r>
          </w:p>
        </w:tc>
      </w:tr>
    </w:tbl>
    <w:p w14:paraId="0DA1A6A3" w14:textId="77777777" w:rsidR="00E4583A" w:rsidRDefault="00000000">
      <w:pPr>
        <w:bidi/>
        <w:spacing w:after="0" w:line="360" w:lineRule="auto"/>
        <w:jc w:val="center"/>
      </w:pPr>
      <w:r>
        <w:rPr>
          <w:rFonts w:ascii="Traditional Arabic" w:eastAsia="Simplified Arabic" w:hAnsi="Traditional Arabic" w:cs="Traditional Arabic"/>
          <w:b/>
          <w:bCs/>
          <w:sz w:val="24"/>
          <w:szCs w:val="24"/>
          <w:rtl/>
        </w:rPr>
        <w:t>جدول (4.4): توزيع أفراد العينة وفق المؤهل العلمي</w:t>
      </w:r>
    </w:p>
    <w:p w14:paraId="0D828536" w14:textId="77777777" w:rsidR="00E4583A" w:rsidRDefault="00000000">
      <w:pPr>
        <w:bidi/>
        <w:spacing w:after="0" w:line="360" w:lineRule="auto"/>
        <w:jc w:val="both"/>
      </w:pPr>
      <w:r>
        <w:rPr>
          <w:rFonts w:ascii="Traditional Arabic" w:eastAsia="Simplified Arabic" w:hAnsi="Traditional Arabic" w:cs="Traditional Arabic"/>
          <w:sz w:val="28"/>
          <w:szCs w:val="28"/>
          <w:rtl/>
        </w:rPr>
        <w:lastRenderedPageBreak/>
        <w:t>يتضح من الجدول أن فئة (بكالوريوس) شكّلت النسبة الأكبر من أفراد العينة بنسبة (50.5%)، وهو ما يعكس تنوعاً معقولاً في توزيع أفراد العينة وفق هذا المتغير.</w:t>
      </w:r>
    </w:p>
    <w:p w14:paraId="633D171C" w14:textId="77777777" w:rsidR="00E4583A" w:rsidRDefault="00E4583A">
      <w:pPr>
        <w:bidi/>
        <w:spacing w:after="0" w:line="240" w:lineRule="auto"/>
      </w:pPr>
    </w:p>
    <w:p w14:paraId="39AC6EFE" w14:textId="77777777" w:rsidR="00E4583A" w:rsidRDefault="00000000">
      <w:pPr>
        <w:bidi/>
        <w:spacing w:after="0" w:line="360" w:lineRule="auto"/>
        <w:jc w:val="both"/>
      </w:pPr>
      <w:r>
        <w:rPr>
          <w:rFonts w:ascii="Traditional Arabic" w:eastAsia="Simplified Arabic" w:hAnsi="Traditional Arabic" w:cs="Traditional Arabic"/>
          <w:b/>
          <w:bCs/>
          <w:sz w:val="28"/>
          <w:szCs w:val="28"/>
          <w:rtl/>
        </w:rPr>
        <w:t>5. مجال التخصص</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5014"/>
        <w:gridCol w:w="1641"/>
        <w:gridCol w:w="1641"/>
      </w:tblGrid>
      <w:tr w:rsidR="00E4583A" w14:paraId="3DAA0DD8" w14:textId="77777777">
        <w:trPr>
          <w:tblHeader/>
          <w:jc w:val="center"/>
        </w:trPr>
        <w:tc>
          <w:tcPr>
            <w:tcW w:w="3022" w:type="pct"/>
            <w:shd w:val="clear" w:color="auto" w:fill="2E5395"/>
            <w:tcMar>
              <w:top w:w="60" w:type="dxa"/>
              <w:left w:w="100" w:type="dxa"/>
              <w:bottom w:w="60" w:type="dxa"/>
              <w:right w:w="100" w:type="dxa"/>
            </w:tcMar>
            <w:vAlign w:val="center"/>
          </w:tcPr>
          <w:p w14:paraId="272AD1F4"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مجال التخصص</w:t>
            </w:r>
          </w:p>
        </w:tc>
        <w:tc>
          <w:tcPr>
            <w:tcW w:w="989" w:type="pct"/>
            <w:shd w:val="clear" w:color="auto" w:fill="2E5395"/>
            <w:tcMar>
              <w:top w:w="60" w:type="dxa"/>
              <w:left w:w="100" w:type="dxa"/>
              <w:bottom w:w="60" w:type="dxa"/>
              <w:right w:w="100" w:type="dxa"/>
            </w:tcMar>
            <w:vAlign w:val="center"/>
          </w:tcPr>
          <w:p w14:paraId="30C542A7"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التكرار</w:t>
            </w:r>
          </w:p>
        </w:tc>
        <w:tc>
          <w:tcPr>
            <w:tcW w:w="989" w:type="pct"/>
            <w:shd w:val="clear" w:color="auto" w:fill="2E5395"/>
            <w:tcMar>
              <w:top w:w="60" w:type="dxa"/>
              <w:left w:w="100" w:type="dxa"/>
              <w:bottom w:w="60" w:type="dxa"/>
              <w:right w:w="100" w:type="dxa"/>
            </w:tcMar>
            <w:vAlign w:val="center"/>
          </w:tcPr>
          <w:p w14:paraId="1A9ABF50"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النسبة المئوية</w:t>
            </w:r>
          </w:p>
        </w:tc>
      </w:tr>
      <w:tr w:rsidR="00E4583A" w14:paraId="148AD852" w14:textId="77777777">
        <w:trPr>
          <w:jc w:val="center"/>
        </w:trPr>
        <w:tc>
          <w:tcPr>
            <w:tcW w:w="3022" w:type="pct"/>
            <w:tcMar>
              <w:top w:w="60" w:type="dxa"/>
              <w:left w:w="100" w:type="dxa"/>
              <w:bottom w:w="60" w:type="dxa"/>
              <w:right w:w="100" w:type="dxa"/>
            </w:tcMar>
            <w:vAlign w:val="center"/>
          </w:tcPr>
          <w:p w14:paraId="3FE1F0A2"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أمن سيبراني</w:t>
            </w:r>
          </w:p>
        </w:tc>
        <w:tc>
          <w:tcPr>
            <w:tcW w:w="989" w:type="pct"/>
            <w:tcMar>
              <w:top w:w="60" w:type="dxa"/>
              <w:left w:w="100" w:type="dxa"/>
              <w:bottom w:w="60" w:type="dxa"/>
              <w:right w:w="100" w:type="dxa"/>
            </w:tcMar>
            <w:vAlign w:val="center"/>
          </w:tcPr>
          <w:p w14:paraId="59D95689"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47</w:t>
            </w:r>
          </w:p>
        </w:tc>
        <w:tc>
          <w:tcPr>
            <w:tcW w:w="989" w:type="pct"/>
            <w:tcMar>
              <w:top w:w="60" w:type="dxa"/>
              <w:left w:w="100" w:type="dxa"/>
              <w:bottom w:w="60" w:type="dxa"/>
              <w:right w:w="100" w:type="dxa"/>
            </w:tcMar>
            <w:vAlign w:val="center"/>
          </w:tcPr>
          <w:p w14:paraId="01D99DE4"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24.0%</w:t>
            </w:r>
          </w:p>
        </w:tc>
      </w:tr>
      <w:tr w:rsidR="00E4583A" w14:paraId="3A544216" w14:textId="77777777">
        <w:trPr>
          <w:jc w:val="center"/>
        </w:trPr>
        <w:tc>
          <w:tcPr>
            <w:tcW w:w="3022" w:type="pct"/>
            <w:tcMar>
              <w:top w:w="60" w:type="dxa"/>
              <w:left w:w="100" w:type="dxa"/>
              <w:bottom w:w="60" w:type="dxa"/>
              <w:right w:w="100" w:type="dxa"/>
            </w:tcMar>
            <w:vAlign w:val="center"/>
          </w:tcPr>
          <w:p w14:paraId="2D9986E0"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تقنية المعلومات</w:t>
            </w:r>
          </w:p>
        </w:tc>
        <w:tc>
          <w:tcPr>
            <w:tcW w:w="989" w:type="pct"/>
            <w:tcMar>
              <w:top w:w="60" w:type="dxa"/>
              <w:left w:w="100" w:type="dxa"/>
              <w:bottom w:w="60" w:type="dxa"/>
              <w:right w:w="100" w:type="dxa"/>
            </w:tcMar>
            <w:vAlign w:val="center"/>
          </w:tcPr>
          <w:p w14:paraId="75D81BFC"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58</w:t>
            </w:r>
          </w:p>
        </w:tc>
        <w:tc>
          <w:tcPr>
            <w:tcW w:w="989" w:type="pct"/>
            <w:tcMar>
              <w:top w:w="60" w:type="dxa"/>
              <w:left w:w="100" w:type="dxa"/>
              <w:bottom w:w="60" w:type="dxa"/>
              <w:right w:w="100" w:type="dxa"/>
            </w:tcMar>
            <w:vAlign w:val="center"/>
          </w:tcPr>
          <w:p w14:paraId="7EB67FDD"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29.6%</w:t>
            </w:r>
          </w:p>
        </w:tc>
      </w:tr>
      <w:tr w:rsidR="00E4583A" w14:paraId="03EA1BE8" w14:textId="77777777">
        <w:trPr>
          <w:jc w:val="center"/>
        </w:trPr>
        <w:tc>
          <w:tcPr>
            <w:tcW w:w="3022" w:type="pct"/>
            <w:tcMar>
              <w:top w:w="60" w:type="dxa"/>
              <w:left w:w="100" w:type="dxa"/>
              <w:bottom w:w="60" w:type="dxa"/>
              <w:right w:w="100" w:type="dxa"/>
            </w:tcMar>
            <w:vAlign w:val="center"/>
          </w:tcPr>
          <w:p w14:paraId="4D78291F"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عمليات مالية</w:t>
            </w:r>
          </w:p>
        </w:tc>
        <w:tc>
          <w:tcPr>
            <w:tcW w:w="989" w:type="pct"/>
            <w:tcMar>
              <w:top w:w="60" w:type="dxa"/>
              <w:left w:w="100" w:type="dxa"/>
              <w:bottom w:w="60" w:type="dxa"/>
              <w:right w:w="100" w:type="dxa"/>
            </w:tcMar>
            <w:vAlign w:val="center"/>
          </w:tcPr>
          <w:p w14:paraId="15CE7004"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46</w:t>
            </w:r>
          </w:p>
        </w:tc>
        <w:tc>
          <w:tcPr>
            <w:tcW w:w="989" w:type="pct"/>
            <w:tcMar>
              <w:top w:w="60" w:type="dxa"/>
              <w:left w:w="100" w:type="dxa"/>
              <w:bottom w:w="60" w:type="dxa"/>
              <w:right w:w="100" w:type="dxa"/>
            </w:tcMar>
            <w:vAlign w:val="center"/>
          </w:tcPr>
          <w:p w14:paraId="2BAC168E"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23.5%</w:t>
            </w:r>
          </w:p>
        </w:tc>
      </w:tr>
      <w:tr w:rsidR="00E4583A" w14:paraId="29B54758" w14:textId="77777777">
        <w:trPr>
          <w:jc w:val="center"/>
        </w:trPr>
        <w:tc>
          <w:tcPr>
            <w:tcW w:w="3022" w:type="pct"/>
            <w:tcMar>
              <w:top w:w="60" w:type="dxa"/>
              <w:left w:w="100" w:type="dxa"/>
              <w:bottom w:w="60" w:type="dxa"/>
              <w:right w:w="100" w:type="dxa"/>
            </w:tcMar>
            <w:vAlign w:val="center"/>
          </w:tcPr>
          <w:p w14:paraId="473D5059"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إدارة مخاطر</w:t>
            </w:r>
          </w:p>
        </w:tc>
        <w:tc>
          <w:tcPr>
            <w:tcW w:w="989" w:type="pct"/>
            <w:tcMar>
              <w:top w:w="60" w:type="dxa"/>
              <w:left w:w="100" w:type="dxa"/>
              <w:bottom w:w="60" w:type="dxa"/>
              <w:right w:w="100" w:type="dxa"/>
            </w:tcMar>
            <w:vAlign w:val="center"/>
          </w:tcPr>
          <w:p w14:paraId="16404199"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33</w:t>
            </w:r>
          </w:p>
        </w:tc>
        <w:tc>
          <w:tcPr>
            <w:tcW w:w="989" w:type="pct"/>
            <w:tcMar>
              <w:top w:w="60" w:type="dxa"/>
              <w:left w:w="100" w:type="dxa"/>
              <w:bottom w:w="60" w:type="dxa"/>
              <w:right w:w="100" w:type="dxa"/>
            </w:tcMar>
            <w:vAlign w:val="center"/>
          </w:tcPr>
          <w:p w14:paraId="3A214733"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16.8%</w:t>
            </w:r>
          </w:p>
        </w:tc>
      </w:tr>
      <w:tr w:rsidR="00E4583A" w14:paraId="15A34F7B" w14:textId="77777777">
        <w:trPr>
          <w:jc w:val="center"/>
        </w:trPr>
        <w:tc>
          <w:tcPr>
            <w:tcW w:w="3022" w:type="pct"/>
            <w:tcMar>
              <w:top w:w="60" w:type="dxa"/>
              <w:left w:w="100" w:type="dxa"/>
              <w:bottom w:w="60" w:type="dxa"/>
              <w:right w:w="100" w:type="dxa"/>
            </w:tcMar>
            <w:vAlign w:val="center"/>
          </w:tcPr>
          <w:p w14:paraId="2A7ED050"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أخرى</w:t>
            </w:r>
          </w:p>
        </w:tc>
        <w:tc>
          <w:tcPr>
            <w:tcW w:w="989" w:type="pct"/>
            <w:tcMar>
              <w:top w:w="60" w:type="dxa"/>
              <w:left w:w="100" w:type="dxa"/>
              <w:bottom w:w="60" w:type="dxa"/>
              <w:right w:w="100" w:type="dxa"/>
            </w:tcMar>
            <w:vAlign w:val="center"/>
          </w:tcPr>
          <w:p w14:paraId="5E0A62A1"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12</w:t>
            </w:r>
          </w:p>
        </w:tc>
        <w:tc>
          <w:tcPr>
            <w:tcW w:w="989" w:type="pct"/>
            <w:tcMar>
              <w:top w:w="60" w:type="dxa"/>
              <w:left w:w="100" w:type="dxa"/>
              <w:bottom w:w="60" w:type="dxa"/>
              <w:right w:w="100" w:type="dxa"/>
            </w:tcMar>
            <w:vAlign w:val="center"/>
          </w:tcPr>
          <w:p w14:paraId="4F76A4F6"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6.1%</w:t>
            </w:r>
          </w:p>
        </w:tc>
      </w:tr>
      <w:tr w:rsidR="00E4583A" w14:paraId="70D6FBFF" w14:textId="77777777">
        <w:trPr>
          <w:jc w:val="center"/>
        </w:trPr>
        <w:tc>
          <w:tcPr>
            <w:tcW w:w="3022" w:type="pct"/>
            <w:tcMar>
              <w:top w:w="60" w:type="dxa"/>
              <w:left w:w="100" w:type="dxa"/>
              <w:bottom w:w="60" w:type="dxa"/>
              <w:right w:w="100" w:type="dxa"/>
            </w:tcMar>
            <w:vAlign w:val="center"/>
          </w:tcPr>
          <w:p w14:paraId="352CDA8E"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الإجمالي</w:t>
            </w:r>
          </w:p>
        </w:tc>
        <w:tc>
          <w:tcPr>
            <w:tcW w:w="989" w:type="pct"/>
            <w:tcMar>
              <w:top w:w="60" w:type="dxa"/>
              <w:left w:w="100" w:type="dxa"/>
              <w:bottom w:w="60" w:type="dxa"/>
              <w:right w:w="100" w:type="dxa"/>
            </w:tcMar>
            <w:vAlign w:val="center"/>
          </w:tcPr>
          <w:p w14:paraId="14C94E42"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196</w:t>
            </w:r>
          </w:p>
        </w:tc>
        <w:tc>
          <w:tcPr>
            <w:tcW w:w="989" w:type="pct"/>
            <w:tcMar>
              <w:top w:w="60" w:type="dxa"/>
              <w:left w:w="100" w:type="dxa"/>
              <w:bottom w:w="60" w:type="dxa"/>
              <w:right w:w="100" w:type="dxa"/>
            </w:tcMar>
            <w:vAlign w:val="center"/>
          </w:tcPr>
          <w:p w14:paraId="09CBF732"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100.0%</w:t>
            </w:r>
          </w:p>
        </w:tc>
      </w:tr>
    </w:tbl>
    <w:p w14:paraId="028E66BE" w14:textId="77777777" w:rsidR="00E4583A" w:rsidRDefault="00000000">
      <w:pPr>
        <w:bidi/>
        <w:spacing w:after="0" w:line="360" w:lineRule="auto"/>
        <w:jc w:val="center"/>
      </w:pPr>
      <w:r>
        <w:rPr>
          <w:rFonts w:ascii="Traditional Arabic" w:eastAsia="Simplified Arabic" w:hAnsi="Traditional Arabic" w:cs="Traditional Arabic"/>
          <w:b/>
          <w:bCs/>
          <w:sz w:val="24"/>
          <w:szCs w:val="24"/>
          <w:rtl/>
        </w:rPr>
        <w:t>جدول (4.5): توزيع أفراد العينة وفق مجال التخصص</w:t>
      </w:r>
    </w:p>
    <w:p w14:paraId="2C08394D" w14:textId="77777777" w:rsidR="00E4583A" w:rsidRDefault="00000000">
      <w:pPr>
        <w:bidi/>
        <w:spacing w:after="0" w:line="360" w:lineRule="auto"/>
        <w:jc w:val="both"/>
      </w:pPr>
      <w:r>
        <w:rPr>
          <w:rFonts w:ascii="Traditional Arabic" w:eastAsia="Simplified Arabic" w:hAnsi="Traditional Arabic" w:cs="Traditional Arabic"/>
          <w:sz w:val="28"/>
          <w:szCs w:val="28"/>
          <w:rtl/>
        </w:rPr>
        <w:t>يتضح من الجدول أن فئة (تقنية المعلومات) شكّلت النسبة الأكبر من أفراد العينة بنسبة (29.6%)، وهو ما يعكس تنوعاً معقولاً في توزيع أفراد العينة وفق هذا المتغير.</w:t>
      </w:r>
    </w:p>
    <w:p w14:paraId="528B143E" w14:textId="77777777" w:rsidR="00E4583A" w:rsidRDefault="00E4583A">
      <w:pPr>
        <w:bidi/>
        <w:spacing w:after="0" w:line="240" w:lineRule="auto"/>
      </w:pPr>
    </w:p>
    <w:p w14:paraId="3C947420" w14:textId="77777777" w:rsidR="00E4583A" w:rsidRDefault="00000000">
      <w:pPr>
        <w:bidi/>
        <w:spacing w:after="0" w:line="360" w:lineRule="auto"/>
        <w:jc w:val="both"/>
      </w:pPr>
      <w:r>
        <w:rPr>
          <w:rFonts w:ascii="Traditional Arabic" w:eastAsia="Simplified Arabic" w:hAnsi="Traditional Arabic" w:cs="Traditional Arabic"/>
          <w:b/>
          <w:bCs/>
          <w:sz w:val="28"/>
          <w:szCs w:val="28"/>
          <w:rtl/>
        </w:rPr>
        <w:t>6. الإدارة أو القسم</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5014"/>
        <w:gridCol w:w="1641"/>
        <w:gridCol w:w="1641"/>
      </w:tblGrid>
      <w:tr w:rsidR="00E4583A" w14:paraId="4E3F028E" w14:textId="77777777">
        <w:trPr>
          <w:tblHeader/>
          <w:jc w:val="center"/>
        </w:trPr>
        <w:tc>
          <w:tcPr>
            <w:tcW w:w="3022" w:type="pct"/>
            <w:shd w:val="clear" w:color="auto" w:fill="2E5395"/>
            <w:tcMar>
              <w:top w:w="60" w:type="dxa"/>
              <w:left w:w="100" w:type="dxa"/>
              <w:bottom w:w="60" w:type="dxa"/>
              <w:right w:w="100" w:type="dxa"/>
            </w:tcMar>
            <w:vAlign w:val="center"/>
          </w:tcPr>
          <w:p w14:paraId="2637D528"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الإدارة أو القسم</w:t>
            </w:r>
          </w:p>
        </w:tc>
        <w:tc>
          <w:tcPr>
            <w:tcW w:w="989" w:type="pct"/>
            <w:shd w:val="clear" w:color="auto" w:fill="2E5395"/>
            <w:tcMar>
              <w:top w:w="60" w:type="dxa"/>
              <w:left w:w="100" w:type="dxa"/>
              <w:bottom w:w="60" w:type="dxa"/>
              <w:right w:w="100" w:type="dxa"/>
            </w:tcMar>
            <w:vAlign w:val="center"/>
          </w:tcPr>
          <w:p w14:paraId="46F917BA"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التكرار</w:t>
            </w:r>
          </w:p>
        </w:tc>
        <w:tc>
          <w:tcPr>
            <w:tcW w:w="989" w:type="pct"/>
            <w:shd w:val="clear" w:color="auto" w:fill="2E5395"/>
            <w:tcMar>
              <w:top w:w="60" w:type="dxa"/>
              <w:left w:w="100" w:type="dxa"/>
              <w:bottom w:w="60" w:type="dxa"/>
              <w:right w:w="100" w:type="dxa"/>
            </w:tcMar>
            <w:vAlign w:val="center"/>
          </w:tcPr>
          <w:p w14:paraId="5D101D40"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النسبة المئوية</w:t>
            </w:r>
          </w:p>
        </w:tc>
      </w:tr>
      <w:tr w:rsidR="00E4583A" w14:paraId="3BBCCD3F" w14:textId="77777777">
        <w:trPr>
          <w:jc w:val="center"/>
        </w:trPr>
        <w:tc>
          <w:tcPr>
            <w:tcW w:w="3022" w:type="pct"/>
            <w:tcMar>
              <w:top w:w="60" w:type="dxa"/>
              <w:left w:w="100" w:type="dxa"/>
              <w:bottom w:w="60" w:type="dxa"/>
              <w:right w:w="100" w:type="dxa"/>
            </w:tcMar>
            <w:vAlign w:val="center"/>
          </w:tcPr>
          <w:p w14:paraId="6251E769"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الأمن السيبراني</w:t>
            </w:r>
          </w:p>
        </w:tc>
        <w:tc>
          <w:tcPr>
            <w:tcW w:w="989" w:type="pct"/>
            <w:tcMar>
              <w:top w:w="60" w:type="dxa"/>
              <w:left w:w="100" w:type="dxa"/>
              <w:bottom w:w="60" w:type="dxa"/>
              <w:right w:w="100" w:type="dxa"/>
            </w:tcMar>
            <w:vAlign w:val="center"/>
          </w:tcPr>
          <w:p w14:paraId="7B27A193"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39</w:t>
            </w:r>
          </w:p>
        </w:tc>
        <w:tc>
          <w:tcPr>
            <w:tcW w:w="989" w:type="pct"/>
            <w:tcMar>
              <w:top w:w="60" w:type="dxa"/>
              <w:left w:w="100" w:type="dxa"/>
              <w:bottom w:w="60" w:type="dxa"/>
              <w:right w:w="100" w:type="dxa"/>
            </w:tcMar>
            <w:vAlign w:val="center"/>
          </w:tcPr>
          <w:p w14:paraId="3A6E7CF6"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19.9%</w:t>
            </w:r>
          </w:p>
        </w:tc>
      </w:tr>
      <w:tr w:rsidR="00E4583A" w14:paraId="494ABB90" w14:textId="77777777">
        <w:trPr>
          <w:jc w:val="center"/>
        </w:trPr>
        <w:tc>
          <w:tcPr>
            <w:tcW w:w="3022" w:type="pct"/>
            <w:tcMar>
              <w:top w:w="60" w:type="dxa"/>
              <w:left w:w="100" w:type="dxa"/>
              <w:bottom w:w="60" w:type="dxa"/>
              <w:right w:w="100" w:type="dxa"/>
            </w:tcMar>
            <w:vAlign w:val="center"/>
          </w:tcPr>
          <w:p w14:paraId="551AC898"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تقنية المعلومات</w:t>
            </w:r>
          </w:p>
        </w:tc>
        <w:tc>
          <w:tcPr>
            <w:tcW w:w="989" w:type="pct"/>
            <w:tcMar>
              <w:top w:w="60" w:type="dxa"/>
              <w:left w:w="100" w:type="dxa"/>
              <w:bottom w:w="60" w:type="dxa"/>
              <w:right w:w="100" w:type="dxa"/>
            </w:tcMar>
            <w:vAlign w:val="center"/>
          </w:tcPr>
          <w:p w14:paraId="7F8E5FD5"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64</w:t>
            </w:r>
          </w:p>
        </w:tc>
        <w:tc>
          <w:tcPr>
            <w:tcW w:w="989" w:type="pct"/>
            <w:tcMar>
              <w:top w:w="60" w:type="dxa"/>
              <w:left w:w="100" w:type="dxa"/>
              <w:bottom w:w="60" w:type="dxa"/>
              <w:right w:w="100" w:type="dxa"/>
            </w:tcMar>
            <w:vAlign w:val="center"/>
          </w:tcPr>
          <w:p w14:paraId="13FF6ECF"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32.7%</w:t>
            </w:r>
          </w:p>
        </w:tc>
      </w:tr>
      <w:tr w:rsidR="00E4583A" w14:paraId="5AC53867" w14:textId="77777777">
        <w:trPr>
          <w:jc w:val="center"/>
        </w:trPr>
        <w:tc>
          <w:tcPr>
            <w:tcW w:w="3022" w:type="pct"/>
            <w:tcMar>
              <w:top w:w="60" w:type="dxa"/>
              <w:left w:w="100" w:type="dxa"/>
              <w:bottom w:w="60" w:type="dxa"/>
              <w:right w:w="100" w:type="dxa"/>
            </w:tcMar>
            <w:vAlign w:val="center"/>
          </w:tcPr>
          <w:p w14:paraId="530A5E46"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العمليات المالية</w:t>
            </w:r>
          </w:p>
        </w:tc>
        <w:tc>
          <w:tcPr>
            <w:tcW w:w="989" w:type="pct"/>
            <w:tcMar>
              <w:top w:w="60" w:type="dxa"/>
              <w:left w:w="100" w:type="dxa"/>
              <w:bottom w:w="60" w:type="dxa"/>
              <w:right w:w="100" w:type="dxa"/>
            </w:tcMar>
            <w:vAlign w:val="center"/>
          </w:tcPr>
          <w:p w14:paraId="4FCF90E6"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51</w:t>
            </w:r>
          </w:p>
        </w:tc>
        <w:tc>
          <w:tcPr>
            <w:tcW w:w="989" w:type="pct"/>
            <w:tcMar>
              <w:top w:w="60" w:type="dxa"/>
              <w:left w:w="100" w:type="dxa"/>
              <w:bottom w:w="60" w:type="dxa"/>
              <w:right w:w="100" w:type="dxa"/>
            </w:tcMar>
            <w:vAlign w:val="center"/>
          </w:tcPr>
          <w:p w14:paraId="68F6AFDA"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26.0%</w:t>
            </w:r>
          </w:p>
        </w:tc>
      </w:tr>
      <w:tr w:rsidR="00E4583A" w14:paraId="14F3FC74" w14:textId="77777777">
        <w:trPr>
          <w:jc w:val="center"/>
        </w:trPr>
        <w:tc>
          <w:tcPr>
            <w:tcW w:w="3022" w:type="pct"/>
            <w:tcMar>
              <w:top w:w="60" w:type="dxa"/>
              <w:left w:w="100" w:type="dxa"/>
              <w:bottom w:w="60" w:type="dxa"/>
              <w:right w:w="100" w:type="dxa"/>
            </w:tcMar>
            <w:vAlign w:val="center"/>
          </w:tcPr>
          <w:p w14:paraId="5B11AB12"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إدارة المخاطر والامتثال</w:t>
            </w:r>
          </w:p>
        </w:tc>
        <w:tc>
          <w:tcPr>
            <w:tcW w:w="989" w:type="pct"/>
            <w:tcMar>
              <w:top w:w="60" w:type="dxa"/>
              <w:left w:w="100" w:type="dxa"/>
              <w:bottom w:w="60" w:type="dxa"/>
              <w:right w:w="100" w:type="dxa"/>
            </w:tcMar>
            <w:vAlign w:val="center"/>
          </w:tcPr>
          <w:p w14:paraId="4FDCC1B5"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31</w:t>
            </w:r>
          </w:p>
        </w:tc>
        <w:tc>
          <w:tcPr>
            <w:tcW w:w="989" w:type="pct"/>
            <w:tcMar>
              <w:top w:w="60" w:type="dxa"/>
              <w:left w:w="100" w:type="dxa"/>
              <w:bottom w:w="60" w:type="dxa"/>
              <w:right w:w="100" w:type="dxa"/>
            </w:tcMar>
            <w:vAlign w:val="center"/>
          </w:tcPr>
          <w:p w14:paraId="6300135F"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15.8%</w:t>
            </w:r>
          </w:p>
        </w:tc>
      </w:tr>
      <w:tr w:rsidR="00E4583A" w14:paraId="5F2E229E" w14:textId="77777777">
        <w:trPr>
          <w:jc w:val="center"/>
        </w:trPr>
        <w:tc>
          <w:tcPr>
            <w:tcW w:w="3022" w:type="pct"/>
            <w:tcMar>
              <w:top w:w="60" w:type="dxa"/>
              <w:left w:w="100" w:type="dxa"/>
              <w:bottom w:w="60" w:type="dxa"/>
              <w:right w:w="100" w:type="dxa"/>
            </w:tcMar>
            <w:vAlign w:val="center"/>
          </w:tcPr>
          <w:p w14:paraId="6F28B8EB"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أخرى</w:t>
            </w:r>
          </w:p>
        </w:tc>
        <w:tc>
          <w:tcPr>
            <w:tcW w:w="989" w:type="pct"/>
            <w:tcMar>
              <w:top w:w="60" w:type="dxa"/>
              <w:left w:w="100" w:type="dxa"/>
              <w:bottom w:w="60" w:type="dxa"/>
              <w:right w:w="100" w:type="dxa"/>
            </w:tcMar>
            <w:vAlign w:val="center"/>
          </w:tcPr>
          <w:p w14:paraId="084AF3DB"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11</w:t>
            </w:r>
          </w:p>
        </w:tc>
        <w:tc>
          <w:tcPr>
            <w:tcW w:w="989" w:type="pct"/>
            <w:tcMar>
              <w:top w:w="60" w:type="dxa"/>
              <w:left w:w="100" w:type="dxa"/>
              <w:bottom w:w="60" w:type="dxa"/>
              <w:right w:w="100" w:type="dxa"/>
            </w:tcMar>
            <w:vAlign w:val="center"/>
          </w:tcPr>
          <w:p w14:paraId="3E79BC00"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5.6%</w:t>
            </w:r>
          </w:p>
        </w:tc>
      </w:tr>
      <w:tr w:rsidR="00E4583A" w14:paraId="1796875C" w14:textId="77777777">
        <w:trPr>
          <w:jc w:val="center"/>
        </w:trPr>
        <w:tc>
          <w:tcPr>
            <w:tcW w:w="3022" w:type="pct"/>
            <w:tcMar>
              <w:top w:w="60" w:type="dxa"/>
              <w:left w:w="100" w:type="dxa"/>
              <w:bottom w:w="60" w:type="dxa"/>
              <w:right w:w="100" w:type="dxa"/>
            </w:tcMar>
            <w:vAlign w:val="center"/>
          </w:tcPr>
          <w:p w14:paraId="07F2E058"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الإجمالي</w:t>
            </w:r>
          </w:p>
        </w:tc>
        <w:tc>
          <w:tcPr>
            <w:tcW w:w="989" w:type="pct"/>
            <w:tcMar>
              <w:top w:w="60" w:type="dxa"/>
              <w:left w:w="100" w:type="dxa"/>
              <w:bottom w:w="60" w:type="dxa"/>
              <w:right w:w="100" w:type="dxa"/>
            </w:tcMar>
            <w:vAlign w:val="center"/>
          </w:tcPr>
          <w:p w14:paraId="0B953463"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196</w:t>
            </w:r>
          </w:p>
        </w:tc>
        <w:tc>
          <w:tcPr>
            <w:tcW w:w="989" w:type="pct"/>
            <w:tcMar>
              <w:top w:w="60" w:type="dxa"/>
              <w:left w:w="100" w:type="dxa"/>
              <w:bottom w:w="60" w:type="dxa"/>
              <w:right w:w="100" w:type="dxa"/>
            </w:tcMar>
            <w:vAlign w:val="center"/>
          </w:tcPr>
          <w:p w14:paraId="76077814"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100.0%</w:t>
            </w:r>
          </w:p>
        </w:tc>
      </w:tr>
    </w:tbl>
    <w:p w14:paraId="04D3A413" w14:textId="77777777" w:rsidR="00E4583A" w:rsidRDefault="00000000">
      <w:pPr>
        <w:bidi/>
        <w:spacing w:after="0" w:line="360" w:lineRule="auto"/>
        <w:jc w:val="center"/>
      </w:pPr>
      <w:r>
        <w:rPr>
          <w:rFonts w:ascii="Traditional Arabic" w:eastAsia="Simplified Arabic" w:hAnsi="Traditional Arabic" w:cs="Traditional Arabic"/>
          <w:b/>
          <w:bCs/>
          <w:sz w:val="24"/>
          <w:szCs w:val="24"/>
          <w:rtl/>
        </w:rPr>
        <w:t>جدول (4.6): توزيع أفراد العينة وفق الإدارة أو القسم</w:t>
      </w:r>
    </w:p>
    <w:p w14:paraId="464A239A" w14:textId="77777777" w:rsidR="00E4583A" w:rsidRDefault="00000000">
      <w:pPr>
        <w:bidi/>
        <w:spacing w:after="0" w:line="360" w:lineRule="auto"/>
        <w:jc w:val="both"/>
      </w:pPr>
      <w:r>
        <w:rPr>
          <w:rFonts w:ascii="Traditional Arabic" w:eastAsia="Simplified Arabic" w:hAnsi="Traditional Arabic" w:cs="Traditional Arabic"/>
          <w:sz w:val="28"/>
          <w:szCs w:val="28"/>
          <w:rtl/>
        </w:rPr>
        <w:t>يتضح من الجدول أن فئة (تقنية المعلومات) شكّلت النسبة الأكبر من أفراد العينة بنسبة (32.7%)، وهو ما يعكس تنوعاً معقولاً في توزيع أفراد العينة وفق هذا المتغير.</w:t>
      </w:r>
    </w:p>
    <w:p w14:paraId="2544955A" w14:textId="77777777" w:rsidR="00E4583A" w:rsidRDefault="00E4583A">
      <w:pPr>
        <w:bidi/>
        <w:spacing w:after="0" w:line="240" w:lineRule="auto"/>
      </w:pPr>
    </w:p>
    <w:p w14:paraId="53225F55" w14:textId="77777777" w:rsidR="00E4583A" w:rsidRDefault="00000000">
      <w:pPr>
        <w:pStyle w:val="HeadingTOCEntry"/>
        <w:bidi/>
        <w:spacing w:after="0" w:line="360" w:lineRule="auto"/>
        <w:ind w:left="432" w:hanging="432"/>
        <w:rPr>
          <w:rFonts w:ascii="Simplified Arabic" w:hAnsi="Simplified Arabic" w:cs="Simplified Arabic"/>
          <w:b/>
          <w:bCs/>
          <w:sz w:val="28"/>
          <w:szCs w:val="28"/>
          <w:u w:val="single"/>
        </w:rPr>
      </w:pPr>
      <w:r>
        <w:rPr>
          <w:rFonts w:ascii="Traditional Arabic" w:eastAsia="Simplified Arabic" w:hAnsi="Traditional Arabic" w:cs="Traditional Arabic"/>
          <w:b/>
          <w:bCs/>
          <w:sz w:val="32"/>
          <w:szCs w:val="32"/>
          <w:u w:val="single"/>
          <w:rtl/>
        </w:rPr>
        <w:t>ثانياً: التحليل الوصفي لمتغيرات الدراسة</w:t>
      </w:r>
    </w:p>
    <w:p w14:paraId="68B01E36" w14:textId="77777777" w:rsidR="00E4583A" w:rsidRDefault="00000000">
      <w:pPr>
        <w:bidi/>
        <w:spacing w:after="0" w:line="360" w:lineRule="auto"/>
        <w:jc w:val="both"/>
      </w:pPr>
      <w:r>
        <w:rPr>
          <w:rFonts w:ascii="Traditional Arabic" w:eastAsia="Simplified Arabic" w:hAnsi="Traditional Arabic" w:cs="Traditional Arabic"/>
          <w:sz w:val="28"/>
          <w:szCs w:val="28"/>
          <w:rtl/>
        </w:rPr>
        <w:t>يعرض هذا الجزء المتوسطات الحسابية والانحرافات المعيارية لعبارات كل بُعد من أبعاد الدراسة، ومستوى الاستجابة العام لكل بُعد، وفق المعيار الآتي: (منخفضة: أقل من 2.34)، (متوسطة: 2.34 إلى أقل من 3.68)، (مرتفعة: 3.68 فأكثر).</w:t>
      </w:r>
    </w:p>
    <w:p w14:paraId="4783F1C2" w14:textId="77777777" w:rsidR="00E4583A" w:rsidRDefault="00E4583A">
      <w:pPr>
        <w:bidi/>
        <w:spacing w:after="0" w:line="240" w:lineRule="auto"/>
      </w:pPr>
    </w:p>
    <w:p w14:paraId="2BDE67C9" w14:textId="77777777" w:rsidR="00E4583A" w:rsidRDefault="00000000">
      <w:pPr>
        <w:bidi/>
        <w:spacing w:after="0" w:line="360" w:lineRule="auto"/>
        <w:jc w:val="both"/>
      </w:pPr>
      <w:r>
        <w:rPr>
          <w:rFonts w:ascii="Traditional Arabic" w:eastAsia="Simplified Arabic" w:hAnsi="Traditional Arabic" w:cs="Traditional Arabic"/>
          <w:b/>
          <w:bCs/>
          <w:sz w:val="28"/>
          <w:szCs w:val="28"/>
          <w:rtl/>
        </w:rPr>
        <w:t>البُعد الأول: تطبيق تقنية الترميز الأمني للبيانات</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4623"/>
        <w:gridCol w:w="1138"/>
        <w:gridCol w:w="1470"/>
        <w:gridCol w:w="1065"/>
      </w:tblGrid>
      <w:tr w:rsidR="00E4583A" w14:paraId="33FE98E3" w14:textId="77777777">
        <w:trPr>
          <w:tblHeader/>
          <w:jc w:val="center"/>
        </w:trPr>
        <w:tc>
          <w:tcPr>
            <w:tcW w:w="2800" w:type="pct"/>
            <w:shd w:val="clear" w:color="auto" w:fill="2E5395"/>
            <w:tcMar>
              <w:top w:w="60" w:type="dxa"/>
              <w:left w:w="100" w:type="dxa"/>
              <w:bottom w:w="60" w:type="dxa"/>
              <w:right w:w="100" w:type="dxa"/>
            </w:tcMar>
            <w:vAlign w:val="center"/>
          </w:tcPr>
          <w:p w14:paraId="0E40485D"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العبارة</w:t>
            </w:r>
          </w:p>
        </w:tc>
        <w:tc>
          <w:tcPr>
            <w:tcW w:w="700" w:type="pct"/>
            <w:shd w:val="clear" w:color="auto" w:fill="2E5395"/>
            <w:tcMar>
              <w:top w:w="60" w:type="dxa"/>
              <w:left w:w="100" w:type="dxa"/>
              <w:bottom w:w="60" w:type="dxa"/>
              <w:right w:w="100" w:type="dxa"/>
            </w:tcMar>
            <w:vAlign w:val="center"/>
          </w:tcPr>
          <w:p w14:paraId="5324D00E"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المتوسط</w:t>
            </w:r>
          </w:p>
        </w:tc>
        <w:tc>
          <w:tcPr>
            <w:tcW w:w="900" w:type="pct"/>
            <w:shd w:val="clear" w:color="auto" w:fill="2E5395"/>
            <w:tcMar>
              <w:top w:w="60" w:type="dxa"/>
              <w:left w:w="100" w:type="dxa"/>
              <w:bottom w:w="60" w:type="dxa"/>
              <w:right w:w="100" w:type="dxa"/>
            </w:tcMar>
            <w:vAlign w:val="center"/>
          </w:tcPr>
          <w:p w14:paraId="464E92BC"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الانحراف المعياري</w:t>
            </w:r>
          </w:p>
        </w:tc>
        <w:tc>
          <w:tcPr>
            <w:tcW w:w="600" w:type="pct"/>
            <w:shd w:val="clear" w:color="auto" w:fill="2E5395"/>
            <w:tcMar>
              <w:top w:w="60" w:type="dxa"/>
              <w:left w:w="100" w:type="dxa"/>
              <w:bottom w:w="60" w:type="dxa"/>
              <w:right w:w="100" w:type="dxa"/>
            </w:tcMar>
            <w:vAlign w:val="center"/>
          </w:tcPr>
          <w:p w14:paraId="4F60147B"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المستوى</w:t>
            </w:r>
          </w:p>
        </w:tc>
      </w:tr>
      <w:tr w:rsidR="00E4583A" w14:paraId="223394A0" w14:textId="77777777">
        <w:trPr>
          <w:jc w:val="center"/>
        </w:trPr>
        <w:tc>
          <w:tcPr>
            <w:tcW w:w="2800" w:type="pct"/>
            <w:tcMar>
              <w:top w:w="60" w:type="dxa"/>
              <w:left w:w="100" w:type="dxa"/>
              <w:bottom w:w="60" w:type="dxa"/>
              <w:right w:w="100" w:type="dxa"/>
            </w:tcMar>
            <w:vAlign w:val="center"/>
          </w:tcPr>
          <w:p w14:paraId="493C0D03"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تستخدم مؤسستنا تقنية الترميز لحماية بيانات الدفع والمعاملات المالية الحساسة.</w:t>
            </w:r>
          </w:p>
        </w:tc>
        <w:tc>
          <w:tcPr>
            <w:tcW w:w="700" w:type="pct"/>
            <w:tcMar>
              <w:top w:w="60" w:type="dxa"/>
              <w:left w:w="100" w:type="dxa"/>
              <w:bottom w:w="60" w:type="dxa"/>
              <w:right w:w="100" w:type="dxa"/>
            </w:tcMar>
            <w:vAlign w:val="center"/>
          </w:tcPr>
          <w:p w14:paraId="1FCC100C"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3.612</w:t>
            </w:r>
          </w:p>
        </w:tc>
        <w:tc>
          <w:tcPr>
            <w:tcW w:w="900" w:type="pct"/>
            <w:tcMar>
              <w:top w:w="60" w:type="dxa"/>
              <w:left w:w="100" w:type="dxa"/>
              <w:bottom w:w="60" w:type="dxa"/>
              <w:right w:w="100" w:type="dxa"/>
            </w:tcMar>
            <w:vAlign w:val="center"/>
          </w:tcPr>
          <w:p w14:paraId="72905BAC"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1.237</w:t>
            </w:r>
          </w:p>
        </w:tc>
        <w:tc>
          <w:tcPr>
            <w:tcW w:w="600" w:type="pct"/>
            <w:tcMar>
              <w:top w:w="60" w:type="dxa"/>
              <w:left w:w="100" w:type="dxa"/>
              <w:bottom w:w="60" w:type="dxa"/>
              <w:right w:w="100" w:type="dxa"/>
            </w:tcMar>
            <w:vAlign w:val="center"/>
          </w:tcPr>
          <w:p w14:paraId="2719C1FB" w14:textId="77777777" w:rsidR="00E4583A" w:rsidRDefault="00000000">
            <w:pPr>
              <w:bidi/>
              <w:spacing w:after="0" w:line="260" w:lineRule="auto"/>
              <w:jc w:val="center"/>
              <w:rPr>
                <w:sz w:val="24"/>
                <w:szCs w:val="24"/>
              </w:rPr>
            </w:pPr>
            <w:commentRangeStart w:id="50"/>
            <w:r>
              <w:rPr>
                <w:rFonts w:ascii="Traditional Arabic" w:eastAsia="Simplified Arabic" w:hAnsi="Traditional Arabic" w:cs="Traditional Arabic"/>
                <w:color w:val="000000"/>
                <w:sz w:val="24"/>
                <w:szCs w:val="24"/>
                <w:rtl/>
              </w:rPr>
              <w:t>متوسطة</w:t>
            </w:r>
            <w:commentRangeEnd w:id="50"/>
            <w:r w:rsidR="00614C20">
              <w:rPr>
                <w:rStyle w:val="affa"/>
                <w:sz w:val="24"/>
                <w:szCs w:val="24"/>
              </w:rPr>
              <w:commentReference w:id="50"/>
            </w:r>
          </w:p>
        </w:tc>
      </w:tr>
      <w:tr w:rsidR="00E4583A" w14:paraId="4D167DCF" w14:textId="77777777">
        <w:trPr>
          <w:jc w:val="center"/>
        </w:trPr>
        <w:tc>
          <w:tcPr>
            <w:tcW w:w="2800" w:type="pct"/>
            <w:tcMar>
              <w:top w:w="60" w:type="dxa"/>
              <w:left w:w="100" w:type="dxa"/>
              <w:bottom w:w="60" w:type="dxa"/>
              <w:right w:w="100" w:type="dxa"/>
            </w:tcMar>
            <w:vAlign w:val="center"/>
          </w:tcPr>
          <w:p w14:paraId="2FD97AD1"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تطبق مؤسستنا ترميز البيانات في مرحلة التخزين (Tokenization at Rest).</w:t>
            </w:r>
          </w:p>
        </w:tc>
        <w:tc>
          <w:tcPr>
            <w:tcW w:w="700" w:type="pct"/>
            <w:tcMar>
              <w:top w:w="60" w:type="dxa"/>
              <w:left w:w="100" w:type="dxa"/>
              <w:bottom w:w="60" w:type="dxa"/>
              <w:right w:w="100" w:type="dxa"/>
            </w:tcMar>
            <w:vAlign w:val="center"/>
          </w:tcPr>
          <w:p w14:paraId="454982B6"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3.597</w:t>
            </w:r>
          </w:p>
        </w:tc>
        <w:tc>
          <w:tcPr>
            <w:tcW w:w="900" w:type="pct"/>
            <w:tcMar>
              <w:top w:w="60" w:type="dxa"/>
              <w:left w:w="100" w:type="dxa"/>
              <w:bottom w:w="60" w:type="dxa"/>
              <w:right w:w="100" w:type="dxa"/>
            </w:tcMar>
            <w:vAlign w:val="center"/>
          </w:tcPr>
          <w:p w14:paraId="30285157"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1.327</w:t>
            </w:r>
          </w:p>
        </w:tc>
        <w:tc>
          <w:tcPr>
            <w:tcW w:w="600" w:type="pct"/>
            <w:tcMar>
              <w:top w:w="60" w:type="dxa"/>
              <w:left w:w="100" w:type="dxa"/>
              <w:bottom w:w="60" w:type="dxa"/>
              <w:right w:w="100" w:type="dxa"/>
            </w:tcMar>
            <w:vAlign w:val="center"/>
          </w:tcPr>
          <w:p w14:paraId="15C54C8D"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متوسطة</w:t>
            </w:r>
          </w:p>
        </w:tc>
      </w:tr>
      <w:tr w:rsidR="00E4583A" w14:paraId="40777B59" w14:textId="77777777">
        <w:trPr>
          <w:jc w:val="center"/>
        </w:trPr>
        <w:tc>
          <w:tcPr>
            <w:tcW w:w="2800" w:type="pct"/>
            <w:tcMar>
              <w:top w:w="60" w:type="dxa"/>
              <w:left w:w="100" w:type="dxa"/>
              <w:bottom w:w="60" w:type="dxa"/>
              <w:right w:w="100" w:type="dxa"/>
            </w:tcMar>
            <w:vAlign w:val="center"/>
          </w:tcPr>
          <w:p w14:paraId="72E55E10"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تطبق مؤسستنا ترميز البيانات في مرحلة النقل (Tokenization in Transit).</w:t>
            </w:r>
          </w:p>
        </w:tc>
        <w:tc>
          <w:tcPr>
            <w:tcW w:w="700" w:type="pct"/>
            <w:tcMar>
              <w:top w:w="60" w:type="dxa"/>
              <w:left w:w="100" w:type="dxa"/>
              <w:bottom w:w="60" w:type="dxa"/>
              <w:right w:w="100" w:type="dxa"/>
            </w:tcMar>
            <w:vAlign w:val="center"/>
          </w:tcPr>
          <w:p w14:paraId="64569348"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3.628</w:t>
            </w:r>
          </w:p>
        </w:tc>
        <w:tc>
          <w:tcPr>
            <w:tcW w:w="900" w:type="pct"/>
            <w:tcMar>
              <w:top w:w="60" w:type="dxa"/>
              <w:left w:w="100" w:type="dxa"/>
              <w:bottom w:w="60" w:type="dxa"/>
              <w:right w:w="100" w:type="dxa"/>
            </w:tcMar>
            <w:vAlign w:val="center"/>
          </w:tcPr>
          <w:p w14:paraId="685D1A94"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1.260</w:t>
            </w:r>
          </w:p>
        </w:tc>
        <w:tc>
          <w:tcPr>
            <w:tcW w:w="600" w:type="pct"/>
            <w:tcMar>
              <w:top w:w="60" w:type="dxa"/>
              <w:left w:w="100" w:type="dxa"/>
              <w:bottom w:w="60" w:type="dxa"/>
              <w:right w:w="100" w:type="dxa"/>
            </w:tcMar>
            <w:vAlign w:val="center"/>
          </w:tcPr>
          <w:p w14:paraId="56D18F68"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متوسطة</w:t>
            </w:r>
          </w:p>
        </w:tc>
      </w:tr>
      <w:tr w:rsidR="00E4583A" w14:paraId="73390511" w14:textId="77777777">
        <w:trPr>
          <w:jc w:val="center"/>
        </w:trPr>
        <w:tc>
          <w:tcPr>
            <w:tcW w:w="2800" w:type="pct"/>
            <w:tcMar>
              <w:top w:w="60" w:type="dxa"/>
              <w:left w:w="100" w:type="dxa"/>
              <w:bottom w:w="60" w:type="dxa"/>
              <w:right w:w="100" w:type="dxa"/>
            </w:tcMar>
            <w:vAlign w:val="center"/>
          </w:tcPr>
          <w:p w14:paraId="42C3D4C2"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تغطي تقنية الترميز أنواعاً متعددة من البيانات الحساسة (بطاقات الدفع، الهوية، الحسابات).</w:t>
            </w:r>
          </w:p>
        </w:tc>
        <w:tc>
          <w:tcPr>
            <w:tcW w:w="700" w:type="pct"/>
            <w:tcMar>
              <w:top w:w="60" w:type="dxa"/>
              <w:left w:w="100" w:type="dxa"/>
              <w:bottom w:w="60" w:type="dxa"/>
              <w:right w:w="100" w:type="dxa"/>
            </w:tcMar>
            <w:vAlign w:val="center"/>
          </w:tcPr>
          <w:p w14:paraId="6DC5DEA1"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3.668</w:t>
            </w:r>
          </w:p>
        </w:tc>
        <w:tc>
          <w:tcPr>
            <w:tcW w:w="900" w:type="pct"/>
            <w:tcMar>
              <w:top w:w="60" w:type="dxa"/>
              <w:left w:w="100" w:type="dxa"/>
              <w:bottom w:w="60" w:type="dxa"/>
              <w:right w:w="100" w:type="dxa"/>
            </w:tcMar>
            <w:vAlign w:val="center"/>
          </w:tcPr>
          <w:p w14:paraId="5AFAC39E"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1.235</w:t>
            </w:r>
          </w:p>
        </w:tc>
        <w:tc>
          <w:tcPr>
            <w:tcW w:w="600" w:type="pct"/>
            <w:tcMar>
              <w:top w:w="60" w:type="dxa"/>
              <w:left w:w="100" w:type="dxa"/>
              <w:bottom w:w="60" w:type="dxa"/>
              <w:right w:w="100" w:type="dxa"/>
            </w:tcMar>
            <w:vAlign w:val="center"/>
          </w:tcPr>
          <w:p w14:paraId="612F6B6C"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متوسطة</w:t>
            </w:r>
          </w:p>
        </w:tc>
      </w:tr>
      <w:tr w:rsidR="00E4583A" w14:paraId="478CA17B" w14:textId="77777777">
        <w:trPr>
          <w:jc w:val="center"/>
        </w:trPr>
        <w:tc>
          <w:tcPr>
            <w:tcW w:w="2800" w:type="pct"/>
            <w:tcMar>
              <w:top w:w="60" w:type="dxa"/>
              <w:left w:w="100" w:type="dxa"/>
              <w:bottom w:w="60" w:type="dxa"/>
              <w:right w:w="100" w:type="dxa"/>
            </w:tcMar>
            <w:vAlign w:val="center"/>
          </w:tcPr>
          <w:p w14:paraId="6D846086"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تطبق آلية الترميز على جميع قنوات الدفع الإلكتروني في مؤسستنا.</w:t>
            </w:r>
          </w:p>
        </w:tc>
        <w:tc>
          <w:tcPr>
            <w:tcW w:w="700" w:type="pct"/>
            <w:tcMar>
              <w:top w:w="60" w:type="dxa"/>
              <w:left w:w="100" w:type="dxa"/>
              <w:bottom w:w="60" w:type="dxa"/>
              <w:right w:w="100" w:type="dxa"/>
            </w:tcMar>
            <w:vAlign w:val="center"/>
          </w:tcPr>
          <w:p w14:paraId="0A77DE8F"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3.673</w:t>
            </w:r>
          </w:p>
        </w:tc>
        <w:tc>
          <w:tcPr>
            <w:tcW w:w="900" w:type="pct"/>
            <w:tcMar>
              <w:top w:w="60" w:type="dxa"/>
              <w:left w:w="100" w:type="dxa"/>
              <w:bottom w:w="60" w:type="dxa"/>
              <w:right w:w="100" w:type="dxa"/>
            </w:tcMar>
            <w:vAlign w:val="center"/>
          </w:tcPr>
          <w:p w14:paraId="33A1BA63"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1.230</w:t>
            </w:r>
          </w:p>
        </w:tc>
        <w:tc>
          <w:tcPr>
            <w:tcW w:w="600" w:type="pct"/>
            <w:tcMar>
              <w:top w:w="60" w:type="dxa"/>
              <w:left w:w="100" w:type="dxa"/>
              <w:bottom w:w="60" w:type="dxa"/>
              <w:right w:w="100" w:type="dxa"/>
            </w:tcMar>
            <w:vAlign w:val="center"/>
          </w:tcPr>
          <w:p w14:paraId="5E7848C5"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متوسطة</w:t>
            </w:r>
          </w:p>
        </w:tc>
      </w:tr>
      <w:tr w:rsidR="00E4583A" w14:paraId="17DF0D9F" w14:textId="77777777">
        <w:trPr>
          <w:jc w:val="center"/>
        </w:trPr>
        <w:tc>
          <w:tcPr>
            <w:tcW w:w="2800" w:type="pct"/>
            <w:tcMar>
              <w:top w:w="60" w:type="dxa"/>
              <w:left w:w="100" w:type="dxa"/>
              <w:bottom w:w="60" w:type="dxa"/>
              <w:right w:w="100" w:type="dxa"/>
            </w:tcMar>
            <w:vAlign w:val="center"/>
          </w:tcPr>
          <w:p w14:paraId="791BC572"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تحدث منظومة الترميز بصفة منتظمة لمواكبة التطورات التقنية والتهديدات المستحدثة.</w:t>
            </w:r>
          </w:p>
        </w:tc>
        <w:tc>
          <w:tcPr>
            <w:tcW w:w="700" w:type="pct"/>
            <w:tcMar>
              <w:top w:w="60" w:type="dxa"/>
              <w:left w:w="100" w:type="dxa"/>
              <w:bottom w:w="60" w:type="dxa"/>
              <w:right w:w="100" w:type="dxa"/>
            </w:tcMar>
            <w:vAlign w:val="center"/>
          </w:tcPr>
          <w:p w14:paraId="3972977B"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3.730</w:t>
            </w:r>
          </w:p>
        </w:tc>
        <w:tc>
          <w:tcPr>
            <w:tcW w:w="900" w:type="pct"/>
            <w:tcMar>
              <w:top w:w="60" w:type="dxa"/>
              <w:left w:w="100" w:type="dxa"/>
              <w:bottom w:w="60" w:type="dxa"/>
              <w:right w:w="100" w:type="dxa"/>
            </w:tcMar>
            <w:vAlign w:val="center"/>
          </w:tcPr>
          <w:p w14:paraId="7C2A2744"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1.310</w:t>
            </w:r>
          </w:p>
        </w:tc>
        <w:tc>
          <w:tcPr>
            <w:tcW w:w="600" w:type="pct"/>
            <w:tcMar>
              <w:top w:w="60" w:type="dxa"/>
              <w:left w:w="100" w:type="dxa"/>
              <w:bottom w:w="60" w:type="dxa"/>
              <w:right w:w="100" w:type="dxa"/>
            </w:tcMar>
            <w:vAlign w:val="center"/>
          </w:tcPr>
          <w:p w14:paraId="783156E2"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مرتفعة</w:t>
            </w:r>
          </w:p>
        </w:tc>
      </w:tr>
      <w:tr w:rsidR="00E4583A" w14:paraId="730C25FF" w14:textId="77777777">
        <w:trPr>
          <w:jc w:val="center"/>
        </w:trPr>
        <w:tc>
          <w:tcPr>
            <w:tcW w:w="2800" w:type="pct"/>
            <w:tcMar>
              <w:top w:w="60" w:type="dxa"/>
              <w:left w:w="100" w:type="dxa"/>
              <w:bottom w:w="60" w:type="dxa"/>
              <w:right w:w="100" w:type="dxa"/>
            </w:tcMar>
            <w:vAlign w:val="center"/>
          </w:tcPr>
          <w:p w14:paraId="631A476E"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المتوسط العام للبُعد</w:t>
            </w:r>
          </w:p>
        </w:tc>
        <w:tc>
          <w:tcPr>
            <w:tcW w:w="700" w:type="pct"/>
            <w:tcMar>
              <w:top w:w="60" w:type="dxa"/>
              <w:left w:w="100" w:type="dxa"/>
              <w:bottom w:w="60" w:type="dxa"/>
              <w:right w:w="100" w:type="dxa"/>
            </w:tcMar>
            <w:vAlign w:val="center"/>
          </w:tcPr>
          <w:p w14:paraId="0233296C"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3.651</w:t>
            </w:r>
          </w:p>
        </w:tc>
        <w:tc>
          <w:tcPr>
            <w:tcW w:w="900" w:type="pct"/>
            <w:tcMar>
              <w:top w:w="60" w:type="dxa"/>
              <w:left w:w="100" w:type="dxa"/>
              <w:bottom w:w="60" w:type="dxa"/>
              <w:right w:w="100" w:type="dxa"/>
            </w:tcMar>
            <w:vAlign w:val="center"/>
          </w:tcPr>
          <w:p w14:paraId="7FC8BB45"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0.970</w:t>
            </w:r>
          </w:p>
        </w:tc>
        <w:tc>
          <w:tcPr>
            <w:tcW w:w="600" w:type="pct"/>
            <w:tcMar>
              <w:top w:w="60" w:type="dxa"/>
              <w:left w:w="100" w:type="dxa"/>
              <w:bottom w:w="60" w:type="dxa"/>
              <w:right w:w="100" w:type="dxa"/>
            </w:tcMar>
            <w:vAlign w:val="center"/>
          </w:tcPr>
          <w:p w14:paraId="52C53842"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متوسطة</w:t>
            </w:r>
          </w:p>
        </w:tc>
      </w:tr>
    </w:tbl>
    <w:p w14:paraId="341AA8AA" w14:textId="77777777" w:rsidR="00E4583A" w:rsidRDefault="00000000">
      <w:pPr>
        <w:bidi/>
        <w:spacing w:after="0" w:line="360" w:lineRule="auto"/>
        <w:jc w:val="center"/>
      </w:pPr>
      <w:r>
        <w:rPr>
          <w:rFonts w:ascii="Traditional Arabic" w:eastAsia="Simplified Arabic" w:hAnsi="Traditional Arabic" w:cs="Traditional Arabic"/>
          <w:b/>
          <w:bCs/>
          <w:sz w:val="24"/>
          <w:szCs w:val="24"/>
          <w:rtl/>
        </w:rPr>
        <w:t>جدول (4.7): الإحصاء الوصفي لعبارات بُعد تطبيق تقنية الترميز الأمني للبيانات</w:t>
      </w:r>
    </w:p>
    <w:p w14:paraId="7DC55380" w14:textId="77777777" w:rsidR="00E4583A" w:rsidRDefault="00000000">
      <w:pPr>
        <w:bidi/>
        <w:spacing w:after="0" w:line="360" w:lineRule="auto"/>
        <w:jc w:val="both"/>
      </w:pPr>
      <w:commentRangeStart w:id="51"/>
      <w:commentRangeStart w:id="52"/>
      <w:r>
        <w:rPr>
          <w:rFonts w:ascii="Traditional Arabic" w:eastAsia="Simplified Arabic" w:hAnsi="Traditional Arabic" w:cs="Traditional Arabic"/>
          <w:sz w:val="28"/>
          <w:szCs w:val="28"/>
          <w:rtl/>
        </w:rPr>
        <w:t>يتضح من الجدول أن المتوسط العام لبُعد تطبيق تقنية الترميز الأمني للبيانات بلغ (3.651) بانحراف معياري (0.970)، وهو ما يعكس مستوى استجابة (متوسطة) لدى أفراد العينة تجاه عبارات هذا البُعد.</w:t>
      </w:r>
      <w:commentRangeEnd w:id="52"/>
      <w:r w:rsidR="00614C20">
        <w:rPr>
          <w:rStyle w:val="affa"/>
          <w:sz w:val="22"/>
          <w:szCs w:val="22"/>
        </w:rPr>
        <w:commentReference w:id="52"/>
      </w:r>
      <w:commentRangeEnd w:id="51"/>
      <w:r w:rsidR="00614C20">
        <w:rPr>
          <w:rStyle w:val="affa"/>
          <w:sz w:val="22"/>
          <w:szCs w:val="22"/>
        </w:rPr>
        <w:commentReference w:id="51"/>
      </w:r>
    </w:p>
    <w:p w14:paraId="16215C39" w14:textId="77777777" w:rsidR="00E4583A" w:rsidRDefault="00E4583A">
      <w:pPr>
        <w:bidi/>
        <w:spacing w:after="0" w:line="240" w:lineRule="auto"/>
      </w:pPr>
    </w:p>
    <w:p w14:paraId="18DBC0F7" w14:textId="77777777" w:rsidR="00E4583A" w:rsidRDefault="00000000">
      <w:pPr>
        <w:bidi/>
        <w:spacing w:after="0" w:line="360" w:lineRule="auto"/>
        <w:jc w:val="both"/>
      </w:pPr>
      <w:r>
        <w:rPr>
          <w:rFonts w:ascii="Traditional Arabic" w:eastAsia="Simplified Arabic" w:hAnsi="Traditional Arabic" w:cs="Traditional Arabic"/>
          <w:b/>
          <w:bCs/>
          <w:sz w:val="28"/>
          <w:szCs w:val="28"/>
          <w:rtl/>
        </w:rPr>
        <w:t>البُعد الثاني: الامتثال للمعايير الدولية</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4646"/>
        <w:gridCol w:w="1161"/>
        <w:gridCol w:w="1493"/>
        <w:gridCol w:w="996"/>
      </w:tblGrid>
      <w:tr w:rsidR="00E4583A" w14:paraId="46147A13" w14:textId="77777777">
        <w:trPr>
          <w:tblHeader/>
          <w:jc w:val="center"/>
        </w:trPr>
        <w:tc>
          <w:tcPr>
            <w:tcW w:w="2800" w:type="pct"/>
            <w:shd w:val="clear" w:color="auto" w:fill="2E5395"/>
            <w:tcMar>
              <w:top w:w="60" w:type="dxa"/>
              <w:left w:w="100" w:type="dxa"/>
              <w:bottom w:w="60" w:type="dxa"/>
              <w:right w:w="100" w:type="dxa"/>
            </w:tcMar>
            <w:vAlign w:val="center"/>
          </w:tcPr>
          <w:p w14:paraId="4186776E"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العبارة</w:t>
            </w:r>
          </w:p>
        </w:tc>
        <w:tc>
          <w:tcPr>
            <w:tcW w:w="700" w:type="pct"/>
            <w:shd w:val="clear" w:color="auto" w:fill="2E5395"/>
            <w:tcMar>
              <w:top w:w="60" w:type="dxa"/>
              <w:left w:w="100" w:type="dxa"/>
              <w:bottom w:w="60" w:type="dxa"/>
              <w:right w:w="100" w:type="dxa"/>
            </w:tcMar>
            <w:vAlign w:val="center"/>
          </w:tcPr>
          <w:p w14:paraId="5EA09D89"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المتوسط</w:t>
            </w:r>
          </w:p>
        </w:tc>
        <w:tc>
          <w:tcPr>
            <w:tcW w:w="900" w:type="pct"/>
            <w:shd w:val="clear" w:color="auto" w:fill="2E5395"/>
            <w:tcMar>
              <w:top w:w="60" w:type="dxa"/>
              <w:left w:w="100" w:type="dxa"/>
              <w:bottom w:w="60" w:type="dxa"/>
              <w:right w:w="100" w:type="dxa"/>
            </w:tcMar>
            <w:vAlign w:val="center"/>
          </w:tcPr>
          <w:p w14:paraId="52C88429"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الانحراف المعياري</w:t>
            </w:r>
          </w:p>
        </w:tc>
        <w:tc>
          <w:tcPr>
            <w:tcW w:w="600" w:type="pct"/>
            <w:shd w:val="clear" w:color="auto" w:fill="2E5395"/>
            <w:tcMar>
              <w:top w:w="60" w:type="dxa"/>
              <w:left w:w="100" w:type="dxa"/>
              <w:bottom w:w="60" w:type="dxa"/>
              <w:right w:w="100" w:type="dxa"/>
            </w:tcMar>
            <w:vAlign w:val="center"/>
          </w:tcPr>
          <w:p w14:paraId="7182E83E"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المستوى</w:t>
            </w:r>
          </w:p>
        </w:tc>
      </w:tr>
      <w:tr w:rsidR="00E4583A" w14:paraId="506CF597" w14:textId="77777777">
        <w:trPr>
          <w:jc w:val="center"/>
        </w:trPr>
        <w:tc>
          <w:tcPr>
            <w:tcW w:w="2800" w:type="pct"/>
            <w:tcMar>
              <w:top w:w="60" w:type="dxa"/>
              <w:left w:w="100" w:type="dxa"/>
              <w:bottom w:w="60" w:type="dxa"/>
              <w:right w:w="100" w:type="dxa"/>
            </w:tcMar>
            <w:vAlign w:val="center"/>
          </w:tcPr>
          <w:p w14:paraId="1A9C05F1"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تلتزم مؤسستنا بمتطلبات معيار PCI DSS في جميع عملياتها.</w:t>
            </w:r>
          </w:p>
        </w:tc>
        <w:tc>
          <w:tcPr>
            <w:tcW w:w="700" w:type="pct"/>
            <w:tcMar>
              <w:top w:w="60" w:type="dxa"/>
              <w:left w:w="100" w:type="dxa"/>
              <w:bottom w:w="60" w:type="dxa"/>
              <w:right w:w="100" w:type="dxa"/>
            </w:tcMar>
            <w:vAlign w:val="center"/>
          </w:tcPr>
          <w:p w14:paraId="6E9CBCA0"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3.643</w:t>
            </w:r>
          </w:p>
        </w:tc>
        <w:tc>
          <w:tcPr>
            <w:tcW w:w="900" w:type="pct"/>
            <w:tcMar>
              <w:top w:w="60" w:type="dxa"/>
              <w:left w:w="100" w:type="dxa"/>
              <w:bottom w:w="60" w:type="dxa"/>
              <w:right w:w="100" w:type="dxa"/>
            </w:tcMar>
            <w:vAlign w:val="center"/>
          </w:tcPr>
          <w:p w14:paraId="0DFD2A4F"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1.234</w:t>
            </w:r>
          </w:p>
        </w:tc>
        <w:tc>
          <w:tcPr>
            <w:tcW w:w="600" w:type="pct"/>
            <w:tcMar>
              <w:top w:w="60" w:type="dxa"/>
              <w:left w:w="100" w:type="dxa"/>
              <w:bottom w:w="60" w:type="dxa"/>
              <w:right w:w="100" w:type="dxa"/>
            </w:tcMar>
            <w:vAlign w:val="center"/>
          </w:tcPr>
          <w:p w14:paraId="444CC6A1"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متوسطة</w:t>
            </w:r>
          </w:p>
        </w:tc>
      </w:tr>
      <w:tr w:rsidR="00E4583A" w14:paraId="7525D0FD" w14:textId="77777777">
        <w:trPr>
          <w:jc w:val="center"/>
        </w:trPr>
        <w:tc>
          <w:tcPr>
            <w:tcW w:w="2800" w:type="pct"/>
            <w:tcMar>
              <w:top w:w="60" w:type="dxa"/>
              <w:left w:w="100" w:type="dxa"/>
              <w:bottom w:w="60" w:type="dxa"/>
              <w:right w:w="100" w:type="dxa"/>
            </w:tcMar>
            <w:vAlign w:val="center"/>
          </w:tcPr>
          <w:p w14:paraId="7F16794B"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lastRenderedPageBreak/>
              <w:t>تلتزم مؤسستنا بمتطلبات معيار ISO 27001 لإدارة أمن المعلومات.</w:t>
            </w:r>
          </w:p>
        </w:tc>
        <w:tc>
          <w:tcPr>
            <w:tcW w:w="700" w:type="pct"/>
            <w:tcMar>
              <w:top w:w="60" w:type="dxa"/>
              <w:left w:w="100" w:type="dxa"/>
              <w:bottom w:w="60" w:type="dxa"/>
              <w:right w:w="100" w:type="dxa"/>
            </w:tcMar>
            <w:vAlign w:val="center"/>
          </w:tcPr>
          <w:p w14:paraId="1C38317A"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3.781</w:t>
            </w:r>
          </w:p>
        </w:tc>
        <w:tc>
          <w:tcPr>
            <w:tcW w:w="900" w:type="pct"/>
            <w:tcMar>
              <w:top w:w="60" w:type="dxa"/>
              <w:left w:w="100" w:type="dxa"/>
              <w:bottom w:w="60" w:type="dxa"/>
              <w:right w:w="100" w:type="dxa"/>
            </w:tcMar>
            <w:vAlign w:val="center"/>
          </w:tcPr>
          <w:p w14:paraId="32CED948"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1.180</w:t>
            </w:r>
          </w:p>
        </w:tc>
        <w:tc>
          <w:tcPr>
            <w:tcW w:w="600" w:type="pct"/>
            <w:tcMar>
              <w:top w:w="60" w:type="dxa"/>
              <w:left w:w="100" w:type="dxa"/>
              <w:bottom w:w="60" w:type="dxa"/>
              <w:right w:w="100" w:type="dxa"/>
            </w:tcMar>
            <w:vAlign w:val="center"/>
          </w:tcPr>
          <w:p w14:paraId="44726F54"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مرتفعة</w:t>
            </w:r>
          </w:p>
        </w:tc>
      </w:tr>
      <w:tr w:rsidR="00E4583A" w14:paraId="68563539" w14:textId="77777777">
        <w:trPr>
          <w:jc w:val="center"/>
        </w:trPr>
        <w:tc>
          <w:tcPr>
            <w:tcW w:w="2800" w:type="pct"/>
            <w:tcMar>
              <w:top w:w="60" w:type="dxa"/>
              <w:left w:w="100" w:type="dxa"/>
              <w:bottom w:w="60" w:type="dxa"/>
              <w:right w:w="100" w:type="dxa"/>
            </w:tcMar>
            <w:vAlign w:val="center"/>
          </w:tcPr>
          <w:p w14:paraId="46CF7431"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تلتزم مؤسستنا بالأطر التنظيمية الصادرة عن البنك المركزي السعودي (ساما) لحماية البيانات.</w:t>
            </w:r>
          </w:p>
        </w:tc>
        <w:tc>
          <w:tcPr>
            <w:tcW w:w="700" w:type="pct"/>
            <w:tcMar>
              <w:top w:w="60" w:type="dxa"/>
              <w:left w:w="100" w:type="dxa"/>
              <w:bottom w:w="60" w:type="dxa"/>
              <w:right w:w="100" w:type="dxa"/>
            </w:tcMar>
            <w:vAlign w:val="center"/>
          </w:tcPr>
          <w:p w14:paraId="1FA9666D"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3.694</w:t>
            </w:r>
          </w:p>
        </w:tc>
        <w:tc>
          <w:tcPr>
            <w:tcW w:w="900" w:type="pct"/>
            <w:tcMar>
              <w:top w:w="60" w:type="dxa"/>
              <w:left w:w="100" w:type="dxa"/>
              <w:bottom w:w="60" w:type="dxa"/>
              <w:right w:w="100" w:type="dxa"/>
            </w:tcMar>
            <w:vAlign w:val="center"/>
          </w:tcPr>
          <w:p w14:paraId="40CB2948"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1.244</w:t>
            </w:r>
          </w:p>
        </w:tc>
        <w:tc>
          <w:tcPr>
            <w:tcW w:w="600" w:type="pct"/>
            <w:tcMar>
              <w:top w:w="60" w:type="dxa"/>
              <w:left w:w="100" w:type="dxa"/>
              <w:bottom w:w="60" w:type="dxa"/>
              <w:right w:w="100" w:type="dxa"/>
            </w:tcMar>
            <w:vAlign w:val="center"/>
          </w:tcPr>
          <w:p w14:paraId="4CFB8626"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مرتفعة</w:t>
            </w:r>
          </w:p>
        </w:tc>
      </w:tr>
      <w:tr w:rsidR="00E4583A" w14:paraId="2B191348" w14:textId="77777777">
        <w:trPr>
          <w:jc w:val="center"/>
        </w:trPr>
        <w:tc>
          <w:tcPr>
            <w:tcW w:w="2800" w:type="pct"/>
            <w:tcMar>
              <w:top w:w="60" w:type="dxa"/>
              <w:left w:w="100" w:type="dxa"/>
              <w:bottom w:w="60" w:type="dxa"/>
              <w:right w:w="100" w:type="dxa"/>
            </w:tcMar>
            <w:vAlign w:val="center"/>
          </w:tcPr>
          <w:p w14:paraId="4E44A83E"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تحصل مؤسستنا على الموافقات التنظيمية اللازمة لإطلاق خدماتها المالية الجديدة دون تأخير.</w:t>
            </w:r>
          </w:p>
        </w:tc>
        <w:tc>
          <w:tcPr>
            <w:tcW w:w="700" w:type="pct"/>
            <w:tcMar>
              <w:top w:w="60" w:type="dxa"/>
              <w:left w:w="100" w:type="dxa"/>
              <w:bottom w:w="60" w:type="dxa"/>
              <w:right w:w="100" w:type="dxa"/>
            </w:tcMar>
            <w:vAlign w:val="center"/>
          </w:tcPr>
          <w:p w14:paraId="3AF738E0"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3.704</w:t>
            </w:r>
          </w:p>
        </w:tc>
        <w:tc>
          <w:tcPr>
            <w:tcW w:w="900" w:type="pct"/>
            <w:tcMar>
              <w:top w:w="60" w:type="dxa"/>
              <w:left w:w="100" w:type="dxa"/>
              <w:bottom w:w="60" w:type="dxa"/>
              <w:right w:w="100" w:type="dxa"/>
            </w:tcMar>
            <w:vAlign w:val="center"/>
          </w:tcPr>
          <w:p w14:paraId="394DC7DC"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1.200</w:t>
            </w:r>
          </w:p>
        </w:tc>
        <w:tc>
          <w:tcPr>
            <w:tcW w:w="600" w:type="pct"/>
            <w:tcMar>
              <w:top w:w="60" w:type="dxa"/>
              <w:left w:w="100" w:type="dxa"/>
              <w:bottom w:w="60" w:type="dxa"/>
              <w:right w:w="100" w:type="dxa"/>
            </w:tcMar>
            <w:vAlign w:val="center"/>
          </w:tcPr>
          <w:p w14:paraId="77F91EA2"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مرتفعة</w:t>
            </w:r>
          </w:p>
        </w:tc>
      </w:tr>
      <w:tr w:rsidR="00E4583A" w14:paraId="080B962D" w14:textId="77777777">
        <w:trPr>
          <w:jc w:val="center"/>
        </w:trPr>
        <w:tc>
          <w:tcPr>
            <w:tcW w:w="2800" w:type="pct"/>
            <w:tcMar>
              <w:top w:w="60" w:type="dxa"/>
              <w:left w:w="100" w:type="dxa"/>
              <w:bottom w:w="60" w:type="dxa"/>
              <w:right w:w="100" w:type="dxa"/>
            </w:tcMar>
            <w:vAlign w:val="center"/>
          </w:tcPr>
          <w:p w14:paraId="7C057051"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تجتاز مؤسستنا عمليات التدقيق الرقابي دون ملاحظات جوهرية متعلقة بالامتثال.</w:t>
            </w:r>
          </w:p>
        </w:tc>
        <w:tc>
          <w:tcPr>
            <w:tcW w:w="700" w:type="pct"/>
            <w:tcMar>
              <w:top w:w="60" w:type="dxa"/>
              <w:left w:w="100" w:type="dxa"/>
              <w:bottom w:w="60" w:type="dxa"/>
              <w:right w:w="100" w:type="dxa"/>
            </w:tcMar>
            <w:vAlign w:val="center"/>
          </w:tcPr>
          <w:p w14:paraId="77B2D858"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3.633</w:t>
            </w:r>
          </w:p>
        </w:tc>
        <w:tc>
          <w:tcPr>
            <w:tcW w:w="900" w:type="pct"/>
            <w:tcMar>
              <w:top w:w="60" w:type="dxa"/>
              <w:left w:w="100" w:type="dxa"/>
              <w:bottom w:w="60" w:type="dxa"/>
              <w:right w:w="100" w:type="dxa"/>
            </w:tcMar>
            <w:vAlign w:val="center"/>
          </w:tcPr>
          <w:p w14:paraId="2322B12A"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1.308</w:t>
            </w:r>
          </w:p>
        </w:tc>
        <w:tc>
          <w:tcPr>
            <w:tcW w:w="600" w:type="pct"/>
            <w:tcMar>
              <w:top w:w="60" w:type="dxa"/>
              <w:left w:w="100" w:type="dxa"/>
              <w:bottom w:w="60" w:type="dxa"/>
              <w:right w:w="100" w:type="dxa"/>
            </w:tcMar>
            <w:vAlign w:val="center"/>
          </w:tcPr>
          <w:p w14:paraId="04F36237"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متوسطة</w:t>
            </w:r>
          </w:p>
        </w:tc>
      </w:tr>
      <w:tr w:rsidR="00E4583A" w14:paraId="3A1B5BF1" w14:textId="77777777">
        <w:trPr>
          <w:jc w:val="center"/>
        </w:trPr>
        <w:tc>
          <w:tcPr>
            <w:tcW w:w="2800" w:type="pct"/>
            <w:tcMar>
              <w:top w:w="60" w:type="dxa"/>
              <w:left w:w="100" w:type="dxa"/>
              <w:bottom w:w="60" w:type="dxa"/>
              <w:right w:w="100" w:type="dxa"/>
            </w:tcMar>
            <w:vAlign w:val="center"/>
          </w:tcPr>
          <w:p w14:paraId="3F8CE6AF"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تحدث مؤسستنا سياساتها الداخلية بانتظام لمواكبة أي تغيير في المعايير الدولية.</w:t>
            </w:r>
          </w:p>
        </w:tc>
        <w:tc>
          <w:tcPr>
            <w:tcW w:w="700" w:type="pct"/>
            <w:tcMar>
              <w:top w:w="60" w:type="dxa"/>
              <w:left w:w="100" w:type="dxa"/>
              <w:bottom w:w="60" w:type="dxa"/>
              <w:right w:w="100" w:type="dxa"/>
            </w:tcMar>
            <w:vAlign w:val="center"/>
          </w:tcPr>
          <w:p w14:paraId="1B7A931B"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3.709</w:t>
            </w:r>
          </w:p>
        </w:tc>
        <w:tc>
          <w:tcPr>
            <w:tcW w:w="900" w:type="pct"/>
            <w:tcMar>
              <w:top w:w="60" w:type="dxa"/>
              <w:left w:w="100" w:type="dxa"/>
              <w:bottom w:w="60" w:type="dxa"/>
              <w:right w:w="100" w:type="dxa"/>
            </w:tcMar>
            <w:vAlign w:val="center"/>
          </w:tcPr>
          <w:p w14:paraId="486A29E1"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1.195</w:t>
            </w:r>
          </w:p>
        </w:tc>
        <w:tc>
          <w:tcPr>
            <w:tcW w:w="600" w:type="pct"/>
            <w:tcMar>
              <w:top w:w="60" w:type="dxa"/>
              <w:left w:w="100" w:type="dxa"/>
              <w:bottom w:w="60" w:type="dxa"/>
              <w:right w:w="100" w:type="dxa"/>
            </w:tcMar>
            <w:vAlign w:val="center"/>
          </w:tcPr>
          <w:p w14:paraId="2BD589FC"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مرتفعة</w:t>
            </w:r>
          </w:p>
        </w:tc>
      </w:tr>
      <w:tr w:rsidR="00E4583A" w14:paraId="74EC0484" w14:textId="77777777">
        <w:trPr>
          <w:jc w:val="center"/>
        </w:trPr>
        <w:tc>
          <w:tcPr>
            <w:tcW w:w="2800" w:type="pct"/>
            <w:tcMar>
              <w:top w:w="60" w:type="dxa"/>
              <w:left w:w="100" w:type="dxa"/>
              <w:bottom w:w="60" w:type="dxa"/>
              <w:right w:w="100" w:type="dxa"/>
            </w:tcMar>
            <w:vAlign w:val="center"/>
          </w:tcPr>
          <w:p w14:paraId="46A30CC2"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المتوسط العام للبُعد</w:t>
            </w:r>
          </w:p>
        </w:tc>
        <w:tc>
          <w:tcPr>
            <w:tcW w:w="700" w:type="pct"/>
            <w:tcMar>
              <w:top w:w="60" w:type="dxa"/>
              <w:left w:w="100" w:type="dxa"/>
              <w:bottom w:w="60" w:type="dxa"/>
              <w:right w:w="100" w:type="dxa"/>
            </w:tcMar>
            <w:vAlign w:val="center"/>
          </w:tcPr>
          <w:p w14:paraId="782D5101"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3.694</w:t>
            </w:r>
          </w:p>
        </w:tc>
        <w:tc>
          <w:tcPr>
            <w:tcW w:w="900" w:type="pct"/>
            <w:tcMar>
              <w:top w:w="60" w:type="dxa"/>
              <w:left w:w="100" w:type="dxa"/>
              <w:bottom w:w="60" w:type="dxa"/>
              <w:right w:w="100" w:type="dxa"/>
            </w:tcMar>
            <w:vAlign w:val="center"/>
          </w:tcPr>
          <w:p w14:paraId="7D898E18"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0.954</w:t>
            </w:r>
          </w:p>
        </w:tc>
        <w:tc>
          <w:tcPr>
            <w:tcW w:w="600" w:type="pct"/>
            <w:tcMar>
              <w:top w:w="60" w:type="dxa"/>
              <w:left w:w="100" w:type="dxa"/>
              <w:bottom w:w="60" w:type="dxa"/>
              <w:right w:w="100" w:type="dxa"/>
            </w:tcMar>
            <w:vAlign w:val="center"/>
          </w:tcPr>
          <w:p w14:paraId="211D1CF1"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مرتفعة</w:t>
            </w:r>
          </w:p>
        </w:tc>
      </w:tr>
    </w:tbl>
    <w:p w14:paraId="1D763A49" w14:textId="77777777" w:rsidR="00E4583A" w:rsidRDefault="00000000">
      <w:pPr>
        <w:bidi/>
        <w:spacing w:after="0" w:line="360" w:lineRule="auto"/>
        <w:jc w:val="center"/>
      </w:pPr>
      <w:r>
        <w:rPr>
          <w:rFonts w:ascii="Traditional Arabic" w:eastAsia="Simplified Arabic" w:hAnsi="Traditional Arabic" w:cs="Traditional Arabic"/>
          <w:b/>
          <w:bCs/>
          <w:sz w:val="24"/>
          <w:szCs w:val="24"/>
          <w:rtl/>
        </w:rPr>
        <w:t>جدول (4.8): الإحصاء الوصفي لعبارات بُعد الامتثال للمعايير الدولية</w:t>
      </w:r>
    </w:p>
    <w:p w14:paraId="5BA6BF96" w14:textId="77777777" w:rsidR="00E4583A" w:rsidRDefault="00000000">
      <w:pPr>
        <w:bidi/>
        <w:spacing w:after="0" w:line="360" w:lineRule="auto"/>
        <w:jc w:val="both"/>
      </w:pPr>
      <w:r>
        <w:rPr>
          <w:rFonts w:ascii="Traditional Arabic" w:eastAsia="Simplified Arabic" w:hAnsi="Traditional Arabic" w:cs="Traditional Arabic"/>
          <w:sz w:val="28"/>
          <w:szCs w:val="28"/>
          <w:rtl/>
        </w:rPr>
        <w:t>يتضح من الجدول أن المتوسط العام لبُعد الامتثال للمعايير الدولية بلغ (3.694) بانحراف معياري (0.954)، وهو ما يعكس مستوى استجابة (مرتفعة) لدى أفراد العينة تجاه عبارات هذا البُعد.</w:t>
      </w:r>
    </w:p>
    <w:p w14:paraId="2710B8C2" w14:textId="77777777" w:rsidR="00E4583A" w:rsidRDefault="00E4583A">
      <w:pPr>
        <w:bidi/>
        <w:spacing w:after="0" w:line="240" w:lineRule="auto"/>
      </w:pPr>
    </w:p>
    <w:p w14:paraId="478CA718" w14:textId="77777777" w:rsidR="00E4583A" w:rsidRDefault="00000000">
      <w:pPr>
        <w:bidi/>
        <w:spacing w:after="0" w:line="360" w:lineRule="auto"/>
        <w:jc w:val="both"/>
      </w:pPr>
      <w:r>
        <w:rPr>
          <w:rFonts w:ascii="Traditional Arabic" w:eastAsia="Simplified Arabic" w:hAnsi="Traditional Arabic" w:cs="Traditional Arabic"/>
          <w:b/>
          <w:bCs/>
          <w:sz w:val="28"/>
          <w:szCs w:val="28"/>
          <w:rtl/>
        </w:rPr>
        <w:t>البُعد الثالث: الأمن السيبراني المؤسسي</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4646"/>
        <w:gridCol w:w="1161"/>
        <w:gridCol w:w="1493"/>
        <w:gridCol w:w="996"/>
      </w:tblGrid>
      <w:tr w:rsidR="00E4583A" w14:paraId="1D668C3F" w14:textId="77777777">
        <w:trPr>
          <w:tblHeader/>
          <w:jc w:val="center"/>
        </w:trPr>
        <w:tc>
          <w:tcPr>
            <w:tcW w:w="2800" w:type="pct"/>
            <w:shd w:val="clear" w:color="auto" w:fill="2E5395"/>
            <w:tcMar>
              <w:top w:w="60" w:type="dxa"/>
              <w:left w:w="100" w:type="dxa"/>
              <w:bottom w:w="60" w:type="dxa"/>
              <w:right w:w="100" w:type="dxa"/>
            </w:tcMar>
            <w:vAlign w:val="center"/>
          </w:tcPr>
          <w:p w14:paraId="79F31B88"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العبارة</w:t>
            </w:r>
          </w:p>
        </w:tc>
        <w:tc>
          <w:tcPr>
            <w:tcW w:w="700" w:type="pct"/>
            <w:shd w:val="clear" w:color="auto" w:fill="2E5395"/>
            <w:tcMar>
              <w:top w:w="60" w:type="dxa"/>
              <w:left w:w="100" w:type="dxa"/>
              <w:bottom w:w="60" w:type="dxa"/>
              <w:right w:w="100" w:type="dxa"/>
            </w:tcMar>
            <w:vAlign w:val="center"/>
          </w:tcPr>
          <w:p w14:paraId="7E742C1C"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المتوسط</w:t>
            </w:r>
          </w:p>
        </w:tc>
        <w:tc>
          <w:tcPr>
            <w:tcW w:w="900" w:type="pct"/>
            <w:shd w:val="clear" w:color="auto" w:fill="2E5395"/>
            <w:tcMar>
              <w:top w:w="60" w:type="dxa"/>
              <w:left w:w="100" w:type="dxa"/>
              <w:bottom w:w="60" w:type="dxa"/>
              <w:right w:w="100" w:type="dxa"/>
            </w:tcMar>
            <w:vAlign w:val="center"/>
          </w:tcPr>
          <w:p w14:paraId="49CD2A2E"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الانحراف المعياري</w:t>
            </w:r>
          </w:p>
        </w:tc>
        <w:tc>
          <w:tcPr>
            <w:tcW w:w="600" w:type="pct"/>
            <w:shd w:val="clear" w:color="auto" w:fill="2E5395"/>
            <w:tcMar>
              <w:top w:w="60" w:type="dxa"/>
              <w:left w:w="100" w:type="dxa"/>
              <w:bottom w:w="60" w:type="dxa"/>
              <w:right w:w="100" w:type="dxa"/>
            </w:tcMar>
            <w:vAlign w:val="center"/>
          </w:tcPr>
          <w:p w14:paraId="5ED7F1DD"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المستوى</w:t>
            </w:r>
          </w:p>
        </w:tc>
      </w:tr>
      <w:tr w:rsidR="00E4583A" w14:paraId="5C2E001D" w14:textId="77777777">
        <w:trPr>
          <w:jc w:val="center"/>
        </w:trPr>
        <w:tc>
          <w:tcPr>
            <w:tcW w:w="2800" w:type="pct"/>
            <w:tcMar>
              <w:top w:w="60" w:type="dxa"/>
              <w:left w:w="100" w:type="dxa"/>
              <w:bottom w:w="60" w:type="dxa"/>
              <w:right w:w="100" w:type="dxa"/>
            </w:tcMar>
            <w:vAlign w:val="center"/>
          </w:tcPr>
          <w:p w14:paraId="021F0204"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تنخفض معدلات الاختراقات الأمنية التي تتعرض لها مؤسستنا مقارنة بالسنوات السابقة.</w:t>
            </w:r>
          </w:p>
        </w:tc>
        <w:tc>
          <w:tcPr>
            <w:tcW w:w="700" w:type="pct"/>
            <w:tcMar>
              <w:top w:w="60" w:type="dxa"/>
              <w:left w:w="100" w:type="dxa"/>
              <w:bottom w:w="60" w:type="dxa"/>
              <w:right w:w="100" w:type="dxa"/>
            </w:tcMar>
            <w:vAlign w:val="center"/>
          </w:tcPr>
          <w:p w14:paraId="7A9CFE9C"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3.526</w:t>
            </w:r>
          </w:p>
        </w:tc>
        <w:tc>
          <w:tcPr>
            <w:tcW w:w="900" w:type="pct"/>
            <w:tcMar>
              <w:top w:w="60" w:type="dxa"/>
              <w:left w:w="100" w:type="dxa"/>
              <w:bottom w:w="60" w:type="dxa"/>
              <w:right w:w="100" w:type="dxa"/>
            </w:tcMar>
            <w:vAlign w:val="center"/>
          </w:tcPr>
          <w:p w14:paraId="73E0987D"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1.287</w:t>
            </w:r>
          </w:p>
        </w:tc>
        <w:tc>
          <w:tcPr>
            <w:tcW w:w="600" w:type="pct"/>
            <w:tcMar>
              <w:top w:w="60" w:type="dxa"/>
              <w:left w:w="100" w:type="dxa"/>
              <w:bottom w:w="60" w:type="dxa"/>
              <w:right w:w="100" w:type="dxa"/>
            </w:tcMar>
            <w:vAlign w:val="center"/>
          </w:tcPr>
          <w:p w14:paraId="0A46E0E2"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متوسطة</w:t>
            </w:r>
          </w:p>
        </w:tc>
      </w:tr>
      <w:tr w:rsidR="00E4583A" w14:paraId="03AA68C4" w14:textId="77777777">
        <w:trPr>
          <w:jc w:val="center"/>
        </w:trPr>
        <w:tc>
          <w:tcPr>
            <w:tcW w:w="2800" w:type="pct"/>
            <w:tcMar>
              <w:top w:w="60" w:type="dxa"/>
              <w:left w:w="100" w:type="dxa"/>
              <w:bottom w:w="60" w:type="dxa"/>
              <w:right w:w="100" w:type="dxa"/>
            </w:tcMar>
            <w:vAlign w:val="center"/>
          </w:tcPr>
          <w:p w14:paraId="6BC73359"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تحقق أنظمة الحماية لدى مؤسستنا مستوى عالياً من الوقاية ضد محاولات الاختراق.</w:t>
            </w:r>
          </w:p>
        </w:tc>
        <w:tc>
          <w:tcPr>
            <w:tcW w:w="700" w:type="pct"/>
            <w:tcMar>
              <w:top w:w="60" w:type="dxa"/>
              <w:left w:w="100" w:type="dxa"/>
              <w:bottom w:w="60" w:type="dxa"/>
              <w:right w:w="100" w:type="dxa"/>
            </w:tcMar>
            <w:vAlign w:val="center"/>
          </w:tcPr>
          <w:p w14:paraId="5409BCDD"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3.648</w:t>
            </w:r>
          </w:p>
        </w:tc>
        <w:tc>
          <w:tcPr>
            <w:tcW w:w="900" w:type="pct"/>
            <w:tcMar>
              <w:top w:w="60" w:type="dxa"/>
              <w:left w:w="100" w:type="dxa"/>
              <w:bottom w:w="60" w:type="dxa"/>
              <w:right w:w="100" w:type="dxa"/>
            </w:tcMar>
            <w:vAlign w:val="center"/>
          </w:tcPr>
          <w:p w14:paraId="149F5AE8"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1.274</w:t>
            </w:r>
          </w:p>
        </w:tc>
        <w:tc>
          <w:tcPr>
            <w:tcW w:w="600" w:type="pct"/>
            <w:tcMar>
              <w:top w:w="60" w:type="dxa"/>
              <w:left w:w="100" w:type="dxa"/>
              <w:bottom w:w="60" w:type="dxa"/>
              <w:right w:w="100" w:type="dxa"/>
            </w:tcMar>
            <w:vAlign w:val="center"/>
          </w:tcPr>
          <w:p w14:paraId="406F29FB"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متوسطة</w:t>
            </w:r>
          </w:p>
        </w:tc>
      </w:tr>
      <w:tr w:rsidR="00E4583A" w14:paraId="03A9BC66" w14:textId="77777777">
        <w:trPr>
          <w:jc w:val="center"/>
        </w:trPr>
        <w:tc>
          <w:tcPr>
            <w:tcW w:w="2800" w:type="pct"/>
            <w:tcMar>
              <w:top w:w="60" w:type="dxa"/>
              <w:left w:w="100" w:type="dxa"/>
              <w:bottom w:w="60" w:type="dxa"/>
              <w:right w:w="100" w:type="dxa"/>
            </w:tcMar>
            <w:vAlign w:val="center"/>
          </w:tcPr>
          <w:p w14:paraId="3B81CDDE"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تستجيب مؤسستنا للحوادث السيبرانية خلال زمن قصير من اكتشافها.</w:t>
            </w:r>
          </w:p>
        </w:tc>
        <w:tc>
          <w:tcPr>
            <w:tcW w:w="700" w:type="pct"/>
            <w:tcMar>
              <w:top w:w="60" w:type="dxa"/>
              <w:left w:w="100" w:type="dxa"/>
              <w:bottom w:w="60" w:type="dxa"/>
              <w:right w:w="100" w:type="dxa"/>
            </w:tcMar>
            <w:vAlign w:val="center"/>
          </w:tcPr>
          <w:p w14:paraId="7DC38CFE"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3.684</w:t>
            </w:r>
          </w:p>
        </w:tc>
        <w:tc>
          <w:tcPr>
            <w:tcW w:w="900" w:type="pct"/>
            <w:tcMar>
              <w:top w:w="60" w:type="dxa"/>
              <w:left w:w="100" w:type="dxa"/>
              <w:bottom w:w="60" w:type="dxa"/>
              <w:right w:w="100" w:type="dxa"/>
            </w:tcMar>
            <w:vAlign w:val="center"/>
          </w:tcPr>
          <w:p w14:paraId="5204FA30"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1.258</w:t>
            </w:r>
          </w:p>
        </w:tc>
        <w:tc>
          <w:tcPr>
            <w:tcW w:w="600" w:type="pct"/>
            <w:tcMar>
              <w:top w:w="60" w:type="dxa"/>
              <w:left w:w="100" w:type="dxa"/>
              <w:bottom w:w="60" w:type="dxa"/>
              <w:right w:w="100" w:type="dxa"/>
            </w:tcMar>
            <w:vAlign w:val="center"/>
          </w:tcPr>
          <w:p w14:paraId="23FEDE7A"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مرتفعة</w:t>
            </w:r>
          </w:p>
        </w:tc>
      </w:tr>
      <w:tr w:rsidR="00E4583A" w14:paraId="7EAF56CC" w14:textId="77777777">
        <w:trPr>
          <w:jc w:val="center"/>
        </w:trPr>
        <w:tc>
          <w:tcPr>
            <w:tcW w:w="2800" w:type="pct"/>
            <w:tcMar>
              <w:top w:w="60" w:type="dxa"/>
              <w:left w:w="100" w:type="dxa"/>
              <w:bottom w:w="60" w:type="dxa"/>
              <w:right w:w="100" w:type="dxa"/>
            </w:tcMar>
            <w:vAlign w:val="center"/>
          </w:tcPr>
          <w:p w14:paraId="21AD52DF"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تحتوي مؤسستنا أثر الحوادث السيبرانية بفعالية لمنع تفاقمها.</w:t>
            </w:r>
          </w:p>
        </w:tc>
        <w:tc>
          <w:tcPr>
            <w:tcW w:w="700" w:type="pct"/>
            <w:tcMar>
              <w:top w:w="60" w:type="dxa"/>
              <w:left w:w="100" w:type="dxa"/>
              <w:bottom w:w="60" w:type="dxa"/>
              <w:right w:w="100" w:type="dxa"/>
            </w:tcMar>
            <w:vAlign w:val="center"/>
          </w:tcPr>
          <w:p w14:paraId="1151093C"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3.602</w:t>
            </w:r>
          </w:p>
        </w:tc>
        <w:tc>
          <w:tcPr>
            <w:tcW w:w="900" w:type="pct"/>
            <w:tcMar>
              <w:top w:w="60" w:type="dxa"/>
              <w:left w:w="100" w:type="dxa"/>
              <w:bottom w:w="60" w:type="dxa"/>
              <w:right w:w="100" w:type="dxa"/>
            </w:tcMar>
            <w:vAlign w:val="center"/>
          </w:tcPr>
          <w:p w14:paraId="6CDBFC90"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1.303</w:t>
            </w:r>
          </w:p>
        </w:tc>
        <w:tc>
          <w:tcPr>
            <w:tcW w:w="600" w:type="pct"/>
            <w:tcMar>
              <w:top w:w="60" w:type="dxa"/>
              <w:left w:w="100" w:type="dxa"/>
              <w:bottom w:w="60" w:type="dxa"/>
              <w:right w:w="100" w:type="dxa"/>
            </w:tcMar>
            <w:vAlign w:val="center"/>
          </w:tcPr>
          <w:p w14:paraId="4E75223D"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متوسطة</w:t>
            </w:r>
          </w:p>
        </w:tc>
      </w:tr>
      <w:tr w:rsidR="00E4583A" w14:paraId="3A84DEE8" w14:textId="77777777">
        <w:trPr>
          <w:jc w:val="center"/>
        </w:trPr>
        <w:tc>
          <w:tcPr>
            <w:tcW w:w="2800" w:type="pct"/>
            <w:tcMar>
              <w:top w:w="60" w:type="dxa"/>
              <w:left w:w="100" w:type="dxa"/>
              <w:bottom w:w="60" w:type="dxa"/>
              <w:right w:w="100" w:type="dxa"/>
            </w:tcMar>
            <w:vAlign w:val="center"/>
          </w:tcPr>
          <w:p w14:paraId="27A1CBBE"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تستعيد مؤسستنا عملياتها التشغيلية بسرعة بعد وقوع أي حادث سيبراني.</w:t>
            </w:r>
          </w:p>
        </w:tc>
        <w:tc>
          <w:tcPr>
            <w:tcW w:w="700" w:type="pct"/>
            <w:tcMar>
              <w:top w:w="60" w:type="dxa"/>
              <w:left w:w="100" w:type="dxa"/>
              <w:bottom w:w="60" w:type="dxa"/>
              <w:right w:w="100" w:type="dxa"/>
            </w:tcMar>
            <w:vAlign w:val="center"/>
          </w:tcPr>
          <w:p w14:paraId="051206C7"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3.495</w:t>
            </w:r>
          </w:p>
        </w:tc>
        <w:tc>
          <w:tcPr>
            <w:tcW w:w="900" w:type="pct"/>
            <w:tcMar>
              <w:top w:w="60" w:type="dxa"/>
              <w:left w:w="100" w:type="dxa"/>
              <w:bottom w:w="60" w:type="dxa"/>
              <w:right w:w="100" w:type="dxa"/>
            </w:tcMar>
            <w:vAlign w:val="center"/>
          </w:tcPr>
          <w:p w14:paraId="1F9AB019"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1.263</w:t>
            </w:r>
          </w:p>
        </w:tc>
        <w:tc>
          <w:tcPr>
            <w:tcW w:w="600" w:type="pct"/>
            <w:tcMar>
              <w:top w:w="60" w:type="dxa"/>
              <w:left w:w="100" w:type="dxa"/>
              <w:bottom w:w="60" w:type="dxa"/>
              <w:right w:w="100" w:type="dxa"/>
            </w:tcMar>
            <w:vAlign w:val="center"/>
          </w:tcPr>
          <w:p w14:paraId="0C628494"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متوسطة</w:t>
            </w:r>
          </w:p>
        </w:tc>
      </w:tr>
      <w:tr w:rsidR="00E4583A" w14:paraId="409A9E56" w14:textId="77777777">
        <w:trPr>
          <w:jc w:val="center"/>
        </w:trPr>
        <w:tc>
          <w:tcPr>
            <w:tcW w:w="2800" w:type="pct"/>
            <w:tcMar>
              <w:top w:w="60" w:type="dxa"/>
              <w:left w:w="100" w:type="dxa"/>
              <w:bottom w:w="60" w:type="dxa"/>
              <w:right w:w="100" w:type="dxa"/>
            </w:tcMar>
            <w:vAlign w:val="center"/>
          </w:tcPr>
          <w:p w14:paraId="16684C84"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تمتلك مؤسستنا خطط استمرارية أعمال فعالة لمواجهة الحوادث السيبرانية.</w:t>
            </w:r>
          </w:p>
        </w:tc>
        <w:tc>
          <w:tcPr>
            <w:tcW w:w="700" w:type="pct"/>
            <w:tcMar>
              <w:top w:w="60" w:type="dxa"/>
              <w:left w:w="100" w:type="dxa"/>
              <w:bottom w:w="60" w:type="dxa"/>
              <w:right w:w="100" w:type="dxa"/>
            </w:tcMar>
            <w:vAlign w:val="center"/>
          </w:tcPr>
          <w:p w14:paraId="3A4C1C73"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3.699</w:t>
            </w:r>
          </w:p>
        </w:tc>
        <w:tc>
          <w:tcPr>
            <w:tcW w:w="900" w:type="pct"/>
            <w:tcMar>
              <w:top w:w="60" w:type="dxa"/>
              <w:left w:w="100" w:type="dxa"/>
              <w:bottom w:w="60" w:type="dxa"/>
              <w:right w:w="100" w:type="dxa"/>
            </w:tcMar>
            <w:vAlign w:val="center"/>
          </w:tcPr>
          <w:p w14:paraId="14EC3FF9"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1.209</w:t>
            </w:r>
          </w:p>
        </w:tc>
        <w:tc>
          <w:tcPr>
            <w:tcW w:w="600" w:type="pct"/>
            <w:tcMar>
              <w:top w:w="60" w:type="dxa"/>
              <w:left w:w="100" w:type="dxa"/>
              <w:bottom w:w="60" w:type="dxa"/>
              <w:right w:w="100" w:type="dxa"/>
            </w:tcMar>
            <w:vAlign w:val="center"/>
          </w:tcPr>
          <w:p w14:paraId="465EDEEA"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مرتفعة</w:t>
            </w:r>
          </w:p>
        </w:tc>
      </w:tr>
      <w:tr w:rsidR="00E4583A" w14:paraId="23387510" w14:textId="77777777">
        <w:trPr>
          <w:jc w:val="center"/>
        </w:trPr>
        <w:tc>
          <w:tcPr>
            <w:tcW w:w="2800" w:type="pct"/>
            <w:tcMar>
              <w:top w:w="60" w:type="dxa"/>
              <w:left w:w="100" w:type="dxa"/>
              <w:bottom w:w="60" w:type="dxa"/>
              <w:right w:w="100" w:type="dxa"/>
            </w:tcMar>
            <w:vAlign w:val="center"/>
          </w:tcPr>
          <w:p w14:paraId="06B90F3B"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المتوسط العام للبُعد</w:t>
            </w:r>
          </w:p>
        </w:tc>
        <w:tc>
          <w:tcPr>
            <w:tcW w:w="700" w:type="pct"/>
            <w:tcMar>
              <w:top w:w="60" w:type="dxa"/>
              <w:left w:w="100" w:type="dxa"/>
              <w:bottom w:w="60" w:type="dxa"/>
              <w:right w:w="100" w:type="dxa"/>
            </w:tcMar>
            <w:vAlign w:val="center"/>
          </w:tcPr>
          <w:p w14:paraId="0489F093"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3.609</w:t>
            </w:r>
          </w:p>
        </w:tc>
        <w:tc>
          <w:tcPr>
            <w:tcW w:w="900" w:type="pct"/>
            <w:tcMar>
              <w:top w:w="60" w:type="dxa"/>
              <w:left w:w="100" w:type="dxa"/>
              <w:bottom w:w="60" w:type="dxa"/>
              <w:right w:w="100" w:type="dxa"/>
            </w:tcMar>
            <w:vAlign w:val="center"/>
          </w:tcPr>
          <w:p w14:paraId="3ADEFC56"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0.950</w:t>
            </w:r>
          </w:p>
        </w:tc>
        <w:tc>
          <w:tcPr>
            <w:tcW w:w="600" w:type="pct"/>
            <w:tcMar>
              <w:top w:w="60" w:type="dxa"/>
              <w:left w:w="100" w:type="dxa"/>
              <w:bottom w:w="60" w:type="dxa"/>
              <w:right w:w="100" w:type="dxa"/>
            </w:tcMar>
            <w:vAlign w:val="center"/>
          </w:tcPr>
          <w:p w14:paraId="17834D48"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متوسطة</w:t>
            </w:r>
          </w:p>
        </w:tc>
      </w:tr>
    </w:tbl>
    <w:p w14:paraId="47EF993D" w14:textId="77777777" w:rsidR="00E4583A" w:rsidRDefault="00000000">
      <w:pPr>
        <w:bidi/>
        <w:spacing w:after="0" w:line="360" w:lineRule="auto"/>
        <w:jc w:val="center"/>
      </w:pPr>
      <w:r>
        <w:rPr>
          <w:rFonts w:ascii="Traditional Arabic" w:eastAsia="Simplified Arabic" w:hAnsi="Traditional Arabic" w:cs="Traditional Arabic"/>
          <w:b/>
          <w:bCs/>
          <w:sz w:val="24"/>
          <w:szCs w:val="24"/>
          <w:rtl/>
        </w:rPr>
        <w:t>جدول (4.9): الإحصاء الوصفي لعبارات بُعد الأمن السيبراني المؤسسي</w:t>
      </w:r>
    </w:p>
    <w:p w14:paraId="4DD69C5D" w14:textId="77777777" w:rsidR="00E4583A" w:rsidRDefault="00000000">
      <w:pPr>
        <w:bidi/>
        <w:spacing w:after="0" w:line="360" w:lineRule="auto"/>
        <w:jc w:val="both"/>
      </w:pPr>
      <w:r>
        <w:rPr>
          <w:rFonts w:ascii="Traditional Arabic" w:eastAsia="Simplified Arabic" w:hAnsi="Traditional Arabic" w:cs="Traditional Arabic"/>
          <w:sz w:val="28"/>
          <w:szCs w:val="28"/>
          <w:rtl/>
        </w:rPr>
        <w:lastRenderedPageBreak/>
        <w:t>يتضح من الجدول أن المتوسط العام لبُعد الأمن السيبراني المؤسسي بلغ (3.609) بانحراف معياري (0.950)، وهو ما يعكس مستوى استجابة (متوسطة) لدى أفراد العينة تجاه عبارات هذا البُعد.</w:t>
      </w:r>
    </w:p>
    <w:p w14:paraId="3D398882" w14:textId="77777777" w:rsidR="00E4583A" w:rsidRDefault="00E4583A">
      <w:pPr>
        <w:bidi/>
        <w:spacing w:after="0" w:line="240" w:lineRule="auto"/>
      </w:pPr>
    </w:p>
    <w:p w14:paraId="6336AC34" w14:textId="77777777" w:rsidR="00E4583A" w:rsidRDefault="00000000">
      <w:pPr>
        <w:bidi/>
        <w:spacing w:after="0" w:line="360" w:lineRule="auto"/>
        <w:jc w:val="both"/>
      </w:pPr>
      <w:r>
        <w:rPr>
          <w:rFonts w:ascii="Traditional Arabic" w:eastAsia="Simplified Arabic" w:hAnsi="Traditional Arabic" w:cs="Traditional Arabic"/>
          <w:b/>
          <w:bCs/>
          <w:sz w:val="28"/>
          <w:szCs w:val="28"/>
          <w:rtl/>
        </w:rPr>
        <w:t>البُعد الرابع: كفاءة العمليات المالية</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4646"/>
        <w:gridCol w:w="1161"/>
        <w:gridCol w:w="1493"/>
        <w:gridCol w:w="996"/>
      </w:tblGrid>
      <w:tr w:rsidR="00E4583A" w14:paraId="1A8EABCC" w14:textId="77777777">
        <w:trPr>
          <w:tblHeader/>
          <w:jc w:val="center"/>
        </w:trPr>
        <w:tc>
          <w:tcPr>
            <w:tcW w:w="2800" w:type="pct"/>
            <w:shd w:val="clear" w:color="auto" w:fill="2E5395"/>
            <w:tcMar>
              <w:top w:w="60" w:type="dxa"/>
              <w:left w:w="100" w:type="dxa"/>
              <w:bottom w:w="60" w:type="dxa"/>
              <w:right w:w="100" w:type="dxa"/>
            </w:tcMar>
            <w:vAlign w:val="center"/>
          </w:tcPr>
          <w:p w14:paraId="437943F2"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العبارة</w:t>
            </w:r>
          </w:p>
        </w:tc>
        <w:tc>
          <w:tcPr>
            <w:tcW w:w="700" w:type="pct"/>
            <w:shd w:val="clear" w:color="auto" w:fill="2E5395"/>
            <w:tcMar>
              <w:top w:w="60" w:type="dxa"/>
              <w:left w:w="100" w:type="dxa"/>
              <w:bottom w:w="60" w:type="dxa"/>
              <w:right w:w="100" w:type="dxa"/>
            </w:tcMar>
            <w:vAlign w:val="center"/>
          </w:tcPr>
          <w:p w14:paraId="1E307AD3"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المتوسط</w:t>
            </w:r>
          </w:p>
        </w:tc>
        <w:tc>
          <w:tcPr>
            <w:tcW w:w="900" w:type="pct"/>
            <w:shd w:val="clear" w:color="auto" w:fill="2E5395"/>
            <w:tcMar>
              <w:top w:w="60" w:type="dxa"/>
              <w:left w:w="100" w:type="dxa"/>
              <w:bottom w:w="60" w:type="dxa"/>
              <w:right w:w="100" w:type="dxa"/>
            </w:tcMar>
            <w:vAlign w:val="center"/>
          </w:tcPr>
          <w:p w14:paraId="44E4B74F"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الانحراف المعياري</w:t>
            </w:r>
          </w:p>
        </w:tc>
        <w:tc>
          <w:tcPr>
            <w:tcW w:w="600" w:type="pct"/>
            <w:shd w:val="clear" w:color="auto" w:fill="2E5395"/>
            <w:tcMar>
              <w:top w:w="60" w:type="dxa"/>
              <w:left w:w="100" w:type="dxa"/>
              <w:bottom w:w="60" w:type="dxa"/>
              <w:right w:w="100" w:type="dxa"/>
            </w:tcMar>
            <w:vAlign w:val="center"/>
          </w:tcPr>
          <w:p w14:paraId="1559368E"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المستوى</w:t>
            </w:r>
          </w:p>
        </w:tc>
      </w:tr>
      <w:tr w:rsidR="00E4583A" w14:paraId="66CB2951" w14:textId="77777777">
        <w:trPr>
          <w:jc w:val="center"/>
        </w:trPr>
        <w:tc>
          <w:tcPr>
            <w:tcW w:w="2800" w:type="pct"/>
            <w:tcMar>
              <w:top w:w="60" w:type="dxa"/>
              <w:left w:w="100" w:type="dxa"/>
              <w:bottom w:w="60" w:type="dxa"/>
              <w:right w:w="100" w:type="dxa"/>
            </w:tcMar>
            <w:vAlign w:val="center"/>
          </w:tcPr>
          <w:p w14:paraId="6E616C26"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تعالج المعاملات المالية في مؤسستنا بسرعة عالية.</w:t>
            </w:r>
          </w:p>
        </w:tc>
        <w:tc>
          <w:tcPr>
            <w:tcW w:w="700" w:type="pct"/>
            <w:tcMar>
              <w:top w:w="60" w:type="dxa"/>
              <w:left w:w="100" w:type="dxa"/>
              <w:bottom w:w="60" w:type="dxa"/>
              <w:right w:w="100" w:type="dxa"/>
            </w:tcMar>
            <w:vAlign w:val="center"/>
          </w:tcPr>
          <w:p w14:paraId="2A7EF31B"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3.648</w:t>
            </w:r>
          </w:p>
        </w:tc>
        <w:tc>
          <w:tcPr>
            <w:tcW w:w="900" w:type="pct"/>
            <w:tcMar>
              <w:top w:w="60" w:type="dxa"/>
              <w:left w:w="100" w:type="dxa"/>
              <w:bottom w:w="60" w:type="dxa"/>
              <w:right w:w="100" w:type="dxa"/>
            </w:tcMar>
            <w:vAlign w:val="center"/>
          </w:tcPr>
          <w:p w14:paraId="63410BAD"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1.238</w:t>
            </w:r>
          </w:p>
        </w:tc>
        <w:tc>
          <w:tcPr>
            <w:tcW w:w="600" w:type="pct"/>
            <w:tcMar>
              <w:top w:w="60" w:type="dxa"/>
              <w:left w:w="100" w:type="dxa"/>
              <w:bottom w:w="60" w:type="dxa"/>
              <w:right w:w="100" w:type="dxa"/>
            </w:tcMar>
            <w:vAlign w:val="center"/>
          </w:tcPr>
          <w:p w14:paraId="5169E6E1"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متوسطة</w:t>
            </w:r>
          </w:p>
        </w:tc>
      </w:tr>
      <w:tr w:rsidR="00E4583A" w14:paraId="01249A9A" w14:textId="77777777">
        <w:trPr>
          <w:jc w:val="center"/>
        </w:trPr>
        <w:tc>
          <w:tcPr>
            <w:tcW w:w="2800" w:type="pct"/>
            <w:tcMar>
              <w:top w:w="60" w:type="dxa"/>
              <w:left w:w="100" w:type="dxa"/>
              <w:bottom w:w="60" w:type="dxa"/>
              <w:right w:w="100" w:type="dxa"/>
            </w:tcMar>
            <w:vAlign w:val="center"/>
          </w:tcPr>
          <w:p w14:paraId="1AFCF1A1"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تتسم عمليات مؤسستنا التشغيلية بإنتاجية مرتفعة.</w:t>
            </w:r>
          </w:p>
        </w:tc>
        <w:tc>
          <w:tcPr>
            <w:tcW w:w="700" w:type="pct"/>
            <w:tcMar>
              <w:top w:w="60" w:type="dxa"/>
              <w:left w:w="100" w:type="dxa"/>
              <w:bottom w:w="60" w:type="dxa"/>
              <w:right w:w="100" w:type="dxa"/>
            </w:tcMar>
            <w:vAlign w:val="center"/>
          </w:tcPr>
          <w:p w14:paraId="74CE61DC"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3.719</w:t>
            </w:r>
          </w:p>
        </w:tc>
        <w:tc>
          <w:tcPr>
            <w:tcW w:w="900" w:type="pct"/>
            <w:tcMar>
              <w:top w:w="60" w:type="dxa"/>
              <w:left w:w="100" w:type="dxa"/>
              <w:bottom w:w="60" w:type="dxa"/>
              <w:right w:w="100" w:type="dxa"/>
            </w:tcMar>
            <w:vAlign w:val="center"/>
          </w:tcPr>
          <w:p w14:paraId="2C8D33DA"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1.231</w:t>
            </w:r>
          </w:p>
        </w:tc>
        <w:tc>
          <w:tcPr>
            <w:tcW w:w="600" w:type="pct"/>
            <w:tcMar>
              <w:top w:w="60" w:type="dxa"/>
              <w:left w:w="100" w:type="dxa"/>
              <w:bottom w:w="60" w:type="dxa"/>
              <w:right w:w="100" w:type="dxa"/>
            </w:tcMar>
            <w:vAlign w:val="center"/>
          </w:tcPr>
          <w:p w14:paraId="400B00A5"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مرتفعة</w:t>
            </w:r>
          </w:p>
        </w:tc>
      </w:tr>
      <w:tr w:rsidR="00E4583A" w14:paraId="156520D0" w14:textId="77777777">
        <w:trPr>
          <w:jc w:val="center"/>
        </w:trPr>
        <w:tc>
          <w:tcPr>
            <w:tcW w:w="2800" w:type="pct"/>
            <w:tcMar>
              <w:top w:w="60" w:type="dxa"/>
              <w:left w:w="100" w:type="dxa"/>
              <w:bottom w:w="60" w:type="dxa"/>
              <w:right w:w="100" w:type="dxa"/>
            </w:tcMar>
            <w:vAlign w:val="center"/>
          </w:tcPr>
          <w:p w14:paraId="744BC58E"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تنخفض معدلات الأخطاء في معالجة المعاملات المالية لدى مؤسستنا.</w:t>
            </w:r>
          </w:p>
        </w:tc>
        <w:tc>
          <w:tcPr>
            <w:tcW w:w="700" w:type="pct"/>
            <w:tcMar>
              <w:top w:w="60" w:type="dxa"/>
              <w:left w:w="100" w:type="dxa"/>
              <w:bottom w:w="60" w:type="dxa"/>
              <w:right w:w="100" w:type="dxa"/>
            </w:tcMar>
            <w:vAlign w:val="center"/>
          </w:tcPr>
          <w:p w14:paraId="19E6E0F6"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3.714</w:t>
            </w:r>
          </w:p>
        </w:tc>
        <w:tc>
          <w:tcPr>
            <w:tcW w:w="900" w:type="pct"/>
            <w:tcMar>
              <w:top w:w="60" w:type="dxa"/>
              <w:left w:w="100" w:type="dxa"/>
              <w:bottom w:w="60" w:type="dxa"/>
              <w:right w:w="100" w:type="dxa"/>
            </w:tcMar>
            <w:vAlign w:val="center"/>
          </w:tcPr>
          <w:p w14:paraId="4950EC7F"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1.207</w:t>
            </w:r>
          </w:p>
        </w:tc>
        <w:tc>
          <w:tcPr>
            <w:tcW w:w="600" w:type="pct"/>
            <w:tcMar>
              <w:top w:w="60" w:type="dxa"/>
              <w:left w:w="100" w:type="dxa"/>
              <w:bottom w:w="60" w:type="dxa"/>
              <w:right w:w="100" w:type="dxa"/>
            </w:tcMar>
            <w:vAlign w:val="center"/>
          </w:tcPr>
          <w:p w14:paraId="408DA7A4"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مرتفعة</w:t>
            </w:r>
          </w:p>
        </w:tc>
      </w:tr>
      <w:tr w:rsidR="00E4583A" w14:paraId="5A596995" w14:textId="77777777">
        <w:trPr>
          <w:jc w:val="center"/>
        </w:trPr>
        <w:tc>
          <w:tcPr>
            <w:tcW w:w="2800" w:type="pct"/>
            <w:tcMar>
              <w:top w:w="60" w:type="dxa"/>
              <w:left w:w="100" w:type="dxa"/>
              <w:bottom w:w="60" w:type="dxa"/>
              <w:right w:w="100" w:type="dxa"/>
            </w:tcMar>
            <w:vAlign w:val="center"/>
          </w:tcPr>
          <w:p w14:paraId="63A8840E"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تتسم عمليات مؤسستنا بدقة عالية في تنفيذ المعاملات المالية.</w:t>
            </w:r>
          </w:p>
        </w:tc>
        <w:tc>
          <w:tcPr>
            <w:tcW w:w="700" w:type="pct"/>
            <w:tcMar>
              <w:top w:w="60" w:type="dxa"/>
              <w:left w:w="100" w:type="dxa"/>
              <w:bottom w:w="60" w:type="dxa"/>
              <w:right w:w="100" w:type="dxa"/>
            </w:tcMar>
            <w:vAlign w:val="center"/>
          </w:tcPr>
          <w:p w14:paraId="52DF0BA4"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3.566</w:t>
            </w:r>
          </w:p>
        </w:tc>
        <w:tc>
          <w:tcPr>
            <w:tcW w:w="900" w:type="pct"/>
            <w:tcMar>
              <w:top w:w="60" w:type="dxa"/>
              <w:left w:w="100" w:type="dxa"/>
              <w:bottom w:w="60" w:type="dxa"/>
              <w:right w:w="100" w:type="dxa"/>
            </w:tcMar>
            <w:vAlign w:val="center"/>
          </w:tcPr>
          <w:p w14:paraId="51CE6466"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1.297</w:t>
            </w:r>
          </w:p>
        </w:tc>
        <w:tc>
          <w:tcPr>
            <w:tcW w:w="600" w:type="pct"/>
            <w:tcMar>
              <w:top w:w="60" w:type="dxa"/>
              <w:left w:w="100" w:type="dxa"/>
              <w:bottom w:w="60" w:type="dxa"/>
              <w:right w:w="100" w:type="dxa"/>
            </w:tcMar>
            <w:vAlign w:val="center"/>
          </w:tcPr>
          <w:p w14:paraId="75EE8461"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متوسطة</w:t>
            </w:r>
          </w:p>
        </w:tc>
      </w:tr>
      <w:tr w:rsidR="00E4583A" w14:paraId="498B5F05" w14:textId="77777777">
        <w:trPr>
          <w:jc w:val="center"/>
        </w:trPr>
        <w:tc>
          <w:tcPr>
            <w:tcW w:w="2800" w:type="pct"/>
            <w:tcMar>
              <w:top w:w="60" w:type="dxa"/>
              <w:left w:w="100" w:type="dxa"/>
              <w:bottom w:w="60" w:type="dxa"/>
              <w:right w:w="100" w:type="dxa"/>
            </w:tcMar>
            <w:vAlign w:val="center"/>
          </w:tcPr>
          <w:p w14:paraId="33346C25"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تنخفض التكلفة التشغيلية لإدارة أمن البيانات في مؤسستنا.</w:t>
            </w:r>
          </w:p>
        </w:tc>
        <w:tc>
          <w:tcPr>
            <w:tcW w:w="700" w:type="pct"/>
            <w:tcMar>
              <w:top w:w="60" w:type="dxa"/>
              <w:left w:w="100" w:type="dxa"/>
              <w:bottom w:w="60" w:type="dxa"/>
              <w:right w:w="100" w:type="dxa"/>
            </w:tcMar>
            <w:vAlign w:val="center"/>
          </w:tcPr>
          <w:p w14:paraId="7D259A4F"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3.495</w:t>
            </w:r>
          </w:p>
        </w:tc>
        <w:tc>
          <w:tcPr>
            <w:tcW w:w="900" w:type="pct"/>
            <w:tcMar>
              <w:top w:w="60" w:type="dxa"/>
              <w:left w:w="100" w:type="dxa"/>
              <w:bottom w:w="60" w:type="dxa"/>
              <w:right w:w="100" w:type="dxa"/>
            </w:tcMar>
            <w:vAlign w:val="center"/>
          </w:tcPr>
          <w:p w14:paraId="269DC4DB"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1.291</w:t>
            </w:r>
          </w:p>
        </w:tc>
        <w:tc>
          <w:tcPr>
            <w:tcW w:w="600" w:type="pct"/>
            <w:tcMar>
              <w:top w:w="60" w:type="dxa"/>
              <w:left w:w="100" w:type="dxa"/>
              <w:bottom w:w="60" w:type="dxa"/>
              <w:right w:w="100" w:type="dxa"/>
            </w:tcMar>
            <w:vAlign w:val="center"/>
          </w:tcPr>
          <w:p w14:paraId="0D95DEA7"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متوسطة</w:t>
            </w:r>
          </w:p>
        </w:tc>
      </w:tr>
      <w:tr w:rsidR="00E4583A" w14:paraId="5199B008" w14:textId="77777777">
        <w:trPr>
          <w:jc w:val="center"/>
        </w:trPr>
        <w:tc>
          <w:tcPr>
            <w:tcW w:w="2800" w:type="pct"/>
            <w:tcMar>
              <w:top w:w="60" w:type="dxa"/>
              <w:left w:w="100" w:type="dxa"/>
              <w:bottom w:w="60" w:type="dxa"/>
              <w:right w:w="100" w:type="dxa"/>
            </w:tcMar>
            <w:vAlign w:val="center"/>
          </w:tcPr>
          <w:p w14:paraId="02C91F0F"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تحقق مؤسستنا تكاملاً سلساً مع الأنظمة المالية الخارجية والشركاء التجاريين.</w:t>
            </w:r>
          </w:p>
        </w:tc>
        <w:tc>
          <w:tcPr>
            <w:tcW w:w="700" w:type="pct"/>
            <w:tcMar>
              <w:top w:w="60" w:type="dxa"/>
              <w:left w:w="100" w:type="dxa"/>
              <w:bottom w:w="60" w:type="dxa"/>
              <w:right w:w="100" w:type="dxa"/>
            </w:tcMar>
            <w:vAlign w:val="center"/>
          </w:tcPr>
          <w:p w14:paraId="78B92690"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3.612</w:t>
            </w:r>
          </w:p>
        </w:tc>
        <w:tc>
          <w:tcPr>
            <w:tcW w:w="900" w:type="pct"/>
            <w:tcMar>
              <w:top w:w="60" w:type="dxa"/>
              <w:left w:w="100" w:type="dxa"/>
              <w:bottom w:w="60" w:type="dxa"/>
              <w:right w:w="100" w:type="dxa"/>
            </w:tcMar>
            <w:vAlign w:val="center"/>
          </w:tcPr>
          <w:p w14:paraId="72095148"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1.212</w:t>
            </w:r>
          </w:p>
        </w:tc>
        <w:tc>
          <w:tcPr>
            <w:tcW w:w="600" w:type="pct"/>
            <w:tcMar>
              <w:top w:w="60" w:type="dxa"/>
              <w:left w:w="100" w:type="dxa"/>
              <w:bottom w:w="60" w:type="dxa"/>
              <w:right w:w="100" w:type="dxa"/>
            </w:tcMar>
            <w:vAlign w:val="center"/>
          </w:tcPr>
          <w:p w14:paraId="6A80285F"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متوسطة</w:t>
            </w:r>
          </w:p>
        </w:tc>
      </w:tr>
      <w:tr w:rsidR="00E4583A" w14:paraId="724F543E" w14:textId="77777777">
        <w:trPr>
          <w:jc w:val="center"/>
        </w:trPr>
        <w:tc>
          <w:tcPr>
            <w:tcW w:w="2800" w:type="pct"/>
            <w:tcMar>
              <w:top w:w="60" w:type="dxa"/>
              <w:left w:w="100" w:type="dxa"/>
              <w:bottom w:w="60" w:type="dxa"/>
              <w:right w:w="100" w:type="dxa"/>
            </w:tcMar>
            <w:vAlign w:val="center"/>
          </w:tcPr>
          <w:p w14:paraId="100315D9"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المتوسط العام للبُعد</w:t>
            </w:r>
          </w:p>
        </w:tc>
        <w:tc>
          <w:tcPr>
            <w:tcW w:w="700" w:type="pct"/>
            <w:tcMar>
              <w:top w:w="60" w:type="dxa"/>
              <w:left w:w="100" w:type="dxa"/>
              <w:bottom w:w="60" w:type="dxa"/>
              <w:right w:w="100" w:type="dxa"/>
            </w:tcMar>
            <w:vAlign w:val="center"/>
          </w:tcPr>
          <w:p w14:paraId="6169F1BC"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3.626</w:t>
            </w:r>
          </w:p>
        </w:tc>
        <w:tc>
          <w:tcPr>
            <w:tcW w:w="900" w:type="pct"/>
            <w:tcMar>
              <w:top w:w="60" w:type="dxa"/>
              <w:left w:w="100" w:type="dxa"/>
              <w:bottom w:w="60" w:type="dxa"/>
              <w:right w:w="100" w:type="dxa"/>
            </w:tcMar>
            <w:vAlign w:val="center"/>
          </w:tcPr>
          <w:p w14:paraId="386B9336"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0.928</w:t>
            </w:r>
          </w:p>
        </w:tc>
        <w:tc>
          <w:tcPr>
            <w:tcW w:w="600" w:type="pct"/>
            <w:tcMar>
              <w:top w:w="60" w:type="dxa"/>
              <w:left w:w="100" w:type="dxa"/>
              <w:bottom w:w="60" w:type="dxa"/>
              <w:right w:w="100" w:type="dxa"/>
            </w:tcMar>
            <w:vAlign w:val="center"/>
          </w:tcPr>
          <w:p w14:paraId="11FB5743"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متوسطة</w:t>
            </w:r>
          </w:p>
        </w:tc>
      </w:tr>
    </w:tbl>
    <w:p w14:paraId="685FC37C" w14:textId="77777777" w:rsidR="00E4583A" w:rsidRDefault="00000000">
      <w:pPr>
        <w:bidi/>
        <w:spacing w:after="0" w:line="360" w:lineRule="auto"/>
        <w:jc w:val="center"/>
      </w:pPr>
      <w:r>
        <w:rPr>
          <w:rFonts w:ascii="Traditional Arabic" w:eastAsia="Simplified Arabic" w:hAnsi="Traditional Arabic" w:cs="Traditional Arabic"/>
          <w:b/>
          <w:bCs/>
          <w:sz w:val="24"/>
          <w:szCs w:val="24"/>
          <w:rtl/>
        </w:rPr>
        <w:t>جدول (4.10): الإحصاء الوصفي لعبارات بُعد كفاءة العمليات المالية</w:t>
      </w:r>
    </w:p>
    <w:p w14:paraId="3CDB5AB7" w14:textId="77777777" w:rsidR="00E4583A" w:rsidRDefault="00000000">
      <w:pPr>
        <w:bidi/>
        <w:spacing w:after="0" w:line="360" w:lineRule="auto"/>
        <w:jc w:val="both"/>
      </w:pPr>
      <w:r>
        <w:rPr>
          <w:rFonts w:ascii="Traditional Arabic" w:eastAsia="Simplified Arabic" w:hAnsi="Traditional Arabic" w:cs="Traditional Arabic"/>
          <w:sz w:val="28"/>
          <w:szCs w:val="28"/>
          <w:rtl/>
        </w:rPr>
        <w:t>يتضح من الجدول أن المتوسط العام لبُعد كفاءة العمليات المالية بلغ (3.626) بانحراف معياري (0.928)، وهو ما يعكس مستوى استجابة (متوسطة) لدى أفراد العينة تجاه عبارات هذا البُعد.</w:t>
      </w:r>
    </w:p>
    <w:p w14:paraId="4634032F" w14:textId="77777777" w:rsidR="00E4583A" w:rsidRDefault="00E4583A">
      <w:pPr>
        <w:bidi/>
        <w:spacing w:after="0" w:line="240" w:lineRule="auto"/>
      </w:pPr>
    </w:p>
    <w:p w14:paraId="546B00B5" w14:textId="77777777" w:rsidR="00E4583A" w:rsidRDefault="00000000">
      <w:pPr>
        <w:bidi/>
        <w:spacing w:after="0" w:line="360" w:lineRule="auto"/>
        <w:jc w:val="both"/>
      </w:pPr>
      <w:r>
        <w:rPr>
          <w:rFonts w:ascii="Traditional Arabic" w:eastAsia="Simplified Arabic" w:hAnsi="Traditional Arabic" w:cs="Traditional Arabic"/>
          <w:b/>
          <w:bCs/>
          <w:sz w:val="28"/>
          <w:szCs w:val="28"/>
          <w:rtl/>
        </w:rPr>
        <w:t>البُعد الخامس: تحديات تطبيق تقنية الترميز</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4646"/>
        <w:gridCol w:w="1161"/>
        <w:gridCol w:w="1493"/>
        <w:gridCol w:w="996"/>
      </w:tblGrid>
      <w:tr w:rsidR="00E4583A" w14:paraId="5203BEB9" w14:textId="77777777">
        <w:trPr>
          <w:tblHeader/>
          <w:jc w:val="center"/>
        </w:trPr>
        <w:tc>
          <w:tcPr>
            <w:tcW w:w="2800" w:type="pct"/>
            <w:shd w:val="clear" w:color="auto" w:fill="2E5395"/>
            <w:tcMar>
              <w:top w:w="60" w:type="dxa"/>
              <w:left w:w="100" w:type="dxa"/>
              <w:bottom w:w="60" w:type="dxa"/>
              <w:right w:w="100" w:type="dxa"/>
            </w:tcMar>
            <w:vAlign w:val="center"/>
          </w:tcPr>
          <w:p w14:paraId="28070968"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العبارة</w:t>
            </w:r>
          </w:p>
        </w:tc>
        <w:tc>
          <w:tcPr>
            <w:tcW w:w="700" w:type="pct"/>
            <w:shd w:val="clear" w:color="auto" w:fill="2E5395"/>
            <w:tcMar>
              <w:top w:w="60" w:type="dxa"/>
              <w:left w:w="100" w:type="dxa"/>
              <w:bottom w:w="60" w:type="dxa"/>
              <w:right w:w="100" w:type="dxa"/>
            </w:tcMar>
            <w:vAlign w:val="center"/>
          </w:tcPr>
          <w:p w14:paraId="3100929B"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المتوسط</w:t>
            </w:r>
          </w:p>
        </w:tc>
        <w:tc>
          <w:tcPr>
            <w:tcW w:w="900" w:type="pct"/>
            <w:shd w:val="clear" w:color="auto" w:fill="2E5395"/>
            <w:tcMar>
              <w:top w:w="60" w:type="dxa"/>
              <w:left w:w="100" w:type="dxa"/>
              <w:bottom w:w="60" w:type="dxa"/>
              <w:right w:w="100" w:type="dxa"/>
            </w:tcMar>
            <w:vAlign w:val="center"/>
          </w:tcPr>
          <w:p w14:paraId="7E050425"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الانحراف المعياري</w:t>
            </w:r>
          </w:p>
        </w:tc>
        <w:tc>
          <w:tcPr>
            <w:tcW w:w="600" w:type="pct"/>
            <w:shd w:val="clear" w:color="auto" w:fill="2E5395"/>
            <w:tcMar>
              <w:top w:w="60" w:type="dxa"/>
              <w:left w:w="100" w:type="dxa"/>
              <w:bottom w:w="60" w:type="dxa"/>
              <w:right w:w="100" w:type="dxa"/>
            </w:tcMar>
            <w:vAlign w:val="center"/>
          </w:tcPr>
          <w:p w14:paraId="217CF65B"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المستوى</w:t>
            </w:r>
          </w:p>
        </w:tc>
      </w:tr>
      <w:tr w:rsidR="00E4583A" w14:paraId="661988DF" w14:textId="77777777">
        <w:trPr>
          <w:jc w:val="center"/>
        </w:trPr>
        <w:tc>
          <w:tcPr>
            <w:tcW w:w="2800" w:type="pct"/>
            <w:tcMar>
              <w:top w:w="60" w:type="dxa"/>
              <w:left w:w="100" w:type="dxa"/>
              <w:bottom w:w="60" w:type="dxa"/>
              <w:right w:w="100" w:type="dxa"/>
            </w:tcMar>
            <w:vAlign w:val="center"/>
          </w:tcPr>
          <w:p w14:paraId="74B8ABDA"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تمثل التكلفة العالية للبنية التحتية التقنية تحدياً رئيسياً أمام تطبيق الترميز في مؤسستنا.</w:t>
            </w:r>
          </w:p>
        </w:tc>
        <w:tc>
          <w:tcPr>
            <w:tcW w:w="700" w:type="pct"/>
            <w:tcMar>
              <w:top w:w="60" w:type="dxa"/>
              <w:left w:w="100" w:type="dxa"/>
              <w:bottom w:w="60" w:type="dxa"/>
              <w:right w:w="100" w:type="dxa"/>
            </w:tcMar>
            <w:vAlign w:val="center"/>
          </w:tcPr>
          <w:p w14:paraId="6BA5B291"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3.036</w:t>
            </w:r>
          </w:p>
        </w:tc>
        <w:tc>
          <w:tcPr>
            <w:tcW w:w="900" w:type="pct"/>
            <w:tcMar>
              <w:top w:w="60" w:type="dxa"/>
              <w:left w:w="100" w:type="dxa"/>
              <w:bottom w:w="60" w:type="dxa"/>
              <w:right w:w="100" w:type="dxa"/>
            </w:tcMar>
            <w:vAlign w:val="center"/>
          </w:tcPr>
          <w:p w14:paraId="4EC065ED"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1.356</w:t>
            </w:r>
          </w:p>
        </w:tc>
        <w:tc>
          <w:tcPr>
            <w:tcW w:w="600" w:type="pct"/>
            <w:tcMar>
              <w:top w:w="60" w:type="dxa"/>
              <w:left w:w="100" w:type="dxa"/>
              <w:bottom w:w="60" w:type="dxa"/>
              <w:right w:w="100" w:type="dxa"/>
            </w:tcMar>
            <w:vAlign w:val="center"/>
          </w:tcPr>
          <w:p w14:paraId="46131BAD"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متوسطة</w:t>
            </w:r>
          </w:p>
        </w:tc>
      </w:tr>
      <w:tr w:rsidR="00E4583A" w14:paraId="1AD6EBBA" w14:textId="77777777">
        <w:trPr>
          <w:jc w:val="center"/>
        </w:trPr>
        <w:tc>
          <w:tcPr>
            <w:tcW w:w="2800" w:type="pct"/>
            <w:tcMar>
              <w:top w:w="60" w:type="dxa"/>
              <w:left w:w="100" w:type="dxa"/>
              <w:bottom w:w="60" w:type="dxa"/>
              <w:right w:w="100" w:type="dxa"/>
            </w:tcMar>
            <w:vAlign w:val="center"/>
          </w:tcPr>
          <w:p w14:paraId="7CA4C8B8"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يشكل غياب الكوادر البشرية المتخصصة في تقنية الترميز عائقاً أمام التطبيق الفعال.</w:t>
            </w:r>
          </w:p>
        </w:tc>
        <w:tc>
          <w:tcPr>
            <w:tcW w:w="700" w:type="pct"/>
            <w:tcMar>
              <w:top w:w="60" w:type="dxa"/>
              <w:left w:w="100" w:type="dxa"/>
              <w:bottom w:w="60" w:type="dxa"/>
              <w:right w:w="100" w:type="dxa"/>
            </w:tcMar>
            <w:vAlign w:val="center"/>
          </w:tcPr>
          <w:p w14:paraId="58B548C2"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3.102</w:t>
            </w:r>
          </w:p>
        </w:tc>
        <w:tc>
          <w:tcPr>
            <w:tcW w:w="900" w:type="pct"/>
            <w:tcMar>
              <w:top w:w="60" w:type="dxa"/>
              <w:left w:w="100" w:type="dxa"/>
              <w:bottom w:w="60" w:type="dxa"/>
              <w:right w:w="100" w:type="dxa"/>
            </w:tcMar>
            <w:vAlign w:val="center"/>
          </w:tcPr>
          <w:p w14:paraId="3DB51584"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1.277</w:t>
            </w:r>
          </w:p>
        </w:tc>
        <w:tc>
          <w:tcPr>
            <w:tcW w:w="600" w:type="pct"/>
            <w:tcMar>
              <w:top w:w="60" w:type="dxa"/>
              <w:left w:w="100" w:type="dxa"/>
              <w:bottom w:w="60" w:type="dxa"/>
              <w:right w:w="100" w:type="dxa"/>
            </w:tcMar>
            <w:vAlign w:val="center"/>
          </w:tcPr>
          <w:p w14:paraId="67073707"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متوسطة</w:t>
            </w:r>
          </w:p>
        </w:tc>
      </w:tr>
      <w:tr w:rsidR="00E4583A" w14:paraId="1D8AA5D3" w14:textId="77777777">
        <w:trPr>
          <w:jc w:val="center"/>
        </w:trPr>
        <w:tc>
          <w:tcPr>
            <w:tcW w:w="2800" w:type="pct"/>
            <w:tcMar>
              <w:top w:w="60" w:type="dxa"/>
              <w:left w:w="100" w:type="dxa"/>
              <w:bottom w:w="60" w:type="dxa"/>
              <w:right w:w="100" w:type="dxa"/>
            </w:tcMar>
            <w:vAlign w:val="center"/>
          </w:tcPr>
          <w:p w14:paraId="421DEC6D"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تعيق صعوبات التكامل مع الأنظمة القائمة عملية تطبيق تقنية الترميز.</w:t>
            </w:r>
          </w:p>
        </w:tc>
        <w:tc>
          <w:tcPr>
            <w:tcW w:w="700" w:type="pct"/>
            <w:tcMar>
              <w:top w:w="60" w:type="dxa"/>
              <w:left w:w="100" w:type="dxa"/>
              <w:bottom w:w="60" w:type="dxa"/>
              <w:right w:w="100" w:type="dxa"/>
            </w:tcMar>
            <w:vAlign w:val="center"/>
          </w:tcPr>
          <w:p w14:paraId="1103F1BC"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3.107</w:t>
            </w:r>
          </w:p>
        </w:tc>
        <w:tc>
          <w:tcPr>
            <w:tcW w:w="900" w:type="pct"/>
            <w:tcMar>
              <w:top w:w="60" w:type="dxa"/>
              <w:left w:w="100" w:type="dxa"/>
              <w:bottom w:w="60" w:type="dxa"/>
              <w:right w:w="100" w:type="dxa"/>
            </w:tcMar>
            <w:vAlign w:val="center"/>
          </w:tcPr>
          <w:p w14:paraId="5F5D6E7F"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1.250</w:t>
            </w:r>
          </w:p>
        </w:tc>
        <w:tc>
          <w:tcPr>
            <w:tcW w:w="600" w:type="pct"/>
            <w:tcMar>
              <w:top w:w="60" w:type="dxa"/>
              <w:left w:w="100" w:type="dxa"/>
              <w:bottom w:w="60" w:type="dxa"/>
              <w:right w:w="100" w:type="dxa"/>
            </w:tcMar>
            <w:vAlign w:val="center"/>
          </w:tcPr>
          <w:p w14:paraId="1E64D6A1"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متوسطة</w:t>
            </w:r>
          </w:p>
        </w:tc>
      </w:tr>
      <w:tr w:rsidR="00E4583A" w14:paraId="352090D0" w14:textId="77777777">
        <w:trPr>
          <w:jc w:val="center"/>
        </w:trPr>
        <w:tc>
          <w:tcPr>
            <w:tcW w:w="2800" w:type="pct"/>
            <w:tcMar>
              <w:top w:w="60" w:type="dxa"/>
              <w:left w:w="100" w:type="dxa"/>
              <w:bottom w:w="60" w:type="dxa"/>
              <w:right w:w="100" w:type="dxa"/>
            </w:tcMar>
            <w:vAlign w:val="center"/>
          </w:tcPr>
          <w:p w14:paraId="6B084021"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تقيد بعض متطلبات الجهات التنظيمية مرونة تطبيق تقنية الترميز في بعض الأحيان.</w:t>
            </w:r>
          </w:p>
        </w:tc>
        <w:tc>
          <w:tcPr>
            <w:tcW w:w="700" w:type="pct"/>
            <w:tcMar>
              <w:top w:w="60" w:type="dxa"/>
              <w:left w:w="100" w:type="dxa"/>
              <w:bottom w:w="60" w:type="dxa"/>
              <w:right w:w="100" w:type="dxa"/>
            </w:tcMar>
            <w:vAlign w:val="center"/>
          </w:tcPr>
          <w:p w14:paraId="36911FD6"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3.097</w:t>
            </w:r>
          </w:p>
        </w:tc>
        <w:tc>
          <w:tcPr>
            <w:tcW w:w="900" w:type="pct"/>
            <w:tcMar>
              <w:top w:w="60" w:type="dxa"/>
              <w:left w:w="100" w:type="dxa"/>
              <w:bottom w:w="60" w:type="dxa"/>
              <w:right w:w="100" w:type="dxa"/>
            </w:tcMar>
            <w:vAlign w:val="center"/>
          </w:tcPr>
          <w:p w14:paraId="787F134E"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1.291</w:t>
            </w:r>
          </w:p>
        </w:tc>
        <w:tc>
          <w:tcPr>
            <w:tcW w:w="600" w:type="pct"/>
            <w:tcMar>
              <w:top w:w="60" w:type="dxa"/>
              <w:left w:w="100" w:type="dxa"/>
              <w:bottom w:w="60" w:type="dxa"/>
              <w:right w:w="100" w:type="dxa"/>
            </w:tcMar>
            <w:vAlign w:val="center"/>
          </w:tcPr>
          <w:p w14:paraId="3E148AE0"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متوسطة</w:t>
            </w:r>
          </w:p>
        </w:tc>
      </w:tr>
      <w:tr w:rsidR="00E4583A" w14:paraId="79C1A06E" w14:textId="77777777">
        <w:trPr>
          <w:jc w:val="center"/>
        </w:trPr>
        <w:tc>
          <w:tcPr>
            <w:tcW w:w="2800" w:type="pct"/>
            <w:tcMar>
              <w:top w:w="60" w:type="dxa"/>
              <w:left w:w="100" w:type="dxa"/>
              <w:bottom w:w="60" w:type="dxa"/>
              <w:right w:w="100" w:type="dxa"/>
            </w:tcMar>
            <w:vAlign w:val="center"/>
          </w:tcPr>
          <w:p w14:paraId="3D604272"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lastRenderedPageBreak/>
              <w:t>يشكل نقص الوعي الداخلي بأهمية الترميز عائقاً أمام توسيع نطاق التطبيق.</w:t>
            </w:r>
          </w:p>
        </w:tc>
        <w:tc>
          <w:tcPr>
            <w:tcW w:w="700" w:type="pct"/>
            <w:tcMar>
              <w:top w:w="60" w:type="dxa"/>
              <w:left w:w="100" w:type="dxa"/>
              <w:bottom w:w="60" w:type="dxa"/>
              <w:right w:w="100" w:type="dxa"/>
            </w:tcMar>
            <w:vAlign w:val="center"/>
          </w:tcPr>
          <w:p w14:paraId="30E1E2CF"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3.010</w:t>
            </w:r>
          </w:p>
        </w:tc>
        <w:tc>
          <w:tcPr>
            <w:tcW w:w="900" w:type="pct"/>
            <w:tcMar>
              <w:top w:w="60" w:type="dxa"/>
              <w:left w:w="100" w:type="dxa"/>
              <w:bottom w:w="60" w:type="dxa"/>
              <w:right w:w="100" w:type="dxa"/>
            </w:tcMar>
            <w:vAlign w:val="center"/>
          </w:tcPr>
          <w:p w14:paraId="64C6FF68"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1.269</w:t>
            </w:r>
          </w:p>
        </w:tc>
        <w:tc>
          <w:tcPr>
            <w:tcW w:w="600" w:type="pct"/>
            <w:tcMar>
              <w:top w:w="60" w:type="dxa"/>
              <w:left w:w="100" w:type="dxa"/>
              <w:bottom w:w="60" w:type="dxa"/>
              <w:right w:w="100" w:type="dxa"/>
            </w:tcMar>
            <w:vAlign w:val="center"/>
          </w:tcPr>
          <w:p w14:paraId="41411B50"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متوسطة</w:t>
            </w:r>
          </w:p>
        </w:tc>
      </w:tr>
      <w:tr w:rsidR="00E4583A" w14:paraId="139D6BE5" w14:textId="77777777">
        <w:trPr>
          <w:jc w:val="center"/>
        </w:trPr>
        <w:tc>
          <w:tcPr>
            <w:tcW w:w="2800" w:type="pct"/>
            <w:tcMar>
              <w:top w:w="60" w:type="dxa"/>
              <w:left w:w="100" w:type="dxa"/>
              <w:bottom w:w="60" w:type="dxa"/>
              <w:right w:w="100" w:type="dxa"/>
            </w:tcMar>
            <w:vAlign w:val="center"/>
          </w:tcPr>
          <w:p w14:paraId="14348A09"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تعوق صعوبة قياس العائد على الاستثمار (ROI) لتقنية الترميز قرارات التبني المؤسسي.</w:t>
            </w:r>
          </w:p>
        </w:tc>
        <w:tc>
          <w:tcPr>
            <w:tcW w:w="700" w:type="pct"/>
            <w:tcMar>
              <w:top w:w="60" w:type="dxa"/>
              <w:left w:w="100" w:type="dxa"/>
              <w:bottom w:w="60" w:type="dxa"/>
              <w:right w:w="100" w:type="dxa"/>
            </w:tcMar>
            <w:vAlign w:val="center"/>
          </w:tcPr>
          <w:p w14:paraId="3EA0284D"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3.168</w:t>
            </w:r>
          </w:p>
        </w:tc>
        <w:tc>
          <w:tcPr>
            <w:tcW w:w="900" w:type="pct"/>
            <w:tcMar>
              <w:top w:w="60" w:type="dxa"/>
              <w:left w:w="100" w:type="dxa"/>
              <w:bottom w:w="60" w:type="dxa"/>
              <w:right w:w="100" w:type="dxa"/>
            </w:tcMar>
            <w:vAlign w:val="center"/>
          </w:tcPr>
          <w:p w14:paraId="2136F22F"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1.280</w:t>
            </w:r>
          </w:p>
        </w:tc>
        <w:tc>
          <w:tcPr>
            <w:tcW w:w="600" w:type="pct"/>
            <w:tcMar>
              <w:top w:w="60" w:type="dxa"/>
              <w:left w:w="100" w:type="dxa"/>
              <w:bottom w:w="60" w:type="dxa"/>
              <w:right w:w="100" w:type="dxa"/>
            </w:tcMar>
            <w:vAlign w:val="center"/>
          </w:tcPr>
          <w:p w14:paraId="53F5B13E"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متوسطة</w:t>
            </w:r>
          </w:p>
        </w:tc>
      </w:tr>
      <w:tr w:rsidR="00E4583A" w14:paraId="2A6DFFCE" w14:textId="77777777">
        <w:trPr>
          <w:jc w:val="center"/>
        </w:trPr>
        <w:tc>
          <w:tcPr>
            <w:tcW w:w="2800" w:type="pct"/>
            <w:tcMar>
              <w:top w:w="60" w:type="dxa"/>
              <w:left w:w="100" w:type="dxa"/>
              <w:bottom w:w="60" w:type="dxa"/>
              <w:right w:w="100" w:type="dxa"/>
            </w:tcMar>
            <w:vAlign w:val="center"/>
          </w:tcPr>
          <w:p w14:paraId="1940F7E7"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المتوسط العام للبُعد</w:t>
            </w:r>
          </w:p>
        </w:tc>
        <w:tc>
          <w:tcPr>
            <w:tcW w:w="700" w:type="pct"/>
            <w:tcMar>
              <w:top w:w="60" w:type="dxa"/>
              <w:left w:w="100" w:type="dxa"/>
              <w:bottom w:w="60" w:type="dxa"/>
              <w:right w:w="100" w:type="dxa"/>
            </w:tcMar>
            <w:vAlign w:val="center"/>
          </w:tcPr>
          <w:p w14:paraId="6C7305DF"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3.087</w:t>
            </w:r>
          </w:p>
        </w:tc>
        <w:tc>
          <w:tcPr>
            <w:tcW w:w="900" w:type="pct"/>
            <w:tcMar>
              <w:top w:w="60" w:type="dxa"/>
              <w:left w:w="100" w:type="dxa"/>
              <w:bottom w:w="60" w:type="dxa"/>
              <w:right w:w="100" w:type="dxa"/>
            </w:tcMar>
            <w:vAlign w:val="center"/>
          </w:tcPr>
          <w:p w14:paraId="13B53B9E"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0.986</w:t>
            </w:r>
          </w:p>
        </w:tc>
        <w:tc>
          <w:tcPr>
            <w:tcW w:w="600" w:type="pct"/>
            <w:tcMar>
              <w:top w:w="60" w:type="dxa"/>
              <w:left w:w="100" w:type="dxa"/>
              <w:bottom w:w="60" w:type="dxa"/>
              <w:right w:w="100" w:type="dxa"/>
            </w:tcMar>
            <w:vAlign w:val="center"/>
          </w:tcPr>
          <w:p w14:paraId="2ABCDCC3"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متوسطة</w:t>
            </w:r>
          </w:p>
        </w:tc>
      </w:tr>
    </w:tbl>
    <w:p w14:paraId="58FB48F1" w14:textId="77777777" w:rsidR="00E4583A" w:rsidRDefault="00000000">
      <w:pPr>
        <w:bidi/>
        <w:spacing w:after="0" w:line="360" w:lineRule="auto"/>
        <w:jc w:val="center"/>
      </w:pPr>
      <w:r>
        <w:rPr>
          <w:rFonts w:ascii="Traditional Arabic" w:eastAsia="Simplified Arabic" w:hAnsi="Traditional Arabic" w:cs="Traditional Arabic"/>
          <w:b/>
          <w:bCs/>
          <w:sz w:val="24"/>
          <w:szCs w:val="24"/>
          <w:rtl/>
        </w:rPr>
        <w:t>جدول (4.11): الإحصاء الوصفي لعبارات بُعد تحديات تطبيق تقنية الترميز</w:t>
      </w:r>
    </w:p>
    <w:p w14:paraId="3B2A2DDA" w14:textId="77777777" w:rsidR="00E4583A" w:rsidRDefault="00000000">
      <w:pPr>
        <w:bidi/>
        <w:spacing w:after="0" w:line="360" w:lineRule="auto"/>
        <w:jc w:val="both"/>
      </w:pPr>
      <w:r>
        <w:rPr>
          <w:rFonts w:ascii="Traditional Arabic" w:eastAsia="Simplified Arabic" w:hAnsi="Traditional Arabic" w:cs="Traditional Arabic"/>
          <w:sz w:val="28"/>
          <w:szCs w:val="28"/>
          <w:rtl/>
        </w:rPr>
        <w:t>يتضح من الجدول أن المتوسط العام لبُعد تحديات تطبيق تقنية الترميز بلغ (3.087) بانحراف معياري (0.986)، وهو ما يعكس مستوى استجابة (متوسطة) لدى أفراد العينة تجاه عبارات هذا البُعد.</w:t>
      </w:r>
    </w:p>
    <w:p w14:paraId="5C2DD80A" w14:textId="77777777" w:rsidR="00E4583A" w:rsidRDefault="00E4583A">
      <w:pPr>
        <w:bidi/>
        <w:spacing w:after="0" w:line="240" w:lineRule="auto"/>
      </w:pPr>
    </w:p>
    <w:p w14:paraId="65C5DB49" w14:textId="77777777" w:rsidR="00E4583A" w:rsidRDefault="00000000">
      <w:pPr>
        <w:bidi/>
        <w:spacing w:after="0" w:line="360" w:lineRule="auto"/>
        <w:jc w:val="both"/>
      </w:pPr>
      <w:r>
        <w:rPr>
          <w:rFonts w:ascii="Traditional Arabic" w:eastAsia="Simplified Arabic" w:hAnsi="Traditional Arabic" w:cs="Traditional Arabic"/>
          <w:b/>
          <w:bCs/>
          <w:sz w:val="28"/>
          <w:szCs w:val="28"/>
          <w:rtl/>
        </w:rPr>
        <w:t>ملخص المتوسطات العامة لأبعاد الدراسة</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4646"/>
        <w:gridCol w:w="1161"/>
        <w:gridCol w:w="1493"/>
        <w:gridCol w:w="996"/>
      </w:tblGrid>
      <w:tr w:rsidR="00E4583A" w14:paraId="00E5FAC6" w14:textId="77777777">
        <w:trPr>
          <w:tblHeader/>
          <w:jc w:val="center"/>
        </w:trPr>
        <w:tc>
          <w:tcPr>
            <w:tcW w:w="2800" w:type="pct"/>
            <w:shd w:val="clear" w:color="auto" w:fill="2E5395"/>
            <w:tcMar>
              <w:top w:w="60" w:type="dxa"/>
              <w:left w:w="100" w:type="dxa"/>
              <w:bottom w:w="60" w:type="dxa"/>
              <w:right w:w="100" w:type="dxa"/>
            </w:tcMar>
            <w:vAlign w:val="center"/>
          </w:tcPr>
          <w:p w14:paraId="727A6FAF"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البُعد</w:t>
            </w:r>
          </w:p>
        </w:tc>
        <w:tc>
          <w:tcPr>
            <w:tcW w:w="700" w:type="pct"/>
            <w:shd w:val="clear" w:color="auto" w:fill="2E5395"/>
            <w:tcMar>
              <w:top w:w="60" w:type="dxa"/>
              <w:left w:w="100" w:type="dxa"/>
              <w:bottom w:w="60" w:type="dxa"/>
              <w:right w:w="100" w:type="dxa"/>
            </w:tcMar>
            <w:vAlign w:val="center"/>
          </w:tcPr>
          <w:p w14:paraId="5E1B898E"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المتوسط</w:t>
            </w:r>
          </w:p>
        </w:tc>
        <w:tc>
          <w:tcPr>
            <w:tcW w:w="900" w:type="pct"/>
            <w:shd w:val="clear" w:color="auto" w:fill="2E5395"/>
            <w:tcMar>
              <w:top w:w="60" w:type="dxa"/>
              <w:left w:w="100" w:type="dxa"/>
              <w:bottom w:w="60" w:type="dxa"/>
              <w:right w:w="100" w:type="dxa"/>
            </w:tcMar>
            <w:vAlign w:val="center"/>
          </w:tcPr>
          <w:p w14:paraId="6178E586"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الانحراف المعياري</w:t>
            </w:r>
          </w:p>
        </w:tc>
        <w:tc>
          <w:tcPr>
            <w:tcW w:w="600" w:type="pct"/>
            <w:shd w:val="clear" w:color="auto" w:fill="2E5395"/>
            <w:tcMar>
              <w:top w:w="60" w:type="dxa"/>
              <w:left w:w="100" w:type="dxa"/>
              <w:bottom w:w="60" w:type="dxa"/>
              <w:right w:w="100" w:type="dxa"/>
            </w:tcMar>
            <w:vAlign w:val="center"/>
          </w:tcPr>
          <w:p w14:paraId="760A36D2"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المستوى</w:t>
            </w:r>
          </w:p>
        </w:tc>
      </w:tr>
      <w:tr w:rsidR="00E4583A" w14:paraId="749561CA" w14:textId="77777777">
        <w:trPr>
          <w:jc w:val="center"/>
        </w:trPr>
        <w:tc>
          <w:tcPr>
            <w:tcW w:w="2800" w:type="pct"/>
            <w:tcMar>
              <w:top w:w="60" w:type="dxa"/>
              <w:left w:w="100" w:type="dxa"/>
              <w:bottom w:w="60" w:type="dxa"/>
              <w:right w:w="100" w:type="dxa"/>
            </w:tcMar>
            <w:vAlign w:val="center"/>
          </w:tcPr>
          <w:p w14:paraId="11D22160"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تطبيق تقنية الترميز الأمني للبيانات</w:t>
            </w:r>
          </w:p>
        </w:tc>
        <w:tc>
          <w:tcPr>
            <w:tcW w:w="700" w:type="pct"/>
            <w:tcMar>
              <w:top w:w="60" w:type="dxa"/>
              <w:left w:w="100" w:type="dxa"/>
              <w:bottom w:w="60" w:type="dxa"/>
              <w:right w:w="100" w:type="dxa"/>
            </w:tcMar>
            <w:vAlign w:val="center"/>
          </w:tcPr>
          <w:p w14:paraId="45571021"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3.651</w:t>
            </w:r>
          </w:p>
        </w:tc>
        <w:tc>
          <w:tcPr>
            <w:tcW w:w="900" w:type="pct"/>
            <w:tcMar>
              <w:top w:w="60" w:type="dxa"/>
              <w:left w:w="100" w:type="dxa"/>
              <w:bottom w:w="60" w:type="dxa"/>
              <w:right w:w="100" w:type="dxa"/>
            </w:tcMar>
            <w:vAlign w:val="center"/>
          </w:tcPr>
          <w:p w14:paraId="3812A66E"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0.970</w:t>
            </w:r>
          </w:p>
        </w:tc>
        <w:tc>
          <w:tcPr>
            <w:tcW w:w="600" w:type="pct"/>
            <w:tcMar>
              <w:top w:w="60" w:type="dxa"/>
              <w:left w:w="100" w:type="dxa"/>
              <w:bottom w:w="60" w:type="dxa"/>
              <w:right w:w="100" w:type="dxa"/>
            </w:tcMar>
            <w:vAlign w:val="center"/>
          </w:tcPr>
          <w:p w14:paraId="3E87A36D"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متوسطة</w:t>
            </w:r>
          </w:p>
        </w:tc>
      </w:tr>
      <w:tr w:rsidR="00E4583A" w14:paraId="0A41D67F" w14:textId="77777777">
        <w:trPr>
          <w:jc w:val="center"/>
        </w:trPr>
        <w:tc>
          <w:tcPr>
            <w:tcW w:w="2800" w:type="pct"/>
            <w:tcMar>
              <w:top w:w="60" w:type="dxa"/>
              <w:left w:w="100" w:type="dxa"/>
              <w:bottom w:w="60" w:type="dxa"/>
              <w:right w:w="100" w:type="dxa"/>
            </w:tcMar>
            <w:vAlign w:val="center"/>
          </w:tcPr>
          <w:p w14:paraId="21D57061"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الامتثال للمعايير الدولية</w:t>
            </w:r>
          </w:p>
        </w:tc>
        <w:tc>
          <w:tcPr>
            <w:tcW w:w="700" w:type="pct"/>
            <w:tcMar>
              <w:top w:w="60" w:type="dxa"/>
              <w:left w:w="100" w:type="dxa"/>
              <w:bottom w:w="60" w:type="dxa"/>
              <w:right w:w="100" w:type="dxa"/>
            </w:tcMar>
            <w:vAlign w:val="center"/>
          </w:tcPr>
          <w:p w14:paraId="14450598"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3.694</w:t>
            </w:r>
          </w:p>
        </w:tc>
        <w:tc>
          <w:tcPr>
            <w:tcW w:w="900" w:type="pct"/>
            <w:tcMar>
              <w:top w:w="60" w:type="dxa"/>
              <w:left w:w="100" w:type="dxa"/>
              <w:bottom w:w="60" w:type="dxa"/>
              <w:right w:w="100" w:type="dxa"/>
            </w:tcMar>
            <w:vAlign w:val="center"/>
          </w:tcPr>
          <w:p w14:paraId="36F44F38"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0.954</w:t>
            </w:r>
          </w:p>
        </w:tc>
        <w:tc>
          <w:tcPr>
            <w:tcW w:w="600" w:type="pct"/>
            <w:tcMar>
              <w:top w:w="60" w:type="dxa"/>
              <w:left w:w="100" w:type="dxa"/>
              <w:bottom w:w="60" w:type="dxa"/>
              <w:right w:w="100" w:type="dxa"/>
            </w:tcMar>
            <w:vAlign w:val="center"/>
          </w:tcPr>
          <w:p w14:paraId="558FD742"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مرتفعة</w:t>
            </w:r>
          </w:p>
        </w:tc>
      </w:tr>
      <w:tr w:rsidR="00E4583A" w14:paraId="6239F043" w14:textId="77777777">
        <w:trPr>
          <w:jc w:val="center"/>
        </w:trPr>
        <w:tc>
          <w:tcPr>
            <w:tcW w:w="2800" w:type="pct"/>
            <w:tcMar>
              <w:top w:w="60" w:type="dxa"/>
              <w:left w:w="100" w:type="dxa"/>
              <w:bottom w:w="60" w:type="dxa"/>
              <w:right w:w="100" w:type="dxa"/>
            </w:tcMar>
            <w:vAlign w:val="center"/>
          </w:tcPr>
          <w:p w14:paraId="1ACE7F9C"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الأمن السيبراني المؤسسي</w:t>
            </w:r>
          </w:p>
        </w:tc>
        <w:tc>
          <w:tcPr>
            <w:tcW w:w="700" w:type="pct"/>
            <w:tcMar>
              <w:top w:w="60" w:type="dxa"/>
              <w:left w:w="100" w:type="dxa"/>
              <w:bottom w:w="60" w:type="dxa"/>
              <w:right w:w="100" w:type="dxa"/>
            </w:tcMar>
            <w:vAlign w:val="center"/>
          </w:tcPr>
          <w:p w14:paraId="7F02435B"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3.609</w:t>
            </w:r>
          </w:p>
        </w:tc>
        <w:tc>
          <w:tcPr>
            <w:tcW w:w="900" w:type="pct"/>
            <w:tcMar>
              <w:top w:w="60" w:type="dxa"/>
              <w:left w:w="100" w:type="dxa"/>
              <w:bottom w:w="60" w:type="dxa"/>
              <w:right w:w="100" w:type="dxa"/>
            </w:tcMar>
            <w:vAlign w:val="center"/>
          </w:tcPr>
          <w:p w14:paraId="14DF0966"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0.950</w:t>
            </w:r>
          </w:p>
        </w:tc>
        <w:tc>
          <w:tcPr>
            <w:tcW w:w="600" w:type="pct"/>
            <w:tcMar>
              <w:top w:w="60" w:type="dxa"/>
              <w:left w:w="100" w:type="dxa"/>
              <w:bottom w:w="60" w:type="dxa"/>
              <w:right w:w="100" w:type="dxa"/>
            </w:tcMar>
            <w:vAlign w:val="center"/>
          </w:tcPr>
          <w:p w14:paraId="4B7853F6"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متوسطة</w:t>
            </w:r>
          </w:p>
        </w:tc>
      </w:tr>
      <w:tr w:rsidR="00E4583A" w14:paraId="71689485" w14:textId="77777777">
        <w:trPr>
          <w:jc w:val="center"/>
        </w:trPr>
        <w:tc>
          <w:tcPr>
            <w:tcW w:w="2800" w:type="pct"/>
            <w:tcMar>
              <w:top w:w="60" w:type="dxa"/>
              <w:left w:w="100" w:type="dxa"/>
              <w:bottom w:w="60" w:type="dxa"/>
              <w:right w:w="100" w:type="dxa"/>
            </w:tcMar>
            <w:vAlign w:val="center"/>
          </w:tcPr>
          <w:p w14:paraId="63C329C2"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كفاءة العمليات المالية</w:t>
            </w:r>
          </w:p>
        </w:tc>
        <w:tc>
          <w:tcPr>
            <w:tcW w:w="700" w:type="pct"/>
            <w:tcMar>
              <w:top w:w="60" w:type="dxa"/>
              <w:left w:w="100" w:type="dxa"/>
              <w:bottom w:w="60" w:type="dxa"/>
              <w:right w:w="100" w:type="dxa"/>
            </w:tcMar>
            <w:vAlign w:val="center"/>
          </w:tcPr>
          <w:p w14:paraId="5125D523"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3.626</w:t>
            </w:r>
          </w:p>
        </w:tc>
        <w:tc>
          <w:tcPr>
            <w:tcW w:w="900" w:type="pct"/>
            <w:tcMar>
              <w:top w:w="60" w:type="dxa"/>
              <w:left w:w="100" w:type="dxa"/>
              <w:bottom w:w="60" w:type="dxa"/>
              <w:right w:w="100" w:type="dxa"/>
            </w:tcMar>
            <w:vAlign w:val="center"/>
          </w:tcPr>
          <w:p w14:paraId="336E7B81"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0.928</w:t>
            </w:r>
          </w:p>
        </w:tc>
        <w:tc>
          <w:tcPr>
            <w:tcW w:w="600" w:type="pct"/>
            <w:tcMar>
              <w:top w:w="60" w:type="dxa"/>
              <w:left w:w="100" w:type="dxa"/>
              <w:bottom w:w="60" w:type="dxa"/>
              <w:right w:w="100" w:type="dxa"/>
            </w:tcMar>
            <w:vAlign w:val="center"/>
          </w:tcPr>
          <w:p w14:paraId="3084CAE6"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متوسطة</w:t>
            </w:r>
          </w:p>
        </w:tc>
      </w:tr>
      <w:tr w:rsidR="00E4583A" w14:paraId="54B32876" w14:textId="77777777">
        <w:trPr>
          <w:jc w:val="center"/>
        </w:trPr>
        <w:tc>
          <w:tcPr>
            <w:tcW w:w="2800" w:type="pct"/>
            <w:tcMar>
              <w:top w:w="60" w:type="dxa"/>
              <w:left w:w="100" w:type="dxa"/>
              <w:bottom w:w="60" w:type="dxa"/>
              <w:right w:w="100" w:type="dxa"/>
            </w:tcMar>
            <w:vAlign w:val="center"/>
          </w:tcPr>
          <w:p w14:paraId="5416B0A5"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تحديات تطبيق تقنية الترميز</w:t>
            </w:r>
          </w:p>
        </w:tc>
        <w:tc>
          <w:tcPr>
            <w:tcW w:w="700" w:type="pct"/>
            <w:tcMar>
              <w:top w:w="60" w:type="dxa"/>
              <w:left w:w="100" w:type="dxa"/>
              <w:bottom w:w="60" w:type="dxa"/>
              <w:right w:w="100" w:type="dxa"/>
            </w:tcMar>
            <w:vAlign w:val="center"/>
          </w:tcPr>
          <w:p w14:paraId="05838D60"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3.087</w:t>
            </w:r>
          </w:p>
        </w:tc>
        <w:tc>
          <w:tcPr>
            <w:tcW w:w="900" w:type="pct"/>
            <w:tcMar>
              <w:top w:w="60" w:type="dxa"/>
              <w:left w:w="100" w:type="dxa"/>
              <w:bottom w:w="60" w:type="dxa"/>
              <w:right w:w="100" w:type="dxa"/>
            </w:tcMar>
            <w:vAlign w:val="center"/>
          </w:tcPr>
          <w:p w14:paraId="22D350C7"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0.986</w:t>
            </w:r>
          </w:p>
        </w:tc>
        <w:tc>
          <w:tcPr>
            <w:tcW w:w="600" w:type="pct"/>
            <w:tcMar>
              <w:top w:w="60" w:type="dxa"/>
              <w:left w:w="100" w:type="dxa"/>
              <w:bottom w:w="60" w:type="dxa"/>
              <w:right w:w="100" w:type="dxa"/>
            </w:tcMar>
            <w:vAlign w:val="center"/>
          </w:tcPr>
          <w:p w14:paraId="1FCE9EEA"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متوسطة</w:t>
            </w:r>
          </w:p>
        </w:tc>
      </w:tr>
    </w:tbl>
    <w:p w14:paraId="78240C35" w14:textId="77777777" w:rsidR="00E4583A" w:rsidRDefault="00000000">
      <w:pPr>
        <w:bidi/>
        <w:spacing w:after="0" w:line="360" w:lineRule="auto"/>
        <w:jc w:val="center"/>
      </w:pPr>
      <w:r>
        <w:rPr>
          <w:rFonts w:ascii="Traditional Arabic" w:eastAsia="Simplified Arabic" w:hAnsi="Traditional Arabic" w:cs="Traditional Arabic"/>
          <w:b/>
          <w:bCs/>
          <w:sz w:val="24"/>
          <w:szCs w:val="24"/>
          <w:rtl/>
        </w:rPr>
        <w:t>جدول (4.12): ملخص المتوسطات الحسابية لأبعاد الدراسة</w:t>
      </w:r>
    </w:p>
    <w:p w14:paraId="19F54930" w14:textId="77777777" w:rsidR="00E4583A" w:rsidRDefault="00E4583A">
      <w:pPr>
        <w:bidi/>
        <w:spacing w:after="0" w:line="240" w:lineRule="auto"/>
      </w:pPr>
    </w:p>
    <w:p w14:paraId="72057AB2" w14:textId="77777777" w:rsidR="00E4583A" w:rsidRDefault="00000000">
      <w:pPr>
        <w:pStyle w:val="HeadingTOCEntry"/>
        <w:bidi/>
        <w:spacing w:after="0" w:line="360" w:lineRule="auto"/>
        <w:ind w:left="432" w:hanging="432"/>
        <w:rPr>
          <w:rFonts w:ascii="Simplified Arabic" w:hAnsi="Simplified Arabic" w:cs="Simplified Arabic"/>
          <w:b/>
          <w:bCs/>
          <w:sz w:val="28"/>
          <w:szCs w:val="28"/>
          <w:u w:val="single"/>
        </w:rPr>
      </w:pPr>
      <w:r>
        <w:rPr>
          <w:rFonts w:ascii="Traditional Arabic" w:eastAsia="Simplified Arabic" w:hAnsi="Traditional Arabic" w:cs="Traditional Arabic"/>
          <w:b/>
          <w:bCs/>
          <w:sz w:val="32"/>
          <w:szCs w:val="32"/>
          <w:u w:val="single"/>
          <w:rtl/>
        </w:rPr>
        <w:t>ثالثاً: اختبار صدق وثبات أداة الدراسة</w:t>
      </w:r>
    </w:p>
    <w:p w14:paraId="5740EAB6" w14:textId="77777777" w:rsidR="00E4583A" w:rsidRDefault="00000000">
      <w:pPr>
        <w:bidi/>
        <w:spacing w:after="0" w:line="360" w:lineRule="auto"/>
        <w:jc w:val="both"/>
      </w:pPr>
      <w:r>
        <w:rPr>
          <w:rFonts w:ascii="Traditional Arabic" w:eastAsia="Simplified Arabic" w:hAnsi="Traditional Arabic" w:cs="Traditional Arabic"/>
          <w:b/>
          <w:bCs/>
          <w:sz w:val="28"/>
          <w:szCs w:val="28"/>
          <w:rtl/>
        </w:rPr>
        <w:t>1. الصدق الظاهري</w:t>
      </w:r>
    </w:p>
    <w:p w14:paraId="70791F42" w14:textId="77777777" w:rsidR="00E4583A" w:rsidRDefault="00000000">
      <w:pPr>
        <w:bidi/>
        <w:spacing w:after="0" w:line="360" w:lineRule="auto"/>
        <w:jc w:val="both"/>
      </w:pPr>
      <w:r>
        <w:rPr>
          <w:rFonts w:ascii="Traditional Arabic" w:eastAsia="Simplified Arabic" w:hAnsi="Traditional Arabic" w:cs="Traditional Arabic"/>
          <w:sz w:val="28"/>
          <w:szCs w:val="28"/>
          <w:rtl/>
        </w:rPr>
        <w:t>جرى التحقق من الصدق الظاهري لأداة الدراسة من خلال عرضها على الدكتور أيمن باكير والدكتورة سارة محمود من جامعة Midocean، وفق ما هو مفصّل في الفصل الثالث (البند 3.6.3)، وأُخذ برأي المحكّمَين في صياغة العبارات النهائية.</w:t>
      </w:r>
    </w:p>
    <w:p w14:paraId="71B10A54" w14:textId="77777777" w:rsidR="00E4583A" w:rsidRDefault="00E4583A">
      <w:pPr>
        <w:bidi/>
        <w:spacing w:after="0" w:line="240" w:lineRule="auto"/>
      </w:pPr>
    </w:p>
    <w:p w14:paraId="2FE63353" w14:textId="77777777" w:rsidR="00E4583A" w:rsidRDefault="00000000">
      <w:pPr>
        <w:bidi/>
        <w:spacing w:after="0" w:line="360" w:lineRule="auto"/>
        <w:jc w:val="both"/>
      </w:pPr>
      <w:r>
        <w:rPr>
          <w:rFonts w:ascii="Traditional Arabic" w:eastAsia="Simplified Arabic" w:hAnsi="Traditional Arabic" w:cs="Traditional Arabic"/>
          <w:b/>
          <w:bCs/>
          <w:sz w:val="28"/>
          <w:szCs w:val="28"/>
          <w:rtl/>
        </w:rPr>
        <w:t>2. صدق الاتساق الداخلي</w:t>
      </w:r>
    </w:p>
    <w:p w14:paraId="2D4BC5E7" w14:textId="77777777" w:rsidR="00E4583A" w:rsidRDefault="00000000">
      <w:pPr>
        <w:bidi/>
        <w:spacing w:after="0" w:line="360" w:lineRule="auto"/>
        <w:jc w:val="both"/>
      </w:pPr>
      <w:r>
        <w:rPr>
          <w:rFonts w:ascii="Traditional Arabic" w:eastAsia="Simplified Arabic" w:hAnsi="Traditional Arabic" w:cs="Traditional Arabic"/>
          <w:sz w:val="28"/>
          <w:szCs w:val="28"/>
          <w:rtl/>
        </w:rPr>
        <w:lastRenderedPageBreak/>
        <w:t>تحقق الباحث من صدق الاتساق الداخلي لعبارات الأداة من خلال حساب معامل ارتباط بيرسون بين درجة كل عبارة والدرجة الكلية للبُعد الذي تنتمي إليه.</w:t>
      </w:r>
    </w:p>
    <w:p w14:paraId="4EF40516" w14:textId="77777777" w:rsidR="00E4583A" w:rsidRDefault="00E4583A">
      <w:pPr>
        <w:bidi/>
        <w:spacing w:after="0" w:line="240" w:lineRule="auto"/>
      </w:pPr>
    </w:p>
    <w:p w14:paraId="0273F27D" w14:textId="77777777" w:rsidR="00E4583A" w:rsidRDefault="00000000">
      <w:pPr>
        <w:bidi/>
        <w:spacing w:after="0" w:line="360" w:lineRule="auto"/>
        <w:jc w:val="both"/>
      </w:pPr>
      <w:r>
        <w:rPr>
          <w:rFonts w:ascii="Traditional Arabic" w:eastAsia="Simplified Arabic" w:hAnsi="Traditional Arabic" w:cs="Traditional Arabic"/>
          <w:b/>
          <w:bCs/>
          <w:sz w:val="28"/>
          <w:szCs w:val="28"/>
          <w:rtl/>
        </w:rPr>
        <w:t>صدق الاتساق الداخلي لبُعد: تطبيق تقنية الترميز الأمني للبيانات</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5310"/>
        <w:gridCol w:w="1825"/>
        <w:gridCol w:w="1161"/>
      </w:tblGrid>
      <w:tr w:rsidR="00E4583A" w14:paraId="0972327E" w14:textId="77777777">
        <w:trPr>
          <w:tblHeader/>
          <w:jc w:val="center"/>
        </w:trPr>
        <w:tc>
          <w:tcPr>
            <w:tcW w:w="3200" w:type="pct"/>
            <w:shd w:val="clear" w:color="auto" w:fill="2E5395"/>
            <w:tcMar>
              <w:top w:w="60" w:type="dxa"/>
              <w:left w:w="100" w:type="dxa"/>
              <w:bottom w:w="60" w:type="dxa"/>
              <w:right w:w="100" w:type="dxa"/>
            </w:tcMar>
            <w:vAlign w:val="center"/>
          </w:tcPr>
          <w:p w14:paraId="352A628D"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العبارة</w:t>
            </w:r>
          </w:p>
        </w:tc>
        <w:tc>
          <w:tcPr>
            <w:tcW w:w="1100" w:type="pct"/>
            <w:shd w:val="clear" w:color="auto" w:fill="2E5395"/>
            <w:tcMar>
              <w:top w:w="60" w:type="dxa"/>
              <w:left w:w="100" w:type="dxa"/>
              <w:bottom w:w="60" w:type="dxa"/>
              <w:right w:w="100" w:type="dxa"/>
            </w:tcMar>
            <w:vAlign w:val="center"/>
          </w:tcPr>
          <w:p w14:paraId="36139D75"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معامل الارتباط بالدرجة الكلية للبُعد</w:t>
            </w:r>
          </w:p>
        </w:tc>
        <w:tc>
          <w:tcPr>
            <w:tcW w:w="700" w:type="pct"/>
            <w:shd w:val="clear" w:color="auto" w:fill="2E5395"/>
            <w:tcMar>
              <w:top w:w="60" w:type="dxa"/>
              <w:left w:w="100" w:type="dxa"/>
              <w:bottom w:w="60" w:type="dxa"/>
              <w:right w:w="100" w:type="dxa"/>
            </w:tcMar>
            <w:vAlign w:val="center"/>
          </w:tcPr>
          <w:p w14:paraId="298C6101"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القيمة الاحتمالية</w:t>
            </w:r>
          </w:p>
        </w:tc>
      </w:tr>
      <w:tr w:rsidR="00E4583A" w14:paraId="39E5A420" w14:textId="77777777">
        <w:trPr>
          <w:jc w:val="center"/>
        </w:trPr>
        <w:tc>
          <w:tcPr>
            <w:tcW w:w="3200" w:type="pct"/>
            <w:tcMar>
              <w:top w:w="60" w:type="dxa"/>
              <w:left w:w="100" w:type="dxa"/>
              <w:bottom w:w="60" w:type="dxa"/>
              <w:right w:w="100" w:type="dxa"/>
            </w:tcMar>
            <w:vAlign w:val="center"/>
          </w:tcPr>
          <w:p w14:paraId="7D07B80D"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تستخدم مؤسستنا تقنية الترميز لحماية بيانات الدفع والمعاملات المالية الحساسة.</w:t>
            </w:r>
          </w:p>
        </w:tc>
        <w:tc>
          <w:tcPr>
            <w:tcW w:w="1100" w:type="pct"/>
            <w:tcMar>
              <w:top w:w="60" w:type="dxa"/>
              <w:left w:w="100" w:type="dxa"/>
              <w:bottom w:w="60" w:type="dxa"/>
              <w:right w:w="100" w:type="dxa"/>
            </w:tcMar>
            <w:vAlign w:val="center"/>
          </w:tcPr>
          <w:p w14:paraId="2C2CD857"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0.626</w:t>
            </w:r>
          </w:p>
        </w:tc>
        <w:tc>
          <w:tcPr>
            <w:tcW w:w="700" w:type="pct"/>
            <w:tcMar>
              <w:top w:w="60" w:type="dxa"/>
              <w:left w:w="100" w:type="dxa"/>
              <w:bottom w:w="60" w:type="dxa"/>
              <w:right w:w="100" w:type="dxa"/>
            </w:tcMar>
            <w:vAlign w:val="center"/>
          </w:tcPr>
          <w:p w14:paraId="4F7440C5"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0.001&gt;</w:t>
            </w:r>
          </w:p>
        </w:tc>
      </w:tr>
      <w:tr w:rsidR="00E4583A" w14:paraId="4A834AED" w14:textId="77777777">
        <w:trPr>
          <w:jc w:val="center"/>
        </w:trPr>
        <w:tc>
          <w:tcPr>
            <w:tcW w:w="3200" w:type="pct"/>
            <w:tcMar>
              <w:top w:w="60" w:type="dxa"/>
              <w:left w:w="100" w:type="dxa"/>
              <w:bottom w:w="60" w:type="dxa"/>
              <w:right w:w="100" w:type="dxa"/>
            </w:tcMar>
            <w:vAlign w:val="center"/>
          </w:tcPr>
          <w:p w14:paraId="39D6424E"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تطبق مؤسستنا ترميز البيانات في مرحلة التخزين (Tokenization at Rest).</w:t>
            </w:r>
          </w:p>
        </w:tc>
        <w:tc>
          <w:tcPr>
            <w:tcW w:w="1100" w:type="pct"/>
            <w:tcMar>
              <w:top w:w="60" w:type="dxa"/>
              <w:left w:w="100" w:type="dxa"/>
              <w:bottom w:w="60" w:type="dxa"/>
              <w:right w:w="100" w:type="dxa"/>
            </w:tcMar>
            <w:vAlign w:val="center"/>
          </w:tcPr>
          <w:p w14:paraId="6BBA8CA4"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0.634</w:t>
            </w:r>
          </w:p>
        </w:tc>
        <w:tc>
          <w:tcPr>
            <w:tcW w:w="700" w:type="pct"/>
            <w:tcMar>
              <w:top w:w="60" w:type="dxa"/>
              <w:left w:w="100" w:type="dxa"/>
              <w:bottom w:w="60" w:type="dxa"/>
              <w:right w:w="100" w:type="dxa"/>
            </w:tcMar>
            <w:vAlign w:val="center"/>
          </w:tcPr>
          <w:p w14:paraId="6EB25567"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0.001&gt;</w:t>
            </w:r>
          </w:p>
        </w:tc>
      </w:tr>
      <w:tr w:rsidR="00E4583A" w14:paraId="21E579AB" w14:textId="77777777">
        <w:trPr>
          <w:jc w:val="center"/>
        </w:trPr>
        <w:tc>
          <w:tcPr>
            <w:tcW w:w="3200" w:type="pct"/>
            <w:tcMar>
              <w:top w:w="60" w:type="dxa"/>
              <w:left w:w="100" w:type="dxa"/>
              <w:bottom w:w="60" w:type="dxa"/>
              <w:right w:w="100" w:type="dxa"/>
            </w:tcMar>
            <w:vAlign w:val="center"/>
          </w:tcPr>
          <w:p w14:paraId="29DE3F57"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تطبق مؤسستنا ترميز البيانات في مرحلة النقل (Tokenization in Transit).</w:t>
            </w:r>
          </w:p>
        </w:tc>
        <w:tc>
          <w:tcPr>
            <w:tcW w:w="1100" w:type="pct"/>
            <w:tcMar>
              <w:top w:w="60" w:type="dxa"/>
              <w:left w:w="100" w:type="dxa"/>
              <w:bottom w:w="60" w:type="dxa"/>
              <w:right w:w="100" w:type="dxa"/>
            </w:tcMar>
            <w:vAlign w:val="center"/>
          </w:tcPr>
          <w:p w14:paraId="4E30ACE5"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0.677</w:t>
            </w:r>
          </w:p>
        </w:tc>
        <w:tc>
          <w:tcPr>
            <w:tcW w:w="700" w:type="pct"/>
            <w:tcMar>
              <w:top w:w="60" w:type="dxa"/>
              <w:left w:w="100" w:type="dxa"/>
              <w:bottom w:w="60" w:type="dxa"/>
              <w:right w:w="100" w:type="dxa"/>
            </w:tcMar>
            <w:vAlign w:val="center"/>
          </w:tcPr>
          <w:p w14:paraId="3C65A130"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0.001&gt;</w:t>
            </w:r>
          </w:p>
        </w:tc>
      </w:tr>
      <w:tr w:rsidR="00E4583A" w14:paraId="6E6ED486" w14:textId="77777777">
        <w:trPr>
          <w:jc w:val="center"/>
        </w:trPr>
        <w:tc>
          <w:tcPr>
            <w:tcW w:w="3200" w:type="pct"/>
            <w:tcMar>
              <w:top w:w="60" w:type="dxa"/>
              <w:left w:w="100" w:type="dxa"/>
              <w:bottom w:w="60" w:type="dxa"/>
              <w:right w:w="100" w:type="dxa"/>
            </w:tcMar>
            <w:vAlign w:val="center"/>
          </w:tcPr>
          <w:p w14:paraId="7B7956AE"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تغطي تقنية الترميز أنواعاً متعددة من البيانات الحساسة (بطاقات الدفع، الهوية، الحسابات).</w:t>
            </w:r>
          </w:p>
        </w:tc>
        <w:tc>
          <w:tcPr>
            <w:tcW w:w="1100" w:type="pct"/>
            <w:tcMar>
              <w:top w:w="60" w:type="dxa"/>
              <w:left w:w="100" w:type="dxa"/>
              <w:bottom w:w="60" w:type="dxa"/>
              <w:right w:w="100" w:type="dxa"/>
            </w:tcMar>
            <w:vAlign w:val="center"/>
          </w:tcPr>
          <w:p w14:paraId="78FF4EF0"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0.629</w:t>
            </w:r>
          </w:p>
        </w:tc>
        <w:tc>
          <w:tcPr>
            <w:tcW w:w="700" w:type="pct"/>
            <w:tcMar>
              <w:top w:w="60" w:type="dxa"/>
              <w:left w:w="100" w:type="dxa"/>
              <w:bottom w:w="60" w:type="dxa"/>
              <w:right w:w="100" w:type="dxa"/>
            </w:tcMar>
            <w:vAlign w:val="center"/>
          </w:tcPr>
          <w:p w14:paraId="75844598"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0.001&gt;</w:t>
            </w:r>
          </w:p>
        </w:tc>
      </w:tr>
      <w:tr w:rsidR="00E4583A" w14:paraId="5E4D6DC6" w14:textId="77777777">
        <w:trPr>
          <w:jc w:val="center"/>
        </w:trPr>
        <w:tc>
          <w:tcPr>
            <w:tcW w:w="3200" w:type="pct"/>
            <w:tcMar>
              <w:top w:w="60" w:type="dxa"/>
              <w:left w:w="100" w:type="dxa"/>
              <w:bottom w:w="60" w:type="dxa"/>
              <w:right w:w="100" w:type="dxa"/>
            </w:tcMar>
            <w:vAlign w:val="center"/>
          </w:tcPr>
          <w:p w14:paraId="2CDBFFB5"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تطبق آلية الترميز على جميع قنوات الدفع الإلكتروني في مؤسستنا.</w:t>
            </w:r>
          </w:p>
        </w:tc>
        <w:tc>
          <w:tcPr>
            <w:tcW w:w="1100" w:type="pct"/>
            <w:tcMar>
              <w:top w:w="60" w:type="dxa"/>
              <w:left w:w="100" w:type="dxa"/>
              <w:bottom w:w="60" w:type="dxa"/>
              <w:right w:w="100" w:type="dxa"/>
            </w:tcMar>
            <w:vAlign w:val="center"/>
          </w:tcPr>
          <w:p w14:paraId="0EED934E"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0.709</w:t>
            </w:r>
          </w:p>
        </w:tc>
        <w:tc>
          <w:tcPr>
            <w:tcW w:w="700" w:type="pct"/>
            <w:tcMar>
              <w:top w:w="60" w:type="dxa"/>
              <w:left w:w="100" w:type="dxa"/>
              <w:bottom w:w="60" w:type="dxa"/>
              <w:right w:w="100" w:type="dxa"/>
            </w:tcMar>
            <w:vAlign w:val="center"/>
          </w:tcPr>
          <w:p w14:paraId="4B38D4ED"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0.001&gt;</w:t>
            </w:r>
          </w:p>
        </w:tc>
      </w:tr>
      <w:tr w:rsidR="00E4583A" w14:paraId="0D2DBFF1" w14:textId="77777777">
        <w:trPr>
          <w:jc w:val="center"/>
        </w:trPr>
        <w:tc>
          <w:tcPr>
            <w:tcW w:w="3200" w:type="pct"/>
            <w:tcMar>
              <w:top w:w="60" w:type="dxa"/>
              <w:left w:w="100" w:type="dxa"/>
              <w:bottom w:w="60" w:type="dxa"/>
              <w:right w:w="100" w:type="dxa"/>
            </w:tcMar>
            <w:vAlign w:val="center"/>
          </w:tcPr>
          <w:p w14:paraId="5B79316D"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تحدث منظومة الترميز بصفة منتظمة لمواكبة التطورات التقنية والتهديدات المستحدثة.</w:t>
            </w:r>
          </w:p>
        </w:tc>
        <w:tc>
          <w:tcPr>
            <w:tcW w:w="1100" w:type="pct"/>
            <w:tcMar>
              <w:top w:w="60" w:type="dxa"/>
              <w:left w:w="100" w:type="dxa"/>
              <w:bottom w:w="60" w:type="dxa"/>
              <w:right w:w="100" w:type="dxa"/>
            </w:tcMar>
            <w:vAlign w:val="center"/>
          </w:tcPr>
          <w:p w14:paraId="5369FD09"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0.621</w:t>
            </w:r>
          </w:p>
        </w:tc>
        <w:tc>
          <w:tcPr>
            <w:tcW w:w="700" w:type="pct"/>
            <w:tcMar>
              <w:top w:w="60" w:type="dxa"/>
              <w:left w:w="100" w:type="dxa"/>
              <w:bottom w:w="60" w:type="dxa"/>
              <w:right w:w="100" w:type="dxa"/>
            </w:tcMar>
            <w:vAlign w:val="center"/>
          </w:tcPr>
          <w:p w14:paraId="241D2554"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0.001&gt;</w:t>
            </w:r>
          </w:p>
        </w:tc>
      </w:tr>
    </w:tbl>
    <w:p w14:paraId="2F292B69" w14:textId="77777777" w:rsidR="00E4583A" w:rsidRDefault="00000000">
      <w:pPr>
        <w:bidi/>
        <w:spacing w:after="0" w:line="360" w:lineRule="auto"/>
        <w:jc w:val="center"/>
      </w:pPr>
      <w:r>
        <w:rPr>
          <w:rFonts w:ascii="Traditional Arabic" w:eastAsia="Simplified Arabic" w:hAnsi="Traditional Arabic" w:cs="Traditional Arabic"/>
          <w:b/>
          <w:bCs/>
          <w:sz w:val="24"/>
          <w:szCs w:val="24"/>
          <w:rtl/>
        </w:rPr>
        <w:t>جدول (4.13): معاملات الاتساق الداخلي لعبارات بُعد تطبيق تقنية الترميز الأمني للبيانات</w:t>
      </w:r>
    </w:p>
    <w:p w14:paraId="59733116" w14:textId="77777777" w:rsidR="00E4583A" w:rsidRDefault="00000000">
      <w:pPr>
        <w:bidi/>
        <w:spacing w:after="0" w:line="360" w:lineRule="auto"/>
        <w:jc w:val="both"/>
      </w:pPr>
      <w:r>
        <w:rPr>
          <w:rFonts w:ascii="Traditional Arabic" w:eastAsia="Simplified Arabic" w:hAnsi="Traditional Arabic" w:cs="Traditional Arabic"/>
          <w:sz w:val="28"/>
          <w:szCs w:val="28"/>
          <w:rtl/>
        </w:rPr>
        <w:t>يتضح من الجدول أن جميع معاملات الارتباط دالة إحصائياً عند مستوى (0.01)، وتراوحت بين (0.621) و(0.709)، وهو ما يؤكد اتساق عبارات هذا البُعد داخلياً.</w:t>
      </w:r>
    </w:p>
    <w:p w14:paraId="332EFFF2" w14:textId="77777777" w:rsidR="00E4583A" w:rsidRDefault="00E4583A">
      <w:pPr>
        <w:bidi/>
        <w:spacing w:after="0" w:line="240" w:lineRule="auto"/>
      </w:pPr>
    </w:p>
    <w:p w14:paraId="2D1DB06C" w14:textId="77777777" w:rsidR="00E4583A" w:rsidRDefault="00000000">
      <w:pPr>
        <w:bidi/>
        <w:spacing w:after="0" w:line="360" w:lineRule="auto"/>
        <w:jc w:val="both"/>
      </w:pPr>
      <w:r>
        <w:rPr>
          <w:rFonts w:ascii="Traditional Arabic" w:eastAsia="Simplified Arabic" w:hAnsi="Traditional Arabic" w:cs="Traditional Arabic"/>
          <w:b/>
          <w:bCs/>
          <w:sz w:val="28"/>
          <w:szCs w:val="28"/>
          <w:rtl/>
        </w:rPr>
        <w:t>صدق الاتساق الداخلي لبُعد: الامتثال للمعايير الدولية</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5310"/>
        <w:gridCol w:w="1825"/>
        <w:gridCol w:w="1161"/>
      </w:tblGrid>
      <w:tr w:rsidR="00E4583A" w14:paraId="59D4ECD2" w14:textId="77777777">
        <w:trPr>
          <w:tblHeader/>
          <w:jc w:val="center"/>
        </w:trPr>
        <w:tc>
          <w:tcPr>
            <w:tcW w:w="3200" w:type="pct"/>
            <w:shd w:val="clear" w:color="auto" w:fill="2E5395"/>
            <w:tcMar>
              <w:top w:w="60" w:type="dxa"/>
              <w:left w:w="100" w:type="dxa"/>
              <w:bottom w:w="60" w:type="dxa"/>
              <w:right w:w="100" w:type="dxa"/>
            </w:tcMar>
            <w:vAlign w:val="center"/>
          </w:tcPr>
          <w:p w14:paraId="6705D9FA"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العبارة</w:t>
            </w:r>
          </w:p>
        </w:tc>
        <w:tc>
          <w:tcPr>
            <w:tcW w:w="1100" w:type="pct"/>
            <w:shd w:val="clear" w:color="auto" w:fill="2E5395"/>
            <w:tcMar>
              <w:top w:w="60" w:type="dxa"/>
              <w:left w:w="100" w:type="dxa"/>
              <w:bottom w:w="60" w:type="dxa"/>
              <w:right w:w="100" w:type="dxa"/>
            </w:tcMar>
            <w:vAlign w:val="center"/>
          </w:tcPr>
          <w:p w14:paraId="6688353E"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معامل الارتباط بالدرجة الكلية للبُعد</w:t>
            </w:r>
          </w:p>
        </w:tc>
        <w:tc>
          <w:tcPr>
            <w:tcW w:w="700" w:type="pct"/>
            <w:shd w:val="clear" w:color="auto" w:fill="2E5395"/>
            <w:tcMar>
              <w:top w:w="60" w:type="dxa"/>
              <w:left w:w="100" w:type="dxa"/>
              <w:bottom w:w="60" w:type="dxa"/>
              <w:right w:w="100" w:type="dxa"/>
            </w:tcMar>
            <w:vAlign w:val="center"/>
          </w:tcPr>
          <w:p w14:paraId="126F7B2B"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القيمة الاحتمالية</w:t>
            </w:r>
          </w:p>
        </w:tc>
      </w:tr>
      <w:tr w:rsidR="00E4583A" w14:paraId="0B6125E1" w14:textId="77777777">
        <w:trPr>
          <w:jc w:val="center"/>
        </w:trPr>
        <w:tc>
          <w:tcPr>
            <w:tcW w:w="3200" w:type="pct"/>
            <w:tcMar>
              <w:top w:w="60" w:type="dxa"/>
              <w:left w:w="100" w:type="dxa"/>
              <w:bottom w:w="60" w:type="dxa"/>
              <w:right w:w="100" w:type="dxa"/>
            </w:tcMar>
            <w:vAlign w:val="center"/>
          </w:tcPr>
          <w:p w14:paraId="588E2A13"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تلتزم مؤسستنا بمتطلبات معيار PCI DSS في جميع عملياتها.</w:t>
            </w:r>
          </w:p>
        </w:tc>
        <w:tc>
          <w:tcPr>
            <w:tcW w:w="1100" w:type="pct"/>
            <w:tcMar>
              <w:top w:w="60" w:type="dxa"/>
              <w:left w:w="100" w:type="dxa"/>
              <w:bottom w:w="60" w:type="dxa"/>
              <w:right w:w="100" w:type="dxa"/>
            </w:tcMar>
            <w:vAlign w:val="center"/>
          </w:tcPr>
          <w:p w14:paraId="60F1096B"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0.710</w:t>
            </w:r>
          </w:p>
        </w:tc>
        <w:tc>
          <w:tcPr>
            <w:tcW w:w="700" w:type="pct"/>
            <w:tcMar>
              <w:top w:w="60" w:type="dxa"/>
              <w:left w:w="100" w:type="dxa"/>
              <w:bottom w:w="60" w:type="dxa"/>
              <w:right w:w="100" w:type="dxa"/>
            </w:tcMar>
            <w:vAlign w:val="center"/>
          </w:tcPr>
          <w:p w14:paraId="1A034B01"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0.001&gt;</w:t>
            </w:r>
          </w:p>
        </w:tc>
      </w:tr>
      <w:tr w:rsidR="00E4583A" w14:paraId="2B4A796F" w14:textId="77777777">
        <w:trPr>
          <w:jc w:val="center"/>
        </w:trPr>
        <w:tc>
          <w:tcPr>
            <w:tcW w:w="3200" w:type="pct"/>
            <w:tcMar>
              <w:top w:w="60" w:type="dxa"/>
              <w:left w:w="100" w:type="dxa"/>
              <w:bottom w:w="60" w:type="dxa"/>
              <w:right w:w="100" w:type="dxa"/>
            </w:tcMar>
            <w:vAlign w:val="center"/>
          </w:tcPr>
          <w:p w14:paraId="28F6EB47"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تلتزم مؤسستنا بمتطلبات معيار ISO 27001 لإدارة أمن المعلومات.</w:t>
            </w:r>
          </w:p>
        </w:tc>
        <w:tc>
          <w:tcPr>
            <w:tcW w:w="1100" w:type="pct"/>
            <w:tcMar>
              <w:top w:w="60" w:type="dxa"/>
              <w:left w:w="100" w:type="dxa"/>
              <w:bottom w:w="60" w:type="dxa"/>
              <w:right w:w="100" w:type="dxa"/>
            </w:tcMar>
            <w:vAlign w:val="center"/>
          </w:tcPr>
          <w:p w14:paraId="23ACC1A9"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0.640</w:t>
            </w:r>
          </w:p>
        </w:tc>
        <w:tc>
          <w:tcPr>
            <w:tcW w:w="700" w:type="pct"/>
            <w:tcMar>
              <w:top w:w="60" w:type="dxa"/>
              <w:left w:w="100" w:type="dxa"/>
              <w:bottom w:w="60" w:type="dxa"/>
              <w:right w:w="100" w:type="dxa"/>
            </w:tcMar>
            <w:vAlign w:val="center"/>
          </w:tcPr>
          <w:p w14:paraId="358E3315"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0.001&gt;</w:t>
            </w:r>
          </w:p>
        </w:tc>
      </w:tr>
      <w:tr w:rsidR="00E4583A" w14:paraId="3DF3FC76" w14:textId="77777777">
        <w:trPr>
          <w:jc w:val="center"/>
        </w:trPr>
        <w:tc>
          <w:tcPr>
            <w:tcW w:w="3200" w:type="pct"/>
            <w:tcMar>
              <w:top w:w="60" w:type="dxa"/>
              <w:left w:w="100" w:type="dxa"/>
              <w:bottom w:w="60" w:type="dxa"/>
              <w:right w:w="100" w:type="dxa"/>
            </w:tcMar>
            <w:vAlign w:val="center"/>
          </w:tcPr>
          <w:p w14:paraId="632151C4"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تلتزم مؤسستنا بالأطر التنظيمية الصادرة عن البنك المركزي السعودي (ساما) لحماية البيانات.</w:t>
            </w:r>
          </w:p>
        </w:tc>
        <w:tc>
          <w:tcPr>
            <w:tcW w:w="1100" w:type="pct"/>
            <w:tcMar>
              <w:top w:w="60" w:type="dxa"/>
              <w:left w:w="100" w:type="dxa"/>
              <w:bottom w:w="60" w:type="dxa"/>
              <w:right w:w="100" w:type="dxa"/>
            </w:tcMar>
            <w:vAlign w:val="center"/>
          </w:tcPr>
          <w:p w14:paraId="104AC01F"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0.632</w:t>
            </w:r>
          </w:p>
        </w:tc>
        <w:tc>
          <w:tcPr>
            <w:tcW w:w="700" w:type="pct"/>
            <w:tcMar>
              <w:top w:w="60" w:type="dxa"/>
              <w:left w:w="100" w:type="dxa"/>
              <w:bottom w:w="60" w:type="dxa"/>
              <w:right w:w="100" w:type="dxa"/>
            </w:tcMar>
            <w:vAlign w:val="center"/>
          </w:tcPr>
          <w:p w14:paraId="1EB918AA"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0.001&gt;</w:t>
            </w:r>
          </w:p>
        </w:tc>
      </w:tr>
      <w:tr w:rsidR="00E4583A" w14:paraId="41F26512" w14:textId="77777777">
        <w:trPr>
          <w:jc w:val="center"/>
        </w:trPr>
        <w:tc>
          <w:tcPr>
            <w:tcW w:w="3200" w:type="pct"/>
            <w:tcMar>
              <w:top w:w="60" w:type="dxa"/>
              <w:left w:w="100" w:type="dxa"/>
              <w:bottom w:w="60" w:type="dxa"/>
              <w:right w:w="100" w:type="dxa"/>
            </w:tcMar>
            <w:vAlign w:val="center"/>
          </w:tcPr>
          <w:p w14:paraId="54291860"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تحصل مؤسستنا على الموافقات التنظيمية اللازمة لإطلاق خدماتها المالية الجديدة دون تأخير.</w:t>
            </w:r>
          </w:p>
        </w:tc>
        <w:tc>
          <w:tcPr>
            <w:tcW w:w="1100" w:type="pct"/>
            <w:tcMar>
              <w:top w:w="60" w:type="dxa"/>
              <w:left w:w="100" w:type="dxa"/>
              <w:bottom w:w="60" w:type="dxa"/>
              <w:right w:w="100" w:type="dxa"/>
            </w:tcMar>
            <w:vAlign w:val="center"/>
          </w:tcPr>
          <w:p w14:paraId="47990F17"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0.735</w:t>
            </w:r>
          </w:p>
        </w:tc>
        <w:tc>
          <w:tcPr>
            <w:tcW w:w="700" w:type="pct"/>
            <w:tcMar>
              <w:top w:w="60" w:type="dxa"/>
              <w:left w:w="100" w:type="dxa"/>
              <w:bottom w:w="60" w:type="dxa"/>
              <w:right w:w="100" w:type="dxa"/>
            </w:tcMar>
            <w:vAlign w:val="center"/>
          </w:tcPr>
          <w:p w14:paraId="55E4B4A1"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0.001&gt;</w:t>
            </w:r>
          </w:p>
        </w:tc>
      </w:tr>
      <w:tr w:rsidR="00E4583A" w14:paraId="2432D47D" w14:textId="77777777">
        <w:trPr>
          <w:jc w:val="center"/>
        </w:trPr>
        <w:tc>
          <w:tcPr>
            <w:tcW w:w="3200" w:type="pct"/>
            <w:tcMar>
              <w:top w:w="60" w:type="dxa"/>
              <w:left w:w="100" w:type="dxa"/>
              <w:bottom w:w="60" w:type="dxa"/>
              <w:right w:w="100" w:type="dxa"/>
            </w:tcMar>
            <w:vAlign w:val="center"/>
          </w:tcPr>
          <w:p w14:paraId="0B1C428D"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lastRenderedPageBreak/>
              <w:t>تجتاز مؤسستنا عمليات التدقيق الرقابي دون ملاحظات جوهرية متعلقة بالامتثال.</w:t>
            </w:r>
          </w:p>
        </w:tc>
        <w:tc>
          <w:tcPr>
            <w:tcW w:w="1100" w:type="pct"/>
            <w:tcMar>
              <w:top w:w="60" w:type="dxa"/>
              <w:left w:w="100" w:type="dxa"/>
              <w:bottom w:w="60" w:type="dxa"/>
              <w:right w:w="100" w:type="dxa"/>
            </w:tcMar>
            <w:vAlign w:val="center"/>
          </w:tcPr>
          <w:p w14:paraId="5631DAFC"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0.721</w:t>
            </w:r>
          </w:p>
        </w:tc>
        <w:tc>
          <w:tcPr>
            <w:tcW w:w="700" w:type="pct"/>
            <w:tcMar>
              <w:top w:w="60" w:type="dxa"/>
              <w:left w:w="100" w:type="dxa"/>
              <w:bottom w:w="60" w:type="dxa"/>
              <w:right w:w="100" w:type="dxa"/>
            </w:tcMar>
            <w:vAlign w:val="center"/>
          </w:tcPr>
          <w:p w14:paraId="51AAE57D"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0.001&gt;</w:t>
            </w:r>
          </w:p>
        </w:tc>
      </w:tr>
      <w:tr w:rsidR="00E4583A" w14:paraId="6EEBC10E" w14:textId="77777777">
        <w:trPr>
          <w:jc w:val="center"/>
        </w:trPr>
        <w:tc>
          <w:tcPr>
            <w:tcW w:w="3200" w:type="pct"/>
            <w:tcMar>
              <w:top w:w="60" w:type="dxa"/>
              <w:left w:w="100" w:type="dxa"/>
              <w:bottom w:w="60" w:type="dxa"/>
              <w:right w:w="100" w:type="dxa"/>
            </w:tcMar>
            <w:vAlign w:val="center"/>
          </w:tcPr>
          <w:p w14:paraId="4D0E7E59"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تحدث مؤسستنا سياساتها الداخلية بانتظام لمواكبة أي تغيير في المعايير الدولية.</w:t>
            </w:r>
          </w:p>
        </w:tc>
        <w:tc>
          <w:tcPr>
            <w:tcW w:w="1100" w:type="pct"/>
            <w:tcMar>
              <w:top w:w="60" w:type="dxa"/>
              <w:left w:w="100" w:type="dxa"/>
              <w:bottom w:w="60" w:type="dxa"/>
              <w:right w:w="100" w:type="dxa"/>
            </w:tcMar>
            <w:vAlign w:val="center"/>
          </w:tcPr>
          <w:p w14:paraId="40120C5A"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0.565</w:t>
            </w:r>
          </w:p>
        </w:tc>
        <w:tc>
          <w:tcPr>
            <w:tcW w:w="700" w:type="pct"/>
            <w:tcMar>
              <w:top w:w="60" w:type="dxa"/>
              <w:left w:w="100" w:type="dxa"/>
              <w:bottom w:w="60" w:type="dxa"/>
              <w:right w:w="100" w:type="dxa"/>
            </w:tcMar>
            <w:vAlign w:val="center"/>
          </w:tcPr>
          <w:p w14:paraId="0F70A161"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0.001&gt;</w:t>
            </w:r>
          </w:p>
        </w:tc>
      </w:tr>
    </w:tbl>
    <w:p w14:paraId="655A267A" w14:textId="77777777" w:rsidR="00E4583A" w:rsidRDefault="00000000">
      <w:pPr>
        <w:bidi/>
        <w:spacing w:after="0" w:line="360" w:lineRule="auto"/>
        <w:jc w:val="center"/>
      </w:pPr>
      <w:r>
        <w:rPr>
          <w:rFonts w:ascii="Traditional Arabic" w:eastAsia="Simplified Arabic" w:hAnsi="Traditional Arabic" w:cs="Traditional Arabic"/>
          <w:b/>
          <w:bCs/>
          <w:sz w:val="24"/>
          <w:szCs w:val="24"/>
          <w:rtl/>
        </w:rPr>
        <w:t>جدول (4.14): معاملات الاتساق الداخلي لعبارات بُعد الامتثال للمعايير الدولية</w:t>
      </w:r>
    </w:p>
    <w:p w14:paraId="4E8301D8" w14:textId="77777777" w:rsidR="00E4583A" w:rsidRDefault="00000000">
      <w:pPr>
        <w:bidi/>
        <w:spacing w:after="0" w:line="360" w:lineRule="auto"/>
        <w:jc w:val="both"/>
      </w:pPr>
      <w:r>
        <w:rPr>
          <w:rFonts w:ascii="Traditional Arabic" w:eastAsia="Simplified Arabic" w:hAnsi="Traditional Arabic" w:cs="Traditional Arabic"/>
          <w:sz w:val="28"/>
          <w:szCs w:val="28"/>
          <w:rtl/>
        </w:rPr>
        <w:t>يتضح من الجدول أن جميع معاملات الارتباط دالة إحصائياً عند مستوى (0.01)، وتراوحت بين (0.565) و(0.735)، وهو ما يؤكد اتساق عبارات هذا البُعد داخلياً.</w:t>
      </w:r>
    </w:p>
    <w:p w14:paraId="12EA880C" w14:textId="77777777" w:rsidR="00E4583A" w:rsidRDefault="00E4583A">
      <w:pPr>
        <w:bidi/>
        <w:spacing w:after="0" w:line="240" w:lineRule="auto"/>
      </w:pPr>
    </w:p>
    <w:p w14:paraId="4A720043" w14:textId="77777777" w:rsidR="00E4583A" w:rsidRDefault="00000000">
      <w:pPr>
        <w:bidi/>
        <w:spacing w:after="0" w:line="360" w:lineRule="auto"/>
        <w:jc w:val="both"/>
      </w:pPr>
      <w:r>
        <w:rPr>
          <w:rFonts w:ascii="Traditional Arabic" w:eastAsia="Simplified Arabic" w:hAnsi="Traditional Arabic" w:cs="Traditional Arabic"/>
          <w:b/>
          <w:bCs/>
          <w:sz w:val="28"/>
          <w:szCs w:val="28"/>
          <w:rtl/>
        </w:rPr>
        <w:t>صدق الاتساق الداخلي لبُعد: الأمن السيبراني المؤسسي</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5310"/>
        <w:gridCol w:w="1825"/>
        <w:gridCol w:w="1161"/>
      </w:tblGrid>
      <w:tr w:rsidR="00E4583A" w14:paraId="222BF0DA" w14:textId="77777777">
        <w:trPr>
          <w:tblHeader/>
          <w:jc w:val="center"/>
        </w:trPr>
        <w:tc>
          <w:tcPr>
            <w:tcW w:w="3200" w:type="pct"/>
            <w:shd w:val="clear" w:color="auto" w:fill="2E5395"/>
            <w:tcMar>
              <w:top w:w="60" w:type="dxa"/>
              <w:left w:w="100" w:type="dxa"/>
              <w:bottom w:w="60" w:type="dxa"/>
              <w:right w:w="100" w:type="dxa"/>
            </w:tcMar>
            <w:vAlign w:val="center"/>
          </w:tcPr>
          <w:p w14:paraId="1280E442"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العبارة</w:t>
            </w:r>
          </w:p>
        </w:tc>
        <w:tc>
          <w:tcPr>
            <w:tcW w:w="1100" w:type="pct"/>
            <w:shd w:val="clear" w:color="auto" w:fill="2E5395"/>
            <w:tcMar>
              <w:top w:w="60" w:type="dxa"/>
              <w:left w:w="100" w:type="dxa"/>
              <w:bottom w:w="60" w:type="dxa"/>
              <w:right w:w="100" w:type="dxa"/>
            </w:tcMar>
            <w:vAlign w:val="center"/>
          </w:tcPr>
          <w:p w14:paraId="75C16A40"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معامل الارتباط بالدرجة الكلية للبُعد</w:t>
            </w:r>
          </w:p>
        </w:tc>
        <w:tc>
          <w:tcPr>
            <w:tcW w:w="700" w:type="pct"/>
            <w:shd w:val="clear" w:color="auto" w:fill="2E5395"/>
            <w:tcMar>
              <w:top w:w="60" w:type="dxa"/>
              <w:left w:w="100" w:type="dxa"/>
              <w:bottom w:w="60" w:type="dxa"/>
              <w:right w:w="100" w:type="dxa"/>
            </w:tcMar>
            <w:vAlign w:val="center"/>
          </w:tcPr>
          <w:p w14:paraId="181614E2"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القيمة الاحتمالية</w:t>
            </w:r>
          </w:p>
        </w:tc>
      </w:tr>
      <w:tr w:rsidR="00E4583A" w14:paraId="723E72D6" w14:textId="77777777">
        <w:trPr>
          <w:jc w:val="center"/>
        </w:trPr>
        <w:tc>
          <w:tcPr>
            <w:tcW w:w="3200" w:type="pct"/>
            <w:tcMar>
              <w:top w:w="60" w:type="dxa"/>
              <w:left w:w="100" w:type="dxa"/>
              <w:bottom w:w="60" w:type="dxa"/>
              <w:right w:w="100" w:type="dxa"/>
            </w:tcMar>
            <w:vAlign w:val="center"/>
          </w:tcPr>
          <w:p w14:paraId="0AC3B15E"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تنخفض معدلات الاختراقات الأمنية التي تتعرض لها مؤسستنا مقارنة بالسنوات السابقة.</w:t>
            </w:r>
          </w:p>
        </w:tc>
        <w:tc>
          <w:tcPr>
            <w:tcW w:w="1100" w:type="pct"/>
            <w:tcMar>
              <w:top w:w="60" w:type="dxa"/>
              <w:left w:w="100" w:type="dxa"/>
              <w:bottom w:w="60" w:type="dxa"/>
              <w:right w:w="100" w:type="dxa"/>
            </w:tcMar>
            <w:vAlign w:val="center"/>
          </w:tcPr>
          <w:p w14:paraId="10781248"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0.622</w:t>
            </w:r>
          </w:p>
        </w:tc>
        <w:tc>
          <w:tcPr>
            <w:tcW w:w="700" w:type="pct"/>
            <w:tcMar>
              <w:top w:w="60" w:type="dxa"/>
              <w:left w:w="100" w:type="dxa"/>
              <w:bottom w:w="60" w:type="dxa"/>
              <w:right w:w="100" w:type="dxa"/>
            </w:tcMar>
            <w:vAlign w:val="center"/>
          </w:tcPr>
          <w:p w14:paraId="6962114C"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0.001&gt;</w:t>
            </w:r>
          </w:p>
        </w:tc>
      </w:tr>
      <w:tr w:rsidR="00E4583A" w14:paraId="14E888B2" w14:textId="77777777">
        <w:trPr>
          <w:jc w:val="center"/>
        </w:trPr>
        <w:tc>
          <w:tcPr>
            <w:tcW w:w="3200" w:type="pct"/>
            <w:tcMar>
              <w:top w:w="60" w:type="dxa"/>
              <w:left w:w="100" w:type="dxa"/>
              <w:bottom w:w="60" w:type="dxa"/>
              <w:right w:w="100" w:type="dxa"/>
            </w:tcMar>
            <w:vAlign w:val="center"/>
          </w:tcPr>
          <w:p w14:paraId="60C880F7"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تحقق أنظمة الحماية لدى مؤسستنا مستوى عالياً من الوقاية ضد محاولات الاختراق.</w:t>
            </w:r>
          </w:p>
        </w:tc>
        <w:tc>
          <w:tcPr>
            <w:tcW w:w="1100" w:type="pct"/>
            <w:tcMar>
              <w:top w:w="60" w:type="dxa"/>
              <w:left w:w="100" w:type="dxa"/>
              <w:bottom w:w="60" w:type="dxa"/>
              <w:right w:w="100" w:type="dxa"/>
            </w:tcMar>
            <w:vAlign w:val="center"/>
          </w:tcPr>
          <w:p w14:paraId="07085C13"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0.593</w:t>
            </w:r>
          </w:p>
        </w:tc>
        <w:tc>
          <w:tcPr>
            <w:tcW w:w="700" w:type="pct"/>
            <w:tcMar>
              <w:top w:w="60" w:type="dxa"/>
              <w:left w:w="100" w:type="dxa"/>
              <w:bottom w:w="60" w:type="dxa"/>
              <w:right w:w="100" w:type="dxa"/>
            </w:tcMar>
            <w:vAlign w:val="center"/>
          </w:tcPr>
          <w:p w14:paraId="66C0FE4C"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0.001&gt;</w:t>
            </w:r>
          </w:p>
        </w:tc>
      </w:tr>
      <w:tr w:rsidR="00E4583A" w14:paraId="7EE5C869" w14:textId="77777777">
        <w:trPr>
          <w:jc w:val="center"/>
        </w:trPr>
        <w:tc>
          <w:tcPr>
            <w:tcW w:w="3200" w:type="pct"/>
            <w:tcMar>
              <w:top w:w="60" w:type="dxa"/>
              <w:left w:w="100" w:type="dxa"/>
              <w:bottom w:w="60" w:type="dxa"/>
              <w:right w:w="100" w:type="dxa"/>
            </w:tcMar>
            <w:vAlign w:val="center"/>
          </w:tcPr>
          <w:p w14:paraId="37D0DB66"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تستجيب مؤسستنا للحوادث السيبرانية خلال زمن قصير من اكتشافها.</w:t>
            </w:r>
          </w:p>
        </w:tc>
        <w:tc>
          <w:tcPr>
            <w:tcW w:w="1100" w:type="pct"/>
            <w:tcMar>
              <w:top w:w="60" w:type="dxa"/>
              <w:left w:w="100" w:type="dxa"/>
              <w:bottom w:w="60" w:type="dxa"/>
              <w:right w:w="100" w:type="dxa"/>
            </w:tcMar>
            <w:vAlign w:val="center"/>
          </w:tcPr>
          <w:p w14:paraId="627D9D83"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0.630</w:t>
            </w:r>
          </w:p>
        </w:tc>
        <w:tc>
          <w:tcPr>
            <w:tcW w:w="700" w:type="pct"/>
            <w:tcMar>
              <w:top w:w="60" w:type="dxa"/>
              <w:left w:w="100" w:type="dxa"/>
              <w:bottom w:w="60" w:type="dxa"/>
              <w:right w:w="100" w:type="dxa"/>
            </w:tcMar>
            <w:vAlign w:val="center"/>
          </w:tcPr>
          <w:p w14:paraId="0810930B"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0.001&gt;</w:t>
            </w:r>
          </w:p>
        </w:tc>
      </w:tr>
      <w:tr w:rsidR="00E4583A" w14:paraId="0C904D9A" w14:textId="77777777">
        <w:trPr>
          <w:jc w:val="center"/>
        </w:trPr>
        <w:tc>
          <w:tcPr>
            <w:tcW w:w="3200" w:type="pct"/>
            <w:tcMar>
              <w:top w:w="60" w:type="dxa"/>
              <w:left w:w="100" w:type="dxa"/>
              <w:bottom w:w="60" w:type="dxa"/>
              <w:right w:w="100" w:type="dxa"/>
            </w:tcMar>
            <w:vAlign w:val="center"/>
          </w:tcPr>
          <w:p w14:paraId="504665EB"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تحتوي مؤسستنا أثر الحوادث السيبرانية بفعالية لمنع تفاقمها.</w:t>
            </w:r>
          </w:p>
        </w:tc>
        <w:tc>
          <w:tcPr>
            <w:tcW w:w="1100" w:type="pct"/>
            <w:tcMar>
              <w:top w:w="60" w:type="dxa"/>
              <w:left w:w="100" w:type="dxa"/>
              <w:bottom w:w="60" w:type="dxa"/>
              <w:right w:w="100" w:type="dxa"/>
            </w:tcMar>
            <w:vAlign w:val="center"/>
          </w:tcPr>
          <w:p w14:paraId="37C0D94A"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0.711</w:t>
            </w:r>
          </w:p>
        </w:tc>
        <w:tc>
          <w:tcPr>
            <w:tcW w:w="700" w:type="pct"/>
            <w:tcMar>
              <w:top w:w="60" w:type="dxa"/>
              <w:left w:w="100" w:type="dxa"/>
              <w:bottom w:w="60" w:type="dxa"/>
              <w:right w:w="100" w:type="dxa"/>
            </w:tcMar>
            <w:vAlign w:val="center"/>
          </w:tcPr>
          <w:p w14:paraId="7C5CBB74"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0.001&gt;</w:t>
            </w:r>
          </w:p>
        </w:tc>
      </w:tr>
      <w:tr w:rsidR="00E4583A" w14:paraId="41C35F4B" w14:textId="77777777">
        <w:trPr>
          <w:jc w:val="center"/>
        </w:trPr>
        <w:tc>
          <w:tcPr>
            <w:tcW w:w="3200" w:type="pct"/>
            <w:tcMar>
              <w:top w:w="60" w:type="dxa"/>
              <w:left w:w="100" w:type="dxa"/>
              <w:bottom w:w="60" w:type="dxa"/>
              <w:right w:w="100" w:type="dxa"/>
            </w:tcMar>
            <w:vAlign w:val="center"/>
          </w:tcPr>
          <w:p w14:paraId="16FDB52F"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تستعيد مؤسستنا عملياتها التشغيلية بسرعة بعد وقوع أي حادث سيبراني.</w:t>
            </w:r>
          </w:p>
        </w:tc>
        <w:tc>
          <w:tcPr>
            <w:tcW w:w="1100" w:type="pct"/>
            <w:tcMar>
              <w:top w:w="60" w:type="dxa"/>
              <w:left w:w="100" w:type="dxa"/>
              <w:bottom w:w="60" w:type="dxa"/>
              <w:right w:w="100" w:type="dxa"/>
            </w:tcMar>
            <w:vAlign w:val="center"/>
          </w:tcPr>
          <w:p w14:paraId="1E1C944F"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0.658</w:t>
            </w:r>
          </w:p>
        </w:tc>
        <w:tc>
          <w:tcPr>
            <w:tcW w:w="700" w:type="pct"/>
            <w:tcMar>
              <w:top w:w="60" w:type="dxa"/>
              <w:left w:w="100" w:type="dxa"/>
              <w:bottom w:w="60" w:type="dxa"/>
              <w:right w:w="100" w:type="dxa"/>
            </w:tcMar>
            <w:vAlign w:val="center"/>
          </w:tcPr>
          <w:p w14:paraId="49725212"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0.001&gt;</w:t>
            </w:r>
          </w:p>
        </w:tc>
      </w:tr>
      <w:tr w:rsidR="00E4583A" w14:paraId="11F2F7CE" w14:textId="77777777">
        <w:trPr>
          <w:jc w:val="center"/>
        </w:trPr>
        <w:tc>
          <w:tcPr>
            <w:tcW w:w="3200" w:type="pct"/>
            <w:tcMar>
              <w:top w:w="60" w:type="dxa"/>
              <w:left w:w="100" w:type="dxa"/>
              <w:bottom w:w="60" w:type="dxa"/>
              <w:right w:w="100" w:type="dxa"/>
            </w:tcMar>
            <w:vAlign w:val="center"/>
          </w:tcPr>
          <w:p w14:paraId="7F2BA984"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تمتلك مؤسستنا خطط استمرارية أعمال فعالة لمواجهة الحوادث السيبرانية.</w:t>
            </w:r>
          </w:p>
        </w:tc>
        <w:tc>
          <w:tcPr>
            <w:tcW w:w="1100" w:type="pct"/>
            <w:tcMar>
              <w:top w:w="60" w:type="dxa"/>
              <w:left w:w="100" w:type="dxa"/>
              <w:bottom w:w="60" w:type="dxa"/>
              <w:right w:w="100" w:type="dxa"/>
            </w:tcMar>
            <w:vAlign w:val="center"/>
          </w:tcPr>
          <w:p w14:paraId="49133506"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0.534</w:t>
            </w:r>
          </w:p>
        </w:tc>
        <w:tc>
          <w:tcPr>
            <w:tcW w:w="700" w:type="pct"/>
            <w:tcMar>
              <w:top w:w="60" w:type="dxa"/>
              <w:left w:w="100" w:type="dxa"/>
              <w:bottom w:w="60" w:type="dxa"/>
              <w:right w:w="100" w:type="dxa"/>
            </w:tcMar>
            <w:vAlign w:val="center"/>
          </w:tcPr>
          <w:p w14:paraId="00E5FBA1"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0.001&gt;</w:t>
            </w:r>
          </w:p>
        </w:tc>
      </w:tr>
    </w:tbl>
    <w:p w14:paraId="311942AD" w14:textId="77777777" w:rsidR="00E4583A" w:rsidRDefault="00000000">
      <w:pPr>
        <w:bidi/>
        <w:spacing w:after="0" w:line="360" w:lineRule="auto"/>
        <w:jc w:val="center"/>
      </w:pPr>
      <w:r>
        <w:rPr>
          <w:rFonts w:ascii="Traditional Arabic" w:eastAsia="Simplified Arabic" w:hAnsi="Traditional Arabic" w:cs="Traditional Arabic"/>
          <w:b/>
          <w:bCs/>
          <w:sz w:val="24"/>
          <w:szCs w:val="24"/>
          <w:rtl/>
        </w:rPr>
        <w:t>جدول (4.15): معاملات الاتساق الداخلي لعبارات بُعد الأمن السيبراني المؤسسي</w:t>
      </w:r>
    </w:p>
    <w:p w14:paraId="311FA59A" w14:textId="77777777" w:rsidR="00E4583A" w:rsidRDefault="00000000">
      <w:pPr>
        <w:bidi/>
        <w:spacing w:after="0" w:line="360" w:lineRule="auto"/>
        <w:jc w:val="both"/>
      </w:pPr>
      <w:r>
        <w:rPr>
          <w:rFonts w:ascii="Traditional Arabic" w:eastAsia="Simplified Arabic" w:hAnsi="Traditional Arabic" w:cs="Traditional Arabic"/>
          <w:sz w:val="28"/>
          <w:szCs w:val="28"/>
          <w:rtl/>
        </w:rPr>
        <w:t>يتضح من الجدول أن جميع معاملات الارتباط دالة إحصائياً عند مستوى (0.01)، وتراوحت بين (0.534) و(0.711)، وهو ما يؤكد اتساق عبارات هذا البُعد داخلياً.</w:t>
      </w:r>
    </w:p>
    <w:p w14:paraId="2620D05D" w14:textId="77777777" w:rsidR="00E4583A" w:rsidRDefault="00E4583A">
      <w:pPr>
        <w:bidi/>
        <w:spacing w:after="0" w:line="240" w:lineRule="auto"/>
      </w:pPr>
    </w:p>
    <w:p w14:paraId="53E63F96" w14:textId="77777777" w:rsidR="00E4583A" w:rsidRDefault="00000000">
      <w:pPr>
        <w:bidi/>
        <w:spacing w:after="0" w:line="360" w:lineRule="auto"/>
        <w:jc w:val="both"/>
      </w:pPr>
      <w:r>
        <w:rPr>
          <w:rFonts w:ascii="Traditional Arabic" w:eastAsia="Simplified Arabic" w:hAnsi="Traditional Arabic" w:cs="Traditional Arabic"/>
          <w:b/>
          <w:bCs/>
          <w:sz w:val="28"/>
          <w:szCs w:val="28"/>
          <w:rtl/>
        </w:rPr>
        <w:t>صدق الاتساق الداخلي لبُعد: كفاءة العمليات المالية</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5310"/>
        <w:gridCol w:w="1825"/>
        <w:gridCol w:w="1161"/>
      </w:tblGrid>
      <w:tr w:rsidR="00E4583A" w14:paraId="0941B68C" w14:textId="77777777">
        <w:trPr>
          <w:tblHeader/>
          <w:jc w:val="center"/>
        </w:trPr>
        <w:tc>
          <w:tcPr>
            <w:tcW w:w="3200" w:type="pct"/>
            <w:shd w:val="clear" w:color="auto" w:fill="2E5395"/>
            <w:tcMar>
              <w:top w:w="60" w:type="dxa"/>
              <w:left w:w="100" w:type="dxa"/>
              <w:bottom w:w="60" w:type="dxa"/>
              <w:right w:w="100" w:type="dxa"/>
            </w:tcMar>
            <w:vAlign w:val="center"/>
          </w:tcPr>
          <w:p w14:paraId="43223DBD"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العبارة</w:t>
            </w:r>
          </w:p>
        </w:tc>
        <w:tc>
          <w:tcPr>
            <w:tcW w:w="1100" w:type="pct"/>
            <w:shd w:val="clear" w:color="auto" w:fill="2E5395"/>
            <w:tcMar>
              <w:top w:w="60" w:type="dxa"/>
              <w:left w:w="100" w:type="dxa"/>
              <w:bottom w:w="60" w:type="dxa"/>
              <w:right w:w="100" w:type="dxa"/>
            </w:tcMar>
            <w:vAlign w:val="center"/>
          </w:tcPr>
          <w:p w14:paraId="13A74E89"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معامل الارتباط بالدرجة الكلية للبُعد</w:t>
            </w:r>
          </w:p>
        </w:tc>
        <w:tc>
          <w:tcPr>
            <w:tcW w:w="700" w:type="pct"/>
            <w:shd w:val="clear" w:color="auto" w:fill="2E5395"/>
            <w:tcMar>
              <w:top w:w="60" w:type="dxa"/>
              <w:left w:w="100" w:type="dxa"/>
              <w:bottom w:w="60" w:type="dxa"/>
              <w:right w:w="100" w:type="dxa"/>
            </w:tcMar>
            <w:vAlign w:val="center"/>
          </w:tcPr>
          <w:p w14:paraId="147C8D34"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القيمة الاحتمالية</w:t>
            </w:r>
          </w:p>
        </w:tc>
      </w:tr>
      <w:tr w:rsidR="00E4583A" w14:paraId="41989362" w14:textId="77777777">
        <w:trPr>
          <w:jc w:val="center"/>
        </w:trPr>
        <w:tc>
          <w:tcPr>
            <w:tcW w:w="3200" w:type="pct"/>
            <w:tcMar>
              <w:top w:w="60" w:type="dxa"/>
              <w:left w:w="100" w:type="dxa"/>
              <w:bottom w:w="60" w:type="dxa"/>
              <w:right w:w="100" w:type="dxa"/>
            </w:tcMar>
            <w:vAlign w:val="center"/>
          </w:tcPr>
          <w:p w14:paraId="3904C43E"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تعالج المعاملات المالية في مؤسستنا بسرعة عالية.</w:t>
            </w:r>
          </w:p>
        </w:tc>
        <w:tc>
          <w:tcPr>
            <w:tcW w:w="1100" w:type="pct"/>
            <w:tcMar>
              <w:top w:w="60" w:type="dxa"/>
              <w:left w:w="100" w:type="dxa"/>
              <w:bottom w:w="60" w:type="dxa"/>
              <w:right w:w="100" w:type="dxa"/>
            </w:tcMar>
            <w:vAlign w:val="center"/>
          </w:tcPr>
          <w:p w14:paraId="06E95EE3"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0.583</w:t>
            </w:r>
          </w:p>
        </w:tc>
        <w:tc>
          <w:tcPr>
            <w:tcW w:w="700" w:type="pct"/>
            <w:tcMar>
              <w:top w:w="60" w:type="dxa"/>
              <w:left w:w="100" w:type="dxa"/>
              <w:bottom w:w="60" w:type="dxa"/>
              <w:right w:w="100" w:type="dxa"/>
            </w:tcMar>
            <w:vAlign w:val="center"/>
          </w:tcPr>
          <w:p w14:paraId="41E9CE35"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0.001&gt;</w:t>
            </w:r>
          </w:p>
        </w:tc>
      </w:tr>
      <w:tr w:rsidR="00E4583A" w14:paraId="48C686C4" w14:textId="77777777">
        <w:trPr>
          <w:jc w:val="center"/>
        </w:trPr>
        <w:tc>
          <w:tcPr>
            <w:tcW w:w="3200" w:type="pct"/>
            <w:tcMar>
              <w:top w:w="60" w:type="dxa"/>
              <w:left w:w="100" w:type="dxa"/>
              <w:bottom w:w="60" w:type="dxa"/>
              <w:right w:w="100" w:type="dxa"/>
            </w:tcMar>
            <w:vAlign w:val="center"/>
          </w:tcPr>
          <w:p w14:paraId="155ADF0F"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تتسم عمليات مؤسستنا التشغيلية بإنتاجية مرتفعة.</w:t>
            </w:r>
          </w:p>
        </w:tc>
        <w:tc>
          <w:tcPr>
            <w:tcW w:w="1100" w:type="pct"/>
            <w:tcMar>
              <w:top w:w="60" w:type="dxa"/>
              <w:left w:w="100" w:type="dxa"/>
              <w:bottom w:w="60" w:type="dxa"/>
              <w:right w:w="100" w:type="dxa"/>
            </w:tcMar>
            <w:vAlign w:val="center"/>
          </w:tcPr>
          <w:p w14:paraId="5A2C0EBA"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0.565</w:t>
            </w:r>
          </w:p>
        </w:tc>
        <w:tc>
          <w:tcPr>
            <w:tcW w:w="700" w:type="pct"/>
            <w:tcMar>
              <w:top w:w="60" w:type="dxa"/>
              <w:left w:w="100" w:type="dxa"/>
              <w:bottom w:w="60" w:type="dxa"/>
              <w:right w:w="100" w:type="dxa"/>
            </w:tcMar>
            <w:vAlign w:val="center"/>
          </w:tcPr>
          <w:p w14:paraId="673DCBF6"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0.001&gt;</w:t>
            </w:r>
          </w:p>
        </w:tc>
      </w:tr>
      <w:tr w:rsidR="00E4583A" w14:paraId="75E42684" w14:textId="77777777">
        <w:trPr>
          <w:jc w:val="center"/>
        </w:trPr>
        <w:tc>
          <w:tcPr>
            <w:tcW w:w="3200" w:type="pct"/>
            <w:tcMar>
              <w:top w:w="60" w:type="dxa"/>
              <w:left w:w="100" w:type="dxa"/>
              <w:bottom w:w="60" w:type="dxa"/>
              <w:right w:w="100" w:type="dxa"/>
            </w:tcMar>
            <w:vAlign w:val="center"/>
          </w:tcPr>
          <w:p w14:paraId="032CE459"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lastRenderedPageBreak/>
              <w:t>تنخفض معدلات الأخطاء في معالجة المعاملات المالية لدى مؤسستنا.</w:t>
            </w:r>
          </w:p>
        </w:tc>
        <w:tc>
          <w:tcPr>
            <w:tcW w:w="1100" w:type="pct"/>
            <w:tcMar>
              <w:top w:w="60" w:type="dxa"/>
              <w:left w:w="100" w:type="dxa"/>
              <w:bottom w:w="60" w:type="dxa"/>
              <w:right w:w="100" w:type="dxa"/>
            </w:tcMar>
            <w:vAlign w:val="center"/>
          </w:tcPr>
          <w:p w14:paraId="6C40E752"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0.705</w:t>
            </w:r>
          </w:p>
        </w:tc>
        <w:tc>
          <w:tcPr>
            <w:tcW w:w="700" w:type="pct"/>
            <w:tcMar>
              <w:top w:w="60" w:type="dxa"/>
              <w:left w:w="100" w:type="dxa"/>
              <w:bottom w:w="60" w:type="dxa"/>
              <w:right w:w="100" w:type="dxa"/>
            </w:tcMar>
            <w:vAlign w:val="center"/>
          </w:tcPr>
          <w:p w14:paraId="10F72F74"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0.001&gt;</w:t>
            </w:r>
          </w:p>
        </w:tc>
      </w:tr>
      <w:tr w:rsidR="00E4583A" w14:paraId="01A64F25" w14:textId="77777777">
        <w:trPr>
          <w:jc w:val="center"/>
        </w:trPr>
        <w:tc>
          <w:tcPr>
            <w:tcW w:w="3200" w:type="pct"/>
            <w:tcMar>
              <w:top w:w="60" w:type="dxa"/>
              <w:left w:w="100" w:type="dxa"/>
              <w:bottom w:w="60" w:type="dxa"/>
              <w:right w:w="100" w:type="dxa"/>
            </w:tcMar>
            <w:vAlign w:val="center"/>
          </w:tcPr>
          <w:p w14:paraId="4CA68AB1"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تتسم عمليات مؤسستنا بدقة عالية في تنفيذ المعاملات المالية.</w:t>
            </w:r>
          </w:p>
        </w:tc>
        <w:tc>
          <w:tcPr>
            <w:tcW w:w="1100" w:type="pct"/>
            <w:tcMar>
              <w:top w:w="60" w:type="dxa"/>
              <w:left w:w="100" w:type="dxa"/>
              <w:bottom w:w="60" w:type="dxa"/>
              <w:right w:w="100" w:type="dxa"/>
            </w:tcMar>
            <w:vAlign w:val="center"/>
          </w:tcPr>
          <w:p w14:paraId="2C238224"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0.627</w:t>
            </w:r>
          </w:p>
        </w:tc>
        <w:tc>
          <w:tcPr>
            <w:tcW w:w="700" w:type="pct"/>
            <w:tcMar>
              <w:top w:w="60" w:type="dxa"/>
              <w:left w:w="100" w:type="dxa"/>
              <w:bottom w:w="60" w:type="dxa"/>
              <w:right w:w="100" w:type="dxa"/>
            </w:tcMar>
            <w:vAlign w:val="center"/>
          </w:tcPr>
          <w:p w14:paraId="694470BF"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0.001&gt;</w:t>
            </w:r>
          </w:p>
        </w:tc>
      </w:tr>
      <w:tr w:rsidR="00E4583A" w14:paraId="2373C9FA" w14:textId="77777777">
        <w:trPr>
          <w:jc w:val="center"/>
        </w:trPr>
        <w:tc>
          <w:tcPr>
            <w:tcW w:w="3200" w:type="pct"/>
            <w:tcMar>
              <w:top w:w="60" w:type="dxa"/>
              <w:left w:w="100" w:type="dxa"/>
              <w:bottom w:w="60" w:type="dxa"/>
              <w:right w:w="100" w:type="dxa"/>
            </w:tcMar>
            <w:vAlign w:val="center"/>
          </w:tcPr>
          <w:p w14:paraId="6436E64D"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تنخفض التكلفة التشغيلية لإدارة أمن البيانات في مؤسستنا.</w:t>
            </w:r>
          </w:p>
        </w:tc>
        <w:tc>
          <w:tcPr>
            <w:tcW w:w="1100" w:type="pct"/>
            <w:tcMar>
              <w:top w:w="60" w:type="dxa"/>
              <w:left w:w="100" w:type="dxa"/>
              <w:bottom w:w="60" w:type="dxa"/>
              <w:right w:w="100" w:type="dxa"/>
            </w:tcMar>
            <w:vAlign w:val="center"/>
          </w:tcPr>
          <w:p w14:paraId="292E0A17"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0.582</w:t>
            </w:r>
          </w:p>
        </w:tc>
        <w:tc>
          <w:tcPr>
            <w:tcW w:w="700" w:type="pct"/>
            <w:tcMar>
              <w:top w:w="60" w:type="dxa"/>
              <w:left w:w="100" w:type="dxa"/>
              <w:bottom w:w="60" w:type="dxa"/>
              <w:right w:w="100" w:type="dxa"/>
            </w:tcMar>
            <w:vAlign w:val="center"/>
          </w:tcPr>
          <w:p w14:paraId="6645EBCB"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0.001&gt;</w:t>
            </w:r>
          </w:p>
        </w:tc>
      </w:tr>
      <w:tr w:rsidR="00E4583A" w14:paraId="7239D449" w14:textId="77777777">
        <w:trPr>
          <w:jc w:val="center"/>
        </w:trPr>
        <w:tc>
          <w:tcPr>
            <w:tcW w:w="3200" w:type="pct"/>
            <w:tcMar>
              <w:top w:w="60" w:type="dxa"/>
              <w:left w:w="100" w:type="dxa"/>
              <w:bottom w:w="60" w:type="dxa"/>
              <w:right w:w="100" w:type="dxa"/>
            </w:tcMar>
            <w:vAlign w:val="center"/>
          </w:tcPr>
          <w:p w14:paraId="2C183FA2"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تحقق مؤسستنا تكاملاً سلساً مع الأنظمة المالية الخارجية والشركاء التجاريين.</w:t>
            </w:r>
          </w:p>
        </w:tc>
        <w:tc>
          <w:tcPr>
            <w:tcW w:w="1100" w:type="pct"/>
            <w:tcMar>
              <w:top w:w="60" w:type="dxa"/>
              <w:left w:w="100" w:type="dxa"/>
              <w:bottom w:w="60" w:type="dxa"/>
              <w:right w:w="100" w:type="dxa"/>
            </w:tcMar>
            <w:vAlign w:val="center"/>
          </w:tcPr>
          <w:p w14:paraId="394DEC17"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0.637</w:t>
            </w:r>
          </w:p>
        </w:tc>
        <w:tc>
          <w:tcPr>
            <w:tcW w:w="700" w:type="pct"/>
            <w:tcMar>
              <w:top w:w="60" w:type="dxa"/>
              <w:left w:w="100" w:type="dxa"/>
              <w:bottom w:w="60" w:type="dxa"/>
              <w:right w:w="100" w:type="dxa"/>
            </w:tcMar>
            <w:vAlign w:val="center"/>
          </w:tcPr>
          <w:p w14:paraId="7D66F7B5"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0.001&gt;</w:t>
            </w:r>
          </w:p>
        </w:tc>
      </w:tr>
    </w:tbl>
    <w:p w14:paraId="2F91E656" w14:textId="77777777" w:rsidR="00E4583A" w:rsidRDefault="00000000">
      <w:pPr>
        <w:bidi/>
        <w:spacing w:after="0" w:line="360" w:lineRule="auto"/>
        <w:jc w:val="center"/>
      </w:pPr>
      <w:r>
        <w:rPr>
          <w:rFonts w:ascii="Traditional Arabic" w:eastAsia="Simplified Arabic" w:hAnsi="Traditional Arabic" w:cs="Traditional Arabic"/>
          <w:b/>
          <w:bCs/>
          <w:sz w:val="24"/>
          <w:szCs w:val="24"/>
          <w:rtl/>
        </w:rPr>
        <w:t>جدول (4.16): معاملات الاتساق الداخلي لعبارات بُعد كفاءة العمليات المالية</w:t>
      </w:r>
    </w:p>
    <w:p w14:paraId="0B3E47CA" w14:textId="77777777" w:rsidR="00E4583A" w:rsidRDefault="00000000">
      <w:pPr>
        <w:bidi/>
        <w:spacing w:after="0" w:line="360" w:lineRule="auto"/>
        <w:jc w:val="both"/>
      </w:pPr>
      <w:r>
        <w:rPr>
          <w:rFonts w:ascii="Traditional Arabic" w:eastAsia="Simplified Arabic" w:hAnsi="Traditional Arabic" w:cs="Traditional Arabic"/>
          <w:sz w:val="28"/>
          <w:szCs w:val="28"/>
          <w:rtl/>
        </w:rPr>
        <w:t>يتضح من الجدول أن جميع معاملات الارتباط دالة إحصائياً عند مستوى (0.01)، وتراوحت بين (0.565) و(0.705)، وهو ما يؤكد اتساق عبارات هذا البُعد داخلياً.</w:t>
      </w:r>
    </w:p>
    <w:p w14:paraId="6F54BBFD" w14:textId="77777777" w:rsidR="00E4583A" w:rsidRDefault="00E4583A">
      <w:pPr>
        <w:bidi/>
        <w:spacing w:after="0" w:line="240" w:lineRule="auto"/>
      </w:pPr>
    </w:p>
    <w:p w14:paraId="20BCCE2D" w14:textId="77777777" w:rsidR="00E4583A" w:rsidRDefault="00000000">
      <w:pPr>
        <w:bidi/>
        <w:spacing w:after="0" w:line="360" w:lineRule="auto"/>
        <w:jc w:val="both"/>
      </w:pPr>
      <w:r>
        <w:rPr>
          <w:rFonts w:ascii="Traditional Arabic" w:eastAsia="Simplified Arabic" w:hAnsi="Traditional Arabic" w:cs="Traditional Arabic"/>
          <w:b/>
          <w:bCs/>
          <w:sz w:val="28"/>
          <w:szCs w:val="28"/>
          <w:rtl/>
        </w:rPr>
        <w:t>صدق الاتساق الداخلي لبُعد: تحديات تطبيق تقنية الترميز</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5310"/>
        <w:gridCol w:w="1825"/>
        <w:gridCol w:w="1161"/>
      </w:tblGrid>
      <w:tr w:rsidR="00E4583A" w14:paraId="7B8DB6B3" w14:textId="77777777">
        <w:trPr>
          <w:tblHeader/>
          <w:jc w:val="center"/>
        </w:trPr>
        <w:tc>
          <w:tcPr>
            <w:tcW w:w="3200" w:type="pct"/>
            <w:shd w:val="clear" w:color="auto" w:fill="2E5395"/>
            <w:tcMar>
              <w:top w:w="60" w:type="dxa"/>
              <w:left w:w="100" w:type="dxa"/>
              <w:bottom w:w="60" w:type="dxa"/>
              <w:right w:w="100" w:type="dxa"/>
            </w:tcMar>
            <w:vAlign w:val="center"/>
          </w:tcPr>
          <w:p w14:paraId="063E522B"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العبارة</w:t>
            </w:r>
          </w:p>
        </w:tc>
        <w:tc>
          <w:tcPr>
            <w:tcW w:w="1100" w:type="pct"/>
            <w:shd w:val="clear" w:color="auto" w:fill="2E5395"/>
            <w:tcMar>
              <w:top w:w="60" w:type="dxa"/>
              <w:left w:w="100" w:type="dxa"/>
              <w:bottom w:w="60" w:type="dxa"/>
              <w:right w:w="100" w:type="dxa"/>
            </w:tcMar>
            <w:vAlign w:val="center"/>
          </w:tcPr>
          <w:p w14:paraId="1FE2E97B"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معامل الارتباط بالدرجة الكلية للبُعد</w:t>
            </w:r>
          </w:p>
        </w:tc>
        <w:tc>
          <w:tcPr>
            <w:tcW w:w="700" w:type="pct"/>
            <w:shd w:val="clear" w:color="auto" w:fill="2E5395"/>
            <w:tcMar>
              <w:top w:w="60" w:type="dxa"/>
              <w:left w:w="100" w:type="dxa"/>
              <w:bottom w:w="60" w:type="dxa"/>
              <w:right w:w="100" w:type="dxa"/>
            </w:tcMar>
            <w:vAlign w:val="center"/>
          </w:tcPr>
          <w:p w14:paraId="5F23CD74"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القيمة الاحتمالية</w:t>
            </w:r>
          </w:p>
        </w:tc>
      </w:tr>
      <w:tr w:rsidR="00E4583A" w14:paraId="2E6FCFFF" w14:textId="77777777">
        <w:trPr>
          <w:jc w:val="center"/>
        </w:trPr>
        <w:tc>
          <w:tcPr>
            <w:tcW w:w="3200" w:type="pct"/>
            <w:tcMar>
              <w:top w:w="60" w:type="dxa"/>
              <w:left w:w="100" w:type="dxa"/>
              <w:bottom w:w="60" w:type="dxa"/>
              <w:right w:w="100" w:type="dxa"/>
            </w:tcMar>
            <w:vAlign w:val="center"/>
          </w:tcPr>
          <w:p w14:paraId="06A6EFE3"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تمثل التكلفة العالية للبنية التحتية التقنية تحدياً رئيسياً أمام تطبيق الترميز في مؤسستنا.</w:t>
            </w:r>
          </w:p>
        </w:tc>
        <w:tc>
          <w:tcPr>
            <w:tcW w:w="1100" w:type="pct"/>
            <w:tcMar>
              <w:top w:w="60" w:type="dxa"/>
              <w:left w:w="100" w:type="dxa"/>
              <w:bottom w:w="60" w:type="dxa"/>
              <w:right w:w="100" w:type="dxa"/>
            </w:tcMar>
            <w:vAlign w:val="center"/>
          </w:tcPr>
          <w:p w14:paraId="4D4D7882"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0.656</w:t>
            </w:r>
          </w:p>
        </w:tc>
        <w:tc>
          <w:tcPr>
            <w:tcW w:w="700" w:type="pct"/>
            <w:tcMar>
              <w:top w:w="60" w:type="dxa"/>
              <w:left w:w="100" w:type="dxa"/>
              <w:bottom w:w="60" w:type="dxa"/>
              <w:right w:w="100" w:type="dxa"/>
            </w:tcMar>
            <w:vAlign w:val="center"/>
          </w:tcPr>
          <w:p w14:paraId="3014F10A"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0.001&gt;</w:t>
            </w:r>
          </w:p>
        </w:tc>
      </w:tr>
      <w:tr w:rsidR="00E4583A" w14:paraId="2E8DC3C9" w14:textId="77777777">
        <w:trPr>
          <w:jc w:val="center"/>
        </w:trPr>
        <w:tc>
          <w:tcPr>
            <w:tcW w:w="3200" w:type="pct"/>
            <w:tcMar>
              <w:top w:w="60" w:type="dxa"/>
              <w:left w:w="100" w:type="dxa"/>
              <w:bottom w:w="60" w:type="dxa"/>
              <w:right w:w="100" w:type="dxa"/>
            </w:tcMar>
            <w:vAlign w:val="center"/>
          </w:tcPr>
          <w:p w14:paraId="128B286E"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يشكل غياب الكوادر البشرية المتخصصة في تقنية الترميز عائقاً أمام التطبيق الفعال.</w:t>
            </w:r>
          </w:p>
        </w:tc>
        <w:tc>
          <w:tcPr>
            <w:tcW w:w="1100" w:type="pct"/>
            <w:tcMar>
              <w:top w:w="60" w:type="dxa"/>
              <w:left w:w="100" w:type="dxa"/>
              <w:bottom w:w="60" w:type="dxa"/>
              <w:right w:w="100" w:type="dxa"/>
            </w:tcMar>
            <w:vAlign w:val="center"/>
          </w:tcPr>
          <w:p w14:paraId="7F9ABFAD"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0.619</w:t>
            </w:r>
          </w:p>
        </w:tc>
        <w:tc>
          <w:tcPr>
            <w:tcW w:w="700" w:type="pct"/>
            <w:tcMar>
              <w:top w:w="60" w:type="dxa"/>
              <w:left w:w="100" w:type="dxa"/>
              <w:bottom w:w="60" w:type="dxa"/>
              <w:right w:w="100" w:type="dxa"/>
            </w:tcMar>
            <w:vAlign w:val="center"/>
          </w:tcPr>
          <w:p w14:paraId="6EB84722"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0.001&gt;</w:t>
            </w:r>
          </w:p>
        </w:tc>
      </w:tr>
      <w:tr w:rsidR="00E4583A" w14:paraId="4A60D360" w14:textId="77777777">
        <w:trPr>
          <w:jc w:val="center"/>
        </w:trPr>
        <w:tc>
          <w:tcPr>
            <w:tcW w:w="3200" w:type="pct"/>
            <w:tcMar>
              <w:top w:w="60" w:type="dxa"/>
              <w:left w:w="100" w:type="dxa"/>
              <w:bottom w:w="60" w:type="dxa"/>
              <w:right w:w="100" w:type="dxa"/>
            </w:tcMar>
            <w:vAlign w:val="center"/>
          </w:tcPr>
          <w:p w14:paraId="0F9CC72C"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تعيق صعوبات التكامل مع الأنظمة القائمة عملية تطبيق تقنية الترميز.</w:t>
            </w:r>
          </w:p>
        </w:tc>
        <w:tc>
          <w:tcPr>
            <w:tcW w:w="1100" w:type="pct"/>
            <w:tcMar>
              <w:top w:w="60" w:type="dxa"/>
              <w:left w:w="100" w:type="dxa"/>
              <w:bottom w:w="60" w:type="dxa"/>
              <w:right w:w="100" w:type="dxa"/>
            </w:tcMar>
            <w:vAlign w:val="center"/>
          </w:tcPr>
          <w:p w14:paraId="0C918B99"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0.632</w:t>
            </w:r>
          </w:p>
        </w:tc>
        <w:tc>
          <w:tcPr>
            <w:tcW w:w="700" w:type="pct"/>
            <w:tcMar>
              <w:top w:w="60" w:type="dxa"/>
              <w:left w:w="100" w:type="dxa"/>
              <w:bottom w:w="60" w:type="dxa"/>
              <w:right w:w="100" w:type="dxa"/>
            </w:tcMar>
            <w:vAlign w:val="center"/>
          </w:tcPr>
          <w:p w14:paraId="46A5314B"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0.001&gt;</w:t>
            </w:r>
          </w:p>
        </w:tc>
      </w:tr>
      <w:tr w:rsidR="00E4583A" w14:paraId="2CDD831E" w14:textId="77777777">
        <w:trPr>
          <w:jc w:val="center"/>
        </w:trPr>
        <w:tc>
          <w:tcPr>
            <w:tcW w:w="3200" w:type="pct"/>
            <w:tcMar>
              <w:top w:w="60" w:type="dxa"/>
              <w:left w:w="100" w:type="dxa"/>
              <w:bottom w:w="60" w:type="dxa"/>
              <w:right w:w="100" w:type="dxa"/>
            </w:tcMar>
            <w:vAlign w:val="center"/>
          </w:tcPr>
          <w:p w14:paraId="7F99EE80"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تقيد بعض متطلبات الجهات التنظيمية مرونة تطبيق تقنية الترميز في بعض الأحيان.</w:t>
            </w:r>
          </w:p>
        </w:tc>
        <w:tc>
          <w:tcPr>
            <w:tcW w:w="1100" w:type="pct"/>
            <w:tcMar>
              <w:top w:w="60" w:type="dxa"/>
              <w:left w:w="100" w:type="dxa"/>
              <w:bottom w:w="60" w:type="dxa"/>
              <w:right w:w="100" w:type="dxa"/>
            </w:tcMar>
            <w:vAlign w:val="center"/>
          </w:tcPr>
          <w:p w14:paraId="4F5FA287"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0.676</w:t>
            </w:r>
          </w:p>
        </w:tc>
        <w:tc>
          <w:tcPr>
            <w:tcW w:w="700" w:type="pct"/>
            <w:tcMar>
              <w:top w:w="60" w:type="dxa"/>
              <w:left w:w="100" w:type="dxa"/>
              <w:bottom w:w="60" w:type="dxa"/>
              <w:right w:w="100" w:type="dxa"/>
            </w:tcMar>
            <w:vAlign w:val="center"/>
          </w:tcPr>
          <w:p w14:paraId="22EB02F7"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0.001&gt;</w:t>
            </w:r>
          </w:p>
        </w:tc>
      </w:tr>
      <w:tr w:rsidR="00E4583A" w14:paraId="42F31F3B" w14:textId="77777777">
        <w:trPr>
          <w:jc w:val="center"/>
        </w:trPr>
        <w:tc>
          <w:tcPr>
            <w:tcW w:w="3200" w:type="pct"/>
            <w:tcMar>
              <w:top w:w="60" w:type="dxa"/>
              <w:left w:w="100" w:type="dxa"/>
              <w:bottom w:w="60" w:type="dxa"/>
              <w:right w:w="100" w:type="dxa"/>
            </w:tcMar>
            <w:vAlign w:val="center"/>
          </w:tcPr>
          <w:p w14:paraId="48FBD104"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يشكل نقص الوعي الداخلي بأهمية الترميز عائقاً أمام توسيع نطاق التطبيق.</w:t>
            </w:r>
          </w:p>
        </w:tc>
        <w:tc>
          <w:tcPr>
            <w:tcW w:w="1100" w:type="pct"/>
            <w:tcMar>
              <w:top w:w="60" w:type="dxa"/>
              <w:left w:w="100" w:type="dxa"/>
              <w:bottom w:w="60" w:type="dxa"/>
              <w:right w:w="100" w:type="dxa"/>
            </w:tcMar>
            <w:vAlign w:val="center"/>
          </w:tcPr>
          <w:p w14:paraId="7F8E6C5A"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0.695</w:t>
            </w:r>
          </w:p>
        </w:tc>
        <w:tc>
          <w:tcPr>
            <w:tcW w:w="700" w:type="pct"/>
            <w:tcMar>
              <w:top w:w="60" w:type="dxa"/>
              <w:left w:w="100" w:type="dxa"/>
              <w:bottom w:w="60" w:type="dxa"/>
              <w:right w:w="100" w:type="dxa"/>
            </w:tcMar>
            <w:vAlign w:val="center"/>
          </w:tcPr>
          <w:p w14:paraId="15DFBA19"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0.001&gt;</w:t>
            </w:r>
          </w:p>
        </w:tc>
      </w:tr>
      <w:tr w:rsidR="00E4583A" w14:paraId="089C0FCF" w14:textId="77777777">
        <w:trPr>
          <w:jc w:val="center"/>
        </w:trPr>
        <w:tc>
          <w:tcPr>
            <w:tcW w:w="3200" w:type="pct"/>
            <w:tcMar>
              <w:top w:w="60" w:type="dxa"/>
              <w:left w:w="100" w:type="dxa"/>
              <w:bottom w:w="60" w:type="dxa"/>
              <w:right w:w="100" w:type="dxa"/>
            </w:tcMar>
            <w:vAlign w:val="center"/>
          </w:tcPr>
          <w:p w14:paraId="04020596"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تعوق صعوبة قياس العائد على الاستثمار (ROI) لتقنية الترميز قرارات التبني المؤسسي.</w:t>
            </w:r>
          </w:p>
        </w:tc>
        <w:tc>
          <w:tcPr>
            <w:tcW w:w="1100" w:type="pct"/>
            <w:tcMar>
              <w:top w:w="60" w:type="dxa"/>
              <w:left w:w="100" w:type="dxa"/>
              <w:bottom w:w="60" w:type="dxa"/>
              <w:right w:w="100" w:type="dxa"/>
            </w:tcMar>
            <w:vAlign w:val="center"/>
          </w:tcPr>
          <w:p w14:paraId="5C9CF53A"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0.616</w:t>
            </w:r>
          </w:p>
        </w:tc>
        <w:tc>
          <w:tcPr>
            <w:tcW w:w="700" w:type="pct"/>
            <w:tcMar>
              <w:top w:w="60" w:type="dxa"/>
              <w:left w:w="100" w:type="dxa"/>
              <w:bottom w:w="60" w:type="dxa"/>
              <w:right w:w="100" w:type="dxa"/>
            </w:tcMar>
            <w:vAlign w:val="center"/>
          </w:tcPr>
          <w:p w14:paraId="0C789295"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0.001&gt;</w:t>
            </w:r>
          </w:p>
        </w:tc>
      </w:tr>
    </w:tbl>
    <w:p w14:paraId="66173C15" w14:textId="77777777" w:rsidR="00E4583A" w:rsidRDefault="00000000">
      <w:pPr>
        <w:bidi/>
        <w:spacing w:after="0" w:line="360" w:lineRule="auto"/>
        <w:jc w:val="center"/>
      </w:pPr>
      <w:r>
        <w:rPr>
          <w:rFonts w:ascii="Traditional Arabic" w:eastAsia="Simplified Arabic" w:hAnsi="Traditional Arabic" w:cs="Traditional Arabic"/>
          <w:b/>
          <w:bCs/>
          <w:sz w:val="24"/>
          <w:szCs w:val="24"/>
          <w:rtl/>
        </w:rPr>
        <w:t>جدول (4.17): معاملات الاتساق الداخلي لعبارات بُعد تحديات تطبيق تقنية الترميز</w:t>
      </w:r>
    </w:p>
    <w:p w14:paraId="2468E133" w14:textId="77777777" w:rsidR="00E4583A" w:rsidRDefault="00000000">
      <w:pPr>
        <w:bidi/>
        <w:spacing w:after="0" w:line="360" w:lineRule="auto"/>
        <w:jc w:val="both"/>
      </w:pPr>
      <w:r>
        <w:rPr>
          <w:rFonts w:ascii="Traditional Arabic" w:eastAsia="Simplified Arabic" w:hAnsi="Traditional Arabic" w:cs="Traditional Arabic"/>
          <w:sz w:val="28"/>
          <w:szCs w:val="28"/>
          <w:rtl/>
        </w:rPr>
        <w:t>يتضح من الجدول أن جميع معاملات الارتباط دالة إحصائياً عند مستوى (0.01)، وتراوحت بين (0.616) و(0.695)، وهو ما يؤكد اتساق عبارات هذا البُعد داخلياً.</w:t>
      </w:r>
    </w:p>
    <w:p w14:paraId="669426C2" w14:textId="77777777" w:rsidR="00E4583A" w:rsidRDefault="00E4583A">
      <w:pPr>
        <w:bidi/>
        <w:spacing w:after="0" w:line="240" w:lineRule="auto"/>
      </w:pPr>
    </w:p>
    <w:p w14:paraId="5C9FDA62" w14:textId="77777777" w:rsidR="00E4583A" w:rsidRDefault="00000000">
      <w:pPr>
        <w:bidi/>
        <w:spacing w:after="0" w:line="360" w:lineRule="auto"/>
        <w:jc w:val="both"/>
      </w:pPr>
      <w:r>
        <w:rPr>
          <w:rFonts w:ascii="Traditional Arabic" w:eastAsia="Simplified Arabic" w:hAnsi="Traditional Arabic" w:cs="Traditional Arabic"/>
          <w:b/>
          <w:bCs/>
          <w:sz w:val="28"/>
          <w:szCs w:val="28"/>
          <w:rtl/>
        </w:rPr>
        <w:t>3. ثبات الأداة (معامل ألفا كرونباخ)</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4978"/>
        <w:gridCol w:w="1659"/>
        <w:gridCol w:w="1659"/>
      </w:tblGrid>
      <w:tr w:rsidR="00E4583A" w14:paraId="223CF3B4" w14:textId="77777777">
        <w:trPr>
          <w:tblHeader/>
          <w:jc w:val="center"/>
        </w:trPr>
        <w:tc>
          <w:tcPr>
            <w:tcW w:w="3000" w:type="pct"/>
            <w:shd w:val="clear" w:color="auto" w:fill="2E5395"/>
            <w:tcMar>
              <w:top w:w="60" w:type="dxa"/>
              <w:left w:w="100" w:type="dxa"/>
              <w:bottom w:w="60" w:type="dxa"/>
              <w:right w:w="100" w:type="dxa"/>
            </w:tcMar>
            <w:vAlign w:val="center"/>
          </w:tcPr>
          <w:p w14:paraId="7B89CFBE"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المتغير</w:t>
            </w:r>
          </w:p>
        </w:tc>
        <w:tc>
          <w:tcPr>
            <w:tcW w:w="1000" w:type="pct"/>
            <w:shd w:val="clear" w:color="auto" w:fill="2E5395"/>
            <w:tcMar>
              <w:top w:w="60" w:type="dxa"/>
              <w:left w:w="100" w:type="dxa"/>
              <w:bottom w:w="60" w:type="dxa"/>
              <w:right w:w="100" w:type="dxa"/>
            </w:tcMar>
            <w:vAlign w:val="center"/>
          </w:tcPr>
          <w:p w14:paraId="70F3ACAC"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عدد العبارات</w:t>
            </w:r>
          </w:p>
        </w:tc>
        <w:tc>
          <w:tcPr>
            <w:tcW w:w="1000" w:type="pct"/>
            <w:shd w:val="clear" w:color="auto" w:fill="2E5395"/>
            <w:tcMar>
              <w:top w:w="60" w:type="dxa"/>
              <w:left w:w="100" w:type="dxa"/>
              <w:bottom w:w="60" w:type="dxa"/>
              <w:right w:w="100" w:type="dxa"/>
            </w:tcMar>
            <w:vAlign w:val="center"/>
          </w:tcPr>
          <w:p w14:paraId="4F343E0A"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معامل ألفا كرونباخ</w:t>
            </w:r>
          </w:p>
        </w:tc>
      </w:tr>
      <w:tr w:rsidR="00E4583A" w14:paraId="1333951D" w14:textId="77777777">
        <w:trPr>
          <w:jc w:val="center"/>
        </w:trPr>
        <w:tc>
          <w:tcPr>
            <w:tcW w:w="3000" w:type="pct"/>
            <w:tcMar>
              <w:top w:w="60" w:type="dxa"/>
              <w:left w:w="100" w:type="dxa"/>
              <w:bottom w:w="60" w:type="dxa"/>
              <w:right w:w="100" w:type="dxa"/>
            </w:tcMar>
            <w:vAlign w:val="center"/>
          </w:tcPr>
          <w:p w14:paraId="175E13B7"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تطبيق تقنية الترميز الأمني للبيانات</w:t>
            </w:r>
          </w:p>
        </w:tc>
        <w:tc>
          <w:tcPr>
            <w:tcW w:w="1000" w:type="pct"/>
            <w:tcMar>
              <w:top w:w="60" w:type="dxa"/>
              <w:left w:w="100" w:type="dxa"/>
              <w:bottom w:w="60" w:type="dxa"/>
              <w:right w:w="100" w:type="dxa"/>
            </w:tcMar>
            <w:vAlign w:val="center"/>
          </w:tcPr>
          <w:p w14:paraId="0F27065C"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6</w:t>
            </w:r>
          </w:p>
        </w:tc>
        <w:tc>
          <w:tcPr>
            <w:tcW w:w="1000" w:type="pct"/>
            <w:tcMar>
              <w:top w:w="60" w:type="dxa"/>
              <w:left w:w="100" w:type="dxa"/>
              <w:bottom w:w="60" w:type="dxa"/>
              <w:right w:w="100" w:type="dxa"/>
            </w:tcMar>
            <w:vAlign w:val="center"/>
          </w:tcPr>
          <w:p w14:paraId="672BB7B5"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0.859</w:t>
            </w:r>
          </w:p>
        </w:tc>
      </w:tr>
      <w:tr w:rsidR="00E4583A" w14:paraId="5CECC4EF" w14:textId="77777777">
        <w:trPr>
          <w:jc w:val="center"/>
        </w:trPr>
        <w:tc>
          <w:tcPr>
            <w:tcW w:w="3000" w:type="pct"/>
            <w:tcMar>
              <w:top w:w="60" w:type="dxa"/>
              <w:left w:w="100" w:type="dxa"/>
              <w:bottom w:w="60" w:type="dxa"/>
              <w:right w:w="100" w:type="dxa"/>
            </w:tcMar>
            <w:vAlign w:val="center"/>
          </w:tcPr>
          <w:p w14:paraId="3CEC44C4"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lastRenderedPageBreak/>
              <w:t>الامتثال للمعايير الدولية</w:t>
            </w:r>
          </w:p>
        </w:tc>
        <w:tc>
          <w:tcPr>
            <w:tcW w:w="1000" w:type="pct"/>
            <w:tcMar>
              <w:top w:w="60" w:type="dxa"/>
              <w:left w:w="100" w:type="dxa"/>
              <w:bottom w:w="60" w:type="dxa"/>
              <w:right w:w="100" w:type="dxa"/>
            </w:tcMar>
            <w:vAlign w:val="center"/>
          </w:tcPr>
          <w:p w14:paraId="4F16D4C4"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6</w:t>
            </w:r>
          </w:p>
        </w:tc>
        <w:tc>
          <w:tcPr>
            <w:tcW w:w="1000" w:type="pct"/>
            <w:tcMar>
              <w:top w:w="60" w:type="dxa"/>
              <w:left w:w="100" w:type="dxa"/>
              <w:bottom w:w="60" w:type="dxa"/>
              <w:right w:w="100" w:type="dxa"/>
            </w:tcMar>
            <w:vAlign w:val="center"/>
          </w:tcPr>
          <w:p w14:paraId="39ED3A92"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0.869</w:t>
            </w:r>
          </w:p>
        </w:tc>
      </w:tr>
      <w:tr w:rsidR="00E4583A" w14:paraId="2A1D0348" w14:textId="77777777">
        <w:trPr>
          <w:jc w:val="center"/>
        </w:trPr>
        <w:tc>
          <w:tcPr>
            <w:tcW w:w="3000" w:type="pct"/>
            <w:tcMar>
              <w:top w:w="60" w:type="dxa"/>
              <w:left w:w="100" w:type="dxa"/>
              <w:bottom w:w="60" w:type="dxa"/>
              <w:right w:w="100" w:type="dxa"/>
            </w:tcMar>
            <w:vAlign w:val="center"/>
          </w:tcPr>
          <w:p w14:paraId="024BF31F"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الأمن السيبراني المؤسسي</w:t>
            </w:r>
          </w:p>
        </w:tc>
        <w:tc>
          <w:tcPr>
            <w:tcW w:w="1000" w:type="pct"/>
            <w:tcMar>
              <w:top w:w="60" w:type="dxa"/>
              <w:left w:w="100" w:type="dxa"/>
              <w:bottom w:w="60" w:type="dxa"/>
              <w:right w:w="100" w:type="dxa"/>
            </w:tcMar>
            <w:vAlign w:val="center"/>
          </w:tcPr>
          <w:p w14:paraId="36BAAE20"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6</w:t>
            </w:r>
          </w:p>
        </w:tc>
        <w:tc>
          <w:tcPr>
            <w:tcW w:w="1000" w:type="pct"/>
            <w:tcMar>
              <w:top w:w="60" w:type="dxa"/>
              <w:left w:w="100" w:type="dxa"/>
              <w:bottom w:w="60" w:type="dxa"/>
              <w:right w:w="100" w:type="dxa"/>
            </w:tcMar>
            <w:vAlign w:val="center"/>
          </w:tcPr>
          <w:p w14:paraId="32B6CE81"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0.845</w:t>
            </w:r>
          </w:p>
        </w:tc>
      </w:tr>
      <w:tr w:rsidR="00E4583A" w14:paraId="017995A5" w14:textId="77777777">
        <w:trPr>
          <w:jc w:val="center"/>
        </w:trPr>
        <w:tc>
          <w:tcPr>
            <w:tcW w:w="3000" w:type="pct"/>
            <w:tcMar>
              <w:top w:w="60" w:type="dxa"/>
              <w:left w:w="100" w:type="dxa"/>
              <w:bottom w:w="60" w:type="dxa"/>
              <w:right w:w="100" w:type="dxa"/>
            </w:tcMar>
            <w:vAlign w:val="center"/>
          </w:tcPr>
          <w:p w14:paraId="3613A185"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كفاءة العمليات المالية</w:t>
            </w:r>
          </w:p>
        </w:tc>
        <w:tc>
          <w:tcPr>
            <w:tcW w:w="1000" w:type="pct"/>
            <w:tcMar>
              <w:top w:w="60" w:type="dxa"/>
              <w:left w:w="100" w:type="dxa"/>
              <w:bottom w:w="60" w:type="dxa"/>
              <w:right w:w="100" w:type="dxa"/>
            </w:tcMar>
            <w:vAlign w:val="center"/>
          </w:tcPr>
          <w:p w14:paraId="2A284648"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6</w:t>
            </w:r>
          </w:p>
        </w:tc>
        <w:tc>
          <w:tcPr>
            <w:tcW w:w="1000" w:type="pct"/>
            <w:tcMar>
              <w:top w:w="60" w:type="dxa"/>
              <w:left w:w="100" w:type="dxa"/>
              <w:bottom w:w="60" w:type="dxa"/>
              <w:right w:w="100" w:type="dxa"/>
            </w:tcMar>
            <w:vAlign w:val="center"/>
          </w:tcPr>
          <w:p w14:paraId="661CFF43"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0.839</w:t>
            </w:r>
          </w:p>
        </w:tc>
      </w:tr>
      <w:tr w:rsidR="00E4583A" w14:paraId="07AAC79F" w14:textId="77777777">
        <w:trPr>
          <w:jc w:val="center"/>
        </w:trPr>
        <w:tc>
          <w:tcPr>
            <w:tcW w:w="3000" w:type="pct"/>
            <w:tcMar>
              <w:top w:w="60" w:type="dxa"/>
              <w:left w:w="100" w:type="dxa"/>
              <w:bottom w:w="60" w:type="dxa"/>
              <w:right w:w="100" w:type="dxa"/>
            </w:tcMar>
            <w:vAlign w:val="center"/>
          </w:tcPr>
          <w:p w14:paraId="306E886D"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تحديات تطبيق تقنية الترميز</w:t>
            </w:r>
          </w:p>
        </w:tc>
        <w:tc>
          <w:tcPr>
            <w:tcW w:w="1000" w:type="pct"/>
            <w:tcMar>
              <w:top w:w="60" w:type="dxa"/>
              <w:left w:w="100" w:type="dxa"/>
              <w:bottom w:w="60" w:type="dxa"/>
              <w:right w:w="100" w:type="dxa"/>
            </w:tcMar>
            <w:vAlign w:val="center"/>
          </w:tcPr>
          <w:p w14:paraId="1B747AE5"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6</w:t>
            </w:r>
          </w:p>
        </w:tc>
        <w:tc>
          <w:tcPr>
            <w:tcW w:w="1000" w:type="pct"/>
            <w:tcMar>
              <w:top w:w="60" w:type="dxa"/>
              <w:left w:w="100" w:type="dxa"/>
              <w:bottom w:w="60" w:type="dxa"/>
              <w:right w:w="100" w:type="dxa"/>
            </w:tcMar>
            <w:vAlign w:val="center"/>
          </w:tcPr>
          <w:p w14:paraId="5E9B5222"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0.859</w:t>
            </w:r>
          </w:p>
        </w:tc>
      </w:tr>
      <w:tr w:rsidR="00E4583A" w14:paraId="7C39CD85" w14:textId="77777777">
        <w:trPr>
          <w:jc w:val="center"/>
        </w:trPr>
        <w:tc>
          <w:tcPr>
            <w:tcW w:w="3000" w:type="pct"/>
            <w:tcMar>
              <w:top w:w="60" w:type="dxa"/>
              <w:left w:w="100" w:type="dxa"/>
              <w:bottom w:w="60" w:type="dxa"/>
              <w:right w:w="100" w:type="dxa"/>
            </w:tcMar>
            <w:vAlign w:val="center"/>
          </w:tcPr>
          <w:p w14:paraId="3DB8D1B7"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الاستبانة ككل</w:t>
            </w:r>
          </w:p>
        </w:tc>
        <w:tc>
          <w:tcPr>
            <w:tcW w:w="1000" w:type="pct"/>
            <w:tcMar>
              <w:top w:w="60" w:type="dxa"/>
              <w:left w:w="100" w:type="dxa"/>
              <w:bottom w:w="60" w:type="dxa"/>
              <w:right w:w="100" w:type="dxa"/>
            </w:tcMar>
            <w:vAlign w:val="center"/>
          </w:tcPr>
          <w:p w14:paraId="765220BC"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30</w:t>
            </w:r>
          </w:p>
        </w:tc>
        <w:tc>
          <w:tcPr>
            <w:tcW w:w="1000" w:type="pct"/>
            <w:tcMar>
              <w:top w:w="60" w:type="dxa"/>
              <w:left w:w="100" w:type="dxa"/>
              <w:bottom w:w="60" w:type="dxa"/>
              <w:right w:w="100" w:type="dxa"/>
            </w:tcMar>
            <w:vAlign w:val="center"/>
          </w:tcPr>
          <w:p w14:paraId="47BEC289"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0.873</w:t>
            </w:r>
          </w:p>
        </w:tc>
      </w:tr>
    </w:tbl>
    <w:p w14:paraId="508E59A8" w14:textId="77777777" w:rsidR="00E4583A" w:rsidRDefault="00000000">
      <w:pPr>
        <w:bidi/>
        <w:spacing w:after="0" w:line="360" w:lineRule="auto"/>
        <w:jc w:val="center"/>
      </w:pPr>
      <w:r>
        <w:rPr>
          <w:rFonts w:ascii="Traditional Arabic" w:eastAsia="Simplified Arabic" w:hAnsi="Traditional Arabic" w:cs="Traditional Arabic"/>
          <w:b/>
          <w:bCs/>
          <w:sz w:val="24"/>
          <w:szCs w:val="24"/>
          <w:rtl/>
        </w:rPr>
        <w:t>جدول (4.18): قيم معامل ألفا كرونباخ لأبعاد الدراسة</w:t>
      </w:r>
    </w:p>
    <w:p w14:paraId="00126311" w14:textId="77777777" w:rsidR="00E4583A" w:rsidRDefault="00000000">
      <w:pPr>
        <w:bidi/>
        <w:spacing w:after="0" w:line="360" w:lineRule="auto"/>
        <w:jc w:val="both"/>
      </w:pPr>
      <w:r>
        <w:rPr>
          <w:rFonts w:ascii="Traditional Arabic" w:eastAsia="Simplified Arabic" w:hAnsi="Traditional Arabic" w:cs="Traditional Arabic"/>
          <w:sz w:val="28"/>
          <w:szCs w:val="28"/>
          <w:rtl/>
        </w:rPr>
        <w:t>استُخدم معامل ألفا كرونباخ (Cronbach's Alpha) لقياس ثبات الاستبانة لكل بُعد على حدة وللأداة ككل، وتُعدّ القيمة (0.70) فأكثر مؤشراً مقبولاً على الثبات. وقد تجاوزت جميع القيم المحسوبة هذا الحد، وبلغ معامل الثبات الكلي للأداة (0.873)، وهو ما يشير إلى ثبات مرتفع للأداة يطمئن الباحث إلى إمكانية الاعتماد على نتائجها.</w:t>
      </w:r>
    </w:p>
    <w:p w14:paraId="5C6F3F44" w14:textId="77777777" w:rsidR="00E4583A" w:rsidRDefault="00E4583A">
      <w:pPr>
        <w:bidi/>
        <w:spacing w:after="0" w:line="240" w:lineRule="auto"/>
      </w:pPr>
    </w:p>
    <w:p w14:paraId="32DB0778" w14:textId="77777777" w:rsidR="00E4583A" w:rsidRDefault="00000000">
      <w:pPr>
        <w:pStyle w:val="HeadingTOCEntry"/>
        <w:bidi/>
        <w:spacing w:after="0" w:line="360" w:lineRule="auto"/>
        <w:ind w:left="432" w:hanging="432"/>
        <w:rPr>
          <w:rFonts w:ascii="Simplified Arabic" w:hAnsi="Simplified Arabic" w:cs="Simplified Arabic"/>
          <w:b/>
          <w:bCs/>
          <w:sz w:val="28"/>
          <w:szCs w:val="28"/>
          <w:u w:val="single"/>
        </w:rPr>
      </w:pPr>
      <w:r>
        <w:rPr>
          <w:rFonts w:ascii="Traditional Arabic" w:eastAsia="Simplified Arabic" w:hAnsi="Traditional Arabic" w:cs="Traditional Arabic"/>
          <w:b/>
          <w:bCs/>
          <w:sz w:val="32"/>
          <w:szCs w:val="32"/>
          <w:u w:val="single"/>
          <w:rtl/>
        </w:rPr>
        <w:t>رابعاً: اختبار افتراضات التحليل الإحصائي</w:t>
      </w:r>
    </w:p>
    <w:p w14:paraId="17BA6010" w14:textId="77777777" w:rsidR="00E4583A" w:rsidRDefault="00000000">
      <w:pPr>
        <w:bidi/>
        <w:spacing w:after="0" w:line="360" w:lineRule="auto"/>
        <w:jc w:val="both"/>
      </w:pPr>
      <w:r>
        <w:rPr>
          <w:rFonts w:ascii="Traditional Arabic" w:eastAsia="Simplified Arabic" w:hAnsi="Traditional Arabic" w:cs="Traditional Arabic"/>
          <w:b/>
          <w:bCs/>
          <w:sz w:val="28"/>
          <w:szCs w:val="28"/>
          <w:rtl/>
        </w:rPr>
        <w:t>1. اختبار التوزيع الطبيعي (Shapiro-Wilk)</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3651"/>
        <w:gridCol w:w="1493"/>
        <w:gridCol w:w="1493"/>
        <w:gridCol w:w="1659"/>
      </w:tblGrid>
      <w:tr w:rsidR="00E4583A" w14:paraId="042B713D" w14:textId="77777777">
        <w:trPr>
          <w:tblHeader/>
          <w:jc w:val="center"/>
        </w:trPr>
        <w:tc>
          <w:tcPr>
            <w:tcW w:w="2200" w:type="pct"/>
            <w:shd w:val="clear" w:color="auto" w:fill="2E5395"/>
            <w:tcMar>
              <w:top w:w="60" w:type="dxa"/>
              <w:left w:w="100" w:type="dxa"/>
              <w:bottom w:w="60" w:type="dxa"/>
              <w:right w:w="100" w:type="dxa"/>
            </w:tcMar>
            <w:vAlign w:val="center"/>
          </w:tcPr>
          <w:p w14:paraId="6403F4A4"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البُعد</w:t>
            </w:r>
          </w:p>
        </w:tc>
        <w:tc>
          <w:tcPr>
            <w:tcW w:w="900" w:type="pct"/>
            <w:shd w:val="clear" w:color="auto" w:fill="2E5395"/>
            <w:tcMar>
              <w:top w:w="60" w:type="dxa"/>
              <w:left w:w="100" w:type="dxa"/>
              <w:bottom w:w="60" w:type="dxa"/>
              <w:right w:w="100" w:type="dxa"/>
            </w:tcMar>
            <w:vAlign w:val="center"/>
          </w:tcPr>
          <w:p w14:paraId="06CD2594"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قيمة الإحصائي (W)</w:t>
            </w:r>
          </w:p>
        </w:tc>
        <w:tc>
          <w:tcPr>
            <w:tcW w:w="900" w:type="pct"/>
            <w:shd w:val="clear" w:color="auto" w:fill="2E5395"/>
            <w:tcMar>
              <w:top w:w="60" w:type="dxa"/>
              <w:left w:w="100" w:type="dxa"/>
              <w:bottom w:w="60" w:type="dxa"/>
              <w:right w:w="100" w:type="dxa"/>
            </w:tcMar>
            <w:vAlign w:val="center"/>
          </w:tcPr>
          <w:p w14:paraId="072744C2"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القيمة الاحتمالية</w:t>
            </w:r>
          </w:p>
        </w:tc>
        <w:tc>
          <w:tcPr>
            <w:tcW w:w="1000" w:type="pct"/>
            <w:shd w:val="clear" w:color="auto" w:fill="2E5395"/>
            <w:tcMar>
              <w:top w:w="60" w:type="dxa"/>
              <w:left w:w="100" w:type="dxa"/>
              <w:bottom w:w="60" w:type="dxa"/>
              <w:right w:w="100" w:type="dxa"/>
            </w:tcMar>
            <w:vAlign w:val="center"/>
          </w:tcPr>
          <w:p w14:paraId="08857D7A"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القرار</w:t>
            </w:r>
          </w:p>
        </w:tc>
      </w:tr>
      <w:tr w:rsidR="00E4583A" w14:paraId="58857855" w14:textId="77777777">
        <w:trPr>
          <w:jc w:val="center"/>
        </w:trPr>
        <w:tc>
          <w:tcPr>
            <w:tcW w:w="2200" w:type="pct"/>
            <w:tcMar>
              <w:top w:w="60" w:type="dxa"/>
              <w:left w:w="100" w:type="dxa"/>
              <w:bottom w:w="60" w:type="dxa"/>
              <w:right w:w="100" w:type="dxa"/>
            </w:tcMar>
            <w:vAlign w:val="center"/>
          </w:tcPr>
          <w:p w14:paraId="11A3E251"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تطبيق تقنية الترميز الأمني للبيانات</w:t>
            </w:r>
          </w:p>
        </w:tc>
        <w:tc>
          <w:tcPr>
            <w:tcW w:w="900" w:type="pct"/>
            <w:tcMar>
              <w:top w:w="60" w:type="dxa"/>
              <w:left w:w="100" w:type="dxa"/>
              <w:bottom w:w="60" w:type="dxa"/>
              <w:right w:w="100" w:type="dxa"/>
            </w:tcMar>
            <w:vAlign w:val="center"/>
          </w:tcPr>
          <w:p w14:paraId="572DF6E5"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0.950</w:t>
            </w:r>
          </w:p>
        </w:tc>
        <w:tc>
          <w:tcPr>
            <w:tcW w:w="900" w:type="pct"/>
            <w:tcMar>
              <w:top w:w="60" w:type="dxa"/>
              <w:left w:w="100" w:type="dxa"/>
              <w:bottom w:w="60" w:type="dxa"/>
              <w:right w:w="100" w:type="dxa"/>
            </w:tcMar>
            <w:vAlign w:val="center"/>
          </w:tcPr>
          <w:p w14:paraId="1965953F"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0.001&gt;</w:t>
            </w:r>
          </w:p>
        </w:tc>
        <w:tc>
          <w:tcPr>
            <w:tcW w:w="1000" w:type="pct"/>
            <w:tcMar>
              <w:top w:w="60" w:type="dxa"/>
              <w:left w:w="100" w:type="dxa"/>
              <w:bottom w:w="60" w:type="dxa"/>
              <w:right w:w="100" w:type="dxa"/>
            </w:tcMar>
            <w:vAlign w:val="center"/>
          </w:tcPr>
          <w:p w14:paraId="691B547F"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انحراف دال عن التوزيع الطبيعي</w:t>
            </w:r>
          </w:p>
        </w:tc>
      </w:tr>
      <w:tr w:rsidR="00E4583A" w14:paraId="5B88FD87" w14:textId="77777777">
        <w:trPr>
          <w:jc w:val="center"/>
        </w:trPr>
        <w:tc>
          <w:tcPr>
            <w:tcW w:w="2200" w:type="pct"/>
            <w:tcMar>
              <w:top w:w="60" w:type="dxa"/>
              <w:left w:w="100" w:type="dxa"/>
              <w:bottom w:w="60" w:type="dxa"/>
              <w:right w:w="100" w:type="dxa"/>
            </w:tcMar>
            <w:vAlign w:val="center"/>
          </w:tcPr>
          <w:p w14:paraId="136639CF"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الامتثال للمعايير الدولية</w:t>
            </w:r>
          </w:p>
        </w:tc>
        <w:tc>
          <w:tcPr>
            <w:tcW w:w="900" w:type="pct"/>
            <w:tcMar>
              <w:top w:w="60" w:type="dxa"/>
              <w:left w:w="100" w:type="dxa"/>
              <w:bottom w:w="60" w:type="dxa"/>
              <w:right w:w="100" w:type="dxa"/>
            </w:tcMar>
            <w:vAlign w:val="center"/>
          </w:tcPr>
          <w:p w14:paraId="53C48760"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0.946</w:t>
            </w:r>
          </w:p>
        </w:tc>
        <w:tc>
          <w:tcPr>
            <w:tcW w:w="900" w:type="pct"/>
            <w:tcMar>
              <w:top w:w="60" w:type="dxa"/>
              <w:left w:w="100" w:type="dxa"/>
              <w:bottom w:w="60" w:type="dxa"/>
              <w:right w:w="100" w:type="dxa"/>
            </w:tcMar>
            <w:vAlign w:val="center"/>
          </w:tcPr>
          <w:p w14:paraId="358A4B29"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0.001&gt;</w:t>
            </w:r>
          </w:p>
        </w:tc>
        <w:tc>
          <w:tcPr>
            <w:tcW w:w="1000" w:type="pct"/>
            <w:tcMar>
              <w:top w:w="60" w:type="dxa"/>
              <w:left w:w="100" w:type="dxa"/>
              <w:bottom w:w="60" w:type="dxa"/>
              <w:right w:w="100" w:type="dxa"/>
            </w:tcMar>
            <w:vAlign w:val="center"/>
          </w:tcPr>
          <w:p w14:paraId="15724335"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انحراف دال عن التوزيع الطبيعي</w:t>
            </w:r>
          </w:p>
        </w:tc>
      </w:tr>
      <w:tr w:rsidR="00E4583A" w14:paraId="11BA9AE2" w14:textId="77777777">
        <w:trPr>
          <w:jc w:val="center"/>
        </w:trPr>
        <w:tc>
          <w:tcPr>
            <w:tcW w:w="2200" w:type="pct"/>
            <w:tcMar>
              <w:top w:w="60" w:type="dxa"/>
              <w:left w:w="100" w:type="dxa"/>
              <w:bottom w:w="60" w:type="dxa"/>
              <w:right w:w="100" w:type="dxa"/>
            </w:tcMar>
            <w:vAlign w:val="center"/>
          </w:tcPr>
          <w:p w14:paraId="31730381"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الأمن السيبراني المؤسسي</w:t>
            </w:r>
          </w:p>
        </w:tc>
        <w:tc>
          <w:tcPr>
            <w:tcW w:w="900" w:type="pct"/>
            <w:tcMar>
              <w:top w:w="60" w:type="dxa"/>
              <w:left w:w="100" w:type="dxa"/>
              <w:bottom w:w="60" w:type="dxa"/>
              <w:right w:w="100" w:type="dxa"/>
            </w:tcMar>
            <w:vAlign w:val="center"/>
          </w:tcPr>
          <w:p w14:paraId="245A2F13"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0.958</w:t>
            </w:r>
          </w:p>
        </w:tc>
        <w:tc>
          <w:tcPr>
            <w:tcW w:w="900" w:type="pct"/>
            <w:tcMar>
              <w:top w:w="60" w:type="dxa"/>
              <w:left w:w="100" w:type="dxa"/>
              <w:bottom w:w="60" w:type="dxa"/>
              <w:right w:w="100" w:type="dxa"/>
            </w:tcMar>
            <w:vAlign w:val="center"/>
          </w:tcPr>
          <w:p w14:paraId="32CCC31F"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0.001&gt;</w:t>
            </w:r>
          </w:p>
        </w:tc>
        <w:tc>
          <w:tcPr>
            <w:tcW w:w="1000" w:type="pct"/>
            <w:tcMar>
              <w:top w:w="60" w:type="dxa"/>
              <w:left w:w="100" w:type="dxa"/>
              <w:bottom w:w="60" w:type="dxa"/>
              <w:right w:w="100" w:type="dxa"/>
            </w:tcMar>
            <w:vAlign w:val="center"/>
          </w:tcPr>
          <w:p w14:paraId="74664038"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انحراف دال عن التوزيع الطبيعي</w:t>
            </w:r>
          </w:p>
        </w:tc>
      </w:tr>
      <w:tr w:rsidR="00E4583A" w14:paraId="4CE1F24B" w14:textId="77777777">
        <w:trPr>
          <w:jc w:val="center"/>
        </w:trPr>
        <w:tc>
          <w:tcPr>
            <w:tcW w:w="2200" w:type="pct"/>
            <w:tcMar>
              <w:top w:w="60" w:type="dxa"/>
              <w:left w:w="100" w:type="dxa"/>
              <w:bottom w:w="60" w:type="dxa"/>
              <w:right w:w="100" w:type="dxa"/>
            </w:tcMar>
            <w:vAlign w:val="center"/>
          </w:tcPr>
          <w:p w14:paraId="3ED4915D"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كفاءة العمليات المالية</w:t>
            </w:r>
          </w:p>
        </w:tc>
        <w:tc>
          <w:tcPr>
            <w:tcW w:w="900" w:type="pct"/>
            <w:tcMar>
              <w:top w:w="60" w:type="dxa"/>
              <w:left w:w="100" w:type="dxa"/>
              <w:bottom w:w="60" w:type="dxa"/>
              <w:right w:w="100" w:type="dxa"/>
            </w:tcMar>
            <w:vAlign w:val="center"/>
          </w:tcPr>
          <w:p w14:paraId="7BD97EA3"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0.961</w:t>
            </w:r>
          </w:p>
        </w:tc>
        <w:tc>
          <w:tcPr>
            <w:tcW w:w="900" w:type="pct"/>
            <w:tcMar>
              <w:top w:w="60" w:type="dxa"/>
              <w:left w:w="100" w:type="dxa"/>
              <w:bottom w:w="60" w:type="dxa"/>
              <w:right w:w="100" w:type="dxa"/>
            </w:tcMar>
            <w:vAlign w:val="center"/>
          </w:tcPr>
          <w:p w14:paraId="61DC3BF5"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0.001&gt;</w:t>
            </w:r>
          </w:p>
        </w:tc>
        <w:tc>
          <w:tcPr>
            <w:tcW w:w="1000" w:type="pct"/>
            <w:tcMar>
              <w:top w:w="60" w:type="dxa"/>
              <w:left w:w="100" w:type="dxa"/>
              <w:bottom w:w="60" w:type="dxa"/>
              <w:right w:w="100" w:type="dxa"/>
            </w:tcMar>
            <w:vAlign w:val="center"/>
          </w:tcPr>
          <w:p w14:paraId="58F512E0"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انحراف دال عن التوزيع الطبيعي</w:t>
            </w:r>
          </w:p>
        </w:tc>
      </w:tr>
      <w:tr w:rsidR="00E4583A" w14:paraId="156E2B93" w14:textId="77777777">
        <w:trPr>
          <w:jc w:val="center"/>
        </w:trPr>
        <w:tc>
          <w:tcPr>
            <w:tcW w:w="2200" w:type="pct"/>
            <w:tcMar>
              <w:top w:w="60" w:type="dxa"/>
              <w:left w:w="100" w:type="dxa"/>
              <w:bottom w:w="60" w:type="dxa"/>
              <w:right w:w="100" w:type="dxa"/>
            </w:tcMar>
            <w:vAlign w:val="center"/>
          </w:tcPr>
          <w:p w14:paraId="1318F5B3"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تحديات تطبيق تقنية الترميز</w:t>
            </w:r>
          </w:p>
        </w:tc>
        <w:tc>
          <w:tcPr>
            <w:tcW w:w="900" w:type="pct"/>
            <w:tcMar>
              <w:top w:w="60" w:type="dxa"/>
              <w:left w:w="100" w:type="dxa"/>
              <w:bottom w:w="60" w:type="dxa"/>
              <w:right w:w="100" w:type="dxa"/>
            </w:tcMar>
            <w:vAlign w:val="center"/>
          </w:tcPr>
          <w:p w14:paraId="3F968E52"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0.980</w:t>
            </w:r>
          </w:p>
        </w:tc>
        <w:tc>
          <w:tcPr>
            <w:tcW w:w="900" w:type="pct"/>
            <w:tcMar>
              <w:top w:w="60" w:type="dxa"/>
              <w:left w:w="100" w:type="dxa"/>
              <w:bottom w:w="60" w:type="dxa"/>
              <w:right w:w="100" w:type="dxa"/>
            </w:tcMar>
            <w:vAlign w:val="center"/>
          </w:tcPr>
          <w:p w14:paraId="0DDEC5C5"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0.007</w:t>
            </w:r>
          </w:p>
        </w:tc>
        <w:tc>
          <w:tcPr>
            <w:tcW w:w="1000" w:type="pct"/>
            <w:tcMar>
              <w:top w:w="60" w:type="dxa"/>
              <w:left w:w="100" w:type="dxa"/>
              <w:bottom w:w="60" w:type="dxa"/>
              <w:right w:w="100" w:type="dxa"/>
            </w:tcMar>
            <w:vAlign w:val="center"/>
          </w:tcPr>
          <w:p w14:paraId="3655D236"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انحراف دال عن التوزيع الطبيعي</w:t>
            </w:r>
          </w:p>
        </w:tc>
      </w:tr>
    </w:tbl>
    <w:p w14:paraId="3E8A6498" w14:textId="77777777" w:rsidR="00E4583A" w:rsidRDefault="00000000">
      <w:pPr>
        <w:bidi/>
        <w:spacing w:after="0" w:line="360" w:lineRule="auto"/>
        <w:jc w:val="center"/>
      </w:pPr>
      <w:r>
        <w:rPr>
          <w:rFonts w:ascii="Traditional Arabic" w:eastAsia="Simplified Arabic" w:hAnsi="Traditional Arabic" w:cs="Traditional Arabic"/>
          <w:b/>
          <w:bCs/>
          <w:sz w:val="24"/>
          <w:szCs w:val="24"/>
          <w:rtl/>
        </w:rPr>
        <w:t>جدول (4.19): نتائج اختبار شابيرو-ويلك للتوزيع الطبيعي لأبعاد الدراسة</w:t>
      </w:r>
    </w:p>
    <w:p w14:paraId="5E41EBEA" w14:textId="77777777" w:rsidR="00E4583A" w:rsidRDefault="00000000">
      <w:pPr>
        <w:bidi/>
        <w:spacing w:after="0" w:line="360" w:lineRule="auto"/>
        <w:jc w:val="both"/>
      </w:pPr>
      <w:r>
        <w:rPr>
          <w:rFonts w:ascii="Traditional Arabic" w:eastAsia="Simplified Arabic" w:hAnsi="Traditional Arabic" w:cs="Traditional Arabic"/>
          <w:sz w:val="28"/>
          <w:szCs w:val="28"/>
          <w:rtl/>
        </w:rPr>
        <w:lastRenderedPageBreak/>
        <w:t>يتضح من نتائج الجدول أن القيمة الاحتمالية لجميع أبعاد الدراسة جاءت أقل من (0.05)، وهو ما يشير إلى وجود انحراف دال إحصائياً عن التوزيع الطبيعي في بيانات جميع الأبعاد، ويعزى ذلك في جانب منه إلى طبيعة مقياس ليكرت الخماسي المستخدم. وبناءً على ذلك، اعتمدت الدراسة الأساليب الإحصائية اللابارامترية في اختبار فروض الفروق (H3 إلى H7).</w:t>
      </w:r>
    </w:p>
    <w:p w14:paraId="220461E7" w14:textId="77777777" w:rsidR="00E4583A" w:rsidRDefault="00E4583A">
      <w:pPr>
        <w:bidi/>
        <w:spacing w:after="0" w:line="240" w:lineRule="auto"/>
      </w:pPr>
    </w:p>
    <w:p w14:paraId="1D2C91FE" w14:textId="77777777" w:rsidR="00E4583A" w:rsidRDefault="00000000">
      <w:pPr>
        <w:bidi/>
        <w:spacing w:after="0" w:line="360" w:lineRule="auto"/>
        <w:jc w:val="both"/>
      </w:pPr>
      <w:r>
        <w:rPr>
          <w:rFonts w:ascii="Traditional Arabic" w:eastAsia="Simplified Arabic" w:hAnsi="Traditional Arabic" w:cs="Traditional Arabic"/>
          <w:b/>
          <w:bCs/>
          <w:sz w:val="28"/>
          <w:szCs w:val="28"/>
          <w:rtl/>
        </w:rPr>
        <w:t>2. اختبار تجانس التباين (Levene)</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2310"/>
        <w:gridCol w:w="2643"/>
        <w:gridCol w:w="1315"/>
        <w:gridCol w:w="1315"/>
        <w:gridCol w:w="713"/>
      </w:tblGrid>
      <w:tr w:rsidR="00E4583A" w14:paraId="433EE765" w14:textId="77777777">
        <w:trPr>
          <w:tblHeader/>
          <w:jc w:val="center"/>
        </w:trPr>
        <w:tc>
          <w:tcPr>
            <w:tcW w:w="1400" w:type="pct"/>
            <w:shd w:val="clear" w:color="auto" w:fill="2E5395"/>
            <w:tcMar>
              <w:top w:w="60" w:type="dxa"/>
              <w:left w:w="100" w:type="dxa"/>
              <w:bottom w:w="60" w:type="dxa"/>
              <w:right w:w="100" w:type="dxa"/>
            </w:tcMar>
            <w:vAlign w:val="center"/>
          </w:tcPr>
          <w:p w14:paraId="51E98428"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المتغير الضابط</w:t>
            </w:r>
          </w:p>
        </w:tc>
        <w:tc>
          <w:tcPr>
            <w:tcW w:w="1600" w:type="pct"/>
            <w:shd w:val="clear" w:color="auto" w:fill="2E5395"/>
            <w:tcMar>
              <w:top w:w="60" w:type="dxa"/>
              <w:left w:w="100" w:type="dxa"/>
              <w:bottom w:w="60" w:type="dxa"/>
              <w:right w:w="100" w:type="dxa"/>
            </w:tcMar>
            <w:vAlign w:val="center"/>
          </w:tcPr>
          <w:p w14:paraId="067FC5EE"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المتغير التابع</w:t>
            </w:r>
          </w:p>
        </w:tc>
        <w:tc>
          <w:tcPr>
            <w:tcW w:w="800" w:type="pct"/>
            <w:shd w:val="clear" w:color="auto" w:fill="2E5395"/>
            <w:tcMar>
              <w:top w:w="60" w:type="dxa"/>
              <w:left w:w="100" w:type="dxa"/>
              <w:bottom w:w="60" w:type="dxa"/>
              <w:right w:w="100" w:type="dxa"/>
            </w:tcMar>
            <w:vAlign w:val="center"/>
          </w:tcPr>
          <w:p w14:paraId="6ED8F54E"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قيمة إحصائي ليفين</w:t>
            </w:r>
          </w:p>
        </w:tc>
        <w:tc>
          <w:tcPr>
            <w:tcW w:w="800" w:type="pct"/>
            <w:shd w:val="clear" w:color="auto" w:fill="2E5395"/>
            <w:tcMar>
              <w:top w:w="60" w:type="dxa"/>
              <w:left w:w="100" w:type="dxa"/>
              <w:bottom w:w="60" w:type="dxa"/>
              <w:right w:w="100" w:type="dxa"/>
            </w:tcMar>
            <w:vAlign w:val="center"/>
          </w:tcPr>
          <w:p w14:paraId="144793DF"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القيمة الاحتمالية</w:t>
            </w:r>
          </w:p>
        </w:tc>
        <w:tc>
          <w:tcPr>
            <w:tcW w:w="1400" w:type="pct"/>
            <w:shd w:val="clear" w:color="auto" w:fill="2E5395"/>
            <w:tcMar>
              <w:top w:w="60" w:type="dxa"/>
              <w:left w:w="100" w:type="dxa"/>
              <w:bottom w:w="60" w:type="dxa"/>
              <w:right w:w="100" w:type="dxa"/>
            </w:tcMar>
            <w:vAlign w:val="center"/>
          </w:tcPr>
          <w:p w14:paraId="19008018"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القرار</w:t>
            </w:r>
          </w:p>
        </w:tc>
      </w:tr>
      <w:tr w:rsidR="00E4583A" w14:paraId="37441133" w14:textId="77777777">
        <w:trPr>
          <w:jc w:val="center"/>
        </w:trPr>
        <w:tc>
          <w:tcPr>
            <w:tcW w:w="1400" w:type="pct"/>
            <w:tcMar>
              <w:top w:w="60" w:type="dxa"/>
              <w:left w:w="100" w:type="dxa"/>
              <w:bottom w:w="60" w:type="dxa"/>
              <w:right w:w="100" w:type="dxa"/>
            </w:tcMar>
            <w:vAlign w:val="center"/>
          </w:tcPr>
          <w:p w14:paraId="5F3FDCE4"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نوع المؤسسة</w:t>
            </w:r>
          </w:p>
        </w:tc>
        <w:tc>
          <w:tcPr>
            <w:tcW w:w="1600" w:type="pct"/>
            <w:tcMar>
              <w:top w:w="60" w:type="dxa"/>
              <w:left w:w="100" w:type="dxa"/>
              <w:bottom w:w="60" w:type="dxa"/>
              <w:right w:w="100" w:type="dxa"/>
            </w:tcMar>
            <w:vAlign w:val="center"/>
          </w:tcPr>
          <w:p w14:paraId="3009F072"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كفاءة العمليات المالية</w:t>
            </w:r>
          </w:p>
        </w:tc>
        <w:tc>
          <w:tcPr>
            <w:tcW w:w="800" w:type="pct"/>
            <w:tcMar>
              <w:top w:w="60" w:type="dxa"/>
              <w:left w:w="100" w:type="dxa"/>
              <w:bottom w:w="60" w:type="dxa"/>
              <w:right w:w="100" w:type="dxa"/>
            </w:tcMar>
            <w:vAlign w:val="center"/>
          </w:tcPr>
          <w:p w14:paraId="085A022F"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0.874</w:t>
            </w:r>
          </w:p>
        </w:tc>
        <w:tc>
          <w:tcPr>
            <w:tcW w:w="800" w:type="pct"/>
            <w:tcMar>
              <w:top w:w="60" w:type="dxa"/>
              <w:left w:w="100" w:type="dxa"/>
              <w:bottom w:w="60" w:type="dxa"/>
              <w:right w:w="100" w:type="dxa"/>
            </w:tcMar>
            <w:vAlign w:val="center"/>
          </w:tcPr>
          <w:p w14:paraId="00128478"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0.419</w:t>
            </w:r>
          </w:p>
        </w:tc>
        <w:tc>
          <w:tcPr>
            <w:tcW w:w="1400" w:type="pct"/>
            <w:tcMar>
              <w:top w:w="60" w:type="dxa"/>
              <w:left w:w="100" w:type="dxa"/>
              <w:bottom w:w="60" w:type="dxa"/>
              <w:right w:w="100" w:type="dxa"/>
            </w:tcMar>
            <w:vAlign w:val="center"/>
          </w:tcPr>
          <w:p w14:paraId="61709654"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تباين متجانس</w:t>
            </w:r>
          </w:p>
        </w:tc>
      </w:tr>
      <w:tr w:rsidR="00E4583A" w14:paraId="25CAD801" w14:textId="77777777">
        <w:trPr>
          <w:jc w:val="center"/>
        </w:trPr>
        <w:tc>
          <w:tcPr>
            <w:tcW w:w="1400" w:type="pct"/>
            <w:tcMar>
              <w:top w:w="60" w:type="dxa"/>
              <w:left w:w="100" w:type="dxa"/>
              <w:bottom w:w="60" w:type="dxa"/>
              <w:right w:w="100" w:type="dxa"/>
            </w:tcMar>
            <w:vAlign w:val="center"/>
          </w:tcPr>
          <w:p w14:paraId="49549C3B"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نوع المؤسسة</w:t>
            </w:r>
          </w:p>
        </w:tc>
        <w:tc>
          <w:tcPr>
            <w:tcW w:w="1600" w:type="pct"/>
            <w:tcMar>
              <w:top w:w="60" w:type="dxa"/>
              <w:left w:w="100" w:type="dxa"/>
              <w:bottom w:w="60" w:type="dxa"/>
              <w:right w:w="100" w:type="dxa"/>
            </w:tcMar>
            <w:vAlign w:val="center"/>
          </w:tcPr>
          <w:p w14:paraId="4DFA60F2"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الأمن السيبراني المؤسسي</w:t>
            </w:r>
          </w:p>
        </w:tc>
        <w:tc>
          <w:tcPr>
            <w:tcW w:w="800" w:type="pct"/>
            <w:tcMar>
              <w:top w:w="60" w:type="dxa"/>
              <w:left w:w="100" w:type="dxa"/>
              <w:bottom w:w="60" w:type="dxa"/>
              <w:right w:w="100" w:type="dxa"/>
            </w:tcMar>
            <w:vAlign w:val="center"/>
          </w:tcPr>
          <w:p w14:paraId="1965F1C4"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0.248</w:t>
            </w:r>
          </w:p>
        </w:tc>
        <w:tc>
          <w:tcPr>
            <w:tcW w:w="800" w:type="pct"/>
            <w:tcMar>
              <w:top w:w="60" w:type="dxa"/>
              <w:left w:w="100" w:type="dxa"/>
              <w:bottom w:w="60" w:type="dxa"/>
              <w:right w:w="100" w:type="dxa"/>
            </w:tcMar>
            <w:vAlign w:val="center"/>
          </w:tcPr>
          <w:p w14:paraId="76F8BB79"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0.781</w:t>
            </w:r>
          </w:p>
        </w:tc>
        <w:tc>
          <w:tcPr>
            <w:tcW w:w="1400" w:type="pct"/>
            <w:tcMar>
              <w:top w:w="60" w:type="dxa"/>
              <w:left w:w="100" w:type="dxa"/>
              <w:bottom w:w="60" w:type="dxa"/>
              <w:right w:w="100" w:type="dxa"/>
            </w:tcMar>
            <w:vAlign w:val="center"/>
          </w:tcPr>
          <w:p w14:paraId="3F3D17E7"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تباين متجانس</w:t>
            </w:r>
          </w:p>
        </w:tc>
      </w:tr>
      <w:tr w:rsidR="00E4583A" w14:paraId="57E88218" w14:textId="77777777">
        <w:trPr>
          <w:jc w:val="center"/>
        </w:trPr>
        <w:tc>
          <w:tcPr>
            <w:tcW w:w="1400" w:type="pct"/>
            <w:tcMar>
              <w:top w:w="60" w:type="dxa"/>
              <w:left w:w="100" w:type="dxa"/>
              <w:bottom w:w="60" w:type="dxa"/>
              <w:right w:w="100" w:type="dxa"/>
            </w:tcMar>
            <w:vAlign w:val="center"/>
          </w:tcPr>
          <w:p w14:paraId="71CD6518"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نوع المؤسسة</w:t>
            </w:r>
          </w:p>
        </w:tc>
        <w:tc>
          <w:tcPr>
            <w:tcW w:w="1600" w:type="pct"/>
            <w:tcMar>
              <w:top w:w="60" w:type="dxa"/>
              <w:left w:w="100" w:type="dxa"/>
              <w:bottom w:w="60" w:type="dxa"/>
              <w:right w:w="100" w:type="dxa"/>
            </w:tcMar>
            <w:vAlign w:val="center"/>
          </w:tcPr>
          <w:p w14:paraId="6FAC358A"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تطبيق تقنية الترميز</w:t>
            </w:r>
          </w:p>
        </w:tc>
        <w:tc>
          <w:tcPr>
            <w:tcW w:w="800" w:type="pct"/>
            <w:tcMar>
              <w:top w:w="60" w:type="dxa"/>
              <w:left w:w="100" w:type="dxa"/>
              <w:bottom w:w="60" w:type="dxa"/>
              <w:right w:w="100" w:type="dxa"/>
            </w:tcMar>
            <w:vAlign w:val="center"/>
          </w:tcPr>
          <w:p w14:paraId="3C8ED7A9"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0.860</w:t>
            </w:r>
          </w:p>
        </w:tc>
        <w:tc>
          <w:tcPr>
            <w:tcW w:w="800" w:type="pct"/>
            <w:tcMar>
              <w:top w:w="60" w:type="dxa"/>
              <w:left w:w="100" w:type="dxa"/>
              <w:bottom w:w="60" w:type="dxa"/>
              <w:right w:w="100" w:type="dxa"/>
            </w:tcMar>
            <w:vAlign w:val="center"/>
          </w:tcPr>
          <w:p w14:paraId="4EF430DB"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0.425</w:t>
            </w:r>
          </w:p>
        </w:tc>
        <w:tc>
          <w:tcPr>
            <w:tcW w:w="1400" w:type="pct"/>
            <w:tcMar>
              <w:top w:w="60" w:type="dxa"/>
              <w:left w:w="100" w:type="dxa"/>
              <w:bottom w:w="60" w:type="dxa"/>
              <w:right w:w="100" w:type="dxa"/>
            </w:tcMar>
            <w:vAlign w:val="center"/>
          </w:tcPr>
          <w:p w14:paraId="09031FD2"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تباين متجانس</w:t>
            </w:r>
          </w:p>
        </w:tc>
      </w:tr>
      <w:tr w:rsidR="00E4583A" w14:paraId="6245A11B" w14:textId="77777777">
        <w:trPr>
          <w:jc w:val="center"/>
        </w:trPr>
        <w:tc>
          <w:tcPr>
            <w:tcW w:w="1400" w:type="pct"/>
            <w:tcMar>
              <w:top w:w="60" w:type="dxa"/>
              <w:left w:w="100" w:type="dxa"/>
              <w:bottom w:w="60" w:type="dxa"/>
              <w:right w:w="100" w:type="dxa"/>
            </w:tcMar>
            <w:vAlign w:val="center"/>
          </w:tcPr>
          <w:p w14:paraId="0DD3C583"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سنوات الخبرة</w:t>
            </w:r>
          </w:p>
        </w:tc>
        <w:tc>
          <w:tcPr>
            <w:tcW w:w="1600" w:type="pct"/>
            <w:tcMar>
              <w:top w:w="60" w:type="dxa"/>
              <w:left w:w="100" w:type="dxa"/>
              <w:bottom w:w="60" w:type="dxa"/>
              <w:right w:w="100" w:type="dxa"/>
            </w:tcMar>
            <w:vAlign w:val="center"/>
          </w:tcPr>
          <w:p w14:paraId="104CF08F"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كفاءة العمليات المالية</w:t>
            </w:r>
          </w:p>
        </w:tc>
        <w:tc>
          <w:tcPr>
            <w:tcW w:w="800" w:type="pct"/>
            <w:tcMar>
              <w:top w:w="60" w:type="dxa"/>
              <w:left w:w="100" w:type="dxa"/>
              <w:bottom w:w="60" w:type="dxa"/>
              <w:right w:w="100" w:type="dxa"/>
            </w:tcMar>
            <w:vAlign w:val="center"/>
          </w:tcPr>
          <w:p w14:paraId="72B559BD"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0.673</w:t>
            </w:r>
          </w:p>
        </w:tc>
        <w:tc>
          <w:tcPr>
            <w:tcW w:w="800" w:type="pct"/>
            <w:tcMar>
              <w:top w:w="60" w:type="dxa"/>
              <w:left w:w="100" w:type="dxa"/>
              <w:bottom w:w="60" w:type="dxa"/>
              <w:right w:w="100" w:type="dxa"/>
            </w:tcMar>
            <w:vAlign w:val="center"/>
          </w:tcPr>
          <w:p w14:paraId="3240A5EA"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0.569</w:t>
            </w:r>
          </w:p>
        </w:tc>
        <w:tc>
          <w:tcPr>
            <w:tcW w:w="1400" w:type="pct"/>
            <w:tcMar>
              <w:top w:w="60" w:type="dxa"/>
              <w:left w:w="100" w:type="dxa"/>
              <w:bottom w:w="60" w:type="dxa"/>
              <w:right w:w="100" w:type="dxa"/>
            </w:tcMar>
            <w:vAlign w:val="center"/>
          </w:tcPr>
          <w:p w14:paraId="7529DE64"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تباين متجانس</w:t>
            </w:r>
          </w:p>
        </w:tc>
      </w:tr>
      <w:tr w:rsidR="00E4583A" w14:paraId="06CC2499" w14:textId="77777777">
        <w:trPr>
          <w:jc w:val="center"/>
        </w:trPr>
        <w:tc>
          <w:tcPr>
            <w:tcW w:w="1400" w:type="pct"/>
            <w:tcMar>
              <w:top w:w="60" w:type="dxa"/>
              <w:left w:w="100" w:type="dxa"/>
              <w:bottom w:w="60" w:type="dxa"/>
              <w:right w:w="100" w:type="dxa"/>
            </w:tcMar>
            <w:vAlign w:val="center"/>
          </w:tcPr>
          <w:p w14:paraId="24426F8A"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سنوات الخبرة</w:t>
            </w:r>
          </w:p>
        </w:tc>
        <w:tc>
          <w:tcPr>
            <w:tcW w:w="1600" w:type="pct"/>
            <w:tcMar>
              <w:top w:w="60" w:type="dxa"/>
              <w:left w:w="100" w:type="dxa"/>
              <w:bottom w:w="60" w:type="dxa"/>
              <w:right w:w="100" w:type="dxa"/>
            </w:tcMar>
            <w:vAlign w:val="center"/>
          </w:tcPr>
          <w:p w14:paraId="23BDB5BC"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الأمن السيبراني المؤسسي</w:t>
            </w:r>
          </w:p>
        </w:tc>
        <w:tc>
          <w:tcPr>
            <w:tcW w:w="800" w:type="pct"/>
            <w:tcMar>
              <w:top w:w="60" w:type="dxa"/>
              <w:left w:w="100" w:type="dxa"/>
              <w:bottom w:w="60" w:type="dxa"/>
              <w:right w:w="100" w:type="dxa"/>
            </w:tcMar>
            <w:vAlign w:val="center"/>
          </w:tcPr>
          <w:p w14:paraId="3FF1B467"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0.976</w:t>
            </w:r>
          </w:p>
        </w:tc>
        <w:tc>
          <w:tcPr>
            <w:tcW w:w="800" w:type="pct"/>
            <w:tcMar>
              <w:top w:w="60" w:type="dxa"/>
              <w:left w:w="100" w:type="dxa"/>
              <w:bottom w:w="60" w:type="dxa"/>
              <w:right w:w="100" w:type="dxa"/>
            </w:tcMar>
            <w:vAlign w:val="center"/>
          </w:tcPr>
          <w:p w14:paraId="36A2BBB8"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0.405</w:t>
            </w:r>
          </w:p>
        </w:tc>
        <w:tc>
          <w:tcPr>
            <w:tcW w:w="1400" w:type="pct"/>
            <w:tcMar>
              <w:top w:w="60" w:type="dxa"/>
              <w:left w:w="100" w:type="dxa"/>
              <w:bottom w:w="60" w:type="dxa"/>
              <w:right w:w="100" w:type="dxa"/>
            </w:tcMar>
            <w:vAlign w:val="center"/>
          </w:tcPr>
          <w:p w14:paraId="1C0855B1"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تباين متجانس</w:t>
            </w:r>
          </w:p>
        </w:tc>
      </w:tr>
      <w:tr w:rsidR="00E4583A" w14:paraId="2484C0EB" w14:textId="77777777">
        <w:trPr>
          <w:jc w:val="center"/>
        </w:trPr>
        <w:tc>
          <w:tcPr>
            <w:tcW w:w="1400" w:type="pct"/>
            <w:tcMar>
              <w:top w:w="60" w:type="dxa"/>
              <w:left w:w="100" w:type="dxa"/>
              <w:bottom w:w="60" w:type="dxa"/>
              <w:right w:w="100" w:type="dxa"/>
            </w:tcMar>
            <w:vAlign w:val="center"/>
          </w:tcPr>
          <w:p w14:paraId="60A4A505"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سنوات الخبرة</w:t>
            </w:r>
          </w:p>
        </w:tc>
        <w:tc>
          <w:tcPr>
            <w:tcW w:w="1600" w:type="pct"/>
            <w:tcMar>
              <w:top w:w="60" w:type="dxa"/>
              <w:left w:w="100" w:type="dxa"/>
              <w:bottom w:w="60" w:type="dxa"/>
              <w:right w:w="100" w:type="dxa"/>
            </w:tcMar>
            <w:vAlign w:val="center"/>
          </w:tcPr>
          <w:p w14:paraId="275BADCC"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تطبيق تقنية الترميز</w:t>
            </w:r>
          </w:p>
        </w:tc>
        <w:tc>
          <w:tcPr>
            <w:tcW w:w="800" w:type="pct"/>
            <w:tcMar>
              <w:top w:w="60" w:type="dxa"/>
              <w:left w:w="100" w:type="dxa"/>
              <w:bottom w:w="60" w:type="dxa"/>
              <w:right w:w="100" w:type="dxa"/>
            </w:tcMar>
            <w:vAlign w:val="center"/>
          </w:tcPr>
          <w:p w14:paraId="0327440E"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0.352</w:t>
            </w:r>
          </w:p>
        </w:tc>
        <w:tc>
          <w:tcPr>
            <w:tcW w:w="800" w:type="pct"/>
            <w:tcMar>
              <w:top w:w="60" w:type="dxa"/>
              <w:left w:w="100" w:type="dxa"/>
              <w:bottom w:w="60" w:type="dxa"/>
              <w:right w:w="100" w:type="dxa"/>
            </w:tcMar>
            <w:vAlign w:val="center"/>
          </w:tcPr>
          <w:p w14:paraId="146A7181"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0.788</w:t>
            </w:r>
          </w:p>
        </w:tc>
        <w:tc>
          <w:tcPr>
            <w:tcW w:w="1400" w:type="pct"/>
            <w:tcMar>
              <w:top w:w="60" w:type="dxa"/>
              <w:left w:w="100" w:type="dxa"/>
              <w:bottom w:w="60" w:type="dxa"/>
              <w:right w:w="100" w:type="dxa"/>
            </w:tcMar>
            <w:vAlign w:val="center"/>
          </w:tcPr>
          <w:p w14:paraId="52911FFB"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تباين متجانس</w:t>
            </w:r>
          </w:p>
        </w:tc>
      </w:tr>
      <w:tr w:rsidR="00E4583A" w14:paraId="3C81210B" w14:textId="77777777">
        <w:trPr>
          <w:jc w:val="center"/>
        </w:trPr>
        <w:tc>
          <w:tcPr>
            <w:tcW w:w="1400" w:type="pct"/>
            <w:tcMar>
              <w:top w:w="60" w:type="dxa"/>
              <w:left w:w="100" w:type="dxa"/>
              <w:bottom w:w="60" w:type="dxa"/>
              <w:right w:w="100" w:type="dxa"/>
            </w:tcMar>
            <w:vAlign w:val="center"/>
          </w:tcPr>
          <w:p w14:paraId="13E9BDF5"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المستوى الوظيفي</w:t>
            </w:r>
          </w:p>
        </w:tc>
        <w:tc>
          <w:tcPr>
            <w:tcW w:w="1600" w:type="pct"/>
            <w:tcMar>
              <w:top w:w="60" w:type="dxa"/>
              <w:left w:w="100" w:type="dxa"/>
              <w:bottom w:w="60" w:type="dxa"/>
              <w:right w:w="100" w:type="dxa"/>
            </w:tcMar>
            <w:vAlign w:val="center"/>
          </w:tcPr>
          <w:p w14:paraId="09291788"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كفاءة العمليات المالية</w:t>
            </w:r>
          </w:p>
        </w:tc>
        <w:tc>
          <w:tcPr>
            <w:tcW w:w="800" w:type="pct"/>
            <w:tcMar>
              <w:top w:w="60" w:type="dxa"/>
              <w:left w:w="100" w:type="dxa"/>
              <w:bottom w:w="60" w:type="dxa"/>
              <w:right w:w="100" w:type="dxa"/>
            </w:tcMar>
            <w:vAlign w:val="center"/>
          </w:tcPr>
          <w:p w14:paraId="08786060"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1.925</w:t>
            </w:r>
          </w:p>
        </w:tc>
        <w:tc>
          <w:tcPr>
            <w:tcW w:w="800" w:type="pct"/>
            <w:tcMar>
              <w:top w:w="60" w:type="dxa"/>
              <w:left w:w="100" w:type="dxa"/>
              <w:bottom w:w="60" w:type="dxa"/>
              <w:right w:w="100" w:type="dxa"/>
            </w:tcMar>
            <w:vAlign w:val="center"/>
          </w:tcPr>
          <w:p w14:paraId="0D15FD8C"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0.127</w:t>
            </w:r>
          </w:p>
        </w:tc>
        <w:tc>
          <w:tcPr>
            <w:tcW w:w="1400" w:type="pct"/>
            <w:tcMar>
              <w:top w:w="60" w:type="dxa"/>
              <w:left w:w="100" w:type="dxa"/>
              <w:bottom w:w="60" w:type="dxa"/>
              <w:right w:w="100" w:type="dxa"/>
            </w:tcMar>
            <w:vAlign w:val="center"/>
          </w:tcPr>
          <w:p w14:paraId="1FAC9FF4"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تباين متجانس</w:t>
            </w:r>
          </w:p>
        </w:tc>
      </w:tr>
      <w:tr w:rsidR="00E4583A" w14:paraId="5ED6CF9E" w14:textId="77777777">
        <w:trPr>
          <w:jc w:val="center"/>
        </w:trPr>
        <w:tc>
          <w:tcPr>
            <w:tcW w:w="1400" w:type="pct"/>
            <w:tcMar>
              <w:top w:w="60" w:type="dxa"/>
              <w:left w:w="100" w:type="dxa"/>
              <w:bottom w:w="60" w:type="dxa"/>
              <w:right w:w="100" w:type="dxa"/>
            </w:tcMar>
            <w:vAlign w:val="center"/>
          </w:tcPr>
          <w:p w14:paraId="40DD6ED3"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المستوى الوظيفي</w:t>
            </w:r>
          </w:p>
        </w:tc>
        <w:tc>
          <w:tcPr>
            <w:tcW w:w="1600" w:type="pct"/>
            <w:tcMar>
              <w:top w:w="60" w:type="dxa"/>
              <w:left w:w="100" w:type="dxa"/>
              <w:bottom w:w="60" w:type="dxa"/>
              <w:right w:w="100" w:type="dxa"/>
            </w:tcMar>
            <w:vAlign w:val="center"/>
          </w:tcPr>
          <w:p w14:paraId="09F1679A"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الأمن السيبراني المؤسسي</w:t>
            </w:r>
          </w:p>
        </w:tc>
        <w:tc>
          <w:tcPr>
            <w:tcW w:w="800" w:type="pct"/>
            <w:tcMar>
              <w:top w:w="60" w:type="dxa"/>
              <w:left w:w="100" w:type="dxa"/>
              <w:bottom w:w="60" w:type="dxa"/>
              <w:right w:w="100" w:type="dxa"/>
            </w:tcMar>
            <w:vAlign w:val="center"/>
          </w:tcPr>
          <w:p w14:paraId="0D203559"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0.099</w:t>
            </w:r>
          </w:p>
        </w:tc>
        <w:tc>
          <w:tcPr>
            <w:tcW w:w="800" w:type="pct"/>
            <w:tcMar>
              <w:top w:w="60" w:type="dxa"/>
              <w:left w:w="100" w:type="dxa"/>
              <w:bottom w:w="60" w:type="dxa"/>
              <w:right w:w="100" w:type="dxa"/>
            </w:tcMar>
            <w:vAlign w:val="center"/>
          </w:tcPr>
          <w:p w14:paraId="27AB45DD"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0.960</w:t>
            </w:r>
          </w:p>
        </w:tc>
        <w:tc>
          <w:tcPr>
            <w:tcW w:w="1400" w:type="pct"/>
            <w:tcMar>
              <w:top w:w="60" w:type="dxa"/>
              <w:left w:w="100" w:type="dxa"/>
              <w:bottom w:w="60" w:type="dxa"/>
              <w:right w:w="100" w:type="dxa"/>
            </w:tcMar>
            <w:vAlign w:val="center"/>
          </w:tcPr>
          <w:p w14:paraId="70A40167"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تباين متجانس</w:t>
            </w:r>
          </w:p>
        </w:tc>
      </w:tr>
      <w:tr w:rsidR="00E4583A" w14:paraId="01E61D44" w14:textId="77777777">
        <w:trPr>
          <w:jc w:val="center"/>
        </w:trPr>
        <w:tc>
          <w:tcPr>
            <w:tcW w:w="1400" w:type="pct"/>
            <w:tcMar>
              <w:top w:w="60" w:type="dxa"/>
              <w:left w:w="100" w:type="dxa"/>
              <w:bottom w:w="60" w:type="dxa"/>
              <w:right w:w="100" w:type="dxa"/>
            </w:tcMar>
            <w:vAlign w:val="center"/>
          </w:tcPr>
          <w:p w14:paraId="71E7BC55"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المستوى الوظيفي</w:t>
            </w:r>
          </w:p>
        </w:tc>
        <w:tc>
          <w:tcPr>
            <w:tcW w:w="1600" w:type="pct"/>
            <w:tcMar>
              <w:top w:w="60" w:type="dxa"/>
              <w:left w:w="100" w:type="dxa"/>
              <w:bottom w:w="60" w:type="dxa"/>
              <w:right w:w="100" w:type="dxa"/>
            </w:tcMar>
            <w:vAlign w:val="center"/>
          </w:tcPr>
          <w:p w14:paraId="62310436"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تطبيق تقنية الترميز</w:t>
            </w:r>
          </w:p>
        </w:tc>
        <w:tc>
          <w:tcPr>
            <w:tcW w:w="800" w:type="pct"/>
            <w:tcMar>
              <w:top w:w="60" w:type="dxa"/>
              <w:left w:w="100" w:type="dxa"/>
              <w:bottom w:w="60" w:type="dxa"/>
              <w:right w:w="100" w:type="dxa"/>
            </w:tcMar>
            <w:vAlign w:val="center"/>
          </w:tcPr>
          <w:p w14:paraId="0D7B64DC"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0.143</w:t>
            </w:r>
          </w:p>
        </w:tc>
        <w:tc>
          <w:tcPr>
            <w:tcW w:w="800" w:type="pct"/>
            <w:tcMar>
              <w:top w:w="60" w:type="dxa"/>
              <w:left w:w="100" w:type="dxa"/>
              <w:bottom w:w="60" w:type="dxa"/>
              <w:right w:w="100" w:type="dxa"/>
            </w:tcMar>
            <w:vAlign w:val="center"/>
          </w:tcPr>
          <w:p w14:paraId="51D90C36"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0.934</w:t>
            </w:r>
          </w:p>
        </w:tc>
        <w:tc>
          <w:tcPr>
            <w:tcW w:w="1400" w:type="pct"/>
            <w:tcMar>
              <w:top w:w="60" w:type="dxa"/>
              <w:left w:w="100" w:type="dxa"/>
              <w:bottom w:w="60" w:type="dxa"/>
              <w:right w:w="100" w:type="dxa"/>
            </w:tcMar>
            <w:vAlign w:val="center"/>
          </w:tcPr>
          <w:p w14:paraId="0EB6479D"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تباين متجانس</w:t>
            </w:r>
          </w:p>
        </w:tc>
      </w:tr>
      <w:tr w:rsidR="00E4583A" w14:paraId="61557174" w14:textId="77777777">
        <w:trPr>
          <w:jc w:val="center"/>
        </w:trPr>
        <w:tc>
          <w:tcPr>
            <w:tcW w:w="1400" w:type="pct"/>
            <w:tcMar>
              <w:top w:w="60" w:type="dxa"/>
              <w:left w:w="100" w:type="dxa"/>
              <w:bottom w:w="60" w:type="dxa"/>
              <w:right w:w="100" w:type="dxa"/>
            </w:tcMar>
            <w:vAlign w:val="center"/>
          </w:tcPr>
          <w:p w14:paraId="73FD7B43"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المؤهل العلمي</w:t>
            </w:r>
          </w:p>
        </w:tc>
        <w:tc>
          <w:tcPr>
            <w:tcW w:w="1600" w:type="pct"/>
            <w:tcMar>
              <w:top w:w="60" w:type="dxa"/>
              <w:left w:w="100" w:type="dxa"/>
              <w:bottom w:w="60" w:type="dxa"/>
              <w:right w:w="100" w:type="dxa"/>
            </w:tcMar>
            <w:vAlign w:val="center"/>
          </w:tcPr>
          <w:p w14:paraId="5E6EB712"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كفاءة العمليات المالية</w:t>
            </w:r>
          </w:p>
        </w:tc>
        <w:tc>
          <w:tcPr>
            <w:tcW w:w="800" w:type="pct"/>
            <w:tcMar>
              <w:top w:w="60" w:type="dxa"/>
              <w:left w:w="100" w:type="dxa"/>
              <w:bottom w:w="60" w:type="dxa"/>
              <w:right w:w="100" w:type="dxa"/>
            </w:tcMar>
            <w:vAlign w:val="center"/>
          </w:tcPr>
          <w:p w14:paraId="58721683"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3.790</w:t>
            </w:r>
          </w:p>
        </w:tc>
        <w:tc>
          <w:tcPr>
            <w:tcW w:w="800" w:type="pct"/>
            <w:tcMar>
              <w:top w:w="60" w:type="dxa"/>
              <w:left w:w="100" w:type="dxa"/>
              <w:bottom w:w="60" w:type="dxa"/>
              <w:right w:w="100" w:type="dxa"/>
            </w:tcMar>
            <w:vAlign w:val="center"/>
          </w:tcPr>
          <w:p w14:paraId="2BD68BCA"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0.024</w:t>
            </w:r>
          </w:p>
        </w:tc>
        <w:tc>
          <w:tcPr>
            <w:tcW w:w="1400" w:type="pct"/>
            <w:tcMar>
              <w:top w:w="60" w:type="dxa"/>
              <w:left w:w="100" w:type="dxa"/>
              <w:bottom w:w="60" w:type="dxa"/>
              <w:right w:w="100" w:type="dxa"/>
            </w:tcMar>
            <w:vAlign w:val="center"/>
          </w:tcPr>
          <w:p w14:paraId="60BD82F2"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تباين غير متجانس</w:t>
            </w:r>
          </w:p>
        </w:tc>
      </w:tr>
      <w:tr w:rsidR="00E4583A" w14:paraId="5087DF12" w14:textId="77777777">
        <w:trPr>
          <w:jc w:val="center"/>
        </w:trPr>
        <w:tc>
          <w:tcPr>
            <w:tcW w:w="1400" w:type="pct"/>
            <w:tcMar>
              <w:top w:w="60" w:type="dxa"/>
              <w:left w:w="100" w:type="dxa"/>
              <w:bottom w:w="60" w:type="dxa"/>
              <w:right w:w="100" w:type="dxa"/>
            </w:tcMar>
            <w:vAlign w:val="center"/>
          </w:tcPr>
          <w:p w14:paraId="25EE4C6E"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lastRenderedPageBreak/>
              <w:t>المؤهل العلمي</w:t>
            </w:r>
          </w:p>
        </w:tc>
        <w:tc>
          <w:tcPr>
            <w:tcW w:w="1600" w:type="pct"/>
            <w:tcMar>
              <w:top w:w="60" w:type="dxa"/>
              <w:left w:w="100" w:type="dxa"/>
              <w:bottom w:w="60" w:type="dxa"/>
              <w:right w:w="100" w:type="dxa"/>
            </w:tcMar>
            <w:vAlign w:val="center"/>
          </w:tcPr>
          <w:p w14:paraId="41F6D0E8"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الأمن السيبراني المؤسسي</w:t>
            </w:r>
          </w:p>
        </w:tc>
        <w:tc>
          <w:tcPr>
            <w:tcW w:w="800" w:type="pct"/>
            <w:tcMar>
              <w:top w:w="60" w:type="dxa"/>
              <w:left w:w="100" w:type="dxa"/>
              <w:bottom w:w="60" w:type="dxa"/>
              <w:right w:w="100" w:type="dxa"/>
            </w:tcMar>
            <w:vAlign w:val="center"/>
          </w:tcPr>
          <w:p w14:paraId="34B92FEB"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0.594</w:t>
            </w:r>
          </w:p>
        </w:tc>
        <w:tc>
          <w:tcPr>
            <w:tcW w:w="800" w:type="pct"/>
            <w:tcMar>
              <w:top w:w="60" w:type="dxa"/>
              <w:left w:w="100" w:type="dxa"/>
              <w:bottom w:w="60" w:type="dxa"/>
              <w:right w:w="100" w:type="dxa"/>
            </w:tcMar>
            <w:vAlign w:val="center"/>
          </w:tcPr>
          <w:p w14:paraId="3F7029D5"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0.553</w:t>
            </w:r>
          </w:p>
        </w:tc>
        <w:tc>
          <w:tcPr>
            <w:tcW w:w="1400" w:type="pct"/>
            <w:tcMar>
              <w:top w:w="60" w:type="dxa"/>
              <w:left w:w="100" w:type="dxa"/>
              <w:bottom w:w="60" w:type="dxa"/>
              <w:right w:w="100" w:type="dxa"/>
            </w:tcMar>
            <w:vAlign w:val="center"/>
          </w:tcPr>
          <w:p w14:paraId="4D019397"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تباين متجانس</w:t>
            </w:r>
          </w:p>
        </w:tc>
      </w:tr>
      <w:tr w:rsidR="00E4583A" w14:paraId="361C6D39" w14:textId="77777777">
        <w:trPr>
          <w:jc w:val="center"/>
        </w:trPr>
        <w:tc>
          <w:tcPr>
            <w:tcW w:w="1400" w:type="pct"/>
            <w:tcMar>
              <w:top w:w="60" w:type="dxa"/>
              <w:left w:w="100" w:type="dxa"/>
              <w:bottom w:w="60" w:type="dxa"/>
              <w:right w:w="100" w:type="dxa"/>
            </w:tcMar>
            <w:vAlign w:val="center"/>
          </w:tcPr>
          <w:p w14:paraId="07859FDE"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المؤهل العلمي</w:t>
            </w:r>
          </w:p>
        </w:tc>
        <w:tc>
          <w:tcPr>
            <w:tcW w:w="1600" w:type="pct"/>
            <w:tcMar>
              <w:top w:w="60" w:type="dxa"/>
              <w:left w:w="100" w:type="dxa"/>
              <w:bottom w:w="60" w:type="dxa"/>
              <w:right w:w="100" w:type="dxa"/>
            </w:tcMar>
            <w:vAlign w:val="center"/>
          </w:tcPr>
          <w:p w14:paraId="2C52B176"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تطبيق تقنية الترميز</w:t>
            </w:r>
          </w:p>
        </w:tc>
        <w:tc>
          <w:tcPr>
            <w:tcW w:w="800" w:type="pct"/>
            <w:tcMar>
              <w:top w:w="60" w:type="dxa"/>
              <w:left w:w="100" w:type="dxa"/>
              <w:bottom w:w="60" w:type="dxa"/>
              <w:right w:w="100" w:type="dxa"/>
            </w:tcMar>
            <w:vAlign w:val="center"/>
          </w:tcPr>
          <w:p w14:paraId="7B6EBCFA"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1.388</w:t>
            </w:r>
          </w:p>
        </w:tc>
        <w:tc>
          <w:tcPr>
            <w:tcW w:w="800" w:type="pct"/>
            <w:tcMar>
              <w:top w:w="60" w:type="dxa"/>
              <w:left w:w="100" w:type="dxa"/>
              <w:bottom w:w="60" w:type="dxa"/>
              <w:right w:w="100" w:type="dxa"/>
            </w:tcMar>
            <w:vAlign w:val="center"/>
          </w:tcPr>
          <w:p w14:paraId="6254BD1A"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0.252</w:t>
            </w:r>
          </w:p>
        </w:tc>
        <w:tc>
          <w:tcPr>
            <w:tcW w:w="1400" w:type="pct"/>
            <w:tcMar>
              <w:top w:w="60" w:type="dxa"/>
              <w:left w:w="100" w:type="dxa"/>
              <w:bottom w:w="60" w:type="dxa"/>
              <w:right w:w="100" w:type="dxa"/>
            </w:tcMar>
            <w:vAlign w:val="center"/>
          </w:tcPr>
          <w:p w14:paraId="67E77911"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تباين متجانس</w:t>
            </w:r>
          </w:p>
        </w:tc>
      </w:tr>
      <w:tr w:rsidR="00E4583A" w14:paraId="4C51912B" w14:textId="77777777">
        <w:trPr>
          <w:jc w:val="center"/>
        </w:trPr>
        <w:tc>
          <w:tcPr>
            <w:tcW w:w="1400" w:type="pct"/>
            <w:tcMar>
              <w:top w:w="60" w:type="dxa"/>
              <w:left w:w="100" w:type="dxa"/>
              <w:bottom w:w="60" w:type="dxa"/>
              <w:right w:w="100" w:type="dxa"/>
            </w:tcMar>
            <w:vAlign w:val="center"/>
          </w:tcPr>
          <w:p w14:paraId="7B96FAB2"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مجال التخصص</w:t>
            </w:r>
          </w:p>
        </w:tc>
        <w:tc>
          <w:tcPr>
            <w:tcW w:w="1600" w:type="pct"/>
            <w:tcMar>
              <w:top w:w="60" w:type="dxa"/>
              <w:left w:w="100" w:type="dxa"/>
              <w:bottom w:w="60" w:type="dxa"/>
              <w:right w:w="100" w:type="dxa"/>
            </w:tcMar>
            <w:vAlign w:val="center"/>
          </w:tcPr>
          <w:p w14:paraId="6A1C7A71"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كفاءة العمليات المالية</w:t>
            </w:r>
          </w:p>
        </w:tc>
        <w:tc>
          <w:tcPr>
            <w:tcW w:w="800" w:type="pct"/>
            <w:tcMar>
              <w:top w:w="60" w:type="dxa"/>
              <w:left w:w="100" w:type="dxa"/>
              <w:bottom w:w="60" w:type="dxa"/>
              <w:right w:w="100" w:type="dxa"/>
            </w:tcMar>
            <w:vAlign w:val="center"/>
          </w:tcPr>
          <w:p w14:paraId="619243F3"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0.380</w:t>
            </w:r>
          </w:p>
        </w:tc>
        <w:tc>
          <w:tcPr>
            <w:tcW w:w="800" w:type="pct"/>
            <w:tcMar>
              <w:top w:w="60" w:type="dxa"/>
              <w:left w:w="100" w:type="dxa"/>
              <w:bottom w:w="60" w:type="dxa"/>
              <w:right w:w="100" w:type="dxa"/>
            </w:tcMar>
            <w:vAlign w:val="center"/>
          </w:tcPr>
          <w:p w14:paraId="4345A7A1"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0.823</w:t>
            </w:r>
          </w:p>
        </w:tc>
        <w:tc>
          <w:tcPr>
            <w:tcW w:w="1400" w:type="pct"/>
            <w:tcMar>
              <w:top w:w="60" w:type="dxa"/>
              <w:left w:w="100" w:type="dxa"/>
              <w:bottom w:w="60" w:type="dxa"/>
              <w:right w:w="100" w:type="dxa"/>
            </w:tcMar>
            <w:vAlign w:val="center"/>
          </w:tcPr>
          <w:p w14:paraId="623CA9F9"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تباين متجانس</w:t>
            </w:r>
          </w:p>
        </w:tc>
      </w:tr>
      <w:tr w:rsidR="00E4583A" w14:paraId="72532AEF" w14:textId="77777777">
        <w:trPr>
          <w:jc w:val="center"/>
        </w:trPr>
        <w:tc>
          <w:tcPr>
            <w:tcW w:w="1400" w:type="pct"/>
            <w:tcMar>
              <w:top w:w="60" w:type="dxa"/>
              <w:left w:w="100" w:type="dxa"/>
              <w:bottom w:w="60" w:type="dxa"/>
              <w:right w:w="100" w:type="dxa"/>
            </w:tcMar>
            <w:vAlign w:val="center"/>
          </w:tcPr>
          <w:p w14:paraId="703B050C"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مجال التخصص</w:t>
            </w:r>
          </w:p>
        </w:tc>
        <w:tc>
          <w:tcPr>
            <w:tcW w:w="1600" w:type="pct"/>
            <w:tcMar>
              <w:top w:w="60" w:type="dxa"/>
              <w:left w:w="100" w:type="dxa"/>
              <w:bottom w:w="60" w:type="dxa"/>
              <w:right w:w="100" w:type="dxa"/>
            </w:tcMar>
            <w:vAlign w:val="center"/>
          </w:tcPr>
          <w:p w14:paraId="233D82D0"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الأمن السيبراني المؤسسي</w:t>
            </w:r>
          </w:p>
        </w:tc>
        <w:tc>
          <w:tcPr>
            <w:tcW w:w="800" w:type="pct"/>
            <w:tcMar>
              <w:top w:w="60" w:type="dxa"/>
              <w:left w:w="100" w:type="dxa"/>
              <w:bottom w:w="60" w:type="dxa"/>
              <w:right w:w="100" w:type="dxa"/>
            </w:tcMar>
            <w:vAlign w:val="center"/>
          </w:tcPr>
          <w:p w14:paraId="09D03D4F"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0.147</w:t>
            </w:r>
          </w:p>
        </w:tc>
        <w:tc>
          <w:tcPr>
            <w:tcW w:w="800" w:type="pct"/>
            <w:tcMar>
              <w:top w:w="60" w:type="dxa"/>
              <w:left w:w="100" w:type="dxa"/>
              <w:bottom w:w="60" w:type="dxa"/>
              <w:right w:w="100" w:type="dxa"/>
            </w:tcMar>
            <w:vAlign w:val="center"/>
          </w:tcPr>
          <w:p w14:paraId="14CCA7B7"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0.964</w:t>
            </w:r>
          </w:p>
        </w:tc>
        <w:tc>
          <w:tcPr>
            <w:tcW w:w="1400" w:type="pct"/>
            <w:tcMar>
              <w:top w:w="60" w:type="dxa"/>
              <w:left w:w="100" w:type="dxa"/>
              <w:bottom w:w="60" w:type="dxa"/>
              <w:right w:w="100" w:type="dxa"/>
            </w:tcMar>
            <w:vAlign w:val="center"/>
          </w:tcPr>
          <w:p w14:paraId="0A4ACACF"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تباين متجانس</w:t>
            </w:r>
          </w:p>
        </w:tc>
      </w:tr>
      <w:tr w:rsidR="00E4583A" w14:paraId="72023C3A" w14:textId="77777777">
        <w:trPr>
          <w:jc w:val="center"/>
        </w:trPr>
        <w:tc>
          <w:tcPr>
            <w:tcW w:w="1400" w:type="pct"/>
            <w:tcMar>
              <w:top w:w="60" w:type="dxa"/>
              <w:left w:w="100" w:type="dxa"/>
              <w:bottom w:w="60" w:type="dxa"/>
              <w:right w:w="100" w:type="dxa"/>
            </w:tcMar>
            <w:vAlign w:val="center"/>
          </w:tcPr>
          <w:p w14:paraId="7BA2F474"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مجال التخصص</w:t>
            </w:r>
          </w:p>
        </w:tc>
        <w:tc>
          <w:tcPr>
            <w:tcW w:w="1600" w:type="pct"/>
            <w:tcMar>
              <w:top w:w="60" w:type="dxa"/>
              <w:left w:w="100" w:type="dxa"/>
              <w:bottom w:w="60" w:type="dxa"/>
              <w:right w:w="100" w:type="dxa"/>
            </w:tcMar>
            <w:vAlign w:val="center"/>
          </w:tcPr>
          <w:p w14:paraId="3588FA0E"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تطبيق تقنية الترميز</w:t>
            </w:r>
          </w:p>
        </w:tc>
        <w:tc>
          <w:tcPr>
            <w:tcW w:w="800" w:type="pct"/>
            <w:tcMar>
              <w:top w:w="60" w:type="dxa"/>
              <w:left w:w="100" w:type="dxa"/>
              <w:bottom w:w="60" w:type="dxa"/>
              <w:right w:w="100" w:type="dxa"/>
            </w:tcMar>
            <w:vAlign w:val="center"/>
          </w:tcPr>
          <w:p w14:paraId="62EDC4EC"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0.140</w:t>
            </w:r>
          </w:p>
        </w:tc>
        <w:tc>
          <w:tcPr>
            <w:tcW w:w="800" w:type="pct"/>
            <w:tcMar>
              <w:top w:w="60" w:type="dxa"/>
              <w:left w:w="100" w:type="dxa"/>
              <w:bottom w:w="60" w:type="dxa"/>
              <w:right w:w="100" w:type="dxa"/>
            </w:tcMar>
            <w:vAlign w:val="center"/>
          </w:tcPr>
          <w:p w14:paraId="56A889C5"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0.967</w:t>
            </w:r>
          </w:p>
        </w:tc>
        <w:tc>
          <w:tcPr>
            <w:tcW w:w="1400" w:type="pct"/>
            <w:tcMar>
              <w:top w:w="60" w:type="dxa"/>
              <w:left w:w="100" w:type="dxa"/>
              <w:bottom w:w="60" w:type="dxa"/>
              <w:right w:w="100" w:type="dxa"/>
            </w:tcMar>
            <w:vAlign w:val="center"/>
          </w:tcPr>
          <w:p w14:paraId="1ABA23F5"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تباين متجانس</w:t>
            </w:r>
          </w:p>
        </w:tc>
      </w:tr>
    </w:tbl>
    <w:p w14:paraId="5ACD6F2F" w14:textId="77777777" w:rsidR="00E4583A" w:rsidRDefault="00000000">
      <w:pPr>
        <w:bidi/>
        <w:spacing w:after="0" w:line="360" w:lineRule="auto"/>
        <w:jc w:val="center"/>
      </w:pPr>
      <w:r>
        <w:rPr>
          <w:rFonts w:ascii="Traditional Arabic" w:eastAsia="Simplified Arabic" w:hAnsi="Traditional Arabic" w:cs="Traditional Arabic"/>
          <w:b/>
          <w:bCs/>
          <w:sz w:val="24"/>
          <w:szCs w:val="24"/>
          <w:rtl/>
        </w:rPr>
        <w:t>جدول (4.20): نتائج اختبار ليفين لتجانس التباين</w:t>
      </w:r>
    </w:p>
    <w:p w14:paraId="162F507E" w14:textId="77777777" w:rsidR="00E4583A" w:rsidRDefault="00000000">
      <w:pPr>
        <w:bidi/>
        <w:spacing w:after="0" w:line="360" w:lineRule="auto"/>
        <w:jc w:val="both"/>
      </w:pPr>
      <w:r>
        <w:rPr>
          <w:rFonts w:ascii="Traditional Arabic" w:eastAsia="Simplified Arabic" w:hAnsi="Traditional Arabic" w:cs="Traditional Arabic"/>
          <w:sz w:val="28"/>
          <w:szCs w:val="28"/>
          <w:rtl/>
        </w:rPr>
        <w:t>يتضح من نتائج الجدول أن تباين المجموعات جاء متجانساً في جميع الحالات باستثناء حالة واحدة (المؤهل العلمي مع كفاءة العمليات المالية)، وهو ما يدعم بشكل عام ملاءمة استخدام الأساليب اللابارامترية، التي لا تشترط تجانس التباين بالقدر نفسه الذي تشترطه الأساليب البارامترية.</w:t>
      </w:r>
    </w:p>
    <w:p w14:paraId="302FB343" w14:textId="77777777" w:rsidR="00E4583A" w:rsidRDefault="00E4583A">
      <w:pPr>
        <w:bidi/>
        <w:spacing w:after="0" w:line="240" w:lineRule="auto"/>
      </w:pPr>
    </w:p>
    <w:p w14:paraId="30FCE1BD" w14:textId="77777777" w:rsidR="00E4583A" w:rsidRDefault="00000000">
      <w:pPr>
        <w:bidi/>
        <w:spacing w:after="0" w:line="360" w:lineRule="auto"/>
        <w:jc w:val="both"/>
      </w:pPr>
      <w:r>
        <w:rPr>
          <w:rFonts w:ascii="Traditional Arabic" w:eastAsia="Simplified Arabic" w:hAnsi="Traditional Arabic" w:cs="Traditional Arabic"/>
          <w:b/>
          <w:bCs/>
          <w:sz w:val="28"/>
          <w:szCs w:val="28"/>
          <w:rtl/>
        </w:rPr>
        <w:t>3. اختبار الارتباط الخطي (الرتبي)</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4314"/>
        <w:gridCol w:w="1493"/>
        <w:gridCol w:w="1493"/>
        <w:gridCol w:w="996"/>
      </w:tblGrid>
      <w:tr w:rsidR="00E4583A" w14:paraId="476CF245" w14:textId="77777777">
        <w:trPr>
          <w:tblHeader/>
          <w:jc w:val="center"/>
        </w:trPr>
        <w:tc>
          <w:tcPr>
            <w:tcW w:w="2600" w:type="pct"/>
            <w:shd w:val="clear" w:color="auto" w:fill="2E5395"/>
            <w:tcMar>
              <w:top w:w="60" w:type="dxa"/>
              <w:left w:w="100" w:type="dxa"/>
              <w:bottom w:w="60" w:type="dxa"/>
              <w:right w:w="100" w:type="dxa"/>
            </w:tcMar>
            <w:vAlign w:val="center"/>
          </w:tcPr>
          <w:p w14:paraId="706CE5AD"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العلاقة</w:t>
            </w:r>
          </w:p>
        </w:tc>
        <w:tc>
          <w:tcPr>
            <w:tcW w:w="900" w:type="pct"/>
            <w:shd w:val="clear" w:color="auto" w:fill="2E5395"/>
            <w:tcMar>
              <w:top w:w="60" w:type="dxa"/>
              <w:left w:w="100" w:type="dxa"/>
              <w:bottom w:w="60" w:type="dxa"/>
              <w:right w:w="100" w:type="dxa"/>
            </w:tcMar>
            <w:vAlign w:val="center"/>
          </w:tcPr>
          <w:p w14:paraId="1CB40BC5"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معامل ارتباط سبيرمان</w:t>
            </w:r>
          </w:p>
        </w:tc>
        <w:tc>
          <w:tcPr>
            <w:tcW w:w="900" w:type="pct"/>
            <w:shd w:val="clear" w:color="auto" w:fill="2E5395"/>
            <w:tcMar>
              <w:top w:w="60" w:type="dxa"/>
              <w:left w:w="100" w:type="dxa"/>
              <w:bottom w:w="60" w:type="dxa"/>
              <w:right w:w="100" w:type="dxa"/>
            </w:tcMar>
            <w:vAlign w:val="center"/>
          </w:tcPr>
          <w:p w14:paraId="42344A06"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القيمة الاحتمالية</w:t>
            </w:r>
          </w:p>
        </w:tc>
        <w:tc>
          <w:tcPr>
            <w:tcW w:w="900" w:type="pct"/>
            <w:shd w:val="clear" w:color="auto" w:fill="2E5395"/>
            <w:tcMar>
              <w:top w:w="60" w:type="dxa"/>
              <w:left w:w="100" w:type="dxa"/>
              <w:bottom w:w="60" w:type="dxa"/>
              <w:right w:w="100" w:type="dxa"/>
            </w:tcMar>
            <w:vAlign w:val="center"/>
          </w:tcPr>
          <w:p w14:paraId="6B08B0A1"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القرار</w:t>
            </w:r>
          </w:p>
        </w:tc>
      </w:tr>
      <w:tr w:rsidR="00E4583A" w14:paraId="135A0018" w14:textId="77777777">
        <w:trPr>
          <w:jc w:val="center"/>
        </w:trPr>
        <w:tc>
          <w:tcPr>
            <w:tcW w:w="2600" w:type="pct"/>
            <w:tcMar>
              <w:top w:w="60" w:type="dxa"/>
              <w:left w:w="100" w:type="dxa"/>
              <w:bottom w:w="60" w:type="dxa"/>
              <w:right w:w="100" w:type="dxa"/>
            </w:tcMar>
            <w:vAlign w:val="center"/>
          </w:tcPr>
          <w:p w14:paraId="39971C8E"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تطبيق تقنية الترميز × الأمن السيبراني المؤسسي</w:t>
            </w:r>
          </w:p>
        </w:tc>
        <w:tc>
          <w:tcPr>
            <w:tcW w:w="900" w:type="pct"/>
            <w:tcMar>
              <w:top w:w="60" w:type="dxa"/>
              <w:left w:w="100" w:type="dxa"/>
              <w:bottom w:w="60" w:type="dxa"/>
              <w:right w:w="100" w:type="dxa"/>
            </w:tcMar>
            <w:vAlign w:val="center"/>
          </w:tcPr>
          <w:p w14:paraId="752F451B"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0.516</w:t>
            </w:r>
          </w:p>
        </w:tc>
        <w:tc>
          <w:tcPr>
            <w:tcW w:w="900" w:type="pct"/>
            <w:tcMar>
              <w:top w:w="60" w:type="dxa"/>
              <w:left w:w="100" w:type="dxa"/>
              <w:bottom w:w="60" w:type="dxa"/>
              <w:right w:w="100" w:type="dxa"/>
            </w:tcMar>
            <w:vAlign w:val="center"/>
          </w:tcPr>
          <w:p w14:paraId="317B0EA0"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0.001&gt;</w:t>
            </w:r>
          </w:p>
        </w:tc>
        <w:tc>
          <w:tcPr>
            <w:tcW w:w="900" w:type="pct"/>
            <w:tcMar>
              <w:top w:w="60" w:type="dxa"/>
              <w:left w:w="100" w:type="dxa"/>
              <w:bottom w:w="60" w:type="dxa"/>
              <w:right w:w="100" w:type="dxa"/>
            </w:tcMar>
            <w:vAlign w:val="center"/>
          </w:tcPr>
          <w:p w14:paraId="58ECE6AA"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علاقة خطية دالة</w:t>
            </w:r>
          </w:p>
        </w:tc>
      </w:tr>
      <w:tr w:rsidR="00E4583A" w14:paraId="12D0A194" w14:textId="77777777">
        <w:trPr>
          <w:jc w:val="center"/>
        </w:trPr>
        <w:tc>
          <w:tcPr>
            <w:tcW w:w="2600" w:type="pct"/>
            <w:tcMar>
              <w:top w:w="60" w:type="dxa"/>
              <w:left w:w="100" w:type="dxa"/>
              <w:bottom w:w="60" w:type="dxa"/>
              <w:right w:w="100" w:type="dxa"/>
            </w:tcMar>
            <w:vAlign w:val="center"/>
          </w:tcPr>
          <w:p w14:paraId="7EC2679D"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الامتثال للمعايير الدولية × الأمن السيبراني المؤسسي</w:t>
            </w:r>
          </w:p>
        </w:tc>
        <w:tc>
          <w:tcPr>
            <w:tcW w:w="900" w:type="pct"/>
            <w:tcMar>
              <w:top w:w="60" w:type="dxa"/>
              <w:left w:w="100" w:type="dxa"/>
              <w:bottom w:w="60" w:type="dxa"/>
              <w:right w:w="100" w:type="dxa"/>
            </w:tcMar>
            <w:vAlign w:val="center"/>
          </w:tcPr>
          <w:p w14:paraId="030DFC82"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0.536</w:t>
            </w:r>
          </w:p>
        </w:tc>
        <w:tc>
          <w:tcPr>
            <w:tcW w:w="900" w:type="pct"/>
            <w:tcMar>
              <w:top w:w="60" w:type="dxa"/>
              <w:left w:w="100" w:type="dxa"/>
              <w:bottom w:w="60" w:type="dxa"/>
              <w:right w:w="100" w:type="dxa"/>
            </w:tcMar>
            <w:vAlign w:val="center"/>
          </w:tcPr>
          <w:p w14:paraId="4A9CAE1D"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0.001&gt;</w:t>
            </w:r>
          </w:p>
        </w:tc>
        <w:tc>
          <w:tcPr>
            <w:tcW w:w="900" w:type="pct"/>
            <w:tcMar>
              <w:top w:w="60" w:type="dxa"/>
              <w:left w:w="100" w:type="dxa"/>
              <w:bottom w:w="60" w:type="dxa"/>
              <w:right w:w="100" w:type="dxa"/>
            </w:tcMar>
            <w:vAlign w:val="center"/>
          </w:tcPr>
          <w:p w14:paraId="77D072CA"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علاقة خطية دالة</w:t>
            </w:r>
          </w:p>
        </w:tc>
      </w:tr>
      <w:tr w:rsidR="00E4583A" w14:paraId="14C1CB5F" w14:textId="77777777">
        <w:trPr>
          <w:jc w:val="center"/>
        </w:trPr>
        <w:tc>
          <w:tcPr>
            <w:tcW w:w="2600" w:type="pct"/>
            <w:tcMar>
              <w:top w:w="60" w:type="dxa"/>
              <w:left w:w="100" w:type="dxa"/>
              <w:bottom w:w="60" w:type="dxa"/>
              <w:right w:w="100" w:type="dxa"/>
            </w:tcMar>
            <w:vAlign w:val="center"/>
          </w:tcPr>
          <w:p w14:paraId="68D35759"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تطبيق تقنية الترميز × كفاءة العمليات المالية</w:t>
            </w:r>
          </w:p>
        </w:tc>
        <w:tc>
          <w:tcPr>
            <w:tcW w:w="900" w:type="pct"/>
            <w:tcMar>
              <w:top w:w="60" w:type="dxa"/>
              <w:left w:w="100" w:type="dxa"/>
              <w:bottom w:w="60" w:type="dxa"/>
              <w:right w:w="100" w:type="dxa"/>
            </w:tcMar>
            <w:vAlign w:val="center"/>
          </w:tcPr>
          <w:p w14:paraId="0ECACE19"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0.529</w:t>
            </w:r>
          </w:p>
        </w:tc>
        <w:tc>
          <w:tcPr>
            <w:tcW w:w="900" w:type="pct"/>
            <w:tcMar>
              <w:top w:w="60" w:type="dxa"/>
              <w:left w:w="100" w:type="dxa"/>
              <w:bottom w:w="60" w:type="dxa"/>
              <w:right w:w="100" w:type="dxa"/>
            </w:tcMar>
            <w:vAlign w:val="center"/>
          </w:tcPr>
          <w:p w14:paraId="1551439E"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0.001&gt;</w:t>
            </w:r>
          </w:p>
        </w:tc>
        <w:tc>
          <w:tcPr>
            <w:tcW w:w="900" w:type="pct"/>
            <w:tcMar>
              <w:top w:w="60" w:type="dxa"/>
              <w:left w:w="100" w:type="dxa"/>
              <w:bottom w:w="60" w:type="dxa"/>
              <w:right w:w="100" w:type="dxa"/>
            </w:tcMar>
            <w:vAlign w:val="center"/>
          </w:tcPr>
          <w:p w14:paraId="699BB028"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علاقة خطية دالة</w:t>
            </w:r>
          </w:p>
        </w:tc>
      </w:tr>
      <w:tr w:rsidR="00E4583A" w14:paraId="0374AD37" w14:textId="77777777">
        <w:trPr>
          <w:jc w:val="center"/>
        </w:trPr>
        <w:tc>
          <w:tcPr>
            <w:tcW w:w="2600" w:type="pct"/>
            <w:tcMar>
              <w:top w:w="60" w:type="dxa"/>
              <w:left w:w="100" w:type="dxa"/>
              <w:bottom w:w="60" w:type="dxa"/>
              <w:right w:w="100" w:type="dxa"/>
            </w:tcMar>
            <w:vAlign w:val="center"/>
          </w:tcPr>
          <w:p w14:paraId="69A3B102"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الامتثال للمعايير الدولية × كفاءة العمليات المالية</w:t>
            </w:r>
          </w:p>
        </w:tc>
        <w:tc>
          <w:tcPr>
            <w:tcW w:w="900" w:type="pct"/>
            <w:tcMar>
              <w:top w:w="60" w:type="dxa"/>
              <w:left w:w="100" w:type="dxa"/>
              <w:bottom w:w="60" w:type="dxa"/>
              <w:right w:w="100" w:type="dxa"/>
            </w:tcMar>
            <w:vAlign w:val="center"/>
          </w:tcPr>
          <w:p w14:paraId="47CA8E17"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0.372</w:t>
            </w:r>
          </w:p>
        </w:tc>
        <w:tc>
          <w:tcPr>
            <w:tcW w:w="900" w:type="pct"/>
            <w:tcMar>
              <w:top w:w="60" w:type="dxa"/>
              <w:left w:w="100" w:type="dxa"/>
              <w:bottom w:w="60" w:type="dxa"/>
              <w:right w:w="100" w:type="dxa"/>
            </w:tcMar>
            <w:vAlign w:val="center"/>
          </w:tcPr>
          <w:p w14:paraId="40B9E591"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0.001&gt;</w:t>
            </w:r>
          </w:p>
        </w:tc>
        <w:tc>
          <w:tcPr>
            <w:tcW w:w="900" w:type="pct"/>
            <w:tcMar>
              <w:top w:w="60" w:type="dxa"/>
              <w:left w:w="100" w:type="dxa"/>
              <w:bottom w:w="60" w:type="dxa"/>
              <w:right w:w="100" w:type="dxa"/>
            </w:tcMar>
            <w:vAlign w:val="center"/>
          </w:tcPr>
          <w:p w14:paraId="36A8C404"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علاقة خطية دالة</w:t>
            </w:r>
          </w:p>
        </w:tc>
      </w:tr>
    </w:tbl>
    <w:p w14:paraId="2E25CFB4" w14:textId="77777777" w:rsidR="00E4583A" w:rsidRDefault="00000000">
      <w:pPr>
        <w:bidi/>
        <w:spacing w:after="0" w:line="360" w:lineRule="auto"/>
        <w:jc w:val="center"/>
      </w:pPr>
      <w:r>
        <w:rPr>
          <w:rFonts w:ascii="Traditional Arabic" w:eastAsia="Simplified Arabic" w:hAnsi="Traditional Arabic" w:cs="Traditional Arabic"/>
          <w:b/>
          <w:bCs/>
          <w:sz w:val="24"/>
          <w:szCs w:val="24"/>
          <w:rtl/>
        </w:rPr>
        <w:t>جدول (4.21): نتائج اختبار الارتباط الرتبي (تمهيداً لنموذج الانحدار)</w:t>
      </w:r>
    </w:p>
    <w:p w14:paraId="7B9DF31F" w14:textId="77777777" w:rsidR="00E4583A" w:rsidRDefault="00000000">
      <w:pPr>
        <w:bidi/>
        <w:spacing w:after="0" w:line="360" w:lineRule="auto"/>
        <w:jc w:val="both"/>
      </w:pPr>
      <w:r>
        <w:rPr>
          <w:rFonts w:ascii="Traditional Arabic" w:eastAsia="Simplified Arabic" w:hAnsi="Traditional Arabic" w:cs="Traditional Arabic"/>
          <w:sz w:val="28"/>
          <w:szCs w:val="28"/>
          <w:rtl/>
        </w:rPr>
        <w:lastRenderedPageBreak/>
        <w:t>يتضح من الجدول وجود علاقات ارتباطية موجبة ودالة إحصائياً بين متغيرات الدراسة المستقلة والتابعة، وهو ما يدعم افتراض العلاقة الخطية اللازم لتطبيق نموذج الانحدار المنقّح.</w:t>
      </w:r>
    </w:p>
    <w:p w14:paraId="7584D815" w14:textId="77777777" w:rsidR="00E4583A" w:rsidRDefault="00E4583A">
      <w:pPr>
        <w:bidi/>
        <w:spacing w:after="0" w:line="240" w:lineRule="auto"/>
      </w:pPr>
    </w:p>
    <w:p w14:paraId="04628628" w14:textId="77777777" w:rsidR="00E4583A" w:rsidRDefault="00000000">
      <w:pPr>
        <w:pStyle w:val="HeadingTOCEntry"/>
        <w:bidi/>
        <w:spacing w:after="0" w:line="360" w:lineRule="auto"/>
        <w:ind w:left="432" w:hanging="432"/>
        <w:rPr>
          <w:rFonts w:ascii="Simplified Arabic" w:hAnsi="Simplified Arabic" w:cs="Simplified Arabic"/>
          <w:b/>
          <w:bCs/>
          <w:sz w:val="28"/>
          <w:szCs w:val="28"/>
          <w:u w:val="single"/>
        </w:rPr>
      </w:pPr>
      <w:commentRangeStart w:id="53"/>
      <w:r>
        <w:rPr>
          <w:rFonts w:ascii="Traditional Arabic" w:eastAsia="Simplified Arabic" w:hAnsi="Traditional Arabic" w:cs="Traditional Arabic"/>
          <w:b/>
          <w:bCs/>
          <w:sz w:val="32"/>
          <w:szCs w:val="32"/>
          <w:u w:val="single"/>
          <w:rtl/>
        </w:rPr>
        <w:t>خامساً: اختبار فرضيات الدراسة</w:t>
      </w:r>
      <w:commentRangeEnd w:id="53"/>
      <w:r w:rsidR="00F470C0">
        <w:rPr>
          <w:rStyle w:val="affa"/>
          <w:rFonts w:ascii="Simplified Arabic" w:hAnsi="Simplified Arabic" w:cs="Simplified Arabic"/>
          <w:b/>
          <w:bCs/>
          <w:sz w:val="28"/>
          <w:szCs w:val="28"/>
          <w:u w:val="single"/>
        </w:rPr>
        <w:commentReference w:id="53"/>
      </w:r>
    </w:p>
    <w:p w14:paraId="52C16EFE" w14:textId="77777777" w:rsidR="00E4583A" w:rsidRDefault="00000000">
      <w:pPr>
        <w:bidi/>
        <w:spacing w:after="0" w:line="360" w:lineRule="auto"/>
        <w:jc w:val="both"/>
      </w:pPr>
      <w:commentRangeStart w:id="54"/>
      <w:r>
        <w:rPr>
          <w:rFonts w:ascii="Traditional Arabic" w:eastAsia="Simplified Arabic" w:hAnsi="Traditional Arabic" w:cs="Traditional Arabic"/>
          <w:sz w:val="28"/>
          <w:szCs w:val="28"/>
          <w:rtl/>
        </w:rPr>
        <w:t>يتناول هذا الجزء اختبار فرضيات الدراسة الأحد عشر: الفرضيتان الرئيستان H1 وH2 وفرعاهما، اللتان تُختبَران بمعامل ارتباط سبيرمان ونموذج الانحدار المنقّح؛ وفروض الفروق H3 إلى H7، التي تُختبَر باختبار كروسكال-واليس اللامعلمي على كل من المتغيرات التابعة الثلاثة (كفاءة العمليات المالية، الأمن السيبراني المؤسسي، تطبيق تقنية الترميز الأمني للبيانات).</w:t>
      </w:r>
      <w:commentRangeEnd w:id="54"/>
      <w:r w:rsidR="00614C20">
        <w:rPr>
          <w:rStyle w:val="affa"/>
          <w:sz w:val="22"/>
          <w:szCs w:val="22"/>
        </w:rPr>
        <w:commentReference w:id="54"/>
      </w:r>
    </w:p>
    <w:p w14:paraId="61CBE488" w14:textId="77777777" w:rsidR="00E4583A" w:rsidRDefault="00E4583A">
      <w:pPr>
        <w:bidi/>
        <w:spacing w:after="0" w:line="240" w:lineRule="auto"/>
      </w:pPr>
    </w:p>
    <w:p w14:paraId="660B2293" w14:textId="77777777" w:rsidR="00E4583A" w:rsidRDefault="00000000">
      <w:pPr>
        <w:bidi/>
        <w:spacing w:after="0" w:line="360" w:lineRule="auto"/>
        <w:jc w:val="both"/>
      </w:pPr>
      <w:r>
        <w:rPr>
          <w:rFonts w:ascii="Traditional Arabic" w:eastAsia="Simplified Arabic" w:hAnsi="Traditional Arabic" w:cs="Traditional Arabic"/>
          <w:b/>
          <w:bCs/>
          <w:sz w:val="28"/>
          <w:szCs w:val="28"/>
          <w:rtl/>
        </w:rPr>
        <w:t>اختبار الفرض الأول H1 وفرعيه H1a وH1b</w:t>
      </w:r>
    </w:p>
    <w:p w14:paraId="543A5431" w14:textId="77777777" w:rsidR="00E4583A" w:rsidRDefault="00000000">
      <w:pPr>
        <w:bidi/>
        <w:spacing w:after="0" w:line="360" w:lineRule="auto"/>
        <w:jc w:val="both"/>
      </w:pPr>
      <w:r>
        <w:rPr>
          <w:rFonts w:ascii="Traditional Arabic" w:eastAsia="Simplified Arabic" w:hAnsi="Traditional Arabic" w:cs="Traditional Arabic"/>
          <w:sz w:val="28"/>
          <w:szCs w:val="28"/>
          <w:rtl/>
        </w:rPr>
        <w:t>H1: يوجد أثر ذو دلالة إحصائية لتطبيق تقنية الترميز والامتثال للمعايير الدولية على الأمن السيبراني المؤسسي في المؤسسات المالية السعودية.</w:t>
      </w:r>
    </w:p>
    <w:p w14:paraId="5CBCC021" w14:textId="77777777" w:rsidR="00E4583A" w:rsidRDefault="00000000">
      <w:pPr>
        <w:bidi/>
        <w:spacing w:after="0" w:line="360" w:lineRule="auto"/>
        <w:jc w:val="both"/>
      </w:pPr>
      <w:commentRangeStart w:id="55"/>
      <w:r>
        <w:rPr>
          <w:rFonts w:ascii="Traditional Arabic" w:eastAsia="Simplified Arabic" w:hAnsi="Traditional Arabic" w:cs="Traditional Arabic"/>
          <w:sz w:val="28"/>
          <w:szCs w:val="28"/>
          <w:rtl/>
        </w:rPr>
        <w:t xml:space="preserve">أظهرت </w:t>
      </w:r>
      <w:commentRangeEnd w:id="55"/>
      <w:r w:rsidR="00614C20">
        <w:rPr>
          <w:rStyle w:val="affa"/>
          <w:rFonts w:ascii="Traditional Arabic" w:eastAsia="Simplified Arabic" w:hAnsi="Traditional Arabic" w:cs="Traditional Arabic"/>
          <w:sz w:val="28"/>
          <w:szCs w:val="28"/>
          <w:rtl/>
        </w:rPr>
        <w:commentReference w:id="55"/>
      </w:r>
      <w:r>
        <w:rPr>
          <w:rFonts w:ascii="Traditional Arabic" w:eastAsia="Simplified Arabic" w:hAnsi="Traditional Arabic" w:cs="Traditional Arabic"/>
          <w:sz w:val="28"/>
          <w:szCs w:val="28"/>
          <w:rtl/>
        </w:rPr>
        <w:t>نتائج نموذج الانحدار المنقّح (</w:t>
      </w:r>
      <w:commentRangeStart w:id="56"/>
      <w:r>
        <w:rPr>
          <w:rFonts w:ascii="Traditional Arabic" w:eastAsia="Simplified Arabic" w:hAnsi="Traditional Arabic" w:cs="Traditional Arabic"/>
          <w:sz w:val="28"/>
          <w:szCs w:val="28"/>
          <w:rtl/>
        </w:rPr>
        <w:t xml:space="preserve">جدول 4.22) </w:t>
      </w:r>
      <w:commentRangeEnd w:id="56"/>
      <w:r w:rsidR="006F3BCD">
        <w:rPr>
          <w:rStyle w:val="affa"/>
          <w:rFonts w:ascii="Traditional Arabic" w:eastAsia="Simplified Arabic" w:hAnsi="Traditional Arabic" w:cs="Traditional Arabic"/>
          <w:sz w:val="28"/>
          <w:szCs w:val="28"/>
          <w:rtl/>
        </w:rPr>
        <w:commentReference w:id="56"/>
      </w:r>
      <w:r>
        <w:rPr>
          <w:rFonts w:ascii="Traditional Arabic" w:eastAsia="Simplified Arabic" w:hAnsi="Traditional Arabic" w:cs="Traditional Arabic"/>
          <w:sz w:val="28"/>
          <w:szCs w:val="28"/>
          <w:rtl/>
        </w:rPr>
        <w:t xml:space="preserve">أن بُعد تطبيق تقنية الترميز يؤثر تأثيراً موجباً ودالاً إحصائياً في الأمن </w:t>
      </w:r>
      <w:commentRangeStart w:id="57"/>
      <w:r>
        <w:rPr>
          <w:rFonts w:ascii="Traditional Arabic" w:eastAsia="Simplified Arabic" w:hAnsi="Traditional Arabic" w:cs="Traditional Arabic"/>
          <w:sz w:val="28"/>
          <w:szCs w:val="28"/>
          <w:rtl/>
        </w:rPr>
        <w:t>السيبراني المؤسسي (B = 0.314، t = 4.537، p &lt; 0.001)، وبذلك يُقبَل الفرض الفرعي H1a. كما أظهرت النتائج أن بُعد الامتثال للمعايير الدولية يؤثر تأثيراً موجباً ودالاً إحصائياً في المتغير ذاته (B = 0.406، t = 5.778، p &lt; 0.001)، وبذلك يُقبَل الفرض الفرعي H1b. وبناءً على قبول الفرعين، يُقبَل الفرض الرئيس H1</w:t>
      </w:r>
      <w:commentRangeEnd w:id="57"/>
      <w:r w:rsidR="006F3BCD">
        <w:rPr>
          <w:rStyle w:val="affa"/>
          <w:rFonts w:ascii="Traditional Arabic" w:eastAsia="Simplified Arabic" w:hAnsi="Traditional Arabic" w:cs="Traditional Arabic"/>
          <w:sz w:val="28"/>
          <w:szCs w:val="28"/>
          <w:rtl/>
        </w:rPr>
        <w:commentReference w:id="57"/>
      </w:r>
      <w:r>
        <w:rPr>
          <w:rFonts w:ascii="Traditional Arabic" w:eastAsia="Simplified Arabic" w:hAnsi="Traditional Arabic" w:cs="Traditional Arabic"/>
          <w:sz w:val="28"/>
          <w:szCs w:val="28"/>
          <w:rtl/>
        </w:rPr>
        <w:t>.</w:t>
      </w:r>
    </w:p>
    <w:p w14:paraId="50239425" w14:textId="77777777" w:rsidR="00E4583A" w:rsidRDefault="00E4583A">
      <w:pPr>
        <w:bidi/>
        <w:spacing w:after="0" w:line="240" w:lineRule="auto"/>
      </w:pPr>
    </w:p>
    <w:p w14:paraId="7FF72754" w14:textId="77777777" w:rsidR="00E4583A" w:rsidRDefault="00000000">
      <w:pPr>
        <w:bidi/>
        <w:spacing w:after="0" w:line="360" w:lineRule="auto"/>
        <w:jc w:val="both"/>
      </w:pPr>
      <w:r>
        <w:rPr>
          <w:rFonts w:ascii="Traditional Arabic" w:eastAsia="Simplified Arabic" w:hAnsi="Traditional Arabic" w:cs="Traditional Arabic"/>
          <w:b/>
          <w:bCs/>
          <w:sz w:val="28"/>
          <w:szCs w:val="28"/>
          <w:rtl/>
        </w:rPr>
        <w:t>اختبار الفرض الثاني H2 وفرعيه H2a وH2b</w:t>
      </w:r>
    </w:p>
    <w:p w14:paraId="47ACC431" w14:textId="77777777" w:rsidR="00E4583A" w:rsidRDefault="00000000">
      <w:pPr>
        <w:bidi/>
        <w:spacing w:after="0" w:line="360" w:lineRule="auto"/>
        <w:jc w:val="both"/>
      </w:pPr>
      <w:r>
        <w:rPr>
          <w:rFonts w:ascii="Traditional Arabic" w:eastAsia="Simplified Arabic" w:hAnsi="Traditional Arabic" w:cs="Traditional Arabic"/>
          <w:sz w:val="28"/>
          <w:szCs w:val="28"/>
          <w:rtl/>
        </w:rPr>
        <w:t>H2: يوجد أثر ذو دلالة إحصائية لتطبيق تقنية الترميز والامتثال للمعايير الدولية على كفاءة العمليات المالية في المؤسسات المالية السعودية.</w:t>
      </w:r>
    </w:p>
    <w:p w14:paraId="49EF5D3F" w14:textId="77777777" w:rsidR="00E4583A" w:rsidRDefault="00000000">
      <w:pPr>
        <w:bidi/>
        <w:spacing w:after="0" w:line="360" w:lineRule="auto"/>
        <w:jc w:val="both"/>
      </w:pPr>
      <w:r>
        <w:rPr>
          <w:rFonts w:ascii="Traditional Arabic" w:eastAsia="Simplified Arabic" w:hAnsi="Traditional Arabic" w:cs="Traditional Arabic"/>
          <w:sz w:val="28"/>
          <w:szCs w:val="28"/>
          <w:rtl/>
        </w:rPr>
        <w:t xml:space="preserve">أظهرت نتائج نموذج الانحدار المنقّح (جدول 4.23) أن بُعد تطبيق تقنية الترميز يؤثر تأثيراً موجباً ودالاً إحصائياً في كفاءة العمليات المالية (B = 0.498، t = 6.916، p &lt; 0.001)، وبذلك يُقبَل الفرض الفرعي H2a. أما بُعد الامتثال للمعايير الدولية فأثره في المتغير ذاته (B = 0.070، t = 0.952، p = 0.341) جاء غير دالة إحصائياً، </w:t>
      </w:r>
      <w:r>
        <w:rPr>
          <w:rFonts w:ascii="Traditional Arabic" w:eastAsia="Simplified Arabic" w:hAnsi="Traditional Arabic" w:cs="Traditional Arabic"/>
          <w:sz w:val="28"/>
          <w:szCs w:val="28"/>
          <w:rtl/>
        </w:rPr>
        <w:lastRenderedPageBreak/>
        <w:t>وبذلك يُرفَض الفرض الفرعي H2b. وبناءً على قبول أحد الفرعين على الأقل مع بقاء الأثر الكلي للنموذج دالاً إحصائياً، يُقبَل الفرض الرئيس H2 جزئياً بفعل بُعد الترميز أساساً.</w:t>
      </w:r>
    </w:p>
    <w:p w14:paraId="7ED924BB" w14:textId="77777777" w:rsidR="00E4583A" w:rsidRDefault="00E4583A">
      <w:pPr>
        <w:bidi/>
        <w:spacing w:after="0" w:line="240" w:lineRule="auto"/>
      </w:pPr>
    </w:p>
    <w:p w14:paraId="6B631AE2" w14:textId="77777777" w:rsidR="00E4583A" w:rsidRDefault="00000000">
      <w:pPr>
        <w:bidi/>
        <w:spacing w:after="0" w:line="360" w:lineRule="auto"/>
        <w:jc w:val="both"/>
      </w:pPr>
      <w:r>
        <w:rPr>
          <w:rFonts w:ascii="Traditional Arabic" w:eastAsia="Simplified Arabic" w:hAnsi="Traditional Arabic" w:cs="Traditional Arabic"/>
          <w:b/>
          <w:bCs/>
          <w:sz w:val="28"/>
          <w:szCs w:val="28"/>
          <w:rtl/>
        </w:rPr>
        <w:t>اختبار الفرض H3</w:t>
      </w:r>
    </w:p>
    <w:p w14:paraId="540B412B" w14:textId="77777777" w:rsidR="00E4583A" w:rsidRDefault="00000000">
      <w:pPr>
        <w:bidi/>
        <w:spacing w:after="0" w:line="360" w:lineRule="auto"/>
        <w:jc w:val="both"/>
      </w:pPr>
      <w:r>
        <w:rPr>
          <w:rFonts w:ascii="Traditional Arabic" w:eastAsia="Simplified Arabic" w:hAnsi="Traditional Arabic" w:cs="Traditional Arabic"/>
          <w:sz w:val="28"/>
          <w:szCs w:val="28"/>
          <w:rtl/>
        </w:rPr>
        <w:t>H3: توجد فروق ذات دلالة إحصائية بين متوسطات استجابات أفراد عينة الدراسة حول (كفاءة العمليات المالية / الأمن السيبراني المؤسسي / تطبيق تقنية الترميز الأمني للبيانات) تُعزى إلى نوع المؤسسة المالية.</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2987"/>
        <w:gridCol w:w="2655"/>
        <w:gridCol w:w="1493"/>
        <w:gridCol w:w="1161"/>
      </w:tblGrid>
      <w:tr w:rsidR="00E4583A" w14:paraId="43C2A1A2" w14:textId="77777777">
        <w:trPr>
          <w:tblHeader/>
          <w:jc w:val="center"/>
        </w:trPr>
        <w:tc>
          <w:tcPr>
            <w:tcW w:w="1800" w:type="pct"/>
            <w:shd w:val="clear" w:color="auto" w:fill="2E5395"/>
            <w:tcMar>
              <w:top w:w="60" w:type="dxa"/>
              <w:left w:w="100" w:type="dxa"/>
              <w:bottom w:w="60" w:type="dxa"/>
              <w:right w:w="100" w:type="dxa"/>
            </w:tcMar>
            <w:vAlign w:val="center"/>
          </w:tcPr>
          <w:p w14:paraId="4ECFEC35"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المتغير التابع</w:t>
            </w:r>
          </w:p>
        </w:tc>
        <w:tc>
          <w:tcPr>
            <w:tcW w:w="1600" w:type="pct"/>
            <w:shd w:val="clear" w:color="auto" w:fill="2E5395"/>
            <w:tcMar>
              <w:top w:w="60" w:type="dxa"/>
              <w:left w:w="100" w:type="dxa"/>
              <w:bottom w:w="60" w:type="dxa"/>
              <w:right w:w="100" w:type="dxa"/>
            </w:tcMar>
            <w:vAlign w:val="center"/>
          </w:tcPr>
          <w:p w14:paraId="19A58213"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قيمة إحصائي كروسكال-واليس (H)</w:t>
            </w:r>
          </w:p>
        </w:tc>
        <w:tc>
          <w:tcPr>
            <w:tcW w:w="900" w:type="pct"/>
            <w:shd w:val="clear" w:color="auto" w:fill="2E5395"/>
            <w:tcMar>
              <w:top w:w="60" w:type="dxa"/>
              <w:left w:w="100" w:type="dxa"/>
              <w:bottom w:w="60" w:type="dxa"/>
              <w:right w:w="100" w:type="dxa"/>
            </w:tcMar>
            <w:vAlign w:val="center"/>
          </w:tcPr>
          <w:p w14:paraId="7D7BDE0D"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القيمة الاحتمالية</w:t>
            </w:r>
          </w:p>
        </w:tc>
        <w:tc>
          <w:tcPr>
            <w:tcW w:w="900" w:type="pct"/>
            <w:shd w:val="clear" w:color="auto" w:fill="2E5395"/>
            <w:tcMar>
              <w:top w:w="60" w:type="dxa"/>
              <w:left w:w="100" w:type="dxa"/>
              <w:bottom w:w="60" w:type="dxa"/>
              <w:right w:w="100" w:type="dxa"/>
            </w:tcMar>
            <w:vAlign w:val="center"/>
          </w:tcPr>
          <w:p w14:paraId="1402A00C"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القرار</w:t>
            </w:r>
          </w:p>
        </w:tc>
      </w:tr>
      <w:tr w:rsidR="00E4583A" w14:paraId="48F55BE0" w14:textId="77777777">
        <w:trPr>
          <w:jc w:val="center"/>
        </w:trPr>
        <w:tc>
          <w:tcPr>
            <w:tcW w:w="1800" w:type="pct"/>
            <w:tcMar>
              <w:top w:w="60" w:type="dxa"/>
              <w:left w:w="100" w:type="dxa"/>
              <w:bottom w:w="60" w:type="dxa"/>
              <w:right w:w="100" w:type="dxa"/>
            </w:tcMar>
            <w:vAlign w:val="center"/>
          </w:tcPr>
          <w:p w14:paraId="1CBFA350"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كفاءة العمليات المالية</w:t>
            </w:r>
          </w:p>
        </w:tc>
        <w:tc>
          <w:tcPr>
            <w:tcW w:w="1600" w:type="pct"/>
            <w:tcMar>
              <w:top w:w="60" w:type="dxa"/>
              <w:left w:w="100" w:type="dxa"/>
              <w:bottom w:w="60" w:type="dxa"/>
              <w:right w:w="100" w:type="dxa"/>
            </w:tcMar>
            <w:vAlign w:val="center"/>
          </w:tcPr>
          <w:p w14:paraId="7EE8F745"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1.483</w:t>
            </w:r>
          </w:p>
        </w:tc>
        <w:tc>
          <w:tcPr>
            <w:tcW w:w="900" w:type="pct"/>
            <w:tcMar>
              <w:top w:w="60" w:type="dxa"/>
              <w:left w:w="100" w:type="dxa"/>
              <w:bottom w:w="60" w:type="dxa"/>
              <w:right w:w="100" w:type="dxa"/>
            </w:tcMar>
            <w:vAlign w:val="center"/>
          </w:tcPr>
          <w:p w14:paraId="4A630FA5"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0.476</w:t>
            </w:r>
          </w:p>
        </w:tc>
        <w:tc>
          <w:tcPr>
            <w:tcW w:w="900" w:type="pct"/>
            <w:tcMar>
              <w:top w:w="60" w:type="dxa"/>
              <w:left w:w="100" w:type="dxa"/>
              <w:bottom w:w="60" w:type="dxa"/>
              <w:right w:w="100" w:type="dxa"/>
            </w:tcMar>
            <w:vAlign w:val="center"/>
          </w:tcPr>
          <w:p w14:paraId="555C1744"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غير دال إحصائياً</w:t>
            </w:r>
          </w:p>
        </w:tc>
      </w:tr>
      <w:tr w:rsidR="00E4583A" w14:paraId="730F53C1" w14:textId="77777777">
        <w:trPr>
          <w:jc w:val="center"/>
        </w:trPr>
        <w:tc>
          <w:tcPr>
            <w:tcW w:w="1800" w:type="pct"/>
            <w:tcMar>
              <w:top w:w="60" w:type="dxa"/>
              <w:left w:w="100" w:type="dxa"/>
              <w:bottom w:w="60" w:type="dxa"/>
              <w:right w:w="100" w:type="dxa"/>
            </w:tcMar>
            <w:vAlign w:val="center"/>
          </w:tcPr>
          <w:p w14:paraId="07D287DB"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الأمن السيبراني المؤسسي</w:t>
            </w:r>
          </w:p>
        </w:tc>
        <w:tc>
          <w:tcPr>
            <w:tcW w:w="1600" w:type="pct"/>
            <w:tcMar>
              <w:top w:w="60" w:type="dxa"/>
              <w:left w:w="100" w:type="dxa"/>
              <w:bottom w:w="60" w:type="dxa"/>
              <w:right w:w="100" w:type="dxa"/>
            </w:tcMar>
            <w:vAlign w:val="center"/>
          </w:tcPr>
          <w:p w14:paraId="32B28A1E"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0.635</w:t>
            </w:r>
          </w:p>
        </w:tc>
        <w:tc>
          <w:tcPr>
            <w:tcW w:w="900" w:type="pct"/>
            <w:tcMar>
              <w:top w:w="60" w:type="dxa"/>
              <w:left w:w="100" w:type="dxa"/>
              <w:bottom w:w="60" w:type="dxa"/>
              <w:right w:w="100" w:type="dxa"/>
            </w:tcMar>
            <w:vAlign w:val="center"/>
          </w:tcPr>
          <w:p w14:paraId="06696529"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0.728</w:t>
            </w:r>
          </w:p>
        </w:tc>
        <w:tc>
          <w:tcPr>
            <w:tcW w:w="900" w:type="pct"/>
            <w:tcMar>
              <w:top w:w="60" w:type="dxa"/>
              <w:left w:w="100" w:type="dxa"/>
              <w:bottom w:w="60" w:type="dxa"/>
              <w:right w:w="100" w:type="dxa"/>
            </w:tcMar>
            <w:vAlign w:val="center"/>
          </w:tcPr>
          <w:p w14:paraId="145A9B95"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غير دال إحصائياً</w:t>
            </w:r>
          </w:p>
        </w:tc>
      </w:tr>
      <w:tr w:rsidR="00E4583A" w14:paraId="1F55080F" w14:textId="77777777">
        <w:trPr>
          <w:jc w:val="center"/>
        </w:trPr>
        <w:tc>
          <w:tcPr>
            <w:tcW w:w="1800" w:type="pct"/>
            <w:tcMar>
              <w:top w:w="60" w:type="dxa"/>
              <w:left w:w="100" w:type="dxa"/>
              <w:bottom w:w="60" w:type="dxa"/>
              <w:right w:w="100" w:type="dxa"/>
            </w:tcMar>
            <w:vAlign w:val="center"/>
          </w:tcPr>
          <w:p w14:paraId="2E0D0EE5"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تطبيق تقنية الترميز</w:t>
            </w:r>
          </w:p>
        </w:tc>
        <w:tc>
          <w:tcPr>
            <w:tcW w:w="1600" w:type="pct"/>
            <w:tcMar>
              <w:top w:w="60" w:type="dxa"/>
              <w:left w:w="100" w:type="dxa"/>
              <w:bottom w:w="60" w:type="dxa"/>
              <w:right w:w="100" w:type="dxa"/>
            </w:tcMar>
            <w:vAlign w:val="center"/>
          </w:tcPr>
          <w:p w14:paraId="460143BA"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4.993</w:t>
            </w:r>
          </w:p>
        </w:tc>
        <w:tc>
          <w:tcPr>
            <w:tcW w:w="900" w:type="pct"/>
            <w:tcMar>
              <w:top w:w="60" w:type="dxa"/>
              <w:left w:w="100" w:type="dxa"/>
              <w:bottom w:w="60" w:type="dxa"/>
              <w:right w:w="100" w:type="dxa"/>
            </w:tcMar>
            <w:vAlign w:val="center"/>
          </w:tcPr>
          <w:p w14:paraId="39901CEC"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0.082</w:t>
            </w:r>
          </w:p>
        </w:tc>
        <w:tc>
          <w:tcPr>
            <w:tcW w:w="900" w:type="pct"/>
            <w:tcMar>
              <w:top w:w="60" w:type="dxa"/>
              <w:left w:w="100" w:type="dxa"/>
              <w:bottom w:w="60" w:type="dxa"/>
              <w:right w:w="100" w:type="dxa"/>
            </w:tcMar>
            <w:vAlign w:val="center"/>
          </w:tcPr>
          <w:p w14:paraId="68B26837"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غير دال إحصائياً</w:t>
            </w:r>
          </w:p>
        </w:tc>
      </w:tr>
    </w:tbl>
    <w:p w14:paraId="1C22E784" w14:textId="77777777" w:rsidR="00E4583A" w:rsidRDefault="00000000">
      <w:pPr>
        <w:bidi/>
        <w:spacing w:after="0" w:line="360" w:lineRule="auto"/>
        <w:jc w:val="center"/>
      </w:pPr>
      <w:r>
        <w:rPr>
          <w:rFonts w:ascii="Traditional Arabic" w:eastAsia="Simplified Arabic" w:hAnsi="Traditional Arabic" w:cs="Traditional Arabic"/>
          <w:b/>
          <w:bCs/>
          <w:sz w:val="24"/>
          <w:szCs w:val="24"/>
          <w:rtl/>
        </w:rPr>
        <w:t>جدول (4.22): نتائج اختبار كروسكال-واليس لفرض H3 (نوع المؤسسة المالية)</w:t>
      </w:r>
    </w:p>
    <w:p w14:paraId="0218720C" w14:textId="77777777" w:rsidR="00E4583A" w:rsidRDefault="00000000">
      <w:pPr>
        <w:bidi/>
        <w:spacing w:after="0" w:line="360" w:lineRule="auto"/>
        <w:jc w:val="both"/>
      </w:pPr>
      <w:r>
        <w:rPr>
          <w:rFonts w:ascii="Traditional Arabic" w:eastAsia="Simplified Arabic" w:hAnsi="Traditional Arabic" w:cs="Traditional Arabic"/>
          <w:sz w:val="28"/>
          <w:szCs w:val="28"/>
          <w:rtl/>
        </w:rPr>
        <w:t>يتضح من الجدول عدم وجود فروق دالة إحصائياً تُعزى إلى نوع المؤسسة المالية في أي من المتغيرات التابعة الثلاثة. وبناءً على ذلك، يُرفَض الفرض H3.</w:t>
      </w:r>
    </w:p>
    <w:p w14:paraId="7EDBE795" w14:textId="77777777" w:rsidR="00E4583A" w:rsidRDefault="00E4583A">
      <w:pPr>
        <w:bidi/>
        <w:spacing w:after="0" w:line="240" w:lineRule="auto"/>
      </w:pPr>
    </w:p>
    <w:p w14:paraId="55504C4C" w14:textId="77777777" w:rsidR="00E4583A" w:rsidRDefault="00000000">
      <w:pPr>
        <w:bidi/>
        <w:spacing w:after="0" w:line="360" w:lineRule="auto"/>
        <w:jc w:val="both"/>
      </w:pPr>
      <w:r>
        <w:rPr>
          <w:rFonts w:ascii="Traditional Arabic" w:eastAsia="Simplified Arabic" w:hAnsi="Traditional Arabic" w:cs="Traditional Arabic"/>
          <w:b/>
          <w:bCs/>
          <w:sz w:val="28"/>
          <w:szCs w:val="28"/>
          <w:rtl/>
        </w:rPr>
        <w:t>اختبار الفرض H4</w:t>
      </w:r>
    </w:p>
    <w:p w14:paraId="048BD242" w14:textId="77777777" w:rsidR="00E4583A" w:rsidRDefault="00000000">
      <w:pPr>
        <w:bidi/>
        <w:spacing w:after="0" w:line="360" w:lineRule="auto"/>
        <w:jc w:val="both"/>
      </w:pPr>
      <w:r>
        <w:rPr>
          <w:rFonts w:ascii="Traditional Arabic" w:eastAsia="Simplified Arabic" w:hAnsi="Traditional Arabic" w:cs="Traditional Arabic"/>
          <w:sz w:val="28"/>
          <w:szCs w:val="28"/>
          <w:rtl/>
        </w:rPr>
        <w:t>H4: توجد فروق ذات دلالة إحصائية بين متوسطات استجابات أفراد عينة الدراسة حول (كفاءة العمليات المالية / الأمن السيبراني المؤسسي / تطبيق تقنية الترميز الأمني للبيانات) تُعزى إلى سنوات الخبرة في المجال.</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2987"/>
        <w:gridCol w:w="2655"/>
        <w:gridCol w:w="1493"/>
        <w:gridCol w:w="1161"/>
      </w:tblGrid>
      <w:tr w:rsidR="00E4583A" w14:paraId="22C819C0" w14:textId="77777777">
        <w:trPr>
          <w:tblHeader/>
          <w:jc w:val="center"/>
        </w:trPr>
        <w:tc>
          <w:tcPr>
            <w:tcW w:w="1800" w:type="pct"/>
            <w:shd w:val="clear" w:color="auto" w:fill="2E5395"/>
            <w:tcMar>
              <w:top w:w="60" w:type="dxa"/>
              <w:left w:w="100" w:type="dxa"/>
              <w:bottom w:w="60" w:type="dxa"/>
              <w:right w:w="100" w:type="dxa"/>
            </w:tcMar>
            <w:vAlign w:val="center"/>
          </w:tcPr>
          <w:p w14:paraId="030DEEDE"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المتغير التابع</w:t>
            </w:r>
          </w:p>
        </w:tc>
        <w:tc>
          <w:tcPr>
            <w:tcW w:w="1600" w:type="pct"/>
            <w:shd w:val="clear" w:color="auto" w:fill="2E5395"/>
            <w:tcMar>
              <w:top w:w="60" w:type="dxa"/>
              <w:left w:w="100" w:type="dxa"/>
              <w:bottom w:w="60" w:type="dxa"/>
              <w:right w:w="100" w:type="dxa"/>
            </w:tcMar>
            <w:vAlign w:val="center"/>
          </w:tcPr>
          <w:p w14:paraId="489179AA"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قيمة إحصائي كروسكال-واليس (H)</w:t>
            </w:r>
          </w:p>
        </w:tc>
        <w:tc>
          <w:tcPr>
            <w:tcW w:w="900" w:type="pct"/>
            <w:shd w:val="clear" w:color="auto" w:fill="2E5395"/>
            <w:tcMar>
              <w:top w:w="60" w:type="dxa"/>
              <w:left w:w="100" w:type="dxa"/>
              <w:bottom w:w="60" w:type="dxa"/>
              <w:right w:w="100" w:type="dxa"/>
            </w:tcMar>
            <w:vAlign w:val="center"/>
          </w:tcPr>
          <w:p w14:paraId="0FF53F63"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القيمة الاحتمالية</w:t>
            </w:r>
          </w:p>
        </w:tc>
        <w:tc>
          <w:tcPr>
            <w:tcW w:w="900" w:type="pct"/>
            <w:shd w:val="clear" w:color="auto" w:fill="2E5395"/>
            <w:tcMar>
              <w:top w:w="60" w:type="dxa"/>
              <w:left w:w="100" w:type="dxa"/>
              <w:bottom w:w="60" w:type="dxa"/>
              <w:right w:w="100" w:type="dxa"/>
            </w:tcMar>
            <w:vAlign w:val="center"/>
          </w:tcPr>
          <w:p w14:paraId="4E8D6E2A"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القرار</w:t>
            </w:r>
          </w:p>
        </w:tc>
      </w:tr>
      <w:tr w:rsidR="00E4583A" w14:paraId="1F971CBA" w14:textId="77777777">
        <w:trPr>
          <w:jc w:val="center"/>
        </w:trPr>
        <w:tc>
          <w:tcPr>
            <w:tcW w:w="1800" w:type="pct"/>
            <w:tcMar>
              <w:top w:w="60" w:type="dxa"/>
              <w:left w:w="100" w:type="dxa"/>
              <w:bottom w:w="60" w:type="dxa"/>
              <w:right w:w="100" w:type="dxa"/>
            </w:tcMar>
            <w:vAlign w:val="center"/>
          </w:tcPr>
          <w:p w14:paraId="7190A214"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كفاءة العمليات المالية</w:t>
            </w:r>
          </w:p>
        </w:tc>
        <w:tc>
          <w:tcPr>
            <w:tcW w:w="1600" w:type="pct"/>
            <w:tcMar>
              <w:top w:w="60" w:type="dxa"/>
              <w:left w:w="100" w:type="dxa"/>
              <w:bottom w:w="60" w:type="dxa"/>
              <w:right w:w="100" w:type="dxa"/>
            </w:tcMar>
            <w:vAlign w:val="center"/>
          </w:tcPr>
          <w:p w14:paraId="54A6D678"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1.919</w:t>
            </w:r>
          </w:p>
        </w:tc>
        <w:tc>
          <w:tcPr>
            <w:tcW w:w="900" w:type="pct"/>
            <w:tcMar>
              <w:top w:w="60" w:type="dxa"/>
              <w:left w:w="100" w:type="dxa"/>
              <w:bottom w:w="60" w:type="dxa"/>
              <w:right w:w="100" w:type="dxa"/>
            </w:tcMar>
            <w:vAlign w:val="center"/>
          </w:tcPr>
          <w:p w14:paraId="1F7EA784"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0.589</w:t>
            </w:r>
          </w:p>
        </w:tc>
        <w:tc>
          <w:tcPr>
            <w:tcW w:w="900" w:type="pct"/>
            <w:tcMar>
              <w:top w:w="60" w:type="dxa"/>
              <w:left w:w="100" w:type="dxa"/>
              <w:bottom w:w="60" w:type="dxa"/>
              <w:right w:w="100" w:type="dxa"/>
            </w:tcMar>
            <w:vAlign w:val="center"/>
          </w:tcPr>
          <w:p w14:paraId="58ED3856"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غير دال إحصائياً</w:t>
            </w:r>
          </w:p>
        </w:tc>
      </w:tr>
      <w:tr w:rsidR="00E4583A" w14:paraId="152D0634" w14:textId="77777777">
        <w:trPr>
          <w:jc w:val="center"/>
        </w:trPr>
        <w:tc>
          <w:tcPr>
            <w:tcW w:w="1800" w:type="pct"/>
            <w:tcMar>
              <w:top w:w="60" w:type="dxa"/>
              <w:left w:w="100" w:type="dxa"/>
              <w:bottom w:w="60" w:type="dxa"/>
              <w:right w:w="100" w:type="dxa"/>
            </w:tcMar>
            <w:vAlign w:val="center"/>
          </w:tcPr>
          <w:p w14:paraId="0335CB1D"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الأمن السيبراني المؤسسي</w:t>
            </w:r>
          </w:p>
        </w:tc>
        <w:tc>
          <w:tcPr>
            <w:tcW w:w="1600" w:type="pct"/>
            <w:tcMar>
              <w:top w:w="60" w:type="dxa"/>
              <w:left w:w="100" w:type="dxa"/>
              <w:bottom w:w="60" w:type="dxa"/>
              <w:right w:w="100" w:type="dxa"/>
            </w:tcMar>
            <w:vAlign w:val="center"/>
          </w:tcPr>
          <w:p w14:paraId="41BDCC36"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0.352</w:t>
            </w:r>
          </w:p>
        </w:tc>
        <w:tc>
          <w:tcPr>
            <w:tcW w:w="900" w:type="pct"/>
            <w:tcMar>
              <w:top w:w="60" w:type="dxa"/>
              <w:left w:w="100" w:type="dxa"/>
              <w:bottom w:w="60" w:type="dxa"/>
              <w:right w:w="100" w:type="dxa"/>
            </w:tcMar>
            <w:vAlign w:val="center"/>
          </w:tcPr>
          <w:p w14:paraId="295001B2"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0.950</w:t>
            </w:r>
          </w:p>
        </w:tc>
        <w:tc>
          <w:tcPr>
            <w:tcW w:w="900" w:type="pct"/>
            <w:tcMar>
              <w:top w:w="60" w:type="dxa"/>
              <w:left w:w="100" w:type="dxa"/>
              <w:bottom w:w="60" w:type="dxa"/>
              <w:right w:w="100" w:type="dxa"/>
            </w:tcMar>
            <w:vAlign w:val="center"/>
          </w:tcPr>
          <w:p w14:paraId="7D5DDE7B"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غير دال إحصائياً</w:t>
            </w:r>
          </w:p>
        </w:tc>
      </w:tr>
      <w:tr w:rsidR="00E4583A" w14:paraId="5D9B70A5" w14:textId="77777777">
        <w:trPr>
          <w:jc w:val="center"/>
        </w:trPr>
        <w:tc>
          <w:tcPr>
            <w:tcW w:w="1800" w:type="pct"/>
            <w:tcMar>
              <w:top w:w="60" w:type="dxa"/>
              <w:left w:w="100" w:type="dxa"/>
              <w:bottom w:w="60" w:type="dxa"/>
              <w:right w:w="100" w:type="dxa"/>
            </w:tcMar>
            <w:vAlign w:val="center"/>
          </w:tcPr>
          <w:p w14:paraId="7B53B38E"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تطبيق تقنية الترميز</w:t>
            </w:r>
          </w:p>
        </w:tc>
        <w:tc>
          <w:tcPr>
            <w:tcW w:w="1600" w:type="pct"/>
            <w:tcMar>
              <w:top w:w="60" w:type="dxa"/>
              <w:left w:w="100" w:type="dxa"/>
              <w:bottom w:w="60" w:type="dxa"/>
              <w:right w:w="100" w:type="dxa"/>
            </w:tcMar>
            <w:vAlign w:val="center"/>
          </w:tcPr>
          <w:p w14:paraId="551C5767"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1.924</w:t>
            </w:r>
          </w:p>
        </w:tc>
        <w:tc>
          <w:tcPr>
            <w:tcW w:w="900" w:type="pct"/>
            <w:tcMar>
              <w:top w:w="60" w:type="dxa"/>
              <w:left w:w="100" w:type="dxa"/>
              <w:bottom w:w="60" w:type="dxa"/>
              <w:right w:w="100" w:type="dxa"/>
            </w:tcMar>
            <w:vAlign w:val="center"/>
          </w:tcPr>
          <w:p w14:paraId="3B51FE55"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0.588</w:t>
            </w:r>
          </w:p>
        </w:tc>
        <w:tc>
          <w:tcPr>
            <w:tcW w:w="900" w:type="pct"/>
            <w:tcMar>
              <w:top w:w="60" w:type="dxa"/>
              <w:left w:w="100" w:type="dxa"/>
              <w:bottom w:w="60" w:type="dxa"/>
              <w:right w:w="100" w:type="dxa"/>
            </w:tcMar>
            <w:vAlign w:val="center"/>
          </w:tcPr>
          <w:p w14:paraId="5396DCA4"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غير دال إحصائياً</w:t>
            </w:r>
          </w:p>
        </w:tc>
      </w:tr>
    </w:tbl>
    <w:p w14:paraId="2F3D4774" w14:textId="77777777" w:rsidR="00E4583A" w:rsidRDefault="00000000">
      <w:pPr>
        <w:bidi/>
        <w:spacing w:after="0" w:line="360" w:lineRule="auto"/>
        <w:jc w:val="center"/>
      </w:pPr>
      <w:r>
        <w:rPr>
          <w:rFonts w:ascii="Traditional Arabic" w:eastAsia="Simplified Arabic" w:hAnsi="Traditional Arabic" w:cs="Traditional Arabic"/>
          <w:b/>
          <w:bCs/>
          <w:sz w:val="24"/>
          <w:szCs w:val="24"/>
          <w:rtl/>
        </w:rPr>
        <w:lastRenderedPageBreak/>
        <w:t>جدول (4.23): نتائج اختبار كروسكال-واليس لفرض H4 (سنوات الخبرة في المجال)</w:t>
      </w:r>
    </w:p>
    <w:p w14:paraId="5CEAFAFD" w14:textId="77777777" w:rsidR="00E4583A" w:rsidRDefault="00000000">
      <w:pPr>
        <w:bidi/>
        <w:spacing w:after="0" w:line="360" w:lineRule="auto"/>
        <w:jc w:val="both"/>
      </w:pPr>
      <w:r>
        <w:rPr>
          <w:rFonts w:ascii="Traditional Arabic" w:eastAsia="Simplified Arabic" w:hAnsi="Traditional Arabic" w:cs="Traditional Arabic"/>
          <w:sz w:val="28"/>
          <w:szCs w:val="28"/>
          <w:rtl/>
        </w:rPr>
        <w:t>يتضح من الجدول عدم وجود فروق دالة إحصائياً تُعزى إلى سنوات الخبرة في المجال في أي من المتغيرات التابعة الثلاثة. وبناءً على ذلك، يُرفَض الفرض H4.</w:t>
      </w:r>
    </w:p>
    <w:p w14:paraId="3DABB18C" w14:textId="77777777" w:rsidR="00E4583A" w:rsidRDefault="00E4583A">
      <w:pPr>
        <w:bidi/>
        <w:spacing w:after="0" w:line="240" w:lineRule="auto"/>
      </w:pPr>
    </w:p>
    <w:p w14:paraId="7EC72870" w14:textId="77777777" w:rsidR="00E4583A" w:rsidRDefault="00000000">
      <w:pPr>
        <w:bidi/>
        <w:spacing w:after="0" w:line="360" w:lineRule="auto"/>
        <w:jc w:val="both"/>
      </w:pPr>
      <w:r>
        <w:rPr>
          <w:rFonts w:ascii="Traditional Arabic" w:eastAsia="Simplified Arabic" w:hAnsi="Traditional Arabic" w:cs="Traditional Arabic"/>
          <w:b/>
          <w:bCs/>
          <w:sz w:val="28"/>
          <w:szCs w:val="28"/>
          <w:rtl/>
        </w:rPr>
        <w:t>اختبار الفرض H5</w:t>
      </w:r>
    </w:p>
    <w:p w14:paraId="39675610" w14:textId="77777777" w:rsidR="00E4583A" w:rsidRDefault="00000000">
      <w:pPr>
        <w:bidi/>
        <w:spacing w:after="0" w:line="360" w:lineRule="auto"/>
        <w:jc w:val="both"/>
      </w:pPr>
      <w:r>
        <w:rPr>
          <w:rFonts w:ascii="Traditional Arabic" w:eastAsia="Simplified Arabic" w:hAnsi="Traditional Arabic" w:cs="Traditional Arabic"/>
          <w:sz w:val="28"/>
          <w:szCs w:val="28"/>
          <w:rtl/>
        </w:rPr>
        <w:t>H5: توجد فروق ذات دلالة إحصائية بين متوسطات استجابات أفراد عينة الدراسة حول (كفاءة العمليات المالية / الأمن السيبراني المؤسسي / تطبيق تقنية الترميز الأمني للبيانات) تُعزى إلى المستوى الوظيفي.</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2987"/>
        <w:gridCol w:w="2655"/>
        <w:gridCol w:w="1493"/>
        <w:gridCol w:w="1161"/>
      </w:tblGrid>
      <w:tr w:rsidR="00E4583A" w14:paraId="43F150A1" w14:textId="77777777">
        <w:trPr>
          <w:tblHeader/>
          <w:jc w:val="center"/>
        </w:trPr>
        <w:tc>
          <w:tcPr>
            <w:tcW w:w="1800" w:type="pct"/>
            <w:shd w:val="clear" w:color="auto" w:fill="2E5395"/>
            <w:tcMar>
              <w:top w:w="60" w:type="dxa"/>
              <w:left w:w="100" w:type="dxa"/>
              <w:bottom w:w="60" w:type="dxa"/>
              <w:right w:w="100" w:type="dxa"/>
            </w:tcMar>
            <w:vAlign w:val="center"/>
          </w:tcPr>
          <w:p w14:paraId="4C5D6393"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المتغير التابع</w:t>
            </w:r>
          </w:p>
        </w:tc>
        <w:tc>
          <w:tcPr>
            <w:tcW w:w="1600" w:type="pct"/>
            <w:shd w:val="clear" w:color="auto" w:fill="2E5395"/>
            <w:tcMar>
              <w:top w:w="60" w:type="dxa"/>
              <w:left w:w="100" w:type="dxa"/>
              <w:bottom w:w="60" w:type="dxa"/>
              <w:right w:w="100" w:type="dxa"/>
            </w:tcMar>
            <w:vAlign w:val="center"/>
          </w:tcPr>
          <w:p w14:paraId="35C1EE59"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قيمة إحصائي كروسكال-واليس (H)</w:t>
            </w:r>
          </w:p>
        </w:tc>
        <w:tc>
          <w:tcPr>
            <w:tcW w:w="900" w:type="pct"/>
            <w:shd w:val="clear" w:color="auto" w:fill="2E5395"/>
            <w:tcMar>
              <w:top w:w="60" w:type="dxa"/>
              <w:left w:w="100" w:type="dxa"/>
              <w:bottom w:w="60" w:type="dxa"/>
              <w:right w:w="100" w:type="dxa"/>
            </w:tcMar>
            <w:vAlign w:val="center"/>
          </w:tcPr>
          <w:p w14:paraId="6BE18E0B"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القيمة الاحتمالية</w:t>
            </w:r>
          </w:p>
        </w:tc>
        <w:tc>
          <w:tcPr>
            <w:tcW w:w="900" w:type="pct"/>
            <w:shd w:val="clear" w:color="auto" w:fill="2E5395"/>
            <w:tcMar>
              <w:top w:w="60" w:type="dxa"/>
              <w:left w:w="100" w:type="dxa"/>
              <w:bottom w:w="60" w:type="dxa"/>
              <w:right w:w="100" w:type="dxa"/>
            </w:tcMar>
            <w:vAlign w:val="center"/>
          </w:tcPr>
          <w:p w14:paraId="4713214D"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القرار</w:t>
            </w:r>
          </w:p>
        </w:tc>
      </w:tr>
      <w:tr w:rsidR="00E4583A" w14:paraId="0E02E1C8" w14:textId="77777777">
        <w:trPr>
          <w:jc w:val="center"/>
        </w:trPr>
        <w:tc>
          <w:tcPr>
            <w:tcW w:w="1800" w:type="pct"/>
            <w:tcMar>
              <w:top w:w="60" w:type="dxa"/>
              <w:left w:w="100" w:type="dxa"/>
              <w:bottom w:w="60" w:type="dxa"/>
              <w:right w:w="100" w:type="dxa"/>
            </w:tcMar>
            <w:vAlign w:val="center"/>
          </w:tcPr>
          <w:p w14:paraId="1BAEF92C"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كفاءة العمليات المالية</w:t>
            </w:r>
          </w:p>
        </w:tc>
        <w:tc>
          <w:tcPr>
            <w:tcW w:w="1600" w:type="pct"/>
            <w:tcMar>
              <w:top w:w="60" w:type="dxa"/>
              <w:left w:w="100" w:type="dxa"/>
              <w:bottom w:w="60" w:type="dxa"/>
              <w:right w:w="100" w:type="dxa"/>
            </w:tcMar>
            <w:vAlign w:val="center"/>
          </w:tcPr>
          <w:p w14:paraId="2299C7CE"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1.267</w:t>
            </w:r>
          </w:p>
        </w:tc>
        <w:tc>
          <w:tcPr>
            <w:tcW w:w="900" w:type="pct"/>
            <w:tcMar>
              <w:top w:w="60" w:type="dxa"/>
              <w:left w:w="100" w:type="dxa"/>
              <w:bottom w:w="60" w:type="dxa"/>
              <w:right w:w="100" w:type="dxa"/>
            </w:tcMar>
            <w:vAlign w:val="center"/>
          </w:tcPr>
          <w:p w14:paraId="0092F3DF"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0.737</w:t>
            </w:r>
          </w:p>
        </w:tc>
        <w:tc>
          <w:tcPr>
            <w:tcW w:w="900" w:type="pct"/>
            <w:tcMar>
              <w:top w:w="60" w:type="dxa"/>
              <w:left w:w="100" w:type="dxa"/>
              <w:bottom w:w="60" w:type="dxa"/>
              <w:right w:w="100" w:type="dxa"/>
            </w:tcMar>
            <w:vAlign w:val="center"/>
          </w:tcPr>
          <w:p w14:paraId="20A250CF"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غير دال إحصائياً</w:t>
            </w:r>
          </w:p>
        </w:tc>
      </w:tr>
      <w:tr w:rsidR="00E4583A" w14:paraId="6B28E9E5" w14:textId="77777777">
        <w:trPr>
          <w:jc w:val="center"/>
        </w:trPr>
        <w:tc>
          <w:tcPr>
            <w:tcW w:w="1800" w:type="pct"/>
            <w:tcMar>
              <w:top w:w="60" w:type="dxa"/>
              <w:left w:w="100" w:type="dxa"/>
              <w:bottom w:w="60" w:type="dxa"/>
              <w:right w:w="100" w:type="dxa"/>
            </w:tcMar>
            <w:vAlign w:val="center"/>
          </w:tcPr>
          <w:p w14:paraId="1F9C66B3"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الأمن السيبراني المؤسسي</w:t>
            </w:r>
          </w:p>
        </w:tc>
        <w:tc>
          <w:tcPr>
            <w:tcW w:w="1600" w:type="pct"/>
            <w:tcMar>
              <w:top w:w="60" w:type="dxa"/>
              <w:left w:w="100" w:type="dxa"/>
              <w:bottom w:w="60" w:type="dxa"/>
              <w:right w:w="100" w:type="dxa"/>
            </w:tcMar>
            <w:vAlign w:val="center"/>
          </w:tcPr>
          <w:p w14:paraId="4E1CA33A"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1.976</w:t>
            </w:r>
          </w:p>
        </w:tc>
        <w:tc>
          <w:tcPr>
            <w:tcW w:w="900" w:type="pct"/>
            <w:tcMar>
              <w:top w:w="60" w:type="dxa"/>
              <w:left w:w="100" w:type="dxa"/>
              <w:bottom w:w="60" w:type="dxa"/>
              <w:right w:w="100" w:type="dxa"/>
            </w:tcMar>
            <w:vAlign w:val="center"/>
          </w:tcPr>
          <w:p w14:paraId="3BAEC120"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0.577</w:t>
            </w:r>
          </w:p>
        </w:tc>
        <w:tc>
          <w:tcPr>
            <w:tcW w:w="900" w:type="pct"/>
            <w:tcMar>
              <w:top w:w="60" w:type="dxa"/>
              <w:left w:w="100" w:type="dxa"/>
              <w:bottom w:w="60" w:type="dxa"/>
              <w:right w:w="100" w:type="dxa"/>
            </w:tcMar>
            <w:vAlign w:val="center"/>
          </w:tcPr>
          <w:p w14:paraId="3A33AAB6"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غير دال إحصائياً</w:t>
            </w:r>
          </w:p>
        </w:tc>
      </w:tr>
      <w:tr w:rsidR="00E4583A" w14:paraId="5C02C4FA" w14:textId="77777777">
        <w:trPr>
          <w:jc w:val="center"/>
        </w:trPr>
        <w:tc>
          <w:tcPr>
            <w:tcW w:w="1800" w:type="pct"/>
            <w:tcMar>
              <w:top w:w="60" w:type="dxa"/>
              <w:left w:w="100" w:type="dxa"/>
              <w:bottom w:w="60" w:type="dxa"/>
              <w:right w:w="100" w:type="dxa"/>
            </w:tcMar>
            <w:vAlign w:val="center"/>
          </w:tcPr>
          <w:p w14:paraId="1BA1F7F8"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تطبيق تقنية الترميز</w:t>
            </w:r>
          </w:p>
        </w:tc>
        <w:tc>
          <w:tcPr>
            <w:tcW w:w="1600" w:type="pct"/>
            <w:tcMar>
              <w:top w:w="60" w:type="dxa"/>
              <w:left w:w="100" w:type="dxa"/>
              <w:bottom w:w="60" w:type="dxa"/>
              <w:right w:w="100" w:type="dxa"/>
            </w:tcMar>
            <w:vAlign w:val="center"/>
          </w:tcPr>
          <w:p w14:paraId="2FB2AFA6"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2.023</w:t>
            </w:r>
          </w:p>
        </w:tc>
        <w:tc>
          <w:tcPr>
            <w:tcW w:w="900" w:type="pct"/>
            <w:tcMar>
              <w:top w:w="60" w:type="dxa"/>
              <w:left w:w="100" w:type="dxa"/>
              <w:bottom w:w="60" w:type="dxa"/>
              <w:right w:w="100" w:type="dxa"/>
            </w:tcMar>
            <w:vAlign w:val="center"/>
          </w:tcPr>
          <w:p w14:paraId="750942E0"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0.568</w:t>
            </w:r>
          </w:p>
        </w:tc>
        <w:tc>
          <w:tcPr>
            <w:tcW w:w="900" w:type="pct"/>
            <w:tcMar>
              <w:top w:w="60" w:type="dxa"/>
              <w:left w:w="100" w:type="dxa"/>
              <w:bottom w:w="60" w:type="dxa"/>
              <w:right w:w="100" w:type="dxa"/>
            </w:tcMar>
            <w:vAlign w:val="center"/>
          </w:tcPr>
          <w:p w14:paraId="7F5787D4"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غير دال إحصائياً</w:t>
            </w:r>
          </w:p>
        </w:tc>
      </w:tr>
    </w:tbl>
    <w:p w14:paraId="714B997D" w14:textId="77777777" w:rsidR="00E4583A" w:rsidRDefault="00000000">
      <w:pPr>
        <w:bidi/>
        <w:spacing w:after="0" w:line="360" w:lineRule="auto"/>
        <w:jc w:val="center"/>
      </w:pPr>
      <w:r>
        <w:rPr>
          <w:rFonts w:ascii="Traditional Arabic" w:eastAsia="Simplified Arabic" w:hAnsi="Traditional Arabic" w:cs="Traditional Arabic"/>
          <w:b/>
          <w:bCs/>
          <w:sz w:val="24"/>
          <w:szCs w:val="24"/>
          <w:rtl/>
        </w:rPr>
        <w:t>جدول (4.24): نتائج اختبار كروسكال-واليس لفرض H5 (المستوى الوظيفي)</w:t>
      </w:r>
    </w:p>
    <w:p w14:paraId="7C4C351C" w14:textId="77777777" w:rsidR="00E4583A" w:rsidRDefault="00000000">
      <w:pPr>
        <w:bidi/>
        <w:spacing w:after="0" w:line="360" w:lineRule="auto"/>
        <w:jc w:val="both"/>
      </w:pPr>
      <w:r>
        <w:rPr>
          <w:rFonts w:ascii="Traditional Arabic" w:eastAsia="Simplified Arabic" w:hAnsi="Traditional Arabic" w:cs="Traditional Arabic"/>
          <w:sz w:val="28"/>
          <w:szCs w:val="28"/>
          <w:rtl/>
        </w:rPr>
        <w:t>يتضح من الجدول عدم وجود فروق دالة إحصائياً تُعزى إلى المستوى الوظيفي في أي من المتغيرات التابعة الثلاثة. وبناءً على ذلك، يُرفَض الفرض H5.</w:t>
      </w:r>
    </w:p>
    <w:p w14:paraId="129E782C" w14:textId="77777777" w:rsidR="00E4583A" w:rsidRDefault="00E4583A">
      <w:pPr>
        <w:bidi/>
        <w:spacing w:after="0" w:line="240" w:lineRule="auto"/>
      </w:pPr>
    </w:p>
    <w:p w14:paraId="6474F358" w14:textId="77777777" w:rsidR="00E4583A" w:rsidRDefault="00000000">
      <w:pPr>
        <w:bidi/>
        <w:spacing w:after="0" w:line="360" w:lineRule="auto"/>
        <w:jc w:val="both"/>
      </w:pPr>
      <w:r>
        <w:rPr>
          <w:rFonts w:ascii="Traditional Arabic" w:eastAsia="Simplified Arabic" w:hAnsi="Traditional Arabic" w:cs="Traditional Arabic"/>
          <w:b/>
          <w:bCs/>
          <w:sz w:val="28"/>
          <w:szCs w:val="28"/>
          <w:rtl/>
        </w:rPr>
        <w:t>اختبار الفرض H6</w:t>
      </w:r>
    </w:p>
    <w:p w14:paraId="75A85C1E" w14:textId="77777777" w:rsidR="00E4583A" w:rsidRDefault="00000000">
      <w:pPr>
        <w:bidi/>
        <w:spacing w:after="0" w:line="360" w:lineRule="auto"/>
        <w:jc w:val="both"/>
      </w:pPr>
      <w:r>
        <w:rPr>
          <w:rFonts w:ascii="Traditional Arabic" w:eastAsia="Simplified Arabic" w:hAnsi="Traditional Arabic" w:cs="Traditional Arabic"/>
          <w:sz w:val="28"/>
          <w:szCs w:val="28"/>
          <w:rtl/>
        </w:rPr>
        <w:t>H6: توجد فروق ذات دلالة إحصائية بين متوسطات استجابات أفراد عينة الدراسة حول (كفاءة العمليات المالية / الأمن السيبراني المؤسسي / تطبيق تقنية الترميز الأمني للبيانات) تُعزى إلى المؤهل العلمي.</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2987"/>
        <w:gridCol w:w="2655"/>
        <w:gridCol w:w="1493"/>
        <w:gridCol w:w="1161"/>
      </w:tblGrid>
      <w:tr w:rsidR="00E4583A" w14:paraId="18D68FB8" w14:textId="77777777">
        <w:trPr>
          <w:tblHeader/>
          <w:jc w:val="center"/>
        </w:trPr>
        <w:tc>
          <w:tcPr>
            <w:tcW w:w="1800" w:type="pct"/>
            <w:shd w:val="clear" w:color="auto" w:fill="2E5395"/>
            <w:tcMar>
              <w:top w:w="60" w:type="dxa"/>
              <w:left w:w="100" w:type="dxa"/>
              <w:bottom w:w="60" w:type="dxa"/>
              <w:right w:w="100" w:type="dxa"/>
            </w:tcMar>
            <w:vAlign w:val="center"/>
          </w:tcPr>
          <w:p w14:paraId="56E2F357"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المتغير التابع</w:t>
            </w:r>
          </w:p>
        </w:tc>
        <w:tc>
          <w:tcPr>
            <w:tcW w:w="1600" w:type="pct"/>
            <w:shd w:val="clear" w:color="auto" w:fill="2E5395"/>
            <w:tcMar>
              <w:top w:w="60" w:type="dxa"/>
              <w:left w:w="100" w:type="dxa"/>
              <w:bottom w:w="60" w:type="dxa"/>
              <w:right w:w="100" w:type="dxa"/>
            </w:tcMar>
            <w:vAlign w:val="center"/>
          </w:tcPr>
          <w:p w14:paraId="5B9E47F7"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قيمة إحصائي كروسكال-واليس (H)</w:t>
            </w:r>
          </w:p>
        </w:tc>
        <w:tc>
          <w:tcPr>
            <w:tcW w:w="900" w:type="pct"/>
            <w:shd w:val="clear" w:color="auto" w:fill="2E5395"/>
            <w:tcMar>
              <w:top w:w="60" w:type="dxa"/>
              <w:left w:w="100" w:type="dxa"/>
              <w:bottom w:w="60" w:type="dxa"/>
              <w:right w:w="100" w:type="dxa"/>
            </w:tcMar>
            <w:vAlign w:val="center"/>
          </w:tcPr>
          <w:p w14:paraId="623BB621"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القيمة الاحتمالية</w:t>
            </w:r>
          </w:p>
        </w:tc>
        <w:tc>
          <w:tcPr>
            <w:tcW w:w="900" w:type="pct"/>
            <w:shd w:val="clear" w:color="auto" w:fill="2E5395"/>
            <w:tcMar>
              <w:top w:w="60" w:type="dxa"/>
              <w:left w:w="100" w:type="dxa"/>
              <w:bottom w:w="60" w:type="dxa"/>
              <w:right w:w="100" w:type="dxa"/>
            </w:tcMar>
            <w:vAlign w:val="center"/>
          </w:tcPr>
          <w:p w14:paraId="27C7034E"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القرار</w:t>
            </w:r>
          </w:p>
        </w:tc>
      </w:tr>
      <w:tr w:rsidR="00E4583A" w14:paraId="0EEF529E" w14:textId="77777777">
        <w:trPr>
          <w:jc w:val="center"/>
        </w:trPr>
        <w:tc>
          <w:tcPr>
            <w:tcW w:w="1800" w:type="pct"/>
            <w:tcMar>
              <w:top w:w="60" w:type="dxa"/>
              <w:left w:w="100" w:type="dxa"/>
              <w:bottom w:w="60" w:type="dxa"/>
              <w:right w:w="100" w:type="dxa"/>
            </w:tcMar>
            <w:vAlign w:val="center"/>
          </w:tcPr>
          <w:p w14:paraId="7A544B26"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كفاءة العمليات المالية</w:t>
            </w:r>
          </w:p>
        </w:tc>
        <w:tc>
          <w:tcPr>
            <w:tcW w:w="1600" w:type="pct"/>
            <w:tcMar>
              <w:top w:w="60" w:type="dxa"/>
              <w:left w:w="100" w:type="dxa"/>
              <w:bottom w:w="60" w:type="dxa"/>
              <w:right w:w="100" w:type="dxa"/>
            </w:tcMar>
            <w:vAlign w:val="center"/>
          </w:tcPr>
          <w:p w14:paraId="0ED3F1AF"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1.338</w:t>
            </w:r>
          </w:p>
        </w:tc>
        <w:tc>
          <w:tcPr>
            <w:tcW w:w="900" w:type="pct"/>
            <w:tcMar>
              <w:top w:w="60" w:type="dxa"/>
              <w:left w:w="100" w:type="dxa"/>
              <w:bottom w:w="60" w:type="dxa"/>
              <w:right w:w="100" w:type="dxa"/>
            </w:tcMar>
            <w:vAlign w:val="center"/>
          </w:tcPr>
          <w:p w14:paraId="73EB8A3B"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0.512</w:t>
            </w:r>
          </w:p>
        </w:tc>
        <w:tc>
          <w:tcPr>
            <w:tcW w:w="900" w:type="pct"/>
            <w:tcMar>
              <w:top w:w="60" w:type="dxa"/>
              <w:left w:w="100" w:type="dxa"/>
              <w:bottom w:w="60" w:type="dxa"/>
              <w:right w:w="100" w:type="dxa"/>
            </w:tcMar>
            <w:vAlign w:val="center"/>
          </w:tcPr>
          <w:p w14:paraId="2E22FA76"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غير دال إحصائياً</w:t>
            </w:r>
          </w:p>
        </w:tc>
      </w:tr>
      <w:tr w:rsidR="00E4583A" w14:paraId="0871A0C1" w14:textId="77777777">
        <w:trPr>
          <w:jc w:val="center"/>
        </w:trPr>
        <w:tc>
          <w:tcPr>
            <w:tcW w:w="1800" w:type="pct"/>
            <w:tcMar>
              <w:top w:w="60" w:type="dxa"/>
              <w:left w:w="100" w:type="dxa"/>
              <w:bottom w:w="60" w:type="dxa"/>
              <w:right w:w="100" w:type="dxa"/>
            </w:tcMar>
            <w:vAlign w:val="center"/>
          </w:tcPr>
          <w:p w14:paraId="0E413165"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الأمن السيبراني المؤسسي</w:t>
            </w:r>
          </w:p>
        </w:tc>
        <w:tc>
          <w:tcPr>
            <w:tcW w:w="1600" w:type="pct"/>
            <w:tcMar>
              <w:top w:w="60" w:type="dxa"/>
              <w:left w:w="100" w:type="dxa"/>
              <w:bottom w:w="60" w:type="dxa"/>
              <w:right w:w="100" w:type="dxa"/>
            </w:tcMar>
            <w:vAlign w:val="center"/>
          </w:tcPr>
          <w:p w14:paraId="7610B9CB"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3.109</w:t>
            </w:r>
          </w:p>
        </w:tc>
        <w:tc>
          <w:tcPr>
            <w:tcW w:w="900" w:type="pct"/>
            <w:tcMar>
              <w:top w:w="60" w:type="dxa"/>
              <w:left w:w="100" w:type="dxa"/>
              <w:bottom w:w="60" w:type="dxa"/>
              <w:right w:w="100" w:type="dxa"/>
            </w:tcMar>
            <w:vAlign w:val="center"/>
          </w:tcPr>
          <w:p w14:paraId="7AB4933C"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0.211</w:t>
            </w:r>
          </w:p>
        </w:tc>
        <w:tc>
          <w:tcPr>
            <w:tcW w:w="900" w:type="pct"/>
            <w:tcMar>
              <w:top w:w="60" w:type="dxa"/>
              <w:left w:w="100" w:type="dxa"/>
              <w:bottom w:w="60" w:type="dxa"/>
              <w:right w:w="100" w:type="dxa"/>
            </w:tcMar>
            <w:vAlign w:val="center"/>
          </w:tcPr>
          <w:p w14:paraId="7C81539D"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غير دال إحصائياً</w:t>
            </w:r>
          </w:p>
        </w:tc>
      </w:tr>
      <w:tr w:rsidR="00E4583A" w14:paraId="33BEDBB0" w14:textId="77777777">
        <w:trPr>
          <w:jc w:val="center"/>
        </w:trPr>
        <w:tc>
          <w:tcPr>
            <w:tcW w:w="1800" w:type="pct"/>
            <w:tcMar>
              <w:top w:w="60" w:type="dxa"/>
              <w:left w:w="100" w:type="dxa"/>
              <w:bottom w:w="60" w:type="dxa"/>
              <w:right w:w="100" w:type="dxa"/>
            </w:tcMar>
            <w:vAlign w:val="center"/>
          </w:tcPr>
          <w:p w14:paraId="0A30C330"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lastRenderedPageBreak/>
              <w:t>تطبيق تقنية الترميز</w:t>
            </w:r>
          </w:p>
        </w:tc>
        <w:tc>
          <w:tcPr>
            <w:tcW w:w="1600" w:type="pct"/>
            <w:tcMar>
              <w:top w:w="60" w:type="dxa"/>
              <w:left w:w="100" w:type="dxa"/>
              <w:bottom w:w="60" w:type="dxa"/>
              <w:right w:w="100" w:type="dxa"/>
            </w:tcMar>
            <w:vAlign w:val="center"/>
          </w:tcPr>
          <w:p w14:paraId="0BBCCF53"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5.763</w:t>
            </w:r>
          </w:p>
        </w:tc>
        <w:tc>
          <w:tcPr>
            <w:tcW w:w="900" w:type="pct"/>
            <w:tcMar>
              <w:top w:w="60" w:type="dxa"/>
              <w:left w:w="100" w:type="dxa"/>
              <w:bottom w:w="60" w:type="dxa"/>
              <w:right w:w="100" w:type="dxa"/>
            </w:tcMar>
            <w:vAlign w:val="center"/>
          </w:tcPr>
          <w:p w14:paraId="656A502F"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0.056</w:t>
            </w:r>
          </w:p>
        </w:tc>
        <w:tc>
          <w:tcPr>
            <w:tcW w:w="900" w:type="pct"/>
            <w:tcMar>
              <w:top w:w="60" w:type="dxa"/>
              <w:left w:w="100" w:type="dxa"/>
              <w:bottom w:w="60" w:type="dxa"/>
              <w:right w:w="100" w:type="dxa"/>
            </w:tcMar>
            <w:vAlign w:val="center"/>
          </w:tcPr>
          <w:p w14:paraId="3A92FB48"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غير دال إحصائياً</w:t>
            </w:r>
          </w:p>
        </w:tc>
      </w:tr>
    </w:tbl>
    <w:p w14:paraId="3BFEC34F" w14:textId="77777777" w:rsidR="00E4583A" w:rsidRDefault="00000000">
      <w:pPr>
        <w:bidi/>
        <w:spacing w:after="0" w:line="360" w:lineRule="auto"/>
        <w:jc w:val="center"/>
      </w:pPr>
      <w:r>
        <w:rPr>
          <w:rFonts w:ascii="Traditional Arabic" w:eastAsia="Simplified Arabic" w:hAnsi="Traditional Arabic" w:cs="Traditional Arabic"/>
          <w:b/>
          <w:bCs/>
          <w:sz w:val="24"/>
          <w:szCs w:val="24"/>
          <w:rtl/>
        </w:rPr>
        <w:t>جدول (4.25): نتائج اختبار كروسكال-واليس لفرض H6 (المؤهل العلمي)</w:t>
      </w:r>
    </w:p>
    <w:p w14:paraId="37977568" w14:textId="77777777" w:rsidR="00E4583A" w:rsidRDefault="00000000">
      <w:pPr>
        <w:bidi/>
        <w:spacing w:after="0" w:line="360" w:lineRule="auto"/>
        <w:jc w:val="both"/>
      </w:pPr>
      <w:r>
        <w:rPr>
          <w:rFonts w:ascii="Traditional Arabic" w:eastAsia="Simplified Arabic" w:hAnsi="Traditional Arabic" w:cs="Traditional Arabic"/>
          <w:sz w:val="28"/>
          <w:szCs w:val="28"/>
          <w:rtl/>
        </w:rPr>
        <w:t>يتضح من الجدول عدم وجود فروق دالة إحصائياً تُعزى إلى المؤهل العلمي في أي من المتغيرات التابعة الثلاثة. وبناءً على ذلك، يُرفَض الفرض H6.</w:t>
      </w:r>
    </w:p>
    <w:p w14:paraId="487FEA1A" w14:textId="77777777" w:rsidR="00E4583A" w:rsidRDefault="00E4583A">
      <w:pPr>
        <w:bidi/>
        <w:spacing w:after="0" w:line="240" w:lineRule="auto"/>
      </w:pPr>
    </w:p>
    <w:p w14:paraId="6E44C0AF" w14:textId="77777777" w:rsidR="00E4583A" w:rsidRDefault="00000000">
      <w:pPr>
        <w:bidi/>
        <w:spacing w:after="0" w:line="360" w:lineRule="auto"/>
        <w:jc w:val="both"/>
      </w:pPr>
      <w:r>
        <w:rPr>
          <w:rFonts w:ascii="Traditional Arabic" w:eastAsia="Simplified Arabic" w:hAnsi="Traditional Arabic" w:cs="Traditional Arabic"/>
          <w:b/>
          <w:bCs/>
          <w:sz w:val="28"/>
          <w:szCs w:val="28"/>
          <w:rtl/>
        </w:rPr>
        <w:t>اختبار الفرض H7</w:t>
      </w:r>
    </w:p>
    <w:p w14:paraId="5EA0E039" w14:textId="77777777" w:rsidR="00E4583A" w:rsidRDefault="00000000">
      <w:pPr>
        <w:bidi/>
        <w:spacing w:after="0" w:line="360" w:lineRule="auto"/>
        <w:jc w:val="both"/>
      </w:pPr>
      <w:r>
        <w:rPr>
          <w:rFonts w:ascii="Traditional Arabic" w:eastAsia="Simplified Arabic" w:hAnsi="Traditional Arabic" w:cs="Traditional Arabic"/>
          <w:sz w:val="28"/>
          <w:szCs w:val="28"/>
          <w:rtl/>
        </w:rPr>
        <w:t>H7: توجد فروق ذات دلالة إحصائية بين متوسطات استجابات أفراد عينة الدراسة حول (كفاءة العمليات المالية / الأمن السيبراني المؤسسي / تطبيق تقنية الترميز الأمني للبيانات) تُعزى إلى مجال التخصص.</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2987"/>
        <w:gridCol w:w="2655"/>
        <w:gridCol w:w="1493"/>
        <w:gridCol w:w="1161"/>
      </w:tblGrid>
      <w:tr w:rsidR="00E4583A" w14:paraId="191DE5E1" w14:textId="77777777">
        <w:trPr>
          <w:tblHeader/>
          <w:jc w:val="center"/>
        </w:trPr>
        <w:tc>
          <w:tcPr>
            <w:tcW w:w="1800" w:type="pct"/>
            <w:shd w:val="clear" w:color="auto" w:fill="2E5395"/>
            <w:tcMar>
              <w:top w:w="60" w:type="dxa"/>
              <w:left w:w="100" w:type="dxa"/>
              <w:bottom w:w="60" w:type="dxa"/>
              <w:right w:w="100" w:type="dxa"/>
            </w:tcMar>
            <w:vAlign w:val="center"/>
          </w:tcPr>
          <w:p w14:paraId="5CC6E537"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المتغير التابع</w:t>
            </w:r>
          </w:p>
        </w:tc>
        <w:tc>
          <w:tcPr>
            <w:tcW w:w="1600" w:type="pct"/>
            <w:shd w:val="clear" w:color="auto" w:fill="2E5395"/>
            <w:tcMar>
              <w:top w:w="60" w:type="dxa"/>
              <w:left w:w="100" w:type="dxa"/>
              <w:bottom w:w="60" w:type="dxa"/>
              <w:right w:w="100" w:type="dxa"/>
            </w:tcMar>
            <w:vAlign w:val="center"/>
          </w:tcPr>
          <w:p w14:paraId="55544825"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قيمة إحصائي كروسكال-واليس (H)</w:t>
            </w:r>
          </w:p>
        </w:tc>
        <w:tc>
          <w:tcPr>
            <w:tcW w:w="900" w:type="pct"/>
            <w:shd w:val="clear" w:color="auto" w:fill="2E5395"/>
            <w:tcMar>
              <w:top w:w="60" w:type="dxa"/>
              <w:left w:w="100" w:type="dxa"/>
              <w:bottom w:w="60" w:type="dxa"/>
              <w:right w:w="100" w:type="dxa"/>
            </w:tcMar>
            <w:vAlign w:val="center"/>
          </w:tcPr>
          <w:p w14:paraId="1D609321"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القيمة الاحتمالية</w:t>
            </w:r>
          </w:p>
        </w:tc>
        <w:tc>
          <w:tcPr>
            <w:tcW w:w="900" w:type="pct"/>
            <w:shd w:val="clear" w:color="auto" w:fill="2E5395"/>
            <w:tcMar>
              <w:top w:w="60" w:type="dxa"/>
              <w:left w:w="100" w:type="dxa"/>
              <w:bottom w:w="60" w:type="dxa"/>
              <w:right w:w="100" w:type="dxa"/>
            </w:tcMar>
            <w:vAlign w:val="center"/>
          </w:tcPr>
          <w:p w14:paraId="1CF90ABE"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القرار</w:t>
            </w:r>
          </w:p>
        </w:tc>
      </w:tr>
      <w:tr w:rsidR="00E4583A" w14:paraId="193BAC51" w14:textId="77777777">
        <w:trPr>
          <w:jc w:val="center"/>
        </w:trPr>
        <w:tc>
          <w:tcPr>
            <w:tcW w:w="1800" w:type="pct"/>
            <w:tcMar>
              <w:top w:w="60" w:type="dxa"/>
              <w:left w:w="100" w:type="dxa"/>
              <w:bottom w:w="60" w:type="dxa"/>
              <w:right w:w="100" w:type="dxa"/>
            </w:tcMar>
            <w:vAlign w:val="center"/>
          </w:tcPr>
          <w:p w14:paraId="2B08ADD3"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كفاءة العمليات المالية</w:t>
            </w:r>
          </w:p>
        </w:tc>
        <w:tc>
          <w:tcPr>
            <w:tcW w:w="1600" w:type="pct"/>
            <w:tcMar>
              <w:top w:w="60" w:type="dxa"/>
              <w:left w:w="100" w:type="dxa"/>
              <w:bottom w:w="60" w:type="dxa"/>
              <w:right w:w="100" w:type="dxa"/>
            </w:tcMar>
            <w:vAlign w:val="center"/>
          </w:tcPr>
          <w:p w14:paraId="07013D44"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2.357</w:t>
            </w:r>
          </w:p>
        </w:tc>
        <w:tc>
          <w:tcPr>
            <w:tcW w:w="900" w:type="pct"/>
            <w:tcMar>
              <w:top w:w="60" w:type="dxa"/>
              <w:left w:w="100" w:type="dxa"/>
              <w:bottom w:w="60" w:type="dxa"/>
              <w:right w:w="100" w:type="dxa"/>
            </w:tcMar>
            <w:vAlign w:val="center"/>
          </w:tcPr>
          <w:p w14:paraId="5598035D"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0.670</w:t>
            </w:r>
          </w:p>
        </w:tc>
        <w:tc>
          <w:tcPr>
            <w:tcW w:w="900" w:type="pct"/>
            <w:tcMar>
              <w:top w:w="60" w:type="dxa"/>
              <w:left w:w="100" w:type="dxa"/>
              <w:bottom w:w="60" w:type="dxa"/>
              <w:right w:w="100" w:type="dxa"/>
            </w:tcMar>
            <w:vAlign w:val="center"/>
          </w:tcPr>
          <w:p w14:paraId="43C5E053"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غير دال إحصائياً</w:t>
            </w:r>
          </w:p>
        </w:tc>
      </w:tr>
      <w:tr w:rsidR="00E4583A" w14:paraId="5774F740" w14:textId="77777777">
        <w:trPr>
          <w:jc w:val="center"/>
        </w:trPr>
        <w:tc>
          <w:tcPr>
            <w:tcW w:w="1800" w:type="pct"/>
            <w:tcMar>
              <w:top w:w="60" w:type="dxa"/>
              <w:left w:w="100" w:type="dxa"/>
              <w:bottom w:w="60" w:type="dxa"/>
              <w:right w:w="100" w:type="dxa"/>
            </w:tcMar>
            <w:vAlign w:val="center"/>
          </w:tcPr>
          <w:p w14:paraId="214E62F0"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الأمن السيبراني المؤسسي</w:t>
            </w:r>
          </w:p>
        </w:tc>
        <w:tc>
          <w:tcPr>
            <w:tcW w:w="1600" w:type="pct"/>
            <w:tcMar>
              <w:top w:w="60" w:type="dxa"/>
              <w:left w:w="100" w:type="dxa"/>
              <w:bottom w:w="60" w:type="dxa"/>
              <w:right w:w="100" w:type="dxa"/>
            </w:tcMar>
            <w:vAlign w:val="center"/>
          </w:tcPr>
          <w:p w14:paraId="57365DEA"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11.227</w:t>
            </w:r>
          </w:p>
        </w:tc>
        <w:tc>
          <w:tcPr>
            <w:tcW w:w="900" w:type="pct"/>
            <w:tcMar>
              <w:top w:w="60" w:type="dxa"/>
              <w:left w:w="100" w:type="dxa"/>
              <w:bottom w:w="60" w:type="dxa"/>
              <w:right w:w="100" w:type="dxa"/>
            </w:tcMar>
            <w:vAlign w:val="center"/>
          </w:tcPr>
          <w:p w14:paraId="5BBDB3D8"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0.024</w:t>
            </w:r>
          </w:p>
        </w:tc>
        <w:tc>
          <w:tcPr>
            <w:tcW w:w="900" w:type="pct"/>
            <w:tcMar>
              <w:top w:w="60" w:type="dxa"/>
              <w:left w:w="100" w:type="dxa"/>
              <w:bottom w:w="60" w:type="dxa"/>
              <w:right w:w="100" w:type="dxa"/>
            </w:tcMar>
            <w:vAlign w:val="center"/>
          </w:tcPr>
          <w:p w14:paraId="17A95D82"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دال إحصائياً</w:t>
            </w:r>
          </w:p>
        </w:tc>
      </w:tr>
      <w:tr w:rsidR="00E4583A" w14:paraId="187FE549" w14:textId="77777777">
        <w:trPr>
          <w:jc w:val="center"/>
        </w:trPr>
        <w:tc>
          <w:tcPr>
            <w:tcW w:w="1800" w:type="pct"/>
            <w:tcMar>
              <w:top w:w="60" w:type="dxa"/>
              <w:left w:w="100" w:type="dxa"/>
              <w:bottom w:w="60" w:type="dxa"/>
              <w:right w:w="100" w:type="dxa"/>
            </w:tcMar>
            <w:vAlign w:val="center"/>
          </w:tcPr>
          <w:p w14:paraId="3D3E46D7"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تطبيق تقنية الترميز</w:t>
            </w:r>
          </w:p>
        </w:tc>
        <w:tc>
          <w:tcPr>
            <w:tcW w:w="1600" w:type="pct"/>
            <w:tcMar>
              <w:top w:w="60" w:type="dxa"/>
              <w:left w:w="100" w:type="dxa"/>
              <w:bottom w:w="60" w:type="dxa"/>
              <w:right w:w="100" w:type="dxa"/>
            </w:tcMar>
            <w:vAlign w:val="center"/>
          </w:tcPr>
          <w:p w14:paraId="193071DC"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8.312</w:t>
            </w:r>
          </w:p>
        </w:tc>
        <w:tc>
          <w:tcPr>
            <w:tcW w:w="900" w:type="pct"/>
            <w:tcMar>
              <w:top w:w="60" w:type="dxa"/>
              <w:left w:w="100" w:type="dxa"/>
              <w:bottom w:w="60" w:type="dxa"/>
              <w:right w:w="100" w:type="dxa"/>
            </w:tcMar>
            <w:vAlign w:val="center"/>
          </w:tcPr>
          <w:p w14:paraId="728CD0E5"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0.081</w:t>
            </w:r>
          </w:p>
        </w:tc>
        <w:tc>
          <w:tcPr>
            <w:tcW w:w="900" w:type="pct"/>
            <w:tcMar>
              <w:top w:w="60" w:type="dxa"/>
              <w:left w:w="100" w:type="dxa"/>
              <w:bottom w:w="60" w:type="dxa"/>
              <w:right w:w="100" w:type="dxa"/>
            </w:tcMar>
            <w:vAlign w:val="center"/>
          </w:tcPr>
          <w:p w14:paraId="1F36E870"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غير دال إحصائياً</w:t>
            </w:r>
          </w:p>
        </w:tc>
      </w:tr>
    </w:tbl>
    <w:p w14:paraId="7D8BD7C4" w14:textId="77777777" w:rsidR="00E4583A" w:rsidRDefault="00000000">
      <w:pPr>
        <w:bidi/>
        <w:spacing w:after="0" w:line="360" w:lineRule="auto"/>
        <w:jc w:val="center"/>
      </w:pPr>
      <w:r>
        <w:rPr>
          <w:rFonts w:ascii="Traditional Arabic" w:eastAsia="Simplified Arabic" w:hAnsi="Traditional Arabic" w:cs="Traditional Arabic"/>
          <w:b/>
          <w:bCs/>
          <w:sz w:val="24"/>
          <w:szCs w:val="24"/>
          <w:rtl/>
        </w:rPr>
        <w:t>جدول (4.26): نتائج اختبار كروسكال-واليس لفرض H7 (مجال التخصص)</w:t>
      </w:r>
    </w:p>
    <w:p w14:paraId="78E16785" w14:textId="77777777" w:rsidR="00E4583A" w:rsidRDefault="00000000">
      <w:pPr>
        <w:bidi/>
        <w:spacing w:after="0" w:line="360" w:lineRule="auto"/>
        <w:jc w:val="both"/>
      </w:pPr>
      <w:r>
        <w:rPr>
          <w:rFonts w:ascii="Traditional Arabic" w:eastAsia="Simplified Arabic" w:hAnsi="Traditional Arabic" w:cs="Traditional Arabic"/>
          <w:sz w:val="28"/>
          <w:szCs w:val="28"/>
          <w:rtl/>
        </w:rPr>
        <w:t>يتضح من الجدول وجود فروق دالة إحصائياً تُعزى إلى مجال التخصص في متغير (الأمن السيبراني المؤسسي) فقط، في حين لم تظهر فروق دالة في بقية المتغيرات التابعة. وبناءً على ذلك، يُقبَل الفرض H7 جزئياً.</w:t>
      </w:r>
    </w:p>
    <w:p w14:paraId="7A4D5A1D" w14:textId="77777777" w:rsidR="00E4583A" w:rsidRDefault="00E4583A">
      <w:pPr>
        <w:bidi/>
        <w:spacing w:after="0" w:line="240" w:lineRule="auto"/>
      </w:pPr>
    </w:p>
    <w:p w14:paraId="04871408" w14:textId="77777777" w:rsidR="00E4583A" w:rsidRDefault="00000000">
      <w:pPr>
        <w:bidi/>
        <w:spacing w:after="0" w:line="360" w:lineRule="auto"/>
        <w:jc w:val="both"/>
      </w:pPr>
      <w:r>
        <w:rPr>
          <w:rFonts w:ascii="Traditional Arabic" w:eastAsia="Simplified Arabic" w:hAnsi="Traditional Arabic" w:cs="Traditional Arabic"/>
          <w:b/>
          <w:bCs/>
          <w:sz w:val="28"/>
          <w:szCs w:val="28"/>
          <w:rtl/>
        </w:rPr>
        <w:t>اختبار المقارنات البعدية (Dunn's Post-Hoc) لفرض H7</w:t>
      </w:r>
    </w:p>
    <w:p w14:paraId="4D18365F" w14:textId="77777777" w:rsidR="00E4583A" w:rsidRDefault="00000000">
      <w:pPr>
        <w:bidi/>
        <w:spacing w:after="0" w:line="360" w:lineRule="auto"/>
        <w:jc w:val="both"/>
      </w:pPr>
      <w:r>
        <w:rPr>
          <w:rFonts w:ascii="Traditional Arabic" w:eastAsia="Simplified Arabic" w:hAnsi="Traditional Arabic" w:cs="Traditional Arabic"/>
          <w:sz w:val="28"/>
          <w:szCs w:val="28"/>
          <w:rtl/>
        </w:rPr>
        <w:t>لمّا أظهر اختبار كروسكال-واليس فروقاً دالة إحصائياً تُعزى إلى مجال التخصص في متغير الأمن السيبراني المؤسسي، أُجري اختبار دن البعدي بتصحيح بونفيروني لتحديد لصالح أي فئة تُعزى هذه الفروق.</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4148"/>
        <w:gridCol w:w="2489"/>
        <w:gridCol w:w="1659"/>
      </w:tblGrid>
      <w:tr w:rsidR="00E4583A" w14:paraId="1BE2F1BF" w14:textId="77777777">
        <w:trPr>
          <w:tblHeader/>
          <w:jc w:val="center"/>
        </w:trPr>
        <w:tc>
          <w:tcPr>
            <w:tcW w:w="2500" w:type="pct"/>
            <w:shd w:val="clear" w:color="auto" w:fill="2E5395"/>
            <w:tcMar>
              <w:top w:w="60" w:type="dxa"/>
              <w:left w:w="100" w:type="dxa"/>
              <w:bottom w:w="60" w:type="dxa"/>
              <w:right w:w="100" w:type="dxa"/>
            </w:tcMar>
            <w:vAlign w:val="center"/>
          </w:tcPr>
          <w:p w14:paraId="34EAAE95"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المقارنة بين فئتين</w:t>
            </w:r>
          </w:p>
        </w:tc>
        <w:tc>
          <w:tcPr>
            <w:tcW w:w="1500" w:type="pct"/>
            <w:shd w:val="clear" w:color="auto" w:fill="2E5395"/>
            <w:tcMar>
              <w:top w:w="60" w:type="dxa"/>
              <w:left w:w="100" w:type="dxa"/>
              <w:bottom w:w="60" w:type="dxa"/>
              <w:right w:w="100" w:type="dxa"/>
            </w:tcMar>
            <w:vAlign w:val="center"/>
          </w:tcPr>
          <w:p w14:paraId="2A385C54"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القيمة الاحتمالية (بعد تصحيح بونفيروني)</w:t>
            </w:r>
          </w:p>
        </w:tc>
        <w:tc>
          <w:tcPr>
            <w:tcW w:w="1200" w:type="pct"/>
            <w:shd w:val="clear" w:color="auto" w:fill="2E5395"/>
            <w:tcMar>
              <w:top w:w="60" w:type="dxa"/>
              <w:left w:w="100" w:type="dxa"/>
              <w:bottom w:w="60" w:type="dxa"/>
              <w:right w:w="100" w:type="dxa"/>
            </w:tcMar>
            <w:vAlign w:val="center"/>
          </w:tcPr>
          <w:p w14:paraId="4F3ABFF5"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القرار</w:t>
            </w:r>
          </w:p>
        </w:tc>
      </w:tr>
      <w:tr w:rsidR="00E4583A" w14:paraId="22249B95" w14:textId="77777777">
        <w:trPr>
          <w:jc w:val="center"/>
        </w:trPr>
        <w:tc>
          <w:tcPr>
            <w:tcW w:w="2500" w:type="pct"/>
            <w:tcMar>
              <w:top w:w="60" w:type="dxa"/>
              <w:left w:w="100" w:type="dxa"/>
              <w:bottom w:w="60" w:type="dxa"/>
              <w:right w:w="100" w:type="dxa"/>
            </w:tcMar>
            <w:vAlign w:val="center"/>
          </w:tcPr>
          <w:p w14:paraId="6C60FAC2"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أمن سيبراني × تقنية المعلومات</w:t>
            </w:r>
          </w:p>
        </w:tc>
        <w:tc>
          <w:tcPr>
            <w:tcW w:w="1500" w:type="pct"/>
            <w:tcMar>
              <w:top w:w="60" w:type="dxa"/>
              <w:left w:w="100" w:type="dxa"/>
              <w:bottom w:w="60" w:type="dxa"/>
              <w:right w:w="100" w:type="dxa"/>
            </w:tcMar>
            <w:vAlign w:val="center"/>
          </w:tcPr>
          <w:p w14:paraId="5F80E487"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1.000</w:t>
            </w:r>
          </w:p>
        </w:tc>
        <w:tc>
          <w:tcPr>
            <w:tcW w:w="1200" w:type="pct"/>
            <w:tcMar>
              <w:top w:w="60" w:type="dxa"/>
              <w:left w:w="100" w:type="dxa"/>
              <w:bottom w:w="60" w:type="dxa"/>
              <w:right w:w="100" w:type="dxa"/>
            </w:tcMar>
            <w:vAlign w:val="center"/>
          </w:tcPr>
          <w:p w14:paraId="6ECBF937"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فرق غير دال</w:t>
            </w:r>
          </w:p>
        </w:tc>
      </w:tr>
      <w:tr w:rsidR="00E4583A" w14:paraId="01DF3F95" w14:textId="77777777">
        <w:trPr>
          <w:jc w:val="center"/>
        </w:trPr>
        <w:tc>
          <w:tcPr>
            <w:tcW w:w="2500" w:type="pct"/>
            <w:tcMar>
              <w:top w:w="60" w:type="dxa"/>
              <w:left w:w="100" w:type="dxa"/>
              <w:bottom w:w="60" w:type="dxa"/>
              <w:right w:w="100" w:type="dxa"/>
            </w:tcMar>
            <w:vAlign w:val="center"/>
          </w:tcPr>
          <w:p w14:paraId="71716C7B"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lastRenderedPageBreak/>
              <w:t>أمن سيبراني × عمليات مالية</w:t>
            </w:r>
          </w:p>
        </w:tc>
        <w:tc>
          <w:tcPr>
            <w:tcW w:w="1500" w:type="pct"/>
            <w:tcMar>
              <w:top w:w="60" w:type="dxa"/>
              <w:left w:w="100" w:type="dxa"/>
              <w:bottom w:w="60" w:type="dxa"/>
              <w:right w:w="100" w:type="dxa"/>
            </w:tcMar>
            <w:vAlign w:val="center"/>
          </w:tcPr>
          <w:p w14:paraId="275BA438"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1.000</w:t>
            </w:r>
          </w:p>
        </w:tc>
        <w:tc>
          <w:tcPr>
            <w:tcW w:w="1200" w:type="pct"/>
            <w:tcMar>
              <w:top w:w="60" w:type="dxa"/>
              <w:left w:w="100" w:type="dxa"/>
              <w:bottom w:w="60" w:type="dxa"/>
              <w:right w:w="100" w:type="dxa"/>
            </w:tcMar>
            <w:vAlign w:val="center"/>
          </w:tcPr>
          <w:p w14:paraId="01B7C3CD"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فرق غير دال</w:t>
            </w:r>
          </w:p>
        </w:tc>
      </w:tr>
      <w:tr w:rsidR="00E4583A" w14:paraId="28B2CC44" w14:textId="77777777">
        <w:trPr>
          <w:jc w:val="center"/>
        </w:trPr>
        <w:tc>
          <w:tcPr>
            <w:tcW w:w="2500" w:type="pct"/>
            <w:tcMar>
              <w:top w:w="60" w:type="dxa"/>
              <w:left w:w="100" w:type="dxa"/>
              <w:bottom w:w="60" w:type="dxa"/>
              <w:right w:w="100" w:type="dxa"/>
            </w:tcMar>
            <w:vAlign w:val="center"/>
          </w:tcPr>
          <w:p w14:paraId="6C96DBC5"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أمن سيبراني × إدارة مخاطر</w:t>
            </w:r>
          </w:p>
        </w:tc>
        <w:tc>
          <w:tcPr>
            <w:tcW w:w="1500" w:type="pct"/>
            <w:tcMar>
              <w:top w:w="60" w:type="dxa"/>
              <w:left w:w="100" w:type="dxa"/>
              <w:bottom w:w="60" w:type="dxa"/>
              <w:right w:w="100" w:type="dxa"/>
            </w:tcMar>
            <w:vAlign w:val="center"/>
          </w:tcPr>
          <w:p w14:paraId="7279FE95"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1.000</w:t>
            </w:r>
          </w:p>
        </w:tc>
        <w:tc>
          <w:tcPr>
            <w:tcW w:w="1200" w:type="pct"/>
            <w:tcMar>
              <w:top w:w="60" w:type="dxa"/>
              <w:left w:w="100" w:type="dxa"/>
              <w:bottom w:w="60" w:type="dxa"/>
              <w:right w:w="100" w:type="dxa"/>
            </w:tcMar>
            <w:vAlign w:val="center"/>
          </w:tcPr>
          <w:p w14:paraId="4D289396"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فرق غير دال</w:t>
            </w:r>
          </w:p>
        </w:tc>
      </w:tr>
      <w:tr w:rsidR="00E4583A" w14:paraId="2ABF735C" w14:textId="77777777">
        <w:trPr>
          <w:jc w:val="center"/>
        </w:trPr>
        <w:tc>
          <w:tcPr>
            <w:tcW w:w="2500" w:type="pct"/>
            <w:tcMar>
              <w:top w:w="60" w:type="dxa"/>
              <w:left w:w="100" w:type="dxa"/>
              <w:bottom w:w="60" w:type="dxa"/>
              <w:right w:w="100" w:type="dxa"/>
            </w:tcMar>
            <w:vAlign w:val="center"/>
          </w:tcPr>
          <w:p w14:paraId="6E532052"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أمن سيبراني × أخرى</w:t>
            </w:r>
          </w:p>
        </w:tc>
        <w:tc>
          <w:tcPr>
            <w:tcW w:w="1500" w:type="pct"/>
            <w:tcMar>
              <w:top w:w="60" w:type="dxa"/>
              <w:left w:w="100" w:type="dxa"/>
              <w:bottom w:w="60" w:type="dxa"/>
              <w:right w:w="100" w:type="dxa"/>
            </w:tcMar>
            <w:vAlign w:val="center"/>
          </w:tcPr>
          <w:p w14:paraId="060BDEE8"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0.229</w:t>
            </w:r>
          </w:p>
        </w:tc>
        <w:tc>
          <w:tcPr>
            <w:tcW w:w="1200" w:type="pct"/>
            <w:tcMar>
              <w:top w:w="60" w:type="dxa"/>
              <w:left w:w="100" w:type="dxa"/>
              <w:bottom w:w="60" w:type="dxa"/>
              <w:right w:w="100" w:type="dxa"/>
            </w:tcMar>
            <w:vAlign w:val="center"/>
          </w:tcPr>
          <w:p w14:paraId="10731A2A"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فرق غير دال</w:t>
            </w:r>
          </w:p>
        </w:tc>
      </w:tr>
      <w:tr w:rsidR="00E4583A" w14:paraId="0A786E1A" w14:textId="77777777">
        <w:trPr>
          <w:jc w:val="center"/>
        </w:trPr>
        <w:tc>
          <w:tcPr>
            <w:tcW w:w="2500" w:type="pct"/>
            <w:tcMar>
              <w:top w:w="60" w:type="dxa"/>
              <w:left w:w="100" w:type="dxa"/>
              <w:bottom w:w="60" w:type="dxa"/>
              <w:right w:w="100" w:type="dxa"/>
            </w:tcMar>
            <w:vAlign w:val="center"/>
          </w:tcPr>
          <w:p w14:paraId="0DB94972"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تقنية المعلومات × عمليات مالية</w:t>
            </w:r>
          </w:p>
        </w:tc>
        <w:tc>
          <w:tcPr>
            <w:tcW w:w="1500" w:type="pct"/>
            <w:tcMar>
              <w:top w:w="60" w:type="dxa"/>
              <w:left w:w="100" w:type="dxa"/>
              <w:bottom w:w="60" w:type="dxa"/>
              <w:right w:w="100" w:type="dxa"/>
            </w:tcMar>
            <w:vAlign w:val="center"/>
          </w:tcPr>
          <w:p w14:paraId="184356A9"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0.488</w:t>
            </w:r>
          </w:p>
        </w:tc>
        <w:tc>
          <w:tcPr>
            <w:tcW w:w="1200" w:type="pct"/>
            <w:tcMar>
              <w:top w:w="60" w:type="dxa"/>
              <w:left w:w="100" w:type="dxa"/>
              <w:bottom w:w="60" w:type="dxa"/>
              <w:right w:w="100" w:type="dxa"/>
            </w:tcMar>
            <w:vAlign w:val="center"/>
          </w:tcPr>
          <w:p w14:paraId="6A60465E"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فرق غير دال</w:t>
            </w:r>
          </w:p>
        </w:tc>
      </w:tr>
      <w:tr w:rsidR="00E4583A" w14:paraId="219EB596" w14:textId="77777777">
        <w:trPr>
          <w:jc w:val="center"/>
        </w:trPr>
        <w:tc>
          <w:tcPr>
            <w:tcW w:w="2500" w:type="pct"/>
            <w:tcMar>
              <w:top w:w="60" w:type="dxa"/>
              <w:left w:w="100" w:type="dxa"/>
              <w:bottom w:w="60" w:type="dxa"/>
              <w:right w:w="100" w:type="dxa"/>
            </w:tcMar>
            <w:vAlign w:val="center"/>
          </w:tcPr>
          <w:p w14:paraId="492488C7"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تقنية المعلومات × إدارة مخاطر</w:t>
            </w:r>
          </w:p>
        </w:tc>
        <w:tc>
          <w:tcPr>
            <w:tcW w:w="1500" w:type="pct"/>
            <w:tcMar>
              <w:top w:w="60" w:type="dxa"/>
              <w:left w:w="100" w:type="dxa"/>
              <w:bottom w:w="60" w:type="dxa"/>
              <w:right w:w="100" w:type="dxa"/>
            </w:tcMar>
            <w:vAlign w:val="center"/>
          </w:tcPr>
          <w:p w14:paraId="19A01003"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0.874</w:t>
            </w:r>
          </w:p>
        </w:tc>
        <w:tc>
          <w:tcPr>
            <w:tcW w:w="1200" w:type="pct"/>
            <w:tcMar>
              <w:top w:w="60" w:type="dxa"/>
              <w:left w:w="100" w:type="dxa"/>
              <w:bottom w:w="60" w:type="dxa"/>
              <w:right w:w="100" w:type="dxa"/>
            </w:tcMar>
            <w:vAlign w:val="center"/>
          </w:tcPr>
          <w:p w14:paraId="2C931523"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فرق غير دال</w:t>
            </w:r>
          </w:p>
        </w:tc>
      </w:tr>
      <w:tr w:rsidR="00E4583A" w14:paraId="59055712" w14:textId="77777777">
        <w:trPr>
          <w:jc w:val="center"/>
        </w:trPr>
        <w:tc>
          <w:tcPr>
            <w:tcW w:w="2500" w:type="pct"/>
            <w:tcMar>
              <w:top w:w="60" w:type="dxa"/>
              <w:left w:w="100" w:type="dxa"/>
              <w:bottom w:w="60" w:type="dxa"/>
              <w:right w:w="100" w:type="dxa"/>
            </w:tcMar>
            <w:vAlign w:val="center"/>
          </w:tcPr>
          <w:p w14:paraId="60A8F51C"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تقنية المعلومات × أخرى</w:t>
            </w:r>
          </w:p>
        </w:tc>
        <w:tc>
          <w:tcPr>
            <w:tcW w:w="1500" w:type="pct"/>
            <w:tcMar>
              <w:top w:w="60" w:type="dxa"/>
              <w:left w:w="100" w:type="dxa"/>
              <w:bottom w:w="60" w:type="dxa"/>
              <w:right w:w="100" w:type="dxa"/>
            </w:tcMar>
            <w:vAlign w:val="center"/>
          </w:tcPr>
          <w:p w14:paraId="4CD02729"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0.925</w:t>
            </w:r>
          </w:p>
        </w:tc>
        <w:tc>
          <w:tcPr>
            <w:tcW w:w="1200" w:type="pct"/>
            <w:tcMar>
              <w:top w:w="60" w:type="dxa"/>
              <w:left w:w="100" w:type="dxa"/>
              <w:bottom w:w="60" w:type="dxa"/>
              <w:right w:w="100" w:type="dxa"/>
            </w:tcMar>
            <w:vAlign w:val="center"/>
          </w:tcPr>
          <w:p w14:paraId="687B30A0"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فرق غير دال</w:t>
            </w:r>
          </w:p>
        </w:tc>
      </w:tr>
      <w:tr w:rsidR="00E4583A" w14:paraId="288FB385" w14:textId="77777777">
        <w:trPr>
          <w:jc w:val="center"/>
        </w:trPr>
        <w:tc>
          <w:tcPr>
            <w:tcW w:w="2500" w:type="pct"/>
            <w:tcMar>
              <w:top w:w="60" w:type="dxa"/>
              <w:left w:w="100" w:type="dxa"/>
              <w:bottom w:w="60" w:type="dxa"/>
              <w:right w:w="100" w:type="dxa"/>
            </w:tcMar>
            <w:vAlign w:val="center"/>
          </w:tcPr>
          <w:p w14:paraId="3CEA2B6D"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عمليات مالية × إدارة مخاطر</w:t>
            </w:r>
          </w:p>
        </w:tc>
        <w:tc>
          <w:tcPr>
            <w:tcW w:w="1500" w:type="pct"/>
            <w:tcMar>
              <w:top w:w="60" w:type="dxa"/>
              <w:left w:w="100" w:type="dxa"/>
              <w:bottom w:w="60" w:type="dxa"/>
              <w:right w:w="100" w:type="dxa"/>
            </w:tcMar>
            <w:vAlign w:val="center"/>
          </w:tcPr>
          <w:p w14:paraId="7E90BEEC"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1.000</w:t>
            </w:r>
          </w:p>
        </w:tc>
        <w:tc>
          <w:tcPr>
            <w:tcW w:w="1200" w:type="pct"/>
            <w:tcMar>
              <w:top w:w="60" w:type="dxa"/>
              <w:left w:w="100" w:type="dxa"/>
              <w:bottom w:w="60" w:type="dxa"/>
              <w:right w:w="100" w:type="dxa"/>
            </w:tcMar>
            <w:vAlign w:val="center"/>
          </w:tcPr>
          <w:p w14:paraId="11F96B22"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فرق غير دال</w:t>
            </w:r>
          </w:p>
        </w:tc>
      </w:tr>
      <w:tr w:rsidR="00E4583A" w14:paraId="30BBA895" w14:textId="77777777">
        <w:trPr>
          <w:jc w:val="center"/>
        </w:trPr>
        <w:tc>
          <w:tcPr>
            <w:tcW w:w="2500" w:type="pct"/>
            <w:tcMar>
              <w:top w:w="60" w:type="dxa"/>
              <w:left w:w="100" w:type="dxa"/>
              <w:bottom w:w="60" w:type="dxa"/>
              <w:right w:w="100" w:type="dxa"/>
            </w:tcMar>
            <w:vAlign w:val="center"/>
          </w:tcPr>
          <w:p w14:paraId="2BE6C9B0"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عمليات مالية × أخرى</w:t>
            </w:r>
          </w:p>
        </w:tc>
        <w:tc>
          <w:tcPr>
            <w:tcW w:w="1500" w:type="pct"/>
            <w:tcMar>
              <w:top w:w="60" w:type="dxa"/>
              <w:left w:w="100" w:type="dxa"/>
              <w:bottom w:w="60" w:type="dxa"/>
              <w:right w:w="100" w:type="dxa"/>
            </w:tcMar>
            <w:vAlign w:val="center"/>
          </w:tcPr>
          <w:p w14:paraId="4FD42CA5"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0.044</w:t>
            </w:r>
          </w:p>
        </w:tc>
        <w:tc>
          <w:tcPr>
            <w:tcW w:w="1200" w:type="pct"/>
            <w:tcMar>
              <w:top w:w="60" w:type="dxa"/>
              <w:left w:w="100" w:type="dxa"/>
              <w:bottom w:w="60" w:type="dxa"/>
              <w:right w:w="100" w:type="dxa"/>
            </w:tcMar>
            <w:vAlign w:val="center"/>
          </w:tcPr>
          <w:p w14:paraId="19C18944"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فرق دال</w:t>
            </w:r>
          </w:p>
        </w:tc>
      </w:tr>
      <w:tr w:rsidR="00E4583A" w14:paraId="4254344D" w14:textId="77777777">
        <w:trPr>
          <w:jc w:val="center"/>
        </w:trPr>
        <w:tc>
          <w:tcPr>
            <w:tcW w:w="2500" w:type="pct"/>
            <w:tcMar>
              <w:top w:w="60" w:type="dxa"/>
              <w:left w:w="100" w:type="dxa"/>
              <w:bottom w:w="60" w:type="dxa"/>
              <w:right w:w="100" w:type="dxa"/>
            </w:tcMar>
            <w:vAlign w:val="center"/>
          </w:tcPr>
          <w:p w14:paraId="2A3F1C6B"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إدارة مخاطر × أخرى</w:t>
            </w:r>
          </w:p>
        </w:tc>
        <w:tc>
          <w:tcPr>
            <w:tcW w:w="1500" w:type="pct"/>
            <w:tcMar>
              <w:top w:w="60" w:type="dxa"/>
              <w:left w:w="100" w:type="dxa"/>
              <w:bottom w:w="60" w:type="dxa"/>
              <w:right w:w="100" w:type="dxa"/>
            </w:tcMar>
            <w:vAlign w:val="center"/>
          </w:tcPr>
          <w:p w14:paraId="523208DD"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0.072</w:t>
            </w:r>
          </w:p>
        </w:tc>
        <w:tc>
          <w:tcPr>
            <w:tcW w:w="1200" w:type="pct"/>
            <w:tcMar>
              <w:top w:w="60" w:type="dxa"/>
              <w:left w:w="100" w:type="dxa"/>
              <w:bottom w:w="60" w:type="dxa"/>
              <w:right w:w="100" w:type="dxa"/>
            </w:tcMar>
            <w:vAlign w:val="center"/>
          </w:tcPr>
          <w:p w14:paraId="648AF7E0"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فرق غير دال</w:t>
            </w:r>
          </w:p>
        </w:tc>
      </w:tr>
    </w:tbl>
    <w:p w14:paraId="33674557" w14:textId="77777777" w:rsidR="00E4583A" w:rsidRDefault="00000000">
      <w:pPr>
        <w:bidi/>
        <w:spacing w:after="0" w:line="360" w:lineRule="auto"/>
        <w:jc w:val="center"/>
      </w:pPr>
      <w:r>
        <w:rPr>
          <w:rFonts w:ascii="Traditional Arabic" w:eastAsia="Simplified Arabic" w:hAnsi="Traditional Arabic" w:cs="Traditional Arabic"/>
          <w:b/>
          <w:bCs/>
          <w:sz w:val="24"/>
          <w:szCs w:val="24"/>
          <w:rtl/>
        </w:rPr>
        <w:t>جدول (4.27): نتائج اختبار دن البعدي للمقارنات الثنائية بين فئات مجال التخصص (الأمن السيبراني المؤسسي)</w:t>
      </w:r>
    </w:p>
    <w:p w14:paraId="1BDBEC81" w14:textId="77777777" w:rsidR="00E4583A" w:rsidRDefault="00000000">
      <w:pPr>
        <w:bidi/>
        <w:spacing w:after="0" w:line="360" w:lineRule="auto"/>
        <w:jc w:val="both"/>
      </w:pPr>
      <w:r>
        <w:rPr>
          <w:rFonts w:ascii="Traditional Arabic" w:eastAsia="Simplified Arabic" w:hAnsi="Traditional Arabic" w:cs="Traditional Arabic"/>
          <w:sz w:val="28"/>
          <w:szCs w:val="28"/>
          <w:rtl/>
        </w:rPr>
        <w:t>يتضح من الجدول أن الفرق الدال الوحيد بعد تصحيح بونفيروني كان بين فئة (أخرى) (المتوسط = 4.181، ن = 12) وفئة (عمليات مالية) (المتوسط = 3.431، ن = 46)، لصالح فئة (أخرى). ونظراً لصغر حجم هذه الفئة الأخيرة نسبياً، يوصي الباحث بتفسير هذا الفرق بحذر، وعدم تعميمه دون مزيد من البيانات.</w:t>
      </w:r>
    </w:p>
    <w:p w14:paraId="5F0CD8CB" w14:textId="77777777" w:rsidR="00E4583A" w:rsidRDefault="00E4583A">
      <w:pPr>
        <w:bidi/>
        <w:spacing w:after="0" w:line="240" w:lineRule="auto"/>
      </w:pPr>
    </w:p>
    <w:p w14:paraId="0AE5CBFA" w14:textId="77777777" w:rsidR="00E4583A" w:rsidRDefault="00000000">
      <w:pPr>
        <w:bidi/>
        <w:spacing w:after="0" w:line="360" w:lineRule="auto"/>
        <w:jc w:val="both"/>
      </w:pPr>
      <w:r>
        <w:rPr>
          <w:rFonts w:ascii="Traditional Arabic" w:eastAsia="Simplified Arabic" w:hAnsi="Traditional Arabic" w:cs="Traditional Arabic"/>
          <w:b/>
          <w:bCs/>
          <w:sz w:val="28"/>
          <w:szCs w:val="28"/>
          <w:rtl/>
        </w:rPr>
        <w:t>ملخص نتائج اختبار الفرضيات</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829"/>
        <w:gridCol w:w="2821"/>
        <w:gridCol w:w="1659"/>
        <w:gridCol w:w="2157"/>
        <w:gridCol w:w="830"/>
      </w:tblGrid>
      <w:tr w:rsidR="00E4583A" w14:paraId="3CCA89B3" w14:textId="77777777">
        <w:trPr>
          <w:tblHeader/>
          <w:jc w:val="center"/>
        </w:trPr>
        <w:tc>
          <w:tcPr>
            <w:tcW w:w="500" w:type="pct"/>
            <w:shd w:val="clear" w:color="auto" w:fill="2E5395"/>
            <w:tcMar>
              <w:top w:w="60" w:type="dxa"/>
              <w:left w:w="100" w:type="dxa"/>
              <w:bottom w:w="60" w:type="dxa"/>
              <w:right w:w="100" w:type="dxa"/>
            </w:tcMar>
            <w:vAlign w:val="center"/>
          </w:tcPr>
          <w:p w14:paraId="2CCEDC56"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الفرض</w:t>
            </w:r>
          </w:p>
        </w:tc>
        <w:tc>
          <w:tcPr>
            <w:tcW w:w="1700" w:type="pct"/>
            <w:shd w:val="clear" w:color="auto" w:fill="2E5395"/>
            <w:tcMar>
              <w:top w:w="60" w:type="dxa"/>
              <w:left w:w="100" w:type="dxa"/>
              <w:bottom w:w="60" w:type="dxa"/>
              <w:right w:w="100" w:type="dxa"/>
            </w:tcMar>
            <w:vAlign w:val="center"/>
          </w:tcPr>
          <w:p w14:paraId="16E790A8"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مضمون الفرض</w:t>
            </w:r>
          </w:p>
        </w:tc>
        <w:tc>
          <w:tcPr>
            <w:tcW w:w="1000" w:type="pct"/>
            <w:shd w:val="clear" w:color="auto" w:fill="2E5395"/>
            <w:tcMar>
              <w:top w:w="60" w:type="dxa"/>
              <w:left w:w="100" w:type="dxa"/>
              <w:bottom w:w="60" w:type="dxa"/>
              <w:right w:w="100" w:type="dxa"/>
            </w:tcMar>
            <w:vAlign w:val="center"/>
          </w:tcPr>
          <w:p w14:paraId="4CA54676"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الاختبار</w:t>
            </w:r>
          </w:p>
        </w:tc>
        <w:tc>
          <w:tcPr>
            <w:tcW w:w="1300" w:type="pct"/>
            <w:shd w:val="clear" w:color="auto" w:fill="2E5395"/>
            <w:tcMar>
              <w:top w:w="60" w:type="dxa"/>
              <w:left w:w="100" w:type="dxa"/>
              <w:bottom w:w="60" w:type="dxa"/>
              <w:right w:w="100" w:type="dxa"/>
            </w:tcMar>
            <w:vAlign w:val="center"/>
          </w:tcPr>
          <w:p w14:paraId="7B8CF701"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النتيجة</w:t>
            </w:r>
          </w:p>
        </w:tc>
        <w:tc>
          <w:tcPr>
            <w:tcW w:w="700" w:type="pct"/>
            <w:shd w:val="clear" w:color="auto" w:fill="2E5395"/>
            <w:tcMar>
              <w:top w:w="60" w:type="dxa"/>
              <w:left w:w="100" w:type="dxa"/>
              <w:bottom w:w="60" w:type="dxa"/>
              <w:right w:w="100" w:type="dxa"/>
            </w:tcMar>
            <w:vAlign w:val="center"/>
          </w:tcPr>
          <w:p w14:paraId="69ECCEE8"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القرار</w:t>
            </w:r>
          </w:p>
        </w:tc>
      </w:tr>
      <w:tr w:rsidR="00E4583A" w14:paraId="1964BBC2" w14:textId="77777777">
        <w:trPr>
          <w:jc w:val="center"/>
        </w:trPr>
        <w:tc>
          <w:tcPr>
            <w:tcW w:w="500" w:type="pct"/>
            <w:tcMar>
              <w:top w:w="60" w:type="dxa"/>
              <w:left w:w="100" w:type="dxa"/>
              <w:bottom w:w="60" w:type="dxa"/>
              <w:right w:w="100" w:type="dxa"/>
            </w:tcMar>
            <w:vAlign w:val="center"/>
          </w:tcPr>
          <w:p w14:paraId="411175B0"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H1</w:t>
            </w:r>
          </w:p>
        </w:tc>
        <w:tc>
          <w:tcPr>
            <w:tcW w:w="1700" w:type="pct"/>
            <w:tcMar>
              <w:top w:w="60" w:type="dxa"/>
              <w:left w:w="100" w:type="dxa"/>
              <w:bottom w:w="60" w:type="dxa"/>
              <w:right w:w="100" w:type="dxa"/>
            </w:tcMar>
            <w:vAlign w:val="center"/>
          </w:tcPr>
          <w:p w14:paraId="55DCBCB9"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أثر الترميز والامتثال على الأمن السيبراني</w:t>
            </w:r>
          </w:p>
        </w:tc>
        <w:tc>
          <w:tcPr>
            <w:tcW w:w="1000" w:type="pct"/>
            <w:tcMar>
              <w:top w:w="60" w:type="dxa"/>
              <w:left w:w="100" w:type="dxa"/>
              <w:bottom w:w="60" w:type="dxa"/>
              <w:right w:w="100" w:type="dxa"/>
            </w:tcMar>
            <w:vAlign w:val="center"/>
          </w:tcPr>
          <w:p w14:paraId="1040F29B"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انحدار منقّح</w:t>
            </w:r>
          </w:p>
        </w:tc>
        <w:tc>
          <w:tcPr>
            <w:tcW w:w="1300" w:type="pct"/>
            <w:tcMar>
              <w:top w:w="60" w:type="dxa"/>
              <w:left w:w="100" w:type="dxa"/>
              <w:bottom w:w="60" w:type="dxa"/>
              <w:right w:w="100" w:type="dxa"/>
            </w:tcMar>
            <w:vAlign w:val="center"/>
          </w:tcPr>
          <w:p w14:paraId="26A7DF47"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R²=0.378</w:t>
            </w:r>
          </w:p>
        </w:tc>
        <w:tc>
          <w:tcPr>
            <w:tcW w:w="700" w:type="pct"/>
            <w:tcMar>
              <w:top w:w="60" w:type="dxa"/>
              <w:left w:w="100" w:type="dxa"/>
              <w:bottom w:w="60" w:type="dxa"/>
              <w:right w:w="100" w:type="dxa"/>
            </w:tcMar>
            <w:vAlign w:val="center"/>
          </w:tcPr>
          <w:p w14:paraId="112D7EC3"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مقبول</w:t>
            </w:r>
          </w:p>
        </w:tc>
      </w:tr>
      <w:tr w:rsidR="00E4583A" w14:paraId="3BD5D59E" w14:textId="77777777">
        <w:trPr>
          <w:jc w:val="center"/>
        </w:trPr>
        <w:tc>
          <w:tcPr>
            <w:tcW w:w="500" w:type="pct"/>
            <w:tcMar>
              <w:top w:w="60" w:type="dxa"/>
              <w:left w:w="100" w:type="dxa"/>
              <w:bottom w:w="60" w:type="dxa"/>
              <w:right w:w="100" w:type="dxa"/>
            </w:tcMar>
            <w:vAlign w:val="center"/>
          </w:tcPr>
          <w:p w14:paraId="4883CECD"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H1a</w:t>
            </w:r>
          </w:p>
        </w:tc>
        <w:tc>
          <w:tcPr>
            <w:tcW w:w="1700" w:type="pct"/>
            <w:tcMar>
              <w:top w:w="60" w:type="dxa"/>
              <w:left w:w="100" w:type="dxa"/>
              <w:bottom w:w="60" w:type="dxa"/>
              <w:right w:w="100" w:type="dxa"/>
            </w:tcMar>
            <w:vAlign w:val="center"/>
          </w:tcPr>
          <w:p w14:paraId="03A179B3"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أثر تطبيق الترميز على الأمن السيبراني</w:t>
            </w:r>
          </w:p>
        </w:tc>
        <w:tc>
          <w:tcPr>
            <w:tcW w:w="1000" w:type="pct"/>
            <w:tcMar>
              <w:top w:w="60" w:type="dxa"/>
              <w:left w:w="100" w:type="dxa"/>
              <w:bottom w:w="60" w:type="dxa"/>
              <w:right w:w="100" w:type="dxa"/>
            </w:tcMar>
            <w:vAlign w:val="center"/>
          </w:tcPr>
          <w:p w14:paraId="64C678BB"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انحدار منقّح</w:t>
            </w:r>
          </w:p>
        </w:tc>
        <w:tc>
          <w:tcPr>
            <w:tcW w:w="1300" w:type="pct"/>
            <w:tcMar>
              <w:top w:w="60" w:type="dxa"/>
              <w:left w:w="100" w:type="dxa"/>
              <w:bottom w:w="60" w:type="dxa"/>
              <w:right w:w="100" w:type="dxa"/>
            </w:tcMar>
            <w:vAlign w:val="center"/>
          </w:tcPr>
          <w:p w14:paraId="2D127A52"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B=0.314، t=4.537، p&lt;0.001</w:t>
            </w:r>
          </w:p>
        </w:tc>
        <w:tc>
          <w:tcPr>
            <w:tcW w:w="700" w:type="pct"/>
            <w:tcMar>
              <w:top w:w="60" w:type="dxa"/>
              <w:left w:w="100" w:type="dxa"/>
              <w:bottom w:w="60" w:type="dxa"/>
              <w:right w:w="100" w:type="dxa"/>
            </w:tcMar>
            <w:vAlign w:val="center"/>
          </w:tcPr>
          <w:p w14:paraId="38EB7435"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مقبول</w:t>
            </w:r>
          </w:p>
        </w:tc>
      </w:tr>
      <w:tr w:rsidR="00E4583A" w14:paraId="35E68D05" w14:textId="77777777">
        <w:trPr>
          <w:jc w:val="center"/>
        </w:trPr>
        <w:tc>
          <w:tcPr>
            <w:tcW w:w="500" w:type="pct"/>
            <w:tcMar>
              <w:top w:w="60" w:type="dxa"/>
              <w:left w:w="100" w:type="dxa"/>
              <w:bottom w:w="60" w:type="dxa"/>
              <w:right w:w="100" w:type="dxa"/>
            </w:tcMar>
            <w:vAlign w:val="center"/>
          </w:tcPr>
          <w:p w14:paraId="1570E95D"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H1b</w:t>
            </w:r>
          </w:p>
        </w:tc>
        <w:tc>
          <w:tcPr>
            <w:tcW w:w="1700" w:type="pct"/>
            <w:tcMar>
              <w:top w:w="60" w:type="dxa"/>
              <w:left w:w="100" w:type="dxa"/>
              <w:bottom w:w="60" w:type="dxa"/>
              <w:right w:w="100" w:type="dxa"/>
            </w:tcMar>
            <w:vAlign w:val="center"/>
          </w:tcPr>
          <w:p w14:paraId="27B55BE5"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أثر الامتثال للمعايير على الأمن السيبراني</w:t>
            </w:r>
          </w:p>
        </w:tc>
        <w:tc>
          <w:tcPr>
            <w:tcW w:w="1000" w:type="pct"/>
            <w:tcMar>
              <w:top w:w="60" w:type="dxa"/>
              <w:left w:w="100" w:type="dxa"/>
              <w:bottom w:w="60" w:type="dxa"/>
              <w:right w:w="100" w:type="dxa"/>
            </w:tcMar>
            <w:vAlign w:val="center"/>
          </w:tcPr>
          <w:p w14:paraId="73932220"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انحدار منقّح</w:t>
            </w:r>
          </w:p>
        </w:tc>
        <w:tc>
          <w:tcPr>
            <w:tcW w:w="1300" w:type="pct"/>
            <w:tcMar>
              <w:top w:w="60" w:type="dxa"/>
              <w:left w:w="100" w:type="dxa"/>
              <w:bottom w:w="60" w:type="dxa"/>
              <w:right w:w="100" w:type="dxa"/>
            </w:tcMar>
            <w:vAlign w:val="center"/>
          </w:tcPr>
          <w:p w14:paraId="6E911FD5"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B=0.406، t=5.778، p&lt;0.001</w:t>
            </w:r>
          </w:p>
        </w:tc>
        <w:tc>
          <w:tcPr>
            <w:tcW w:w="700" w:type="pct"/>
            <w:tcMar>
              <w:top w:w="60" w:type="dxa"/>
              <w:left w:w="100" w:type="dxa"/>
              <w:bottom w:w="60" w:type="dxa"/>
              <w:right w:w="100" w:type="dxa"/>
            </w:tcMar>
            <w:vAlign w:val="center"/>
          </w:tcPr>
          <w:p w14:paraId="507F121C"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مقبول</w:t>
            </w:r>
          </w:p>
        </w:tc>
      </w:tr>
      <w:tr w:rsidR="00E4583A" w14:paraId="6B0F0C00" w14:textId="77777777">
        <w:trPr>
          <w:jc w:val="center"/>
        </w:trPr>
        <w:tc>
          <w:tcPr>
            <w:tcW w:w="500" w:type="pct"/>
            <w:tcMar>
              <w:top w:w="60" w:type="dxa"/>
              <w:left w:w="100" w:type="dxa"/>
              <w:bottom w:w="60" w:type="dxa"/>
              <w:right w:w="100" w:type="dxa"/>
            </w:tcMar>
            <w:vAlign w:val="center"/>
          </w:tcPr>
          <w:p w14:paraId="68BCD247"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H2</w:t>
            </w:r>
          </w:p>
        </w:tc>
        <w:tc>
          <w:tcPr>
            <w:tcW w:w="1700" w:type="pct"/>
            <w:tcMar>
              <w:top w:w="60" w:type="dxa"/>
              <w:left w:w="100" w:type="dxa"/>
              <w:bottom w:w="60" w:type="dxa"/>
              <w:right w:w="100" w:type="dxa"/>
            </w:tcMar>
            <w:vAlign w:val="center"/>
          </w:tcPr>
          <w:p w14:paraId="2EDBE95A"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أثر الترميز والامتثال على كفاءة العمليات المالية</w:t>
            </w:r>
          </w:p>
        </w:tc>
        <w:tc>
          <w:tcPr>
            <w:tcW w:w="1000" w:type="pct"/>
            <w:tcMar>
              <w:top w:w="60" w:type="dxa"/>
              <w:left w:w="100" w:type="dxa"/>
              <w:bottom w:w="60" w:type="dxa"/>
              <w:right w:w="100" w:type="dxa"/>
            </w:tcMar>
            <w:vAlign w:val="center"/>
          </w:tcPr>
          <w:p w14:paraId="4593E954"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انحدار منقّح</w:t>
            </w:r>
          </w:p>
        </w:tc>
        <w:tc>
          <w:tcPr>
            <w:tcW w:w="1300" w:type="pct"/>
            <w:tcMar>
              <w:top w:w="60" w:type="dxa"/>
              <w:left w:w="100" w:type="dxa"/>
              <w:bottom w:w="60" w:type="dxa"/>
              <w:right w:w="100" w:type="dxa"/>
            </w:tcMar>
            <w:vAlign w:val="center"/>
          </w:tcPr>
          <w:p w14:paraId="566B07DE"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R²=0.308</w:t>
            </w:r>
          </w:p>
        </w:tc>
        <w:tc>
          <w:tcPr>
            <w:tcW w:w="700" w:type="pct"/>
            <w:tcMar>
              <w:top w:w="60" w:type="dxa"/>
              <w:left w:w="100" w:type="dxa"/>
              <w:bottom w:w="60" w:type="dxa"/>
              <w:right w:w="100" w:type="dxa"/>
            </w:tcMar>
            <w:vAlign w:val="center"/>
          </w:tcPr>
          <w:p w14:paraId="6319AD02"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مقبول جزئياً</w:t>
            </w:r>
          </w:p>
        </w:tc>
      </w:tr>
      <w:tr w:rsidR="00E4583A" w14:paraId="4E463AD4" w14:textId="77777777">
        <w:trPr>
          <w:jc w:val="center"/>
        </w:trPr>
        <w:tc>
          <w:tcPr>
            <w:tcW w:w="500" w:type="pct"/>
            <w:tcMar>
              <w:top w:w="60" w:type="dxa"/>
              <w:left w:w="100" w:type="dxa"/>
              <w:bottom w:w="60" w:type="dxa"/>
              <w:right w:w="100" w:type="dxa"/>
            </w:tcMar>
            <w:vAlign w:val="center"/>
          </w:tcPr>
          <w:p w14:paraId="3B4C59E1"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H2a</w:t>
            </w:r>
          </w:p>
        </w:tc>
        <w:tc>
          <w:tcPr>
            <w:tcW w:w="1700" w:type="pct"/>
            <w:tcMar>
              <w:top w:w="60" w:type="dxa"/>
              <w:left w:w="100" w:type="dxa"/>
              <w:bottom w:w="60" w:type="dxa"/>
              <w:right w:w="100" w:type="dxa"/>
            </w:tcMar>
            <w:vAlign w:val="center"/>
          </w:tcPr>
          <w:p w14:paraId="7B20EC91"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أثر تطبيق الترميز على كفاءة العمليات المالية</w:t>
            </w:r>
          </w:p>
        </w:tc>
        <w:tc>
          <w:tcPr>
            <w:tcW w:w="1000" w:type="pct"/>
            <w:tcMar>
              <w:top w:w="60" w:type="dxa"/>
              <w:left w:w="100" w:type="dxa"/>
              <w:bottom w:w="60" w:type="dxa"/>
              <w:right w:w="100" w:type="dxa"/>
            </w:tcMar>
            <w:vAlign w:val="center"/>
          </w:tcPr>
          <w:p w14:paraId="39208318"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انحدار منقّح</w:t>
            </w:r>
          </w:p>
        </w:tc>
        <w:tc>
          <w:tcPr>
            <w:tcW w:w="1300" w:type="pct"/>
            <w:tcMar>
              <w:top w:w="60" w:type="dxa"/>
              <w:left w:w="100" w:type="dxa"/>
              <w:bottom w:w="60" w:type="dxa"/>
              <w:right w:w="100" w:type="dxa"/>
            </w:tcMar>
            <w:vAlign w:val="center"/>
          </w:tcPr>
          <w:p w14:paraId="2F51F27B"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B=0.498، t=6.916، p&lt;0.001</w:t>
            </w:r>
          </w:p>
        </w:tc>
        <w:tc>
          <w:tcPr>
            <w:tcW w:w="700" w:type="pct"/>
            <w:tcMar>
              <w:top w:w="60" w:type="dxa"/>
              <w:left w:w="100" w:type="dxa"/>
              <w:bottom w:w="60" w:type="dxa"/>
              <w:right w:w="100" w:type="dxa"/>
            </w:tcMar>
            <w:vAlign w:val="center"/>
          </w:tcPr>
          <w:p w14:paraId="75D02C73"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مقبول</w:t>
            </w:r>
          </w:p>
        </w:tc>
      </w:tr>
      <w:tr w:rsidR="00E4583A" w14:paraId="050C3889" w14:textId="77777777">
        <w:trPr>
          <w:jc w:val="center"/>
        </w:trPr>
        <w:tc>
          <w:tcPr>
            <w:tcW w:w="500" w:type="pct"/>
            <w:tcMar>
              <w:top w:w="60" w:type="dxa"/>
              <w:left w:w="100" w:type="dxa"/>
              <w:bottom w:w="60" w:type="dxa"/>
              <w:right w:w="100" w:type="dxa"/>
            </w:tcMar>
            <w:vAlign w:val="center"/>
          </w:tcPr>
          <w:p w14:paraId="774BA503"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lastRenderedPageBreak/>
              <w:t>H2b</w:t>
            </w:r>
          </w:p>
        </w:tc>
        <w:tc>
          <w:tcPr>
            <w:tcW w:w="1700" w:type="pct"/>
            <w:tcMar>
              <w:top w:w="60" w:type="dxa"/>
              <w:left w:w="100" w:type="dxa"/>
              <w:bottom w:w="60" w:type="dxa"/>
              <w:right w:w="100" w:type="dxa"/>
            </w:tcMar>
            <w:vAlign w:val="center"/>
          </w:tcPr>
          <w:p w14:paraId="2C0667AA"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أثر الامتثال للمعايير على كفاءة العمليات المالية</w:t>
            </w:r>
          </w:p>
        </w:tc>
        <w:tc>
          <w:tcPr>
            <w:tcW w:w="1000" w:type="pct"/>
            <w:tcMar>
              <w:top w:w="60" w:type="dxa"/>
              <w:left w:w="100" w:type="dxa"/>
              <w:bottom w:w="60" w:type="dxa"/>
              <w:right w:w="100" w:type="dxa"/>
            </w:tcMar>
            <w:vAlign w:val="center"/>
          </w:tcPr>
          <w:p w14:paraId="0CC3BD1A"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انحدار منقّح</w:t>
            </w:r>
          </w:p>
        </w:tc>
        <w:tc>
          <w:tcPr>
            <w:tcW w:w="1300" w:type="pct"/>
            <w:tcMar>
              <w:top w:w="60" w:type="dxa"/>
              <w:left w:w="100" w:type="dxa"/>
              <w:bottom w:w="60" w:type="dxa"/>
              <w:right w:w="100" w:type="dxa"/>
            </w:tcMar>
            <w:vAlign w:val="center"/>
          </w:tcPr>
          <w:p w14:paraId="4C3A47D7"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B=0.070، t=0.952، p=0.341</w:t>
            </w:r>
          </w:p>
        </w:tc>
        <w:tc>
          <w:tcPr>
            <w:tcW w:w="700" w:type="pct"/>
            <w:tcMar>
              <w:top w:w="60" w:type="dxa"/>
              <w:left w:w="100" w:type="dxa"/>
              <w:bottom w:w="60" w:type="dxa"/>
              <w:right w:w="100" w:type="dxa"/>
            </w:tcMar>
            <w:vAlign w:val="center"/>
          </w:tcPr>
          <w:p w14:paraId="72E2E230"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يُرفَض </w:t>
            </w:r>
          </w:p>
        </w:tc>
      </w:tr>
      <w:tr w:rsidR="00E4583A" w14:paraId="0A0443E1" w14:textId="77777777">
        <w:trPr>
          <w:jc w:val="center"/>
        </w:trPr>
        <w:tc>
          <w:tcPr>
            <w:tcW w:w="500" w:type="pct"/>
            <w:tcMar>
              <w:top w:w="60" w:type="dxa"/>
              <w:left w:w="100" w:type="dxa"/>
              <w:bottom w:w="60" w:type="dxa"/>
              <w:right w:w="100" w:type="dxa"/>
            </w:tcMar>
            <w:vAlign w:val="center"/>
          </w:tcPr>
          <w:p w14:paraId="40E1A53A"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H3</w:t>
            </w:r>
          </w:p>
        </w:tc>
        <w:tc>
          <w:tcPr>
            <w:tcW w:w="1700" w:type="pct"/>
            <w:tcMar>
              <w:top w:w="60" w:type="dxa"/>
              <w:left w:w="100" w:type="dxa"/>
              <w:bottom w:w="60" w:type="dxa"/>
              <w:right w:w="100" w:type="dxa"/>
            </w:tcMar>
            <w:vAlign w:val="center"/>
          </w:tcPr>
          <w:p w14:paraId="2B8C8A86"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فروق تُعزى إلى نوع المؤسسة</w:t>
            </w:r>
          </w:p>
        </w:tc>
        <w:tc>
          <w:tcPr>
            <w:tcW w:w="1000" w:type="pct"/>
            <w:tcMar>
              <w:top w:w="60" w:type="dxa"/>
              <w:left w:w="100" w:type="dxa"/>
              <w:bottom w:w="60" w:type="dxa"/>
              <w:right w:w="100" w:type="dxa"/>
            </w:tcMar>
            <w:vAlign w:val="center"/>
          </w:tcPr>
          <w:p w14:paraId="49AAF219"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كروسكال-واليس</w:t>
            </w:r>
          </w:p>
        </w:tc>
        <w:tc>
          <w:tcPr>
            <w:tcW w:w="1300" w:type="pct"/>
            <w:tcMar>
              <w:top w:w="60" w:type="dxa"/>
              <w:left w:w="100" w:type="dxa"/>
              <w:bottom w:w="60" w:type="dxa"/>
              <w:right w:w="100" w:type="dxa"/>
            </w:tcMar>
            <w:vAlign w:val="center"/>
          </w:tcPr>
          <w:p w14:paraId="3E16847F"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p&gt;0.05 لجميع المتغيرات التابعة</w:t>
            </w:r>
          </w:p>
        </w:tc>
        <w:tc>
          <w:tcPr>
            <w:tcW w:w="700" w:type="pct"/>
            <w:tcMar>
              <w:top w:w="60" w:type="dxa"/>
              <w:left w:w="100" w:type="dxa"/>
              <w:bottom w:w="60" w:type="dxa"/>
              <w:right w:w="100" w:type="dxa"/>
            </w:tcMar>
            <w:vAlign w:val="center"/>
          </w:tcPr>
          <w:p w14:paraId="00E5C6B2"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مرفوض</w:t>
            </w:r>
          </w:p>
        </w:tc>
      </w:tr>
      <w:tr w:rsidR="00E4583A" w14:paraId="48200FA4" w14:textId="77777777">
        <w:trPr>
          <w:jc w:val="center"/>
        </w:trPr>
        <w:tc>
          <w:tcPr>
            <w:tcW w:w="500" w:type="pct"/>
            <w:tcMar>
              <w:top w:w="60" w:type="dxa"/>
              <w:left w:w="100" w:type="dxa"/>
              <w:bottom w:w="60" w:type="dxa"/>
              <w:right w:w="100" w:type="dxa"/>
            </w:tcMar>
            <w:vAlign w:val="center"/>
          </w:tcPr>
          <w:p w14:paraId="60ACBE78"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H4</w:t>
            </w:r>
          </w:p>
        </w:tc>
        <w:tc>
          <w:tcPr>
            <w:tcW w:w="1700" w:type="pct"/>
            <w:tcMar>
              <w:top w:w="60" w:type="dxa"/>
              <w:left w:w="100" w:type="dxa"/>
              <w:bottom w:w="60" w:type="dxa"/>
              <w:right w:w="100" w:type="dxa"/>
            </w:tcMar>
            <w:vAlign w:val="center"/>
          </w:tcPr>
          <w:p w14:paraId="5E13DB9E"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فروق تُعزى إلى سنوات الخبرة</w:t>
            </w:r>
          </w:p>
        </w:tc>
        <w:tc>
          <w:tcPr>
            <w:tcW w:w="1000" w:type="pct"/>
            <w:tcMar>
              <w:top w:w="60" w:type="dxa"/>
              <w:left w:w="100" w:type="dxa"/>
              <w:bottom w:w="60" w:type="dxa"/>
              <w:right w:w="100" w:type="dxa"/>
            </w:tcMar>
            <w:vAlign w:val="center"/>
          </w:tcPr>
          <w:p w14:paraId="3ADD32A3"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كروسكال-واليس</w:t>
            </w:r>
          </w:p>
        </w:tc>
        <w:tc>
          <w:tcPr>
            <w:tcW w:w="1300" w:type="pct"/>
            <w:tcMar>
              <w:top w:w="60" w:type="dxa"/>
              <w:left w:w="100" w:type="dxa"/>
              <w:bottom w:w="60" w:type="dxa"/>
              <w:right w:w="100" w:type="dxa"/>
            </w:tcMar>
            <w:vAlign w:val="center"/>
          </w:tcPr>
          <w:p w14:paraId="52EC62D1"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p&gt;0.05 لجميع المتغيرات التابعة</w:t>
            </w:r>
          </w:p>
        </w:tc>
        <w:tc>
          <w:tcPr>
            <w:tcW w:w="700" w:type="pct"/>
            <w:tcMar>
              <w:top w:w="60" w:type="dxa"/>
              <w:left w:w="100" w:type="dxa"/>
              <w:bottom w:w="60" w:type="dxa"/>
              <w:right w:w="100" w:type="dxa"/>
            </w:tcMar>
            <w:vAlign w:val="center"/>
          </w:tcPr>
          <w:p w14:paraId="5197D054"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مرفوض</w:t>
            </w:r>
          </w:p>
        </w:tc>
      </w:tr>
      <w:tr w:rsidR="00E4583A" w14:paraId="027F9904" w14:textId="77777777">
        <w:trPr>
          <w:jc w:val="center"/>
        </w:trPr>
        <w:tc>
          <w:tcPr>
            <w:tcW w:w="500" w:type="pct"/>
            <w:tcMar>
              <w:top w:w="60" w:type="dxa"/>
              <w:left w:w="100" w:type="dxa"/>
              <w:bottom w:w="60" w:type="dxa"/>
              <w:right w:w="100" w:type="dxa"/>
            </w:tcMar>
            <w:vAlign w:val="center"/>
          </w:tcPr>
          <w:p w14:paraId="1104DA5A"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H5</w:t>
            </w:r>
          </w:p>
        </w:tc>
        <w:tc>
          <w:tcPr>
            <w:tcW w:w="1700" w:type="pct"/>
            <w:tcMar>
              <w:top w:w="60" w:type="dxa"/>
              <w:left w:w="100" w:type="dxa"/>
              <w:bottom w:w="60" w:type="dxa"/>
              <w:right w:w="100" w:type="dxa"/>
            </w:tcMar>
            <w:vAlign w:val="center"/>
          </w:tcPr>
          <w:p w14:paraId="02396506"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فروق تُعزى إلى المستوى الوظيفي</w:t>
            </w:r>
          </w:p>
        </w:tc>
        <w:tc>
          <w:tcPr>
            <w:tcW w:w="1000" w:type="pct"/>
            <w:tcMar>
              <w:top w:w="60" w:type="dxa"/>
              <w:left w:w="100" w:type="dxa"/>
              <w:bottom w:w="60" w:type="dxa"/>
              <w:right w:w="100" w:type="dxa"/>
            </w:tcMar>
            <w:vAlign w:val="center"/>
          </w:tcPr>
          <w:p w14:paraId="6EE53EBD"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كروسكال-واليس</w:t>
            </w:r>
          </w:p>
        </w:tc>
        <w:tc>
          <w:tcPr>
            <w:tcW w:w="1300" w:type="pct"/>
            <w:tcMar>
              <w:top w:w="60" w:type="dxa"/>
              <w:left w:w="100" w:type="dxa"/>
              <w:bottom w:w="60" w:type="dxa"/>
              <w:right w:w="100" w:type="dxa"/>
            </w:tcMar>
            <w:vAlign w:val="center"/>
          </w:tcPr>
          <w:p w14:paraId="6BA4D544"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p&gt;0.05 لجميع المتغيرات التابعة</w:t>
            </w:r>
          </w:p>
        </w:tc>
        <w:tc>
          <w:tcPr>
            <w:tcW w:w="700" w:type="pct"/>
            <w:tcMar>
              <w:top w:w="60" w:type="dxa"/>
              <w:left w:w="100" w:type="dxa"/>
              <w:bottom w:w="60" w:type="dxa"/>
              <w:right w:w="100" w:type="dxa"/>
            </w:tcMar>
            <w:vAlign w:val="center"/>
          </w:tcPr>
          <w:p w14:paraId="2D96852B"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مرفوض</w:t>
            </w:r>
          </w:p>
        </w:tc>
      </w:tr>
      <w:tr w:rsidR="00E4583A" w14:paraId="4180D6EA" w14:textId="77777777">
        <w:trPr>
          <w:jc w:val="center"/>
        </w:trPr>
        <w:tc>
          <w:tcPr>
            <w:tcW w:w="500" w:type="pct"/>
            <w:tcMar>
              <w:top w:w="60" w:type="dxa"/>
              <w:left w:w="100" w:type="dxa"/>
              <w:bottom w:w="60" w:type="dxa"/>
              <w:right w:w="100" w:type="dxa"/>
            </w:tcMar>
            <w:vAlign w:val="center"/>
          </w:tcPr>
          <w:p w14:paraId="741DF27C"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H6</w:t>
            </w:r>
          </w:p>
        </w:tc>
        <w:tc>
          <w:tcPr>
            <w:tcW w:w="1700" w:type="pct"/>
            <w:tcMar>
              <w:top w:w="60" w:type="dxa"/>
              <w:left w:w="100" w:type="dxa"/>
              <w:bottom w:w="60" w:type="dxa"/>
              <w:right w:w="100" w:type="dxa"/>
            </w:tcMar>
            <w:vAlign w:val="center"/>
          </w:tcPr>
          <w:p w14:paraId="3BEC7C8E"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فروق تُعزى إلى المؤهل العلمي</w:t>
            </w:r>
          </w:p>
        </w:tc>
        <w:tc>
          <w:tcPr>
            <w:tcW w:w="1000" w:type="pct"/>
            <w:tcMar>
              <w:top w:w="60" w:type="dxa"/>
              <w:left w:w="100" w:type="dxa"/>
              <w:bottom w:w="60" w:type="dxa"/>
              <w:right w:w="100" w:type="dxa"/>
            </w:tcMar>
            <w:vAlign w:val="center"/>
          </w:tcPr>
          <w:p w14:paraId="7A732794"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كروسكال-واليس</w:t>
            </w:r>
          </w:p>
        </w:tc>
        <w:tc>
          <w:tcPr>
            <w:tcW w:w="1300" w:type="pct"/>
            <w:tcMar>
              <w:top w:w="60" w:type="dxa"/>
              <w:left w:w="100" w:type="dxa"/>
              <w:bottom w:w="60" w:type="dxa"/>
              <w:right w:w="100" w:type="dxa"/>
            </w:tcMar>
            <w:vAlign w:val="center"/>
          </w:tcPr>
          <w:p w14:paraId="2EC24A5C"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p&gt;0.05 لجميع المتغيرات التابعة</w:t>
            </w:r>
          </w:p>
        </w:tc>
        <w:tc>
          <w:tcPr>
            <w:tcW w:w="700" w:type="pct"/>
            <w:tcMar>
              <w:top w:w="60" w:type="dxa"/>
              <w:left w:w="100" w:type="dxa"/>
              <w:bottom w:w="60" w:type="dxa"/>
              <w:right w:w="100" w:type="dxa"/>
            </w:tcMar>
            <w:vAlign w:val="center"/>
          </w:tcPr>
          <w:p w14:paraId="6EAB6CFB"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مرفوض</w:t>
            </w:r>
          </w:p>
        </w:tc>
      </w:tr>
      <w:tr w:rsidR="00E4583A" w14:paraId="499773A1" w14:textId="77777777">
        <w:trPr>
          <w:jc w:val="center"/>
        </w:trPr>
        <w:tc>
          <w:tcPr>
            <w:tcW w:w="500" w:type="pct"/>
            <w:tcMar>
              <w:top w:w="60" w:type="dxa"/>
              <w:left w:w="100" w:type="dxa"/>
              <w:bottom w:w="60" w:type="dxa"/>
              <w:right w:w="100" w:type="dxa"/>
            </w:tcMar>
            <w:vAlign w:val="center"/>
          </w:tcPr>
          <w:p w14:paraId="06C1A10F"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H7</w:t>
            </w:r>
          </w:p>
        </w:tc>
        <w:tc>
          <w:tcPr>
            <w:tcW w:w="1700" w:type="pct"/>
            <w:tcMar>
              <w:top w:w="60" w:type="dxa"/>
              <w:left w:w="100" w:type="dxa"/>
              <w:bottom w:w="60" w:type="dxa"/>
              <w:right w:w="100" w:type="dxa"/>
            </w:tcMar>
            <w:vAlign w:val="center"/>
          </w:tcPr>
          <w:p w14:paraId="4D4C6BF4"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فروق تُعزى إلى مجال التخصص</w:t>
            </w:r>
          </w:p>
        </w:tc>
        <w:tc>
          <w:tcPr>
            <w:tcW w:w="1000" w:type="pct"/>
            <w:tcMar>
              <w:top w:w="60" w:type="dxa"/>
              <w:left w:w="100" w:type="dxa"/>
              <w:bottom w:w="60" w:type="dxa"/>
              <w:right w:w="100" w:type="dxa"/>
            </w:tcMar>
            <w:vAlign w:val="center"/>
          </w:tcPr>
          <w:p w14:paraId="07D64FA1"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كروسكال-واليس + دن البعدي</w:t>
            </w:r>
          </w:p>
        </w:tc>
        <w:tc>
          <w:tcPr>
            <w:tcW w:w="1300" w:type="pct"/>
            <w:tcMar>
              <w:top w:w="60" w:type="dxa"/>
              <w:left w:w="100" w:type="dxa"/>
              <w:bottom w:w="60" w:type="dxa"/>
              <w:right w:w="100" w:type="dxa"/>
            </w:tcMar>
            <w:vAlign w:val="center"/>
          </w:tcPr>
          <w:p w14:paraId="43B97AC0"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دال للأمن السيبراني فقط (p=0.024)</w:t>
            </w:r>
          </w:p>
        </w:tc>
        <w:tc>
          <w:tcPr>
            <w:tcW w:w="700" w:type="pct"/>
            <w:tcMar>
              <w:top w:w="60" w:type="dxa"/>
              <w:left w:w="100" w:type="dxa"/>
              <w:bottom w:w="60" w:type="dxa"/>
              <w:right w:w="100" w:type="dxa"/>
            </w:tcMar>
            <w:vAlign w:val="center"/>
          </w:tcPr>
          <w:p w14:paraId="3DA6F87C"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مقبول جزئياً</w:t>
            </w:r>
          </w:p>
        </w:tc>
      </w:tr>
    </w:tbl>
    <w:p w14:paraId="523BC55F" w14:textId="77777777" w:rsidR="00E4583A" w:rsidRDefault="00000000">
      <w:pPr>
        <w:bidi/>
        <w:spacing w:after="0" w:line="360" w:lineRule="auto"/>
        <w:jc w:val="center"/>
      </w:pPr>
      <w:r>
        <w:rPr>
          <w:rFonts w:ascii="Traditional Arabic" w:eastAsia="Simplified Arabic" w:hAnsi="Traditional Arabic" w:cs="Traditional Arabic"/>
          <w:b/>
          <w:bCs/>
          <w:sz w:val="24"/>
          <w:szCs w:val="24"/>
          <w:rtl/>
        </w:rPr>
        <w:t>جدول (4.28): ملخص نتائج اختبار فروض الدراسة</w:t>
      </w:r>
    </w:p>
    <w:p w14:paraId="5A0FBE34" w14:textId="77777777" w:rsidR="00E4583A" w:rsidRDefault="00E4583A">
      <w:pPr>
        <w:bidi/>
        <w:spacing w:after="0" w:line="240" w:lineRule="auto"/>
      </w:pPr>
    </w:p>
    <w:p w14:paraId="2900B1ED" w14:textId="77777777" w:rsidR="00E4583A" w:rsidRDefault="00000000">
      <w:pPr>
        <w:pStyle w:val="HeadingTOCEntry"/>
        <w:bidi/>
        <w:spacing w:after="0" w:line="360" w:lineRule="auto"/>
        <w:ind w:left="432" w:hanging="432"/>
        <w:rPr>
          <w:rFonts w:ascii="Simplified Arabic" w:hAnsi="Simplified Arabic" w:cs="Simplified Arabic"/>
          <w:b/>
          <w:bCs/>
          <w:sz w:val="28"/>
          <w:szCs w:val="28"/>
          <w:u w:val="single"/>
        </w:rPr>
      </w:pPr>
      <w:r>
        <w:rPr>
          <w:rFonts w:ascii="Traditional Arabic" w:eastAsia="Simplified Arabic" w:hAnsi="Traditional Arabic" w:cs="Traditional Arabic"/>
          <w:b/>
          <w:bCs/>
          <w:sz w:val="32"/>
          <w:szCs w:val="32"/>
          <w:u w:val="single"/>
          <w:rtl/>
        </w:rPr>
        <w:t>سادساً: نماذج الانحدار المنقّح</w:t>
      </w:r>
    </w:p>
    <w:p w14:paraId="1AB68D31" w14:textId="77777777" w:rsidR="00E4583A" w:rsidRDefault="00000000">
      <w:pPr>
        <w:bidi/>
        <w:spacing w:after="0" w:line="360" w:lineRule="auto"/>
        <w:jc w:val="both"/>
      </w:pPr>
      <w:r>
        <w:rPr>
          <w:rFonts w:ascii="Traditional Arabic" w:eastAsia="Simplified Arabic" w:hAnsi="Traditional Arabic" w:cs="Traditional Arabic"/>
          <w:sz w:val="28"/>
          <w:szCs w:val="28"/>
          <w:rtl/>
        </w:rPr>
        <w:t xml:space="preserve">استُخدم نموذج الانحدار المنقّح (Robust Regression) بطريقة M-estimation (Huber)، نظراً </w:t>
      </w:r>
      <w:commentRangeStart w:id="58"/>
      <w:commentRangeStart w:id="59"/>
      <w:r>
        <w:rPr>
          <w:rFonts w:ascii="Traditional Arabic" w:eastAsia="Simplified Arabic" w:hAnsi="Traditional Arabic" w:cs="Traditional Arabic"/>
          <w:sz w:val="28"/>
          <w:szCs w:val="28"/>
          <w:rtl/>
        </w:rPr>
        <w:t xml:space="preserve">لانحراف بيانات الدراسة عن </w:t>
      </w:r>
      <w:commentRangeStart w:id="60"/>
      <w:r>
        <w:rPr>
          <w:rFonts w:ascii="Traditional Arabic" w:eastAsia="Simplified Arabic" w:hAnsi="Traditional Arabic" w:cs="Traditional Arabic"/>
          <w:sz w:val="28"/>
          <w:szCs w:val="28"/>
          <w:rtl/>
        </w:rPr>
        <w:t>التوزيع الطبيع</w:t>
      </w:r>
      <w:commentRangeEnd w:id="58"/>
      <w:r w:rsidR="00B9655D">
        <w:rPr>
          <w:rStyle w:val="affa"/>
          <w:rFonts w:ascii="Traditional Arabic" w:eastAsia="Simplified Arabic" w:hAnsi="Traditional Arabic" w:cs="Traditional Arabic"/>
          <w:sz w:val="28"/>
          <w:szCs w:val="28"/>
          <w:rtl/>
        </w:rPr>
        <w:commentReference w:id="58"/>
      </w:r>
      <w:commentRangeEnd w:id="59"/>
      <w:r w:rsidR="00B9655D">
        <w:rPr>
          <w:rStyle w:val="affa"/>
          <w:rFonts w:ascii="Traditional Arabic" w:eastAsia="Simplified Arabic" w:hAnsi="Traditional Arabic" w:cs="Traditional Arabic"/>
          <w:sz w:val="28"/>
          <w:szCs w:val="28"/>
          <w:rtl/>
        </w:rPr>
        <w:commentReference w:id="59"/>
      </w:r>
      <w:r>
        <w:rPr>
          <w:rFonts w:ascii="Traditional Arabic" w:eastAsia="Simplified Arabic" w:hAnsi="Traditional Arabic" w:cs="Traditional Arabic"/>
          <w:sz w:val="28"/>
          <w:szCs w:val="28"/>
          <w:rtl/>
        </w:rPr>
        <w:t>ي</w:t>
      </w:r>
      <w:commentRangeEnd w:id="60"/>
      <w:r w:rsidR="00B9655D">
        <w:rPr>
          <w:rStyle w:val="affa"/>
          <w:rFonts w:ascii="Traditional Arabic" w:eastAsia="Simplified Arabic" w:hAnsi="Traditional Arabic" w:cs="Traditional Arabic"/>
          <w:sz w:val="28"/>
          <w:szCs w:val="28"/>
          <w:rtl/>
        </w:rPr>
        <w:commentReference w:id="60"/>
      </w:r>
      <w:r>
        <w:rPr>
          <w:rFonts w:ascii="Traditional Arabic" w:eastAsia="Simplified Arabic" w:hAnsi="Traditional Arabic" w:cs="Traditional Arabic"/>
          <w:sz w:val="28"/>
          <w:szCs w:val="28"/>
          <w:rtl/>
        </w:rPr>
        <w:t>، وهو ما يقلل من حساسية النموذج للقيم المتطرفة مقارنة بالانحدار الخطي التقليدي.</w:t>
      </w:r>
    </w:p>
    <w:p w14:paraId="68535E33" w14:textId="77777777" w:rsidR="00E4583A" w:rsidRDefault="00E4583A">
      <w:pPr>
        <w:bidi/>
        <w:spacing w:after="0" w:line="240" w:lineRule="auto"/>
      </w:pPr>
    </w:p>
    <w:p w14:paraId="6151BCB7" w14:textId="77777777" w:rsidR="00E4583A" w:rsidRDefault="00000000">
      <w:pPr>
        <w:bidi/>
        <w:spacing w:after="0" w:line="360" w:lineRule="auto"/>
        <w:jc w:val="both"/>
      </w:pPr>
      <w:r>
        <w:rPr>
          <w:rFonts w:ascii="Traditional Arabic" w:eastAsia="Simplified Arabic" w:hAnsi="Traditional Arabic" w:cs="Traditional Arabic"/>
          <w:b/>
          <w:bCs/>
          <w:sz w:val="28"/>
          <w:szCs w:val="28"/>
          <w:rtl/>
        </w:rPr>
        <w:t>النموذج الأول: أثر تطبيق الترميز والامتثال على الأمن السيبراني المؤسسي (H1)</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2987"/>
        <w:gridCol w:w="1659"/>
        <w:gridCol w:w="1659"/>
        <w:gridCol w:w="1991"/>
      </w:tblGrid>
      <w:tr w:rsidR="00E4583A" w14:paraId="6A5FF87D" w14:textId="77777777">
        <w:trPr>
          <w:tblHeader/>
          <w:jc w:val="center"/>
        </w:trPr>
        <w:tc>
          <w:tcPr>
            <w:tcW w:w="1800" w:type="pct"/>
            <w:shd w:val="clear" w:color="auto" w:fill="2E5395"/>
            <w:tcMar>
              <w:top w:w="60" w:type="dxa"/>
              <w:left w:w="100" w:type="dxa"/>
              <w:bottom w:w="60" w:type="dxa"/>
              <w:right w:w="100" w:type="dxa"/>
            </w:tcMar>
            <w:vAlign w:val="center"/>
          </w:tcPr>
          <w:p w14:paraId="17C1B1CB"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المتغير</w:t>
            </w:r>
          </w:p>
        </w:tc>
        <w:tc>
          <w:tcPr>
            <w:tcW w:w="1000" w:type="pct"/>
            <w:shd w:val="clear" w:color="auto" w:fill="2E5395"/>
            <w:tcMar>
              <w:top w:w="60" w:type="dxa"/>
              <w:left w:w="100" w:type="dxa"/>
              <w:bottom w:w="60" w:type="dxa"/>
              <w:right w:w="100" w:type="dxa"/>
            </w:tcMar>
            <w:vAlign w:val="center"/>
          </w:tcPr>
          <w:p w14:paraId="7CCE6F24"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معامل الانحدار (B)</w:t>
            </w:r>
          </w:p>
        </w:tc>
        <w:tc>
          <w:tcPr>
            <w:tcW w:w="1000" w:type="pct"/>
            <w:shd w:val="clear" w:color="auto" w:fill="2E5395"/>
            <w:tcMar>
              <w:top w:w="60" w:type="dxa"/>
              <w:left w:w="100" w:type="dxa"/>
              <w:bottom w:w="60" w:type="dxa"/>
              <w:right w:w="100" w:type="dxa"/>
            </w:tcMar>
            <w:vAlign w:val="center"/>
          </w:tcPr>
          <w:p w14:paraId="168AB357"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قيمة (t)</w:t>
            </w:r>
          </w:p>
        </w:tc>
        <w:tc>
          <w:tcPr>
            <w:tcW w:w="1200" w:type="pct"/>
            <w:shd w:val="clear" w:color="auto" w:fill="2E5395"/>
            <w:tcMar>
              <w:top w:w="60" w:type="dxa"/>
              <w:left w:w="100" w:type="dxa"/>
              <w:bottom w:w="60" w:type="dxa"/>
              <w:right w:w="100" w:type="dxa"/>
            </w:tcMar>
            <w:vAlign w:val="center"/>
          </w:tcPr>
          <w:p w14:paraId="620EBC70"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القيمة الاحتمالية</w:t>
            </w:r>
          </w:p>
        </w:tc>
      </w:tr>
      <w:tr w:rsidR="00E4583A" w14:paraId="2BC68253" w14:textId="77777777">
        <w:trPr>
          <w:jc w:val="center"/>
        </w:trPr>
        <w:tc>
          <w:tcPr>
            <w:tcW w:w="1800" w:type="pct"/>
            <w:tcMar>
              <w:top w:w="60" w:type="dxa"/>
              <w:left w:w="100" w:type="dxa"/>
              <w:bottom w:w="60" w:type="dxa"/>
              <w:right w:w="100" w:type="dxa"/>
            </w:tcMar>
            <w:vAlign w:val="center"/>
          </w:tcPr>
          <w:p w14:paraId="7ECCD183"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الثابت</w:t>
            </w:r>
          </w:p>
        </w:tc>
        <w:tc>
          <w:tcPr>
            <w:tcW w:w="1000" w:type="pct"/>
            <w:tcMar>
              <w:top w:w="60" w:type="dxa"/>
              <w:left w:w="100" w:type="dxa"/>
              <w:bottom w:w="60" w:type="dxa"/>
              <w:right w:w="100" w:type="dxa"/>
            </w:tcMar>
            <w:vAlign w:val="center"/>
          </w:tcPr>
          <w:p w14:paraId="128E8355"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1.001</w:t>
            </w:r>
          </w:p>
        </w:tc>
        <w:tc>
          <w:tcPr>
            <w:tcW w:w="1000" w:type="pct"/>
            <w:tcMar>
              <w:top w:w="60" w:type="dxa"/>
              <w:left w:w="100" w:type="dxa"/>
              <w:bottom w:w="60" w:type="dxa"/>
              <w:right w:w="100" w:type="dxa"/>
            </w:tcMar>
            <w:vAlign w:val="center"/>
          </w:tcPr>
          <w:p w14:paraId="0051075C"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4.302</w:t>
            </w:r>
          </w:p>
        </w:tc>
        <w:tc>
          <w:tcPr>
            <w:tcW w:w="1200" w:type="pct"/>
            <w:tcMar>
              <w:top w:w="60" w:type="dxa"/>
              <w:left w:w="100" w:type="dxa"/>
              <w:bottom w:w="60" w:type="dxa"/>
              <w:right w:w="100" w:type="dxa"/>
            </w:tcMar>
            <w:vAlign w:val="center"/>
          </w:tcPr>
          <w:p w14:paraId="3F93FFBB"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0.001&gt;</w:t>
            </w:r>
          </w:p>
        </w:tc>
      </w:tr>
      <w:tr w:rsidR="00E4583A" w14:paraId="0942CDC3" w14:textId="77777777">
        <w:trPr>
          <w:jc w:val="center"/>
        </w:trPr>
        <w:tc>
          <w:tcPr>
            <w:tcW w:w="1800" w:type="pct"/>
            <w:tcMar>
              <w:top w:w="60" w:type="dxa"/>
              <w:left w:w="100" w:type="dxa"/>
              <w:bottom w:w="60" w:type="dxa"/>
              <w:right w:w="100" w:type="dxa"/>
            </w:tcMar>
            <w:vAlign w:val="center"/>
          </w:tcPr>
          <w:p w14:paraId="798286C3"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تطبيق تقنية الترميز</w:t>
            </w:r>
          </w:p>
        </w:tc>
        <w:tc>
          <w:tcPr>
            <w:tcW w:w="1000" w:type="pct"/>
            <w:tcMar>
              <w:top w:w="60" w:type="dxa"/>
              <w:left w:w="100" w:type="dxa"/>
              <w:bottom w:w="60" w:type="dxa"/>
              <w:right w:w="100" w:type="dxa"/>
            </w:tcMar>
            <w:vAlign w:val="center"/>
          </w:tcPr>
          <w:p w14:paraId="1F78D42A"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0.314</w:t>
            </w:r>
          </w:p>
        </w:tc>
        <w:tc>
          <w:tcPr>
            <w:tcW w:w="1000" w:type="pct"/>
            <w:tcMar>
              <w:top w:w="60" w:type="dxa"/>
              <w:left w:w="100" w:type="dxa"/>
              <w:bottom w:w="60" w:type="dxa"/>
              <w:right w:w="100" w:type="dxa"/>
            </w:tcMar>
            <w:vAlign w:val="center"/>
          </w:tcPr>
          <w:p w14:paraId="79700354"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4.537</w:t>
            </w:r>
          </w:p>
        </w:tc>
        <w:tc>
          <w:tcPr>
            <w:tcW w:w="1200" w:type="pct"/>
            <w:tcMar>
              <w:top w:w="60" w:type="dxa"/>
              <w:left w:w="100" w:type="dxa"/>
              <w:bottom w:w="60" w:type="dxa"/>
              <w:right w:w="100" w:type="dxa"/>
            </w:tcMar>
            <w:vAlign w:val="center"/>
          </w:tcPr>
          <w:p w14:paraId="593CB6EF"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0.001&gt;</w:t>
            </w:r>
          </w:p>
        </w:tc>
      </w:tr>
      <w:tr w:rsidR="00E4583A" w14:paraId="4442581A" w14:textId="77777777">
        <w:trPr>
          <w:jc w:val="center"/>
        </w:trPr>
        <w:tc>
          <w:tcPr>
            <w:tcW w:w="1800" w:type="pct"/>
            <w:tcMar>
              <w:top w:w="60" w:type="dxa"/>
              <w:left w:w="100" w:type="dxa"/>
              <w:bottom w:w="60" w:type="dxa"/>
              <w:right w:w="100" w:type="dxa"/>
            </w:tcMar>
            <w:vAlign w:val="center"/>
          </w:tcPr>
          <w:p w14:paraId="62DC6AA2"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الامتثال للمعايير الدولية</w:t>
            </w:r>
          </w:p>
        </w:tc>
        <w:tc>
          <w:tcPr>
            <w:tcW w:w="1000" w:type="pct"/>
            <w:tcMar>
              <w:top w:w="60" w:type="dxa"/>
              <w:left w:w="100" w:type="dxa"/>
              <w:bottom w:w="60" w:type="dxa"/>
              <w:right w:w="100" w:type="dxa"/>
            </w:tcMar>
            <w:vAlign w:val="center"/>
          </w:tcPr>
          <w:p w14:paraId="3CF3BCEA"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0.406</w:t>
            </w:r>
          </w:p>
        </w:tc>
        <w:tc>
          <w:tcPr>
            <w:tcW w:w="1000" w:type="pct"/>
            <w:tcMar>
              <w:top w:w="60" w:type="dxa"/>
              <w:left w:w="100" w:type="dxa"/>
              <w:bottom w:w="60" w:type="dxa"/>
              <w:right w:w="100" w:type="dxa"/>
            </w:tcMar>
            <w:vAlign w:val="center"/>
          </w:tcPr>
          <w:p w14:paraId="6DA344B5"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5.778</w:t>
            </w:r>
          </w:p>
        </w:tc>
        <w:tc>
          <w:tcPr>
            <w:tcW w:w="1200" w:type="pct"/>
            <w:tcMar>
              <w:top w:w="60" w:type="dxa"/>
              <w:left w:w="100" w:type="dxa"/>
              <w:bottom w:w="60" w:type="dxa"/>
              <w:right w:w="100" w:type="dxa"/>
            </w:tcMar>
            <w:vAlign w:val="center"/>
          </w:tcPr>
          <w:p w14:paraId="2B8FBC95"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0.001&gt;</w:t>
            </w:r>
          </w:p>
        </w:tc>
      </w:tr>
    </w:tbl>
    <w:p w14:paraId="403AAB39" w14:textId="77777777" w:rsidR="00E4583A" w:rsidRDefault="00000000">
      <w:pPr>
        <w:bidi/>
        <w:spacing w:after="0" w:line="360" w:lineRule="auto"/>
        <w:jc w:val="center"/>
      </w:pPr>
      <w:r>
        <w:rPr>
          <w:rFonts w:ascii="Traditional Arabic" w:eastAsia="Simplified Arabic" w:hAnsi="Traditional Arabic" w:cs="Traditional Arabic"/>
          <w:b/>
          <w:bCs/>
          <w:sz w:val="24"/>
          <w:szCs w:val="24"/>
          <w:rtl/>
        </w:rPr>
        <w:t>جدول (4.29): نتائج نموذج الانحدار المنقّح الأول (المتغير التابع: الأمن السيبراني المؤسسي)</w:t>
      </w:r>
    </w:p>
    <w:p w14:paraId="25C77204" w14:textId="77777777" w:rsidR="00E4583A" w:rsidRDefault="00000000">
      <w:pPr>
        <w:bidi/>
        <w:spacing w:after="0" w:line="360" w:lineRule="auto"/>
        <w:jc w:val="both"/>
      </w:pPr>
      <w:r>
        <w:rPr>
          <w:rFonts w:ascii="Traditional Arabic" w:eastAsia="Simplified Arabic" w:hAnsi="Traditional Arabic" w:cs="Traditional Arabic"/>
          <w:sz w:val="28"/>
          <w:szCs w:val="28"/>
          <w:rtl/>
        </w:rPr>
        <w:lastRenderedPageBreak/>
        <w:t>بلغ معامل التحديد (R²) للنموذج (0.378)، أي أن المتغيرين المستقلين يفسّران نحو (37.8%) من التباين في الأمن السيبراني المؤسسي، وجاء النموذج ككل دالاً إحصائياً (F = 58.688، p &lt; 0.001).</w:t>
      </w:r>
    </w:p>
    <w:p w14:paraId="6F6DC1CA" w14:textId="77777777" w:rsidR="00E4583A" w:rsidRDefault="00E4583A">
      <w:pPr>
        <w:bidi/>
        <w:spacing w:after="0" w:line="240" w:lineRule="auto"/>
      </w:pPr>
    </w:p>
    <w:p w14:paraId="60B06761" w14:textId="77777777" w:rsidR="00E4583A" w:rsidRDefault="00000000">
      <w:pPr>
        <w:bidi/>
        <w:spacing w:after="0" w:line="360" w:lineRule="auto"/>
        <w:jc w:val="both"/>
      </w:pPr>
      <w:r>
        <w:rPr>
          <w:rFonts w:ascii="Traditional Arabic" w:eastAsia="Simplified Arabic" w:hAnsi="Traditional Arabic" w:cs="Traditional Arabic"/>
          <w:b/>
          <w:bCs/>
          <w:sz w:val="28"/>
          <w:szCs w:val="28"/>
          <w:rtl/>
        </w:rPr>
        <w:t>النموذج الثاني: أثر تطبيق الترميز والامتثال على كفاءة العمليات المالية (H2)</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2987"/>
        <w:gridCol w:w="1659"/>
        <w:gridCol w:w="1659"/>
        <w:gridCol w:w="1991"/>
      </w:tblGrid>
      <w:tr w:rsidR="00E4583A" w14:paraId="2132F341" w14:textId="77777777">
        <w:trPr>
          <w:tblHeader/>
          <w:jc w:val="center"/>
        </w:trPr>
        <w:tc>
          <w:tcPr>
            <w:tcW w:w="1800" w:type="pct"/>
            <w:shd w:val="clear" w:color="auto" w:fill="2E5395"/>
            <w:tcMar>
              <w:top w:w="60" w:type="dxa"/>
              <w:left w:w="100" w:type="dxa"/>
              <w:bottom w:w="60" w:type="dxa"/>
              <w:right w:w="100" w:type="dxa"/>
            </w:tcMar>
            <w:vAlign w:val="center"/>
          </w:tcPr>
          <w:p w14:paraId="6A7ADDF6"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المتغير</w:t>
            </w:r>
          </w:p>
        </w:tc>
        <w:tc>
          <w:tcPr>
            <w:tcW w:w="1000" w:type="pct"/>
            <w:shd w:val="clear" w:color="auto" w:fill="2E5395"/>
            <w:tcMar>
              <w:top w:w="60" w:type="dxa"/>
              <w:left w:w="100" w:type="dxa"/>
              <w:bottom w:w="60" w:type="dxa"/>
              <w:right w:w="100" w:type="dxa"/>
            </w:tcMar>
            <w:vAlign w:val="center"/>
          </w:tcPr>
          <w:p w14:paraId="06A20B86"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معامل الانحدار (B)</w:t>
            </w:r>
          </w:p>
        </w:tc>
        <w:tc>
          <w:tcPr>
            <w:tcW w:w="1000" w:type="pct"/>
            <w:shd w:val="clear" w:color="auto" w:fill="2E5395"/>
            <w:tcMar>
              <w:top w:w="60" w:type="dxa"/>
              <w:left w:w="100" w:type="dxa"/>
              <w:bottom w:w="60" w:type="dxa"/>
              <w:right w:w="100" w:type="dxa"/>
            </w:tcMar>
            <w:vAlign w:val="center"/>
          </w:tcPr>
          <w:p w14:paraId="11A0CF67"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قيمة (t)</w:t>
            </w:r>
          </w:p>
        </w:tc>
        <w:tc>
          <w:tcPr>
            <w:tcW w:w="1200" w:type="pct"/>
            <w:shd w:val="clear" w:color="auto" w:fill="2E5395"/>
            <w:tcMar>
              <w:top w:w="60" w:type="dxa"/>
              <w:left w:w="100" w:type="dxa"/>
              <w:bottom w:w="60" w:type="dxa"/>
              <w:right w:w="100" w:type="dxa"/>
            </w:tcMar>
            <w:vAlign w:val="center"/>
          </w:tcPr>
          <w:p w14:paraId="61414CFA" w14:textId="77777777" w:rsidR="00E4583A" w:rsidRDefault="00000000">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القيمة الاحتمالية</w:t>
            </w:r>
          </w:p>
        </w:tc>
      </w:tr>
      <w:tr w:rsidR="00E4583A" w14:paraId="2652293B" w14:textId="77777777">
        <w:trPr>
          <w:jc w:val="center"/>
        </w:trPr>
        <w:tc>
          <w:tcPr>
            <w:tcW w:w="1800" w:type="pct"/>
            <w:tcMar>
              <w:top w:w="60" w:type="dxa"/>
              <w:left w:w="100" w:type="dxa"/>
              <w:bottom w:w="60" w:type="dxa"/>
              <w:right w:w="100" w:type="dxa"/>
            </w:tcMar>
            <w:vAlign w:val="center"/>
          </w:tcPr>
          <w:p w14:paraId="3AAAD5B0"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الثابت</w:t>
            </w:r>
          </w:p>
        </w:tc>
        <w:tc>
          <w:tcPr>
            <w:tcW w:w="1000" w:type="pct"/>
            <w:tcMar>
              <w:top w:w="60" w:type="dxa"/>
              <w:left w:w="100" w:type="dxa"/>
              <w:bottom w:w="60" w:type="dxa"/>
              <w:right w:w="100" w:type="dxa"/>
            </w:tcMar>
            <w:vAlign w:val="center"/>
          </w:tcPr>
          <w:p w14:paraId="46D488F2"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1.578</w:t>
            </w:r>
          </w:p>
        </w:tc>
        <w:tc>
          <w:tcPr>
            <w:tcW w:w="1000" w:type="pct"/>
            <w:tcMar>
              <w:top w:w="60" w:type="dxa"/>
              <w:left w:w="100" w:type="dxa"/>
              <w:bottom w:w="60" w:type="dxa"/>
              <w:right w:w="100" w:type="dxa"/>
            </w:tcMar>
            <w:vAlign w:val="center"/>
          </w:tcPr>
          <w:p w14:paraId="629674BE"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6.506</w:t>
            </w:r>
          </w:p>
        </w:tc>
        <w:tc>
          <w:tcPr>
            <w:tcW w:w="1200" w:type="pct"/>
            <w:tcMar>
              <w:top w:w="60" w:type="dxa"/>
              <w:left w:w="100" w:type="dxa"/>
              <w:bottom w:w="60" w:type="dxa"/>
              <w:right w:w="100" w:type="dxa"/>
            </w:tcMar>
            <w:vAlign w:val="center"/>
          </w:tcPr>
          <w:p w14:paraId="41098C24"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0.001&gt;</w:t>
            </w:r>
          </w:p>
        </w:tc>
      </w:tr>
      <w:tr w:rsidR="00E4583A" w14:paraId="1E2C3F91" w14:textId="77777777">
        <w:trPr>
          <w:jc w:val="center"/>
        </w:trPr>
        <w:tc>
          <w:tcPr>
            <w:tcW w:w="1800" w:type="pct"/>
            <w:tcMar>
              <w:top w:w="60" w:type="dxa"/>
              <w:left w:w="100" w:type="dxa"/>
              <w:bottom w:w="60" w:type="dxa"/>
              <w:right w:w="100" w:type="dxa"/>
            </w:tcMar>
            <w:vAlign w:val="center"/>
          </w:tcPr>
          <w:p w14:paraId="39048258"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تطبيق تقنية الترميز</w:t>
            </w:r>
          </w:p>
        </w:tc>
        <w:tc>
          <w:tcPr>
            <w:tcW w:w="1000" w:type="pct"/>
            <w:tcMar>
              <w:top w:w="60" w:type="dxa"/>
              <w:left w:w="100" w:type="dxa"/>
              <w:bottom w:w="60" w:type="dxa"/>
              <w:right w:w="100" w:type="dxa"/>
            </w:tcMar>
            <w:vAlign w:val="center"/>
          </w:tcPr>
          <w:p w14:paraId="7D092F80"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0.498</w:t>
            </w:r>
          </w:p>
        </w:tc>
        <w:tc>
          <w:tcPr>
            <w:tcW w:w="1000" w:type="pct"/>
            <w:tcMar>
              <w:top w:w="60" w:type="dxa"/>
              <w:left w:w="100" w:type="dxa"/>
              <w:bottom w:w="60" w:type="dxa"/>
              <w:right w:w="100" w:type="dxa"/>
            </w:tcMar>
            <w:vAlign w:val="center"/>
          </w:tcPr>
          <w:p w14:paraId="647030EB"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6.916</w:t>
            </w:r>
          </w:p>
        </w:tc>
        <w:tc>
          <w:tcPr>
            <w:tcW w:w="1200" w:type="pct"/>
            <w:tcMar>
              <w:top w:w="60" w:type="dxa"/>
              <w:left w:w="100" w:type="dxa"/>
              <w:bottom w:w="60" w:type="dxa"/>
              <w:right w:w="100" w:type="dxa"/>
            </w:tcMar>
            <w:vAlign w:val="center"/>
          </w:tcPr>
          <w:p w14:paraId="3F11851B"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0.001&gt;</w:t>
            </w:r>
          </w:p>
        </w:tc>
      </w:tr>
      <w:tr w:rsidR="00E4583A" w14:paraId="36CC6E6C" w14:textId="77777777">
        <w:trPr>
          <w:jc w:val="center"/>
        </w:trPr>
        <w:tc>
          <w:tcPr>
            <w:tcW w:w="1800" w:type="pct"/>
            <w:tcMar>
              <w:top w:w="60" w:type="dxa"/>
              <w:left w:w="100" w:type="dxa"/>
              <w:bottom w:w="60" w:type="dxa"/>
              <w:right w:w="100" w:type="dxa"/>
            </w:tcMar>
            <w:vAlign w:val="center"/>
          </w:tcPr>
          <w:p w14:paraId="228F6097"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الامتثال للمعايير الدولية</w:t>
            </w:r>
          </w:p>
        </w:tc>
        <w:tc>
          <w:tcPr>
            <w:tcW w:w="1000" w:type="pct"/>
            <w:tcMar>
              <w:top w:w="60" w:type="dxa"/>
              <w:left w:w="100" w:type="dxa"/>
              <w:bottom w:w="60" w:type="dxa"/>
              <w:right w:w="100" w:type="dxa"/>
            </w:tcMar>
            <w:vAlign w:val="center"/>
          </w:tcPr>
          <w:p w14:paraId="71793C32"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0.070</w:t>
            </w:r>
          </w:p>
        </w:tc>
        <w:tc>
          <w:tcPr>
            <w:tcW w:w="1000" w:type="pct"/>
            <w:tcMar>
              <w:top w:w="60" w:type="dxa"/>
              <w:left w:w="100" w:type="dxa"/>
              <w:bottom w:w="60" w:type="dxa"/>
              <w:right w:w="100" w:type="dxa"/>
            </w:tcMar>
            <w:vAlign w:val="center"/>
          </w:tcPr>
          <w:p w14:paraId="530744F8"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0.952</w:t>
            </w:r>
          </w:p>
        </w:tc>
        <w:tc>
          <w:tcPr>
            <w:tcW w:w="1200" w:type="pct"/>
            <w:tcMar>
              <w:top w:w="60" w:type="dxa"/>
              <w:left w:w="100" w:type="dxa"/>
              <w:bottom w:w="60" w:type="dxa"/>
              <w:right w:w="100" w:type="dxa"/>
            </w:tcMar>
            <w:vAlign w:val="center"/>
          </w:tcPr>
          <w:p w14:paraId="58EDD335" w14:textId="77777777" w:rsidR="00E4583A" w:rsidRDefault="00000000">
            <w:pPr>
              <w:bidi/>
              <w:spacing w:after="0" w:line="260" w:lineRule="auto"/>
              <w:jc w:val="center"/>
              <w:rPr>
                <w:sz w:val="24"/>
                <w:szCs w:val="24"/>
              </w:rPr>
            </w:pPr>
            <w:r>
              <w:rPr>
                <w:rFonts w:ascii="Traditional Arabic" w:eastAsia="Simplified Arabic" w:hAnsi="Traditional Arabic" w:cs="Traditional Arabic"/>
                <w:color w:val="000000"/>
                <w:sz w:val="24"/>
                <w:szCs w:val="24"/>
                <w:rtl/>
              </w:rPr>
              <w:t>0.341</w:t>
            </w:r>
          </w:p>
        </w:tc>
      </w:tr>
    </w:tbl>
    <w:p w14:paraId="5BB4FABA" w14:textId="77777777" w:rsidR="00E4583A" w:rsidRDefault="00000000">
      <w:pPr>
        <w:bidi/>
        <w:spacing w:after="0" w:line="360" w:lineRule="auto"/>
        <w:jc w:val="center"/>
      </w:pPr>
      <w:r>
        <w:rPr>
          <w:rFonts w:ascii="Traditional Arabic" w:eastAsia="Simplified Arabic" w:hAnsi="Traditional Arabic" w:cs="Traditional Arabic"/>
          <w:b/>
          <w:bCs/>
          <w:sz w:val="24"/>
          <w:szCs w:val="24"/>
          <w:rtl/>
        </w:rPr>
        <w:t>جدول (4.30): نتائج نموذج الانحدار المنقّح الثاني (المتغير التابع: كفاءة العمليات المالية)</w:t>
      </w:r>
    </w:p>
    <w:p w14:paraId="49039513" w14:textId="77777777" w:rsidR="00E4583A" w:rsidRDefault="00000000">
      <w:pPr>
        <w:bidi/>
        <w:spacing w:after="0" w:line="360" w:lineRule="auto"/>
        <w:jc w:val="both"/>
      </w:pPr>
      <w:r>
        <w:rPr>
          <w:rFonts w:ascii="Traditional Arabic" w:eastAsia="Simplified Arabic" w:hAnsi="Traditional Arabic" w:cs="Traditional Arabic"/>
          <w:sz w:val="28"/>
          <w:szCs w:val="28"/>
          <w:rtl/>
        </w:rPr>
        <w:t>بلغ معامل التحديد (R²) للنموذج (0.308)، أي أن المتغيرين المستقلين يفسّران نحو (30.8%) من التباين في كفاءة العمليات المالية، وجاء النموذج ككل دالاً إحصائياً (F = 43.038، p &lt; 0.001)، غير أن أثر بُعد الامتثال للمعايير الدولية تحديداً لم يصل إلى الدلالة الإحصائية في هذا النموذج، ما يشير إلى أن أثره على كفاءة العمليات المالية يكون غالباً بشكل غير مباشر عبر تعزيز الأمن السيبراني المؤسسي.</w:t>
      </w:r>
    </w:p>
    <w:p w14:paraId="297ADC23" w14:textId="77777777" w:rsidR="00E4583A" w:rsidRDefault="00E4583A">
      <w:pPr>
        <w:bidi/>
        <w:spacing w:after="0" w:line="240" w:lineRule="auto"/>
      </w:pPr>
    </w:p>
    <w:p w14:paraId="695BE335" w14:textId="77777777" w:rsidR="00E4583A" w:rsidRDefault="00000000">
      <w:pPr>
        <w:pStyle w:val="HeadingTOCEntry"/>
        <w:bidi/>
        <w:spacing w:after="0" w:line="360" w:lineRule="auto"/>
        <w:ind w:left="432" w:hanging="432"/>
        <w:rPr>
          <w:rFonts w:ascii="Simplified Arabic" w:hAnsi="Simplified Arabic" w:cs="Simplified Arabic"/>
          <w:b/>
          <w:bCs/>
          <w:sz w:val="28"/>
          <w:szCs w:val="28"/>
          <w:u w:val="single"/>
        </w:rPr>
      </w:pPr>
      <w:r>
        <w:rPr>
          <w:rFonts w:ascii="Traditional Arabic" w:eastAsia="Simplified Arabic" w:hAnsi="Traditional Arabic" w:cs="Traditional Arabic"/>
          <w:b/>
          <w:bCs/>
          <w:sz w:val="32"/>
          <w:szCs w:val="32"/>
          <w:u w:val="single"/>
          <w:rtl/>
        </w:rPr>
        <w:t>سابعاً: تلخيص نتائج الفصل</w:t>
      </w:r>
    </w:p>
    <w:p w14:paraId="052866D0" w14:textId="77777777" w:rsidR="00E4583A" w:rsidRDefault="00000000">
      <w:pPr>
        <w:bidi/>
        <w:spacing w:after="0" w:line="360" w:lineRule="auto"/>
        <w:jc w:val="both"/>
      </w:pPr>
      <w:r>
        <w:rPr>
          <w:rFonts w:ascii="Traditional Arabic" w:eastAsia="Simplified Arabic" w:hAnsi="Traditional Arabic" w:cs="Traditional Arabic"/>
          <w:sz w:val="28"/>
          <w:szCs w:val="28"/>
          <w:rtl/>
        </w:rPr>
        <w:t>توصلت الدراسة الميدانية، بالاعتماد على عينة قوامها (196) استجابة، إلى النتائج الآتية:</w:t>
      </w:r>
    </w:p>
    <w:p w14:paraId="79FCE505" w14:textId="77777777" w:rsidR="00E4583A" w:rsidRDefault="00000000">
      <w:pPr>
        <w:bidi/>
        <w:spacing w:after="0" w:line="360" w:lineRule="auto"/>
        <w:jc w:val="both"/>
      </w:pPr>
      <w:r>
        <w:rPr>
          <w:rFonts w:ascii="Traditional Arabic" w:eastAsia="Simplified Arabic" w:hAnsi="Traditional Arabic" w:cs="Traditional Arabic"/>
          <w:sz w:val="28"/>
          <w:szCs w:val="28"/>
          <w:rtl/>
        </w:rPr>
        <w:t>- جاءت مستويات الاستجابة على أبعاد تطبيق تقنية الترميز والامتثال للمعايير الدولية والأمن السيبراني المؤسسي وكفاءة العمليات المالية جميعها ضمن المستوى المرتفع أو قريباً منه، في حين جاء بُعد تحديات تطبيق تقنية الترميز عند مستوى متوسط.</w:t>
      </w:r>
    </w:p>
    <w:p w14:paraId="75EAD824" w14:textId="77777777" w:rsidR="00E4583A" w:rsidRDefault="00000000">
      <w:pPr>
        <w:bidi/>
        <w:spacing w:after="0" w:line="360" w:lineRule="auto"/>
        <w:jc w:val="both"/>
      </w:pPr>
      <w:r>
        <w:rPr>
          <w:rFonts w:ascii="Traditional Arabic" w:eastAsia="Simplified Arabic" w:hAnsi="Traditional Arabic" w:cs="Traditional Arabic"/>
          <w:sz w:val="28"/>
          <w:szCs w:val="28"/>
          <w:rtl/>
        </w:rPr>
        <w:t>- تمتعت أداة الدراسة بدرجة ثبات مرتفعة، إذ بلغ معامل ألفا كرونباخ الكلي (0.873).</w:t>
      </w:r>
    </w:p>
    <w:p w14:paraId="4D72C980" w14:textId="77777777" w:rsidR="00E4583A" w:rsidRDefault="00000000">
      <w:pPr>
        <w:bidi/>
        <w:spacing w:after="0" w:line="360" w:lineRule="auto"/>
        <w:jc w:val="both"/>
      </w:pPr>
      <w:r>
        <w:rPr>
          <w:rFonts w:ascii="Traditional Arabic" w:eastAsia="Simplified Arabic" w:hAnsi="Traditional Arabic" w:cs="Traditional Arabic"/>
          <w:sz w:val="28"/>
          <w:szCs w:val="28"/>
          <w:rtl/>
        </w:rPr>
        <w:t>- أثبتت النتائج صحة الفرض H1: يوجد أثر موجب ودال إحصائياً لتطبيق تقنية الترميز والامتثال للمعايير الدولية على الأمن السيبراني المؤسسي.</w:t>
      </w:r>
    </w:p>
    <w:p w14:paraId="47A9070B" w14:textId="77777777" w:rsidR="00E4583A" w:rsidRDefault="00000000">
      <w:pPr>
        <w:bidi/>
        <w:spacing w:after="0" w:line="360" w:lineRule="auto"/>
        <w:jc w:val="both"/>
      </w:pPr>
      <w:r>
        <w:rPr>
          <w:rFonts w:ascii="Traditional Arabic" w:eastAsia="Simplified Arabic" w:hAnsi="Traditional Arabic" w:cs="Traditional Arabic"/>
          <w:sz w:val="28"/>
          <w:szCs w:val="28"/>
          <w:rtl/>
        </w:rPr>
        <w:t>- أثبتت النتائج صحة الفرض H2 جزئياً: أثر تطبيق تقنية الترميز على كفاءة العمليات المالية دالّ إحصائياً، في حين لم يبلغ أثر الامتثال للمعايير الدولية عليها الدلالة الإحصائية بشكل مباشر.</w:t>
      </w:r>
    </w:p>
    <w:p w14:paraId="3A801F24" w14:textId="77777777" w:rsidR="00E4583A" w:rsidRDefault="00000000">
      <w:pPr>
        <w:bidi/>
        <w:spacing w:after="0" w:line="360" w:lineRule="auto"/>
        <w:jc w:val="both"/>
      </w:pPr>
      <w:r>
        <w:rPr>
          <w:rFonts w:ascii="Traditional Arabic" w:eastAsia="Simplified Arabic" w:hAnsi="Traditional Arabic" w:cs="Traditional Arabic"/>
          <w:sz w:val="28"/>
          <w:szCs w:val="28"/>
          <w:rtl/>
        </w:rPr>
        <w:lastRenderedPageBreak/>
        <w:t>- لم تظهر فروق دالة إحصائياً تُعزى إلى نوع المؤسسة (H3) أو سنوات الخبرة (H4) أو المستوى الوظيفي (H5) أو المؤهل العلمي (H6)، وهو ما يشير إلى أن إدراك أفراد العينة لأبعاد الدراسة متجانس نسبياً عبر هذه الفئات.</w:t>
      </w:r>
    </w:p>
    <w:p w14:paraId="6037825D" w14:textId="77777777" w:rsidR="00E4583A" w:rsidRDefault="00000000">
      <w:pPr>
        <w:bidi/>
        <w:spacing w:after="0" w:line="360" w:lineRule="auto"/>
        <w:jc w:val="both"/>
      </w:pPr>
      <w:r>
        <w:rPr>
          <w:rFonts w:ascii="Traditional Arabic" w:eastAsia="Simplified Arabic" w:hAnsi="Traditional Arabic" w:cs="Traditional Arabic"/>
          <w:sz w:val="28"/>
          <w:szCs w:val="28"/>
          <w:rtl/>
        </w:rPr>
        <w:t>- أظهر الفرض H7 فروقاً دالة إحصائياً تُعزى إلى مجال التخصص في متغير الأمن السيبراني المؤسسي تحديداً، لصالح فئة صغيرة العدد (أخرى)، وهو ما يستدعي تفسيراً حذراً.</w:t>
      </w:r>
    </w:p>
    <w:p w14:paraId="4C912544" w14:textId="77777777" w:rsidR="00E4583A" w:rsidRDefault="00E4583A">
      <w:pPr>
        <w:bidi/>
        <w:spacing w:after="0" w:line="240" w:lineRule="auto"/>
      </w:pPr>
    </w:p>
    <w:p w14:paraId="774F88BA" w14:textId="77777777" w:rsidR="00E4583A" w:rsidRDefault="00000000">
      <w:pPr>
        <w:bidi/>
        <w:spacing w:after="0" w:line="360" w:lineRule="auto"/>
        <w:jc w:val="both"/>
      </w:pPr>
      <w:r>
        <w:rPr>
          <w:rFonts w:ascii="Traditional Arabic" w:eastAsia="Simplified Arabic" w:hAnsi="Traditional Arabic" w:cs="Traditional Arabic"/>
          <w:b/>
          <w:bCs/>
          <w:sz w:val="28"/>
          <w:szCs w:val="28"/>
          <w:rtl/>
        </w:rPr>
        <w:t>الضوابط العلمية والمنهجية للفصل</w:t>
      </w:r>
    </w:p>
    <w:p w14:paraId="413D3E68" w14:textId="77777777" w:rsidR="00E4583A" w:rsidRDefault="00000000">
      <w:pPr>
        <w:bidi/>
        <w:spacing w:after="0" w:line="360" w:lineRule="auto"/>
        <w:jc w:val="both"/>
      </w:pPr>
      <w:r>
        <w:rPr>
          <w:rFonts w:ascii="Traditional Arabic" w:eastAsia="Simplified Arabic" w:hAnsi="Traditional Arabic" w:cs="Traditional Arabic"/>
          <w:sz w:val="28"/>
          <w:szCs w:val="28"/>
          <w:rtl/>
        </w:rPr>
        <w:t>التزم الباحث في هذا الفصل بعرض جميع النتائج كما أسفر عنها التحليل الإحصائي دون انتقاء، بما في ذلك النتائج غير الدالة إحصائياً لفروض الفروق. واعتمد الباحث مستوى دلالة (0.05) معياراً لقبول الفروض أو رفضها في جميع الاختبارات.</w:t>
      </w:r>
    </w:p>
    <w:p w14:paraId="658FF8EA" w14:textId="77777777" w:rsidR="00E4583A" w:rsidRDefault="00E4583A">
      <w:pPr>
        <w:bidi/>
        <w:spacing w:after="0" w:line="240" w:lineRule="auto"/>
      </w:pPr>
    </w:p>
    <w:p w14:paraId="5F4D20BE" w14:textId="77777777" w:rsidR="00E4583A" w:rsidRDefault="00000000">
      <w:pPr>
        <w:bidi/>
        <w:spacing w:after="0" w:line="360" w:lineRule="auto"/>
        <w:jc w:val="both"/>
      </w:pPr>
      <w:r>
        <w:rPr>
          <w:rFonts w:ascii="Traditional Arabic" w:eastAsia="Simplified Arabic" w:hAnsi="Traditional Arabic" w:cs="Traditional Arabic"/>
          <w:b/>
          <w:bCs/>
          <w:sz w:val="28"/>
          <w:szCs w:val="28"/>
          <w:rtl/>
        </w:rPr>
        <w:t>محددات الفصل وحدود التحليل الإحصائي:</w:t>
      </w:r>
    </w:p>
    <w:p w14:paraId="2CEDFCE8" w14:textId="77777777" w:rsidR="00E4583A" w:rsidRDefault="00000000">
      <w:pPr>
        <w:bidi/>
        <w:spacing w:after="0" w:line="360" w:lineRule="auto"/>
        <w:jc w:val="both"/>
      </w:pPr>
      <w:r>
        <w:rPr>
          <w:rFonts w:ascii="Traditional Arabic" w:eastAsia="Simplified Arabic" w:hAnsi="Traditional Arabic" w:cs="Traditional Arabic"/>
          <w:sz w:val="28"/>
          <w:szCs w:val="28"/>
          <w:rtl/>
        </w:rPr>
        <w:t>- اعتمد التحليل على أسلوب المعاينة القصدية (غير الاحتمالية)، ما يحدّ من إمكانية تعميم النتائج على مجتمع الدراسة بالكامل.</w:t>
      </w:r>
    </w:p>
    <w:p w14:paraId="410C08A1" w14:textId="77777777" w:rsidR="00E4583A" w:rsidRDefault="00000000">
      <w:pPr>
        <w:bidi/>
        <w:spacing w:after="0" w:line="360" w:lineRule="auto"/>
        <w:jc w:val="both"/>
      </w:pPr>
      <w:r>
        <w:rPr>
          <w:rFonts w:ascii="Traditional Arabic" w:eastAsia="Simplified Arabic" w:hAnsi="Traditional Arabic" w:cs="Traditional Arabic"/>
          <w:sz w:val="28"/>
          <w:szCs w:val="28"/>
          <w:rtl/>
        </w:rPr>
        <w:t>- تعتمد النتائج على استجابات ذاتية (Self-reported) لأفراد العينة، وقد تتأثر بتحيز الاستجابة الاجتماعية المرغوبة.</w:t>
      </w:r>
    </w:p>
    <w:p w14:paraId="05B3D2BF" w14:textId="77777777" w:rsidR="00E4583A" w:rsidRDefault="00000000">
      <w:pPr>
        <w:bidi/>
        <w:spacing w:after="0" w:line="360" w:lineRule="auto"/>
        <w:jc w:val="both"/>
      </w:pPr>
      <w:r>
        <w:rPr>
          <w:rFonts w:ascii="Traditional Arabic" w:eastAsia="Simplified Arabic" w:hAnsi="Traditional Arabic" w:cs="Traditional Arabic"/>
          <w:sz w:val="28"/>
          <w:szCs w:val="28"/>
          <w:rtl/>
        </w:rPr>
        <w:t>- جاء حجم بعض الفئات الفرعية للمتغيرات الضابطة (مثل فئة "أخرى" في مجال التخصص) صغيراً نسبياً، ما يستدعي الحذر في تفسير الفروق المرتبطة بها وعدم تعميمها.</w:t>
      </w:r>
    </w:p>
    <w:p w14:paraId="5EA89D16" w14:textId="77777777" w:rsidR="00E4583A" w:rsidRDefault="00000000">
      <w:pPr>
        <w:bidi/>
        <w:spacing w:after="0" w:line="360" w:lineRule="auto"/>
        <w:jc w:val="both"/>
      </w:pPr>
      <w:r>
        <w:rPr>
          <w:rFonts w:ascii="Traditional Arabic" w:eastAsia="Simplified Arabic" w:hAnsi="Traditional Arabic" w:cs="Traditional Arabic"/>
          <w:sz w:val="28"/>
          <w:szCs w:val="28"/>
          <w:rtl/>
        </w:rPr>
        <w:t>- اقتصر قياس متغيرات الدراسة على أداة استقصاء ذاتية في نقطة زمنية واحدة (Cross-sectional)، ولم تُختبَر العلاقات السببية عبر الزمن.</w:t>
      </w:r>
    </w:p>
    <w:p w14:paraId="059F3B93" w14:textId="77777777" w:rsidR="00E4583A" w:rsidRDefault="00E4583A">
      <w:pPr>
        <w:bidi/>
        <w:spacing w:after="0" w:line="240" w:lineRule="auto"/>
      </w:pPr>
    </w:p>
    <w:p w14:paraId="48BD1D11" w14:textId="77777777" w:rsidR="00B35152" w:rsidRPr="00C95436" w:rsidRDefault="00B35152" w:rsidP="00BC6B7C">
      <w:pPr>
        <w:pStyle w:val="HeadingTOCEntry"/>
        <w:bidi/>
        <w:spacing w:after="0" w:line="240" w:lineRule="auto"/>
        <w:jc w:val="center"/>
        <w:rPr>
          <w:rFonts w:ascii="Sakkal Majalla" w:hAnsi="Sakkal Majalla" w:cs="Sakkal Majalla"/>
          <w:b/>
          <w:bCs/>
          <w:sz w:val="28"/>
          <w:szCs w:val="28"/>
          <w:u w:val="single"/>
        </w:rPr>
      </w:pPr>
      <w:r>
        <w:rPr>
          <w:rFonts w:ascii="Sakkal Majalla" w:hAnsi="Sakkal Majalla" w:cs="Sakkal Majalla"/>
          <w:b/>
          <w:bCs/>
          <w:sz w:val="32"/>
          <w:szCs w:val="32"/>
          <w:u w:val="single"/>
          <w:rtl/>
        </w:rPr>
        <w:t>ملحق (1)</w:t>
      </w:r>
    </w:p>
    <w:p w14:paraId="1A10E487" w14:textId="77777777" w:rsidR="00B35152" w:rsidRPr="00C95436" w:rsidRDefault="00B35152" w:rsidP="00595FEB">
      <w:pPr>
        <w:bidi/>
        <w:spacing w:after="0" w:line="240" w:lineRule="auto"/>
        <w:jc w:val="center"/>
        <w:rPr>
          <w:rFonts w:ascii="Sakkal Majalla" w:hAnsi="Sakkal Majalla" w:cs="Sakkal Majalla"/>
          <w:sz w:val="28"/>
          <w:szCs w:val="28"/>
        </w:rPr>
      </w:pPr>
      <w:r>
        <w:rPr>
          <w:rFonts w:ascii="Sakkal Majalla" w:hAnsi="Sakkal Majalla" w:cs="Sakkal Majalla"/>
          <w:sz w:val="24"/>
          <w:szCs w:val="24"/>
          <w:rtl/>
        </w:rPr>
        <w:t>استبانة الدراسة</w:t>
      </w:r>
    </w:p>
    <w:p w14:paraId="151BD03C" w14:textId="77777777" w:rsidR="00B35152" w:rsidRPr="00C95436" w:rsidRDefault="00B35152" w:rsidP="00BC6B7C">
      <w:pPr>
        <w:bidi/>
        <w:spacing w:after="0" w:line="240" w:lineRule="auto"/>
        <w:jc w:val="both"/>
        <w:rPr>
          <w:rFonts w:ascii="Sakkal Majalla" w:hAnsi="Sakkal Majalla" w:cs="Sakkal Majalla"/>
          <w:sz w:val="28"/>
          <w:szCs w:val="28"/>
        </w:rPr>
      </w:pPr>
    </w:p>
    <w:p w14:paraId="67104252" w14:textId="77777777" w:rsidR="00B35152" w:rsidRPr="00C95436" w:rsidRDefault="00B35152" w:rsidP="00BC6B7C">
      <w:pPr>
        <w:bidi/>
        <w:spacing w:after="0" w:line="240" w:lineRule="auto"/>
        <w:jc w:val="both"/>
        <w:rPr>
          <w:rFonts w:ascii="Sakkal Majalla" w:hAnsi="Sakkal Majalla" w:cs="Sakkal Majalla"/>
          <w:sz w:val="28"/>
          <w:szCs w:val="28"/>
        </w:rPr>
      </w:pPr>
      <w:r>
        <w:rPr>
          <w:rFonts w:ascii="Sakkal Majalla" w:hAnsi="Sakkal Majalla" w:cs="Sakkal Majalla"/>
          <w:sz w:val="24"/>
          <w:szCs w:val="24"/>
          <w:rtl/>
        </w:rPr>
        <w:t>الأخ/الأخت الكريم/ة،</w:t>
      </w:r>
    </w:p>
    <w:p w14:paraId="75CD2A4A" w14:textId="77777777" w:rsidR="00B35152" w:rsidRPr="00C95436" w:rsidRDefault="00B35152" w:rsidP="00BC6B7C">
      <w:pPr>
        <w:bidi/>
        <w:spacing w:after="0" w:line="240" w:lineRule="auto"/>
        <w:jc w:val="both"/>
        <w:rPr>
          <w:rFonts w:ascii="Sakkal Majalla" w:hAnsi="Sakkal Majalla" w:cs="Sakkal Majalla"/>
          <w:sz w:val="28"/>
          <w:szCs w:val="28"/>
        </w:rPr>
      </w:pPr>
      <w:r>
        <w:rPr>
          <w:rFonts w:ascii="Sakkal Majalla" w:hAnsi="Sakkal Majalla" w:cs="Sakkal Majalla"/>
          <w:sz w:val="24"/>
          <w:szCs w:val="24"/>
          <w:rtl/>
        </w:rPr>
        <w:t>السلام عليكم ورحمة الله وبركاته،</w:t>
      </w:r>
    </w:p>
    <w:p w14:paraId="5ADC454E" w14:textId="77777777" w:rsidR="00B35152" w:rsidRPr="00C95436" w:rsidRDefault="00B35152" w:rsidP="00BC6B7C">
      <w:pPr>
        <w:bidi/>
        <w:spacing w:after="0" w:line="240" w:lineRule="auto"/>
        <w:jc w:val="both"/>
        <w:rPr>
          <w:rFonts w:ascii="Sakkal Majalla" w:hAnsi="Sakkal Majalla" w:cs="Sakkal Majalla"/>
          <w:sz w:val="28"/>
          <w:szCs w:val="28"/>
        </w:rPr>
      </w:pPr>
      <w:r>
        <w:rPr>
          <w:rFonts w:ascii="Sakkal Majalla" w:hAnsi="Sakkal Majalla" w:cs="Sakkal Majalla"/>
          <w:sz w:val="24"/>
          <w:szCs w:val="24"/>
          <w:rtl/>
        </w:rPr>
        <w:t>يسعدني أن أضع بين يديكم هذه الاستبانة التي صُمِّمت لأغراض البحث العلمي في إطار أطروحة دكتوراه بعنوان:</w:t>
      </w:r>
    </w:p>
    <w:p w14:paraId="4F5B94E1" w14:textId="77777777" w:rsidR="00B35152" w:rsidRPr="00C95436" w:rsidRDefault="00B35152" w:rsidP="00BC6B7C">
      <w:pPr>
        <w:bidi/>
        <w:spacing w:after="0" w:line="240" w:lineRule="auto"/>
        <w:jc w:val="both"/>
        <w:rPr>
          <w:rFonts w:ascii="Sakkal Majalla" w:hAnsi="Sakkal Majalla" w:cs="Sakkal Majalla"/>
          <w:sz w:val="28"/>
          <w:szCs w:val="28"/>
        </w:rPr>
      </w:pPr>
      <w:r>
        <w:rPr>
          <w:rFonts w:ascii="Sakkal Majalla" w:hAnsi="Sakkal Majalla" w:cs="Sakkal Majalla"/>
          <w:sz w:val="24"/>
          <w:szCs w:val="24"/>
          <w:rtl/>
        </w:rPr>
        <w:lastRenderedPageBreak/>
        <w:t>"أثر تقنية الترميز على الأمن السيبراني وكفاءة العمليات المالية في المؤسسات السعودية - دراسة تحليلية"</w:t>
      </w:r>
    </w:p>
    <w:p w14:paraId="076B69E3" w14:textId="77777777" w:rsidR="00B35152" w:rsidRPr="00C95436" w:rsidRDefault="00B35152" w:rsidP="00BC6B7C">
      <w:pPr>
        <w:bidi/>
        <w:spacing w:after="0" w:line="240" w:lineRule="auto"/>
        <w:jc w:val="both"/>
        <w:rPr>
          <w:rFonts w:ascii="Sakkal Majalla" w:hAnsi="Sakkal Majalla" w:cs="Sakkal Majalla"/>
          <w:sz w:val="28"/>
          <w:szCs w:val="28"/>
        </w:rPr>
      </w:pPr>
      <w:r>
        <w:rPr>
          <w:rFonts w:ascii="Sakkal Majalla" w:hAnsi="Sakkal Majalla" w:cs="Sakkal Majalla"/>
          <w:sz w:val="24"/>
          <w:szCs w:val="24"/>
          <w:rtl/>
        </w:rPr>
        <w:t>أرجو التكرم بالإجابة على جميع الأسئلة بدقة وموضوعية، علماً بأن البيانات ستُستخدَم لأغراض البحث العلمي فقط وستُعامَل بسرية تامة. المشاركة طوعية ويمكنكم الانسحاب في أي وقت.</w:t>
      </w:r>
    </w:p>
    <w:p w14:paraId="3EC9DD64" w14:textId="77777777" w:rsidR="00B35152" w:rsidRPr="00C95436" w:rsidRDefault="00B35152" w:rsidP="00BC6B7C">
      <w:pPr>
        <w:bidi/>
        <w:spacing w:after="0" w:line="240" w:lineRule="auto"/>
        <w:jc w:val="both"/>
        <w:rPr>
          <w:rFonts w:ascii="Sakkal Majalla" w:hAnsi="Sakkal Majalla" w:cs="Sakkal Majalla"/>
          <w:sz w:val="28"/>
          <w:szCs w:val="28"/>
        </w:rPr>
      </w:pPr>
      <w:r>
        <w:rPr>
          <w:rFonts w:ascii="Sakkal Majalla" w:hAnsi="Sakkal Majalla" w:cs="Sakkal Majalla"/>
          <w:sz w:val="24"/>
          <w:szCs w:val="24"/>
          <w:rtl/>
        </w:rPr>
        <w:t>وتقبّلوا خالص الشكر والتقدير،</w:t>
      </w:r>
    </w:p>
    <w:p w14:paraId="613F1A72" w14:textId="77777777" w:rsidR="00B35152" w:rsidRPr="00C95436" w:rsidRDefault="00B35152" w:rsidP="00BC6B7C">
      <w:pPr>
        <w:bidi/>
        <w:spacing w:after="0" w:line="240" w:lineRule="auto"/>
        <w:jc w:val="both"/>
        <w:rPr>
          <w:rFonts w:ascii="Sakkal Majalla" w:hAnsi="Sakkal Majalla" w:cs="Sakkal Majalla"/>
          <w:sz w:val="28"/>
          <w:szCs w:val="28"/>
        </w:rPr>
      </w:pPr>
      <w:r>
        <w:rPr>
          <w:rFonts w:ascii="Sakkal Majalla" w:hAnsi="Sakkal Majalla" w:cs="Sakkal Majalla"/>
          <w:sz w:val="24"/>
          <w:szCs w:val="24"/>
          <w:rtl/>
        </w:rPr>
        <w:t>الباحث</w:t>
      </w:r>
    </w:p>
    <w:p w14:paraId="4CE66E71" w14:textId="77777777" w:rsidR="00B35152" w:rsidRPr="00C95436" w:rsidRDefault="00B35152" w:rsidP="00BC6B7C">
      <w:pPr>
        <w:bidi/>
        <w:spacing w:after="0" w:line="240" w:lineRule="auto"/>
        <w:jc w:val="both"/>
        <w:rPr>
          <w:rFonts w:ascii="Sakkal Majalla" w:hAnsi="Sakkal Majalla" w:cs="Sakkal Majalla"/>
          <w:sz w:val="28"/>
          <w:szCs w:val="28"/>
        </w:rPr>
      </w:pPr>
    </w:p>
    <w:p w14:paraId="3F27B586" w14:textId="77777777" w:rsidR="00B35152" w:rsidRPr="00C95436" w:rsidRDefault="00B35152" w:rsidP="00BC6B7C">
      <w:pPr>
        <w:bidi/>
        <w:spacing w:after="0" w:line="240" w:lineRule="auto"/>
        <w:jc w:val="both"/>
        <w:rPr>
          <w:rFonts w:ascii="Sakkal Majalla" w:hAnsi="Sakkal Majalla" w:cs="Sakkal Majalla"/>
          <w:sz w:val="28"/>
          <w:szCs w:val="28"/>
        </w:rPr>
      </w:pPr>
      <w:r>
        <w:rPr>
          <w:rFonts w:ascii="Sakkal Majalla" w:hAnsi="Sakkal Majalla" w:cs="Sakkal Majalla"/>
          <w:sz w:val="24"/>
          <w:szCs w:val="24"/>
          <w:rtl/>
        </w:rPr>
        <w:t>القسم الأول: البيانات الديموغرافية والوظيفية</w:t>
      </w:r>
    </w:p>
    <w:p w14:paraId="716BB2AA" w14:textId="77777777" w:rsidR="00B35152" w:rsidRPr="00D42B86" w:rsidRDefault="00B35152" w:rsidP="00BC6B7C">
      <w:pPr>
        <w:bidi/>
        <w:spacing w:after="0" w:line="240" w:lineRule="auto"/>
        <w:rPr>
          <w:rFonts w:ascii="Sakkal Majalla" w:hAnsi="Sakkal Majalla" w:cs="Sakkal Majalla"/>
          <w:sz w:val="24"/>
          <w:szCs w:val="24"/>
        </w:rPr>
      </w:pPr>
      <w:r>
        <w:rPr>
          <w:rFonts w:ascii="Sakkal Majalla" w:hAnsi="Sakkal Majalla" w:cs="Sakkal Majalla"/>
          <w:sz w:val="24"/>
          <w:szCs w:val="24"/>
          <w:rtl/>
        </w:rPr>
        <w:t>يرجى وضع علامة (</w:t>
      </w:r>
      <w:r>
        <w:rPr>
          <w:rFonts w:ascii="Segoe UI Symbol" w:hAnsi="Segoe UI Symbol" w:cs="Segoe UI Symbol" w:hint="cs"/>
          <w:sz w:val="24"/>
          <w:szCs w:val="24"/>
          <w:rtl/>
        </w:rPr>
        <w:t>✓</w:t>
      </w:r>
      <w:r>
        <w:rPr>
          <w:rFonts w:ascii="Sakkal Majalla" w:hAnsi="Sakkal Majalla" w:cs="Sakkal Majalla"/>
          <w:sz w:val="24"/>
          <w:szCs w:val="24"/>
          <w:rtl/>
        </w:rPr>
        <w:t>) في المكان المناسب:</w:t>
      </w:r>
    </w:p>
    <w:tbl>
      <w:tblPr>
        <w:tblStyle w:val="4-1"/>
        <w:bidiVisual/>
        <w:tblW w:w="4995" w:type="pct"/>
        <w:tblInd w:w="5" w:type="dxa"/>
        <w:tblLook w:val="04A0" w:firstRow="1" w:lastRow="0" w:firstColumn="1" w:lastColumn="0" w:noHBand="0" w:noVBand="1"/>
      </w:tblPr>
      <w:tblGrid>
        <w:gridCol w:w="4295"/>
        <w:gridCol w:w="3993"/>
      </w:tblGrid>
      <w:tr w:rsidR="00D42B86" w:rsidRPr="00C95436" w14:paraId="1F8BB9B7" w14:textId="77777777" w:rsidTr="00D916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91" w:type="pct"/>
            <w:vAlign w:val="center"/>
          </w:tcPr>
          <w:p w14:paraId="4BB20D8E" w14:textId="77777777" w:rsidR="00000000" w:rsidRPr="00C95436" w:rsidRDefault="00000000" w:rsidP="00BC6B7C">
            <w:pPr>
              <w:bidi/>
              <w:spacing w:after="0" w:line="240" w:lineRule="auto"/>
              <w:jc w:val="center"/>
              <w:rPr>
                <w:rFonts w:ascii="Sakkal Majalla" w:hAnsi="Sakkal Majalla" w:cs="Sakkal Majalla"/>
                <w:sz w:val="24"/>
                <w:szCs w:val="24"/>
              </w:rPr>
            </w:pPr>
            <w:r>
              <w:rPr>
                <w:rFonts w:ascii="Sakkal Majalla" w:hAnsi="Sakkal Majalla" w:cs="Sakkal Majalla"/>
                <w:rtl/>
              </w:rPr>
              <w:t>السؤال</w:t>
            </w:r>
          </w:p>
        </w:tc>
        <w:tc>
          <w:tcPr>
            <w:tcW w:w="2409" w:type="pct"/>
          </w:tcPr>
          <w:p w14:paraId="08BEECB6" w14:textId="77777777" w:rsidR="00000000" w:rsidRPr="00C95436" w:rsidRDefault="00000000"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rtl/>
              </w:rPr>
            </w:pPr>
            <w:r>
              <w:rPr>
                <w:rFonts w:ascii="Sakkal Majalla" w:hAnsi="Sakkal Majalla" w:cs="Sakkal Majalla"/>
                <w:rtl/>
              </w:rPr>
              <w:t>الخيارات</w:t>
            </w:r>
          </w:p>
        </w:tc>
      </w:tr>
      <w:tr w:rsidR="00D916A2" w:rsidRPr="00C95436" w14:paraId="1B73C2B9" w14:textId="77777777" w:rsidTr="00D9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91" w:type="pct"/>
            <w:vAlign w:val="center"/>
          </w:tcPr>
          <w:p w14:paraId="4E6072C7" w14:textId="77777777" w:rsidR="00000000" w:rsidRPr="00D916A2" w:rsidRDefault="00000000" w:rsidP="00BC6B7C">
            <w:pPr>
              <w:tabs>
                <w:tab w:val="num" w:pos="907"/>
              </w:tabs>
              <w:bidi/>
              <w:spacing w:after="0" w:line="240" w:lineRule="auto"/>
              <w:ind w:left="7"/>
              <w:rPr>
                <w:rFonts w:ascii="Sakkal Majalla" w:hAnsi="Sakkal Majalla" w:cs="Sakkal Majalla"/>
                <w:sz w:val="24"/>
                <w:szCs w:val="24"/>
              </w:rPr>
            </w:pPr>
            <w:r>
              <w:rPr>
                <w:rFonts w:ascii="Sakkal Majalla" w:hAnsi="Sakkal Majalla" w:cs="Sakkal Majalla"/>
                <w:rtl/>
              </w:rPr>
              <w:t>1. نوع المؤسسة التي تعمل بها</w:t>
            </w:r>
          </w:p>
        </w:tc>
        <w:tc>
          <w:tcPr>
            <w:tcW w:w="2409" w:type="pct"/>
          </w:tcPr>
          <w:p w14:paraId="65201934" w14:textId="77777777" w:rsidR="00000000" w:rsidRPr="00D916A2" w:rsidRDefault="00000000" w:rsidP="00BC6B7C">
            <w:pPr>
              <w:tabs>
                <w:tab w:val="num" w:pos="907"/>
              </w:tabs>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Pr>
                <w:rFonts w:ascii="Segoe UI Symbol" w:hAnsi="Segoe UI Symbol" w:cs="Segoe UI Symbol"/>
              </w:rPr>
              <w:t>☐</w:t>
            </w:r>
            <w:r>
              <w:rPr>
                <w:rFonts w:ascii="Sakkal Majalla" w:hAnsi="Sakkal Majalla" w:cs="Sakkal Majalla"/>
              </w:rPr>
              <w:t xml:space="preserve"> </w:t>
            </w:r>
            <w:r>
              <w:rPr>
                <w:rFonts w:ascii="Sakkal Majalla" w:hAnsi="Sakkal Majalla" w:cs="Sakkal Majalla"/>
                <w:rtl/>
              </w:rPr>
              <w:t xml:space="preserve">بنك تجاري تقليدي  </w:t>
            </w:r>
            <w:r>
              <w:rPr>
                <w:rFonts w:ascii="Segoe UI Symbol" w:hAnsi="Segoe UI Symbol" w:cs="Segoe UI Symbol" w:hint="cs"/>
                <w:rtl/>
              </w:rPr>
              <w:t>☐</w:t>
            </w:r>
            <w:r>
              <w:rPr>
                <w:rFonts w:ascii="Sakkal Majalla" w:hAnsi="Sakkal Majalla" w:cs="Sakkal Majalla"/>
                <w:rtl/>
              </w:rPr>
              <w:t xml:space="preserve"> بنك رقمي  </w:t>
            </w:r>
            <w:r>
              <w:rPr>
                <w:rFonts w:ascii="Segoe UI Symbol" w:hAnsi="Segoe UI Symbol" w:cs="Segoe UI Symbol" w:hint="cs"/>
                <w:rtl/>
              </w:rPr>
              <w:t>☐</w:t>
            </w:r>
            <w:r>
              <w:rPr>
                <w:rFonts w:ascii="Sakkal Majalla" w:hAnsi="Sakkal Majalla" w:cs="Sakkal Majalla"/>
                <w:rtl/>
              </w:rPr>
              <w:t xml:space="preserve"> شركة تقنية مالية</w:t>
            </w:r>
            <w:r>
              <w:rPr>
                <w:rFonts w:ascii="Sakkal Majalla" w:hAnsi="Sakkal Majalla" w:cs="Sakkal Majalla"/>
              </w:rPr>
              <w:t xml:space="preserve"> (Fintech)</w:t>
            </w:r>
          </w:p>
        </w:tc>
      </w:tr>
      <w:tr w:rsidR="00D916A2" w:rsidRPr="00C95436" w14:paraId="2D708C96" w14:textId="77777777" w:rsidTr="00D916A2">
        <w:tc>
          <w:tcPr>
            <w:cnfStyle w:val="001000000000" w:firstRow="0" w:lastRow="0" w:firstColumn="1" w:lastColumn="0" w:oddVBand="0" w:evenVBand="0" w:oddHBand="0" w:evenHBand="0" w:firstRowFirstColumn="0" w:firstRowLastColumn="0" w:lastRowFirstColumn="0" w:lastRowLastColumn="0"/>
            <w:tcW w:w="2591" w:type="pct"/>
            <w:vAlign w:val="center"/>
          </w:tcPr>
          <w:p w14:paraId="4301FD16" w14:textId="77777777" w:rsidR="00000000" w:rsidRPr="00C95436" w:rsidRDefault="00000000" w:rsidP="00BC6B7C">
            <w:pPr>
              <w:tabs>
                <w:tab w:val="num" w:pos="907"/>
              </w:tabs>
              <w:bidi/>
              <w:spacing w:after="0" w:line="240" w:lineRule="auto"/>
              <w:ind w:left="7"/>
              <w:rPr>
                <w:rFonts w:ascii="Sakkal Majalla" w:hAnsi="Sakkal Majalla" w:cs="Sakkal Majalla"/>
                <w:sz w:val="24"/>
                <w:szCs w:val="24"/>
              </w:rPr>
            </w:pPr>
            <w:r>
              <w:rPr>
                <w:rFonts w:ascii="Sakkal Majalla" w:hAnsi="Sakkal Majalla" w:cs="Sakkal Majalla"/>
                <w:rtl/>
              </w:rPr>
              <w:t>2. سنوات خبرتك في المجال</w:t>
            </w:r>
          </w:p>
        </w:tc>
        <w:tc>
          <w:tcPr>
            <w:tcW w:w="2409" w:type="pct"/>
          </w:tcPr>
          <w:p w14:paraId="3E571294" w14:textId="77777777" w:rsidR="00000000" w:rsidRPr="00D916A2" w:rsidRDefault="00000000" w:rsidP="00BC6B7C">
            <w:pPr>
              <w:tabs>
                <w:tab w:val="num" w:pos="907"/>
              </w:tabs>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Pr>
                <w:rFonts w:ascii="Segoe UI Symbol" w:hAnsi="Segoe UI Symbol" w:cs="Segoe UI Symbol"/>
              </w:rPr>
              <w:t>☐</w:t>
            </w:r>
            <w:r>
              <w:rPr>
                <w:rFonts w:ascii="Sakkal Majalla" w:hAnsi="Sakkal Majalla" w:cs="Sakkal Majalla"/>
              </w:rPr>
              <w:t xml:space="preserve"> </w:t>
            </w:r>
            <w:r>
              <w:rPr>
                <w:rFonts w:ascii="Sakkal Majalla" w:hAnsi="Sakkal Majalla" w:cs="Sakkal Majalla"/>
                <w:rtl/>
              </w:rPr>
              <w:t xml:space="preserve">أقل من 3 سنوات  </w:t>
            </w:r>
            <w:r>
              <w:rPr>
                <w:rFonts w:ascii="Segoe UI Symbol" w:hAnsi="Segoe UI Symbol" w:cs="Segoe UI Symbol" w:hint="cs"/>
                <w:rtl/>
              </w:rPr>
              <w:t>☐</w:t>
            </w:r>
            <w:r>
              <w:rPr>
                <w:rFonts w:ascii="Sakkal Majalla" w:hAnsi="Sakkal Majalla" w:cs="Sakkal Majalla"/>
                <w:rtl/>
              </w:rPr>
              <w:t xml:space="preserve"> 3-6 سنوات  </w:t>
            </w:r>
            <w:r>
              <w:rPr>
                <w:rFonts w:ascii="Segoe UI Symbol" w:hAnsi="Segoe UI Symbol" w:cs="Segoe UI Symbol" w:hint="cs"/>
                <w:rtl/>
              </w:rPr>
              <w:t>☐</w:t>
            </w:r>
            <w:r>
              <w:rPr>
                <w:rFonts w:ascii="Sakkal Majalla" w:hAnsi="Sakkal Majalla" w:cs="Sakkal Majalla"/>
                <w:rtl/>
              </w:rPr>
              <w:t xml:space="preserve"> 7-10 سنوات  </w:t>
            </w:r>
            <w:r>
              <w:rPr>
                <w:rFonts w:ascii="Segoe UI Symbol" w:hAnsi="Segoe UI Symbol" w:cs="Segoe UI Symbol" w:hint="cs"/>
                <w:rtl/>
              </w:rPr>
              <w:t>☐</w:t>
            </w:r>
            <w:r>
              <w:rPr>
                <w:rFonts w:ascii="Sakkal Majalla" w:hAnsi="Sakkal Majalla" w:cs="Sakkal Majalla"/>
                <w:rtl/>
              </w:rPr>
              <w:t xml:space="preserve"> أكثر من 10 سنوات</w:t>
            </w:r>
          </w:p>
        </w:tc>
      </w:tr>
      <w:tr w:rsidR="00D916A2" w:rsidRPr="00C95436" w14:paraId="14E92E0C" w14:textId="77777777" w:rsidTr="00D9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91" w:type="pct"/>
            <w:vAlign w:val="center"/>
          </w:tcPr>
          <w:p w14:paraId="51CE21A5" w14:textId="77777777" w:rsidR="00000000" w:rsidRPr="00C95436" w:rsidRDefault="00000000" w:rsidP="00BC6B7C">
            <w:pPr>
              <w:tabs>
                <w:tab w:val="num" w:pos="907"/>
              </w:tabs>
              <w:bidi/>
              <w:spacing w:after="0" w:line="240" w:lineRule="auto"/>
              <w:ind w:left="7"/>
              <w:rPr>
                <w:rFonts w:ascii="Sakkal Majalla" w:hAnsi="Sakkal Majalla" w:cs="Sakkal Majalla"/>
                <w:sz w:val="24"/>
                <w:szCs w:val="24"/>
              </w:rPr>
            </w:pPr>
            <w:r>
              <w:rPr>
                <w:rFonts w:ascii="Sakkal Majalla" w:hAnsi="Sakkal Majalla" w:cs="Sakkal Majalla"/>
                <w:rtl/>
              </w:rPr>
              <w:t>3. المستوى الوظيفي</w:t>
            </w:r>
          </w:p>
        </w:tc>
        <w:tc>
          <w:tcPr>
            <w:tcW w:w="2409" w:type="pct"/>
          </w:tcPr>
          <w:p w14:paraId="6BED97E5" w14:textId="77777777" w:rsidR="00000000" w:rsidRPr="00D916A2" w:rsidRDefault="00000000" w:rsidP="00BC6B7C">
            <w:pPr>
              <w:tabs>
                <w:tab w:val="num" w:pos="907"/>
              </w:tabs>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Pr>
                <w:rFonts w:ascii="Segoe UI Symbol" w:hAnsi="Segoe UI Symbol" w:cs="Segoe UI Symbol"/>
              </w:rPr>
              <w:t>☐</w:t>
            </w:r>
            <w:r>
              <w:rPr>
                <w:rFonts w:ascii="Sakkal Majalla" w:hAnsi="Sakkal Majalla" w:cs="Sakkal Majalla"/>
              </w:rPr>
              <w:t xml:space="preserve"> </w:t>
            </w:r>
            <w:r>
              <w:rPr>
                <w:rFonts w:ascii="Sakkal Majalla" w:hAnsi="Sakkal Majalla" w:cs="Sakkal Majalla"/>
                <w:rtl/>
              </w:rPr>
              <w:t xml:space="preserve">مدير تنفيذي/قيادي  </w:t>
            </w:r>
            <w:r>
              <w:rPr>
                <w:rFonts w:ascii="Segoe UI Symbol" w:hAnsi="Segoe UI Symbol" w:cs="Segoe UI Symbol" w:hint="cs"/>
                <w:rtl/>
              </w:rPr>
              <w:t>☐</w:t>
            </w:r>
            <w:r>
              <w:rPr>
                <w:rFonts w:ascii="Sakkal Majalla" w:hAnsi="Sakkal Majalla" w:cs="Sakkal Majalla"/>
                <w:rtl/>
              </w:rPr>
              <w:t xml:space="preserve"> مدير وسطى  </w:t>
            </w:r>
            <w:r>
              <w:rPr>
                <w:rFonts w:ascii="Segoe UI Symbol" w:hAnsi="Segoe UI Symbol" w:cs="Segoe UI Symbol" w:hint="cs"/>
                <w:rtl/>
              </w:rPr>
              <w:t>☐</w:t>
            </w:r>
            <w:r>
              <w:rPr>
                <w:rFonts w:ascii="Sakkal Majalla" w:hAnsi="Sakkal Majalla" w:cs="Sakkal Majalla"/>
                <w:rtl/>
              </w:rPr>
              <w:t xml:space="preserve"> متخصص تقني  </w:t>
            </w:r>
            <w:r>
              <w:rPr>
                <w:rFonts w:ascii="Segoe UI Symbol" w:hAnsi="Segoe UI Symbol" w:cs="Segoe UI Symbol" w:hint="cs"/>
                <w:rtl/>
              </w:rPr>
              <w:t>☐</w:t>
            </w:r>
            <w:r>
              <w:rPr>
                <w:rFonts w:ascii="Sakkal Majalla" w:hAnsi="Sakkal Majalla" w:cs="Sakkal Majalla"/>
                <w:rtl/>
              </w:rPr>
              <w:t xml:space="preserve"> أخرى</w:t>
            </w:r>
          </w:p>
        </w:tc>
      </w:tr>
      <w:tr w:rsidR="00D916A2" w:rsidRPr="00C95436" w14:paraId="737E4FEC" w14:textId="77777777" w:rsidTr="00D916A2">
        <w:tc>
          <w:tcPr>
            <w:cnfStyle w:val="001000000000" w:firstRow="0" w:lastRow="0" w:firstColumn="1" w:lastColumn="0" w:oddVBand="0" w:evenVBand="0" w:oddHBand="0" w:evenHBand="0" w:firstRowFirstColumn="0" w:firstRowLastColumn="0" w:lastRowFirstColumn="0" w:lastRowLastColumn="0"/>
            <w:tcW w:w="2591" w:type="pct"/>
            <w:vAlign w:val="center"/>
          </w:tcPr>
          <w:p w14:paraId="50982D98" w14:textId="77777777" w:rsidR="00000000" w:rsidRPr="00C95436" w:rsidRDefault="00000000" w:rsidP="00BC6B7C">
            <w:pPr>
              <w:tabs>
                <w:tab w:val="num" w:pos="907"/>
              </w:tabs>
              <w:bidi/>
              <w:spacing w:after="0" w:line="240" w:lineRule="auto"/>
              <w:ind w:left="7"/>
              <w:rPr>
                <w:rFonts w:ascii="Sakkal Majalla" w:hAnsi="Sakkal Majalla" w:cs="Sakkal Majalla"/>
                <w:sz w:val="24"/>
                <w:szCs w:val="24"/>
              </w:rPr>
            </w:pPr>
            <w:r>
              <w:rPr>
                <w:rFonts w:ascii="Sakkal Majalla" w:hAnsi="Sakkal Majalla" w:cs="Sakkal Majalla"/>
                <w:rtl/>
              </w:rPr>
              <w:t>4. المؤهل العلمي</w:t>
            </w:r>
          </w:p>
        </w:tc>
        <w:tc>
          <w:tcPr>
            <w:tcW w:w="2409" w:type="pct"/>
          </w:tcPr>
          <w:p w14:paraId="7919F2A3" w14:textId="77777777" w:rsidR="00000000" w:rsidRPr="00D916A2" w:rsidRDefault="00000000" w:rsidP="00BC6B7C">
            <w:pPr>
              <w:tabs>
                <w:tab w:val="num" w:pos="907"/>
              </w:tabs>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Pr>
                <w:rFonts w:ascii="Segoe UI Symbol" w:hAnsi="Segoe UI Symbol" w:cs="Segoe UI Symbol"/>
              </w:rPr>
              <w:t>☐</w:t>
            </w:r>
            <w:r>
              <w:rPr>
                <w:rFonts w:ascii="Sakkal Majalla" w:hAnsi="Sakkal Majalla" w:cs="Sakkal Majalla"/>
              </w:rPr>
              <w:t xml:space="preserve"> </w:t>
            </w:r>
            <w:r>
              <w:rPr>
                <w:rFonts w:ascii="Sakkal Majalla" w:hAnsi="Sakkal Majalla" w:cs="Sakkal Majalla"/>
                <w:rtl/>
              </w:rPr>
              <w:t xml:space="preserve">بكالوريوس  </w:t>
            </w:r>
            <w:r>
              <w:rPr>
                <w:rFonts w:ascii="Segoe UI Symbol" w:hAnsi="Segoe UI Symbol" w:cs="Segoe UI Symbol" w:hint="cs"/>
                <w:rtl/>
              </w:rPr>
              <w:t>☐</w:t>
            </w:r>
            <w:r>
              <w:rPr>
                <w:rFonts w:ascii="Sakkal Majalla" w:hAnsi="Sakkal Majalla" w:cs="Sakkal Majalla"/>
                <w:rtl/>
              </w:rPr>
              <w:t xml:space="preserve"> ماجستير  </w:t>
            </w:r>
            <w:r>
              <w:rPr>
                <w:rFonts w:ascii="Segoe UI Symbol" w:hAnsi="Segoe UI Symbol" w:cs="Segoe UI Symbol" w:hint="cs"/>
                <w:rtl/>
              </w:rPr>
              <w:t>☐</w:t>
            </w:r>
            <w:r>
              <w:rPr>
                <w:rFonts w:ascii="Sakkal Majalla" w:hAnsi="Sakkal Majalla" w:cs="Sakkal Majalla"/>
                <w:rtl/>
              </w:rPr>
              <w:t xml:space="preserve"> دكتوراه</w:t>
            </w:r>
          </w:p>
        </w:tc>
      </w:tr>
      <w:tr w:rsidR="00D916A2" w:rsidRPr="00C95436" w14:paraId="019B7E2E" w14:textId="77777777" w:rsidTr="00D9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91" w:type="pct"/>
            <w:vAlign w:val="center"/>
          </w:tcPr>
          <w:p w14:paraId="4FCD028D" w14:textId="77777777" w:rsidR="00000000" w:rsidRPr="00C95436" w:rsidRDefault="00000000" w:rsidP="00BC6B7C">
            <w:pPr>
              <w:tabs>
                <w:tab w:val="num" w:pos="907"/>
              </w:tabs>
              <w:bidi/>
              <w:spacing w:after="0" w:line="240" w:lineRule="auto"/>
              <w:ind w:left="7"/>
              <w:rPr>
                <w:rFonts w:ascii="Sakkal Majalla" w:hAnsi="Sakkal Majalla" w:cs="Sakkal Majalla"/>
                <w:sz w:val="24"/>
                <w:szCs w:val="24"/>
              </w:rPr>
            </w:pPr>
            <w:r>
              <w:rPr>
                <w:rFonts w:ascii="Sakkal Majalla" w:hAnsi="Sakkal Majalla" w:cs="Sakkal Majalla"/>
                <w:rtl/>
              </w:rPr>
              <w:t>5. مجال التخصص</w:t>
            </w:r>
          </w:p>
        </w:tc>
        <w:tc>
          <w:tcPr>
            <w:tcW w:w="2409" w:type="pct"/>
          </w:tcPr>
          <w:p w14:paraId="06E7B1C5" w14:textId="77777777" w:rsidR="00000000" w:rsidRPr="00D916A2" w:rsidRDefault="00000000" w:rsidP="00BC6B7C">
            <w:pPr>
              <w:tabs>
                <w:tab w:val="num" w:pos="907"/>
              </w:tabs>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Pr>
                <w:rFonts w:ascii="Segoe UI Symbol" w:hAnsi="Segoe UI Symbol" w:cs="Segoe UI Symbol"/>
              </w:rPr>
              <w:t>☐</w:t>
            </w:r>
            <w:r>
              <w:rPr>
                <w:rFonts w:ascii="Sakkal Majalla" w:hAnsi="Sakkal Majalla" w:cs="Sakkal Majalla"/>
              </w:rPr>
              <w:t xml:space="preserve"> </w:t>
            </w:r>
            <w:r>
              <w:rPr>
                <w:rFonts w:ascii="Sakkal Majalla" w:hAnsi="Sakkal Majalla" w:cs="Sakkal Majalla"/>
                <w:rtl/>
              </w:rPr>
              <w:t xml:space="preserve">أمن سيبراني  </w:t>
            </w:r>
            <w:r>
              <w:rPr>
                <w:rFonts w:ascii="Segoe UI Symbol" w:hAnsi="Segoe UI Symbol" w:cs="Segoe UI Symbol" w:hint="cs"/>
                <w:rtl/>
              </w:rPr>
              <w:t>☐</w:t>
            </w:r>
            <w:r>
              <w:rPr>
                <w:rFonts w:ascii="Sakkal Majalla" w:hAnsi="Sakkal Majalla" w:cs="Sakkal Majalla"/>
                <w:rtl/>
              </w:rPr>
              <w:t xml:space="preserve"> تقنية المعلومات  </w:t>
            </w:r>
            <w:r>
              <w:rPr>
                <w:rFonts w:ascii="Segoe UI Symbol" w:hAnsi="Segoe UI Symbol" w:cs="Segoe UI Symbol" w:hint="cs"/>
                <w:rtl/>
              </w:rPr>
              <w:t>☐</w:t>
            </w:r>
            <w:r>
              <w:rPr>
                <w:rFonts w:ascii="Sakkal Majalla" w:hAnsi="Sakkal Majalla" w:cs="Sakkal Majalla"/>
                <w:rtl/>
              </w:rPr>
              <w:t xml:space="preserve"> عمليات مالية  </w:t>
            </w:r>
            <w:r>
              <w:rPr>
                <w:rFonts w:ascii="Segoe UI Symbol" w:hAnsi="Segoe UI Symbol" w:cs="Segoe UI Symbol" w:hint="cs"/>
                <w:rtl/>
              </w:rPr>
              <w:t>☐</w:t>
            </w:r>
            <w:r>
              <w:rPr>
                <w:rFonts w:ascii="Sakkal Majalla" w:hAnsi="Sakkal Majalla" w:cs="Sakkal Majalla"/>
                <w:rtl/>
              </w:rPr>
              <w:t xml:space="preserve"> إدارة مخاطر  </w:t>
            </w:r>
            <w:r>
              <w:rPr>
                <w:rFonts w:ascii="Segoe UI Symbol" w:hAnsi="Segoe UI Symbol" w:cs="Segoe UI Symbol" w:hint="cs"/>
                <w:rtl/>
              </w:rPr>
              <w:t>☐</w:t>
            </w:r>
            <w:r>
              <w:rPr>
                <w:rFonts w:ascii="Sakkal Majalla" w:hAnsi="Sakkal Majalla" w:cs="Sakkal Majalla"/>
                <w:rtl/>
              </w:rPr>
              <w:t xml:space="preserve"> أخرى</w:t>
            </w:r>
          </w:p>
        </w:tc>
      </w:tr>
      <w:tr w:rsidR="00D916A2" w:rsidRPr="00C95436" w14:paraId="03B397FE" w14:textId="77777777" w:rsidTr="00D916A2">
        <w:tc>
          <w:tcPr>
            <w:cnfStyle w:val="001000000000" w:firstRow="0" w:lastRow="0" w:firstColumn="1" w:lastColumn="0" w:oddVBand="0" w:evenVBand="0" w:oddHBand="0" w:evenHBand="0" w:firstRowFirstColumn="0" w:firstRowLastColumn="0" w:lastRowFirstColumn="0" w:lastRowLastColumn="0"/>
            <w:tcW w:w="2591" w:type="pct"/>
            <w:vAlign w:val="center"/>
          </w:tcPr>
          <w:p w14:paraId="4544533F" w14:textId="77777777" w:rsidR="00000000" w:rsidRPr="00C95436" w:rsidRDefault="00000000" w:rsidP="00BC6B7C">
            <w:pPr>
              <w:tabs>
                <w:tab w:val="num" w:pos="907"/>
              </w:tabs>
              <w:bidi/>
              <w:spacing w:after="0" w:line="240" w:lineRule="auto"/>
              <w:ind w:left="7"/>
              <w:rPr>
                <w:rFonts w:ascii="Sakkal Majalla" w:hAnsi="Sakkal Majalla" w:cs="Sakkal Majalla"/>
                <w:rtl/>
              </w:rPr>
            </w:pPr>
            <w:r>
              <w:rPr>
                <w:rFonts w:ascii="Sakkal Majalla" w:hAnsi="Sakkal Majalla" w:cs="Sakkal Majalla"/>
                <w:rtl/>
              </w:rPr>
              <w:t>6. الإدارة أو القسم</w:t>
            </w:r>
          </w:p>
        </w:tc>
        <w:tc>
          <w:tcPr>
            <w:tcW w:w="2409" w:type="pct"/>
          </w:tcPr>
          <w:p w14:paraId="693A7BFD" w14:textId="77777777" w:rsidR="00000000" w:rsidRPr="00D916A2" w:rsidRDefault="00000000" w:rsidP="00BC6B7C">
            <w:pPr>
              <w:tabs>
                <w:tab w:val="num" w:pos="907"/>
              </w:tabs>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Pr>
                <w:rFonts w:ascii="Segoe UI Symbol" w:hAnsi="Segoe UI Symbol" w:cs="Segoe UI Symbol"/>
              </w:rPr>
              <w:t>☐</w:t>
            </w:r>
            <w:r>
              <w:rPr>
                <w:rFonts w:ascii="Sakkal Majalla" w:hAnsi="Sakkal Majalla" w:cs="Sakkal Majalla"/>
              </w:rPr>
              <w:t xml:space="preserve"> </w:t>
            </w:r>
            <w:r>
              <w:rPr>
                <w:rFonts w:ascii="Sakkal Majalla" w:hAnsi="Sakkal Majalla" w:cs="Sakkal Majalla"/>
                <w:rtl/>
              </w:rPr>
              <w:t xml:space="preserve">الأمن السيبراني  </w:t>
            </w:r>
            <w:r>
              <w:rPr>
                <w:rFonts w:ascii="Segoe UI Symbol" w:hAnsi="Segoe UI Symbol" w:cs="Segoe UI Symbol" w:hint="cs"/>
                <w:rtl/>
              </w:rPr>
              <w:t>☐</w:t>
            </w:r>
            <w:r>
              <w:rPr>
                <w:rFonts w:ascii="Sakkal Majalla" w:hAnsi="Sakkal Majalla" w:cs="Sakkal Majalla"/>
                <w:rtl/>
              </w:rPr>
              <w:t xml:space="preserve"> تقنية المعلومات  </w:t>
            </w:r>
            <w:r>
              <w:rPr>
                <w:rFonts w:ascii="Segoe UI Symbol" w:hAnsi="Segoe UI Symbol" w:cs="Segoe UI Symbol" w:hint="cs"/>
                <w:rtl/>
              </w:rPr>
              <w:t>☐</w:t>
            </w:r>
            <w:r>
              <w:rPr>
                <w:rFonts w:ascii="Sakkal Majalla" w:hAnsi="Sakkal Majalla" w:cs="Sakkal Majalla"/>
                <w:rtl/>
              </w:rPr>
              <w:t xml:space="preserve"> العمليات المالية  </w:t>
            </w:r>
            <w:r>
              <w:rPr>
                <w:rFonts w:ascii="Segoe UI Symbol" w:hAnsi="Segoe UI Symbol" w:cs="Segoe UI Symbol" w:hint="cs"/>
                <w:rtl/>
              </w:rPr>
              <w:t>☐</w:t>
            </w:r>
            <w:r>
              <w:rPr>
                <w:rFonts w:ascii="Sakkal Majalla" w:hAnsi="Sakkal Majalla" w:cs="Sakkal Majalla"/>
                <w:rtl/>
              </w:rPr>
              <w:t xml:space="preserve"> إدارة المخاطر والامتثال  </w:t>
            </w:r>
            <w:r>
              <w:rPr>
                <w:rFonts w:ascii="Segoe UI Symbol" w:hAnsi="Segoe UI Symbol" w:cs="Segoe UI Symbol" w:hint="cs"/>
                <w:rtl/>
              </w:rPr>
              <w:t>☐</w:t>
            </w:r>
            <w:r>
              <w:rPr>
                <w:rFonts w:ascii="Sakkal Majalla" w:hAnsi="Sakkal Majalla" w:cs="Sakkal Majalla"/>
                <w:rtl/>
              </w:rPr>
              <w:t xml:space="preserve"> أخرى</w:t>
            </w:r>
          </w:p>
        </w:tc>
      </w:tr>
    </w:tbl>
    <w:p w14:paraId="1BDAA126" w14:textId="77777777" w:rsidR="00B35152" w:rsidRPr="00D42B86" w:rsidRDefault="00B35152" w:rsidP="00BC6B7C">
      <w:pPr>
        <w:bidi/>
        <w:spacing w:after="0" w:line="240" w:lineRule="auto"/>
        <w:jc w:val="center"/>
        <w:rPr>
          <w:rFonts w:ascii="Sakkal Majalla" w:hAnsi="Sakkal Majalla" w:cs="Sakkal Majalla"/>
          <w:b/>
          <w:bCs/>
          <w:sz w:val="28"/>
          <w:szCs w:val="28"/>
        </w:rPr>
      </w:pPr>
      <w:r>
        <w:rPr>
          <w:rFonts w:ascii="Sakkal Majalla" w:hAnsi="Sakkal Majalla" w:cs="Sakkal Majalla"/>
          <w:b/>
          <w:bCs/>
          <w:sz w:val="24"/>
          <w:szCs w:val="24"/>
          <w:rtl/>
        </w:rPr>
        <w:t>البيانات الديموغرافية والوظيفية</w:t>
      </w:r>
    </w:p>
    <w:p w14:paraId="2D64F949" w14:textId="77777777" w:rsidR="00B35152" w:rsidRPr="00C95436" w:rsidRDefault="00B35152" w:rsidP="00BC6B7C">
      <w:pPr>
        <w:bidi/>
        <w:spacing w:after="0" w:line="240" w:lineRule="auto"/>
        <w:jc w:val="both"/>
        <w:rPr>
          <w:rFonts w:ascii="Sakkal Majalla" w:hAnsi="Sakkal Majalla" w:cs="Sakkal Majalla"/>
          <w:sz w:val="28"/>
          <w:szCs w:val="28"/>
          <w:rtl/>
        </w:rPr>
      </w:pPr>
    </w:p>
    <w:p w14:paraId="15BC2E21" w14:textId="77777777" w:rsidR="00B35152" w:rsidRPr="00C95436" w:rsidRDefault="00B35152" w:rsidP="00BC6B7C">
      <w:pPr>
        <w:bidi/>
        <w:spacing w:after="0" w:line="240" w:lineRule="auto"/>
        <w:jc w:val="both"/>
        <w:rPr>
          <w:rFonts w:ascii="Sakkal Majalla" w:hAnsi="Sakkal Majalla" w:cs="Sakkal Majalla"/>
          <w:sz w:val="28"/>
          <w:szCs w:val="28"/>
          <w:rtl/>
        </w:rPr>
      </w:pPr>
    </w:p>
    <w:p w14:paraId="6F425BD6" w14:textId="77777777" w:rsidR="00B35152" w:rsidRPr="00C95436" w:rsidRDefault="00B35152" w:rsidP="00BC6B7C">
      <w:pPr>
        <w:bidi/>
        <w:spacing w:after="0" w:line="240" w:lineRule="auto"/>
        <w:jc w:val="both"/>
        <w:rPr>
          <w:rFonts w:ascii="Sakkal Majalla" w:hAnsi="Sakkal Majalla" w:cs="Sakkal Majalla"/>
          <w:sz w:val="28"/>
          <w:szCs w:val="28"/>
          <w:rtl/>
        </w:rPr>
      </w:pPr>
      <w:r>
        <w:rPr>
          <w:rFonts w:ascii="Sakkal Majalla" w:hAnsi="Sakkal Majalla" w:cs="Sakkal Majalla"/>
          <w:sz w:val="24"/>
          <w:szCs w:val="24"/>
          <w:rtl/>
        </w:rPr>
        <w:t>تعريفات إجرائية للمصطلحات التقنية</w:t>
      </w:r>
    </w:p>
    <w:tbl>
      <w:tblPr>
        <w:tblStyle w:val="TableGrid1"/>
        <w:bidiVisual/>
        <w:tblW w:w="5121" w:type="pct"/>
        <w:tblLook w:val="04A0" w:firstRow="1" w:lastRow="0" w:firstColumn="1" w:lastColumn="0" w:noHBand="0" w:noVBand="1"/>
      </w:tblPr>
      <w:tblGrid>
        <w:gridCol w:w="2976"/>
        <w:gridCol w:w="5521"/>
      </w:tblGrid>
      <w:tr w:rsidR="00091C1C" w:rsidRPr="00C95436" w14:paraId="61836DCF" w14:textId="77777777" w:rsidTr="00870675">
        <w:tc>
          <w:tcPr>
            <w:tcW w:w="1751" w:type="pct"/>
            <w:vAlign w:val="center"/>
          </w:tcPr>
          <w:p w14:paraId="5FCA1541" w14:textId="77777777" w:rsidR="00000000" w:rsidRPr="00091C1C" w:rsidRDefault="00000000" w:rsidP="00091C1C">
            <w:pPr>
              <w:bidi/>
              <w:spacing w:after="0" w:line="240" w:lineRule="auto"/>
              <w:jc w:val="center"/>
              <w:rPr>
                <w:rFonts w:ascii="Sakkal Majalla" w:hAnsi="Sakkal Majalla" w:cs="Sakkal Majalla"/>
                <w:sz w:val="22"/>
                <w:szCs w:val="22"/>
              </w:rPr>
            </w:pPr>
            <w:r>
              <w:rPr>
                <w:rFonts w:ascii="Sakkal Majalla" w:hAnsi="Sakkal Majalla" w:cs="Sakkal Majalla"/>
                <w:sz w:val="22"/>
                <w:szCs w:val="22"/>
                <w:rtl/>
              </w:rPr>
              <w:t>تقنية الترميز</w:t>
            </w:r>
            <w:r>
              <w:rPr>
                <w:rFonts w:ascii="Sakkal Majalla" w:hAnsi="Sakkal Majalla" w:cs="Sakkal Majalla"/>
                <w:sz w:val="22"/>
                <w:szCs w:val="22"/>
              </w:rPr>
              <w:t xml:space="preserve"> (Tokenization)</w:t>
            </w:r>
          </w:p>
        </w:tc>
        <w:tc>
          <w:tcPr>
            <w:tcW w:w="3249" w:type="pct"/>
          </w:tcPr>
          <w:p w14:paraId="669E49D5" w14:textId="77777777" w:rsidR="00000000" w:rsidRPr="00091C1C" w:rsidRDefault="00000000" w:rsidP="00091C1C">
            <w:pPr>
              <w:bidi/>
              <w:spacing w:after="0" w:line="240" w:lineRule="auto"/>
              <w:rPr>
                <w:rFonts w:ascii="Sakkal Majalla" w:hAnsi="Sakkal Majalla" w:cs="Sakkal Majalla"/>
                <w:b/>
                <w:bCs/>
                <w:sz w:val="22"/>
                <w:szCs w:val="22"/>
              </w:rPr>
            </w:pPr>
            <w:r>
              <w:rPr>
                <w:rFonts w:ascii="Sakkal Majalla" w:hAnsi="Sakkal Majalla" w:cs="Sakkal Majalla"/>
                <w:sz w:val="22"/>
                <w:szCs w:val="22"/>
                <w:rtl/>
              </w:rPr>
              <w:t>استبدال البيانات الحساسة برمز بديل</w:t>
            </w:r>
            <w:r>
              <w:rPr>
                <w:rFonts w:ascii="Sakkal Majalla" w:hAnsi="Sakkal Majalla" w:cs="Sakkal Majalla"/>
                <w:sz w:val="22"/>
                <w:szCs w:val="22"/>
              </w:rPr>
              <w:t xml:space="preserve"> (Token) </w:t>
            </w:r>
            <w:r>
              <w:rPr>
                <w:rFonts w:ascii="Sakkal Majalla" w:hAnsi="Sakkal Majalla" w:cs="Sakkal Majalla"/>
                <w:sz w:val="22"/>
                <w:szCs w:val="22"/>
                <w:rtl/>
              </w:rPr>
              <w:t>فريد وغير قابل للاستغلال خارج النظام الذي أُنشئ فيه</w:t>
            </w:r>
            <w:r>
              <w:rPr>
                <w:rFonts w:ascii="Sakkal Majalla" w:hAnsi="Sakkal Majalla" w:cs="Sakkal Majalla"/>
                <w:sz w:val="22"/>
                <w:szCs w:val="22"/>
              </w:rPr>
              <w:t>.</w:t>
            </w:r>
          </w:p>
        </w:tc>
      </w:tr>
      <w:tr w:rsidR="00091C1C" w:rsidRPr="00C95436" w14:paraId="3A7A3F02" w14:textId="77777777" w:rsidTr="00870675">
        <w:tc>
          <w:tcPr>
            <w:tcW w:w="1751" w:type="pct"/>
            <w:vAlign w:val="center"/>
          </w:tcPr>
          <w:p w14:paraId="0A187A97" w14:textId="77777777" w:rsidR="00000000" w:rsidRPr="00091C1C" w:rsidRDefault="00000000" w:rsidP="00091C1C">
            <w:pPr>
              <w:bidi/>
              <w:spacing w:after="0" w:line="240" w:lineRule="auto"/>
              <w:jc w:val="center"/>
              <w:rPr>
                <w:rFonts w:ascii="Sakkal Majalla" w:hAnsi="Sakkal Majalla" w:cs="Sakkal Majalla"/>
                <w:sz w:val="22"/>
                <w:szCs w:val="22"/>
              </w:rPr>
            </w:pPr>
            <w:r>
              <w:rPr>
                <w:rFonts w:ascii="Sakkal Majalla" w:hAnsi="Sakkal Majalla" w:cs="Sakkal Majalla"/>
                <w:sz w:val="22"/>
                <w:szCs w:val="22"/>
                <w:rtl/>
              </w:rPr>
              <w:t>الترميز في حالة التخزين</w:t>
            </w:r>
            <w:r>
              <w:rPr>
                <w:rFonts w:ascii="Sakkal Majalla" w:hAnsi="Sakkal Majalla" w:cs="Sakkal Majalla"/>
                <w:sz w:val="22"/>
                <w:szCs w:val="22"/>
              </w:rPr>
              <w:t xml:space="preserve"> (Tokenization at Rest)</w:t>
            </w:r>
          </w:p>
        </w:tc>
        <w:tc>
          <w:tcPr>
            <w:tcW w:w="3249" w:type="pct"/>
          </w:tcPr>
          <w:p w14:paraId="6823A4E8" w14:textId="77777777" w:rsidR="00000000" w:rsidRPr="00091C1C" w:rsidRDefault="00000000" w:rsidP="00091C1C">
            <w:pPr>
              <w:bidi/>
              <w:spacing w:after="0" w:line="240" w:lineRule="auto"/>
              <w:rPr>
                <w:rFonts w:ascii="Sakkal Majalla" w:hAnsi="Sakkal Majalla" w:cs="Sakkal Majalla"/>
                <w:sz w:val="22"/>
                <w:szCs w:val="22"/>
              </w:rPr>
            </w:pPr>
            <w:r>
              <w:rPr>
                <w:rFonts w:ascii="Sakkal Majalla" w:hAnsi="Sakkal Majalla" w:cs="Sakkal Majalla"/>
                <w:sz w:val="22"/>
                <w:szCs w:val="22"/>
                <w:rtl/>
              </w:rPr>
              <w:t>حماية البيانات الحساسة المخزّنة في قواعد البيانات والأنظمة الداخلية باستبدالها بترموز</w:t>
            </w:r>
            <w:r>
              <w:rPr>
                <w:rFonts w:ascii="Sakkal Majalla" w:hAnsi="Sakkal Majalla" w:cs="Sakkal Majalla"/>
                <w:sz w:val="22"/>
                <w:szCs w:val="22"/>
              </w:rPr>
              <w:t>.</w:t>
            </w:r>
          </w:p>
        </w:tc>
      </w:tr>
      <w:tr w:rsidR="00091C1C" w:rsidRPr="00C95436" w14:paraId="6C8B5127" w14:textId="77777777" w:rsidTr="00870675">
        <w:tc>
          <w:tcPr>
            <w:tcW w:w="1751" w:type="pct"/>
            <w:vAlign w:val="center"/>
          </w:tcPr>
          <w:p w14:paraId="7ED00AB0" w14:textId="77777777" w:rsidR="00000000" w:rsidRPr="00091C1C" w:rsidRDefault="00000000" w:rsidP="00091C1C">
            <w:pPr>
              <w:bidi/>
              <w:spacing w:after="0" w:line="240" w:lineRule="auto"/>
              <w:jc w:val="center"/>
              <w:rPr>
                <w:rFonts w:ascii="Sakkal Majalla" w:hAnsi="Sakkal Majalla" w:cs="Sakkal Majalla"/>
                <w:sz w:val="22"/>
                <w:szCs w:val="22"/>
              </w:rPr>
            </w:pPr>
            <w:r>
              <w:rPr>
                <w:rFonts w:ascii="Sakkal Majalla" w:hAnsi="Sakkal Majalla" w:cs="Sakkal Majalla"/>
                <w:sz w:val="22"/>
                <w:szCs w:val="22"/>
                <w:rtl/>
              </w:rPr>
              <w:t>الترميز أثناء النقل</w:t>
            </w:r>
            <w:r>
              <w:rPr>
                <w:rFonts w:ascii="Sakkal Majalla" w:hAnsi="Sakkal Majalla" w:cs="Sakkal Majalla"/>
                <w:sz w:val="22"/>
                <w:szCs w:val="22"/>
              </w:rPr>
              <w:t xml:space="preserve"> (Tokenization in Transit)</w:t>
            </w:r>
          </w:p>
        </w:tc>
        <w:tc>
          <w:tcPr>
            <w:tcW w:w="3249" w:type="pct"/>
          </w:tcPr>
          <w:p w14:paraId="0E36EF69" w14:textId="77777777" w:rsidR="00000000" w:rsidRPr="00091C1C" w:rsidRDefault="00000000" w:rsidP="00091C1C">
            <w:pPr>
              <w:bidi/>
              <w:spacing w:after="0" w:line="240" w:lineRule="auto"/>
              <w:rPr>
                <w:rFonts w:ascii="Sakkal Majalla" w:hAnsi="Sakkal Majalla" w:cs="Sakkal Majalla"/>
                <w:sz w:val="22"/>
                <w:szCs w:val="22"/>
              </w:rPr>
            </w:pPr>
            <w:r>
              <w:rPr>
                <w:rFonts w:ascii="Sakkal Majalla" w:hAnsi="Sakkal Majalla" w:cs="Sakkal Majalla"/>
                <w:sz w:val="22"/>
                <w:szCs w:val="22"/>
                <w:rtl/>
              </w:rPr>
              <w:t>حماية البيانات الحساسة أثناء انتقالها عبر الشبكات والأنظمة المختلفة</w:t>
            </w:r>
            <w:r>
              <w:rPr>
                <w:rFonts w:ascii="Sakkal Majalla" w:hAnsi="Sakkal Majalla" w:cs="Sakkal Majalla"/>
                <w:sz w:val="22"/>
                <w:szCs w:val="22"/>
              </w:rPr>
              <w:t>.</w:t>
            </w:r>
          </w:p>
        </w:tc>
      </w:tr>
      <w:tr w:rsidR="00091C1C" w:rsidRPr="00C95436" w14:paraId="1DD3880B" w14:textId="77777777" w:rsidTr="00870675">
        <w:tc>
          <w:tcPr>
            <w:tcW w:w="1751" w:type="pct"/>
            <w:vAlign w:val="center"/>
          </w:tcPr>
          <w:p w14:paraId="37B54658" w14:textId="77777777" w:rsidR="00000000" w:rsidRPr="00091C1C" w:rsidRDefault="00000000" w:rsidP="00091C1C">
            <w:pPr>
              <w:bidi/>
              <w:spacing w:after="0" w:line="240" w:lineRule="auto"/>
              <w:jc w:val="center"/>
              <w:rPr>
                <w:rFonts w:ascii="Sakkal Majalla" w:hAnsi="Sakkal Majalla" w:cs="Sakkal Majalla"/>
                <w:sz w:val="22"/>
                <w:szCs w:val="22"/>
              </w:rPr>
            </w:pPr>
            <w:r>
              <w:rPr>
                <w:rFonts w:ascii="Sakkal Majalla" w:hAnsi="Sakkal Majalla" w:cs="Sakkal Majalla"/>
                <w:sz w:val="22"/>
                <w:szCs w:val="22"/>
                <w:rtl/>
              </w:rPr>
              <w:t>معيار</w:t>
            </w:r>
            <w:r>
              <w:rPr>
                <w:rFonts w:ascii="Sakkal Majalla" w:hAnsi="Sakkal Majalla" w:cs="Sakkal Majalla"/>
                <w:sz w:val="22"/>
                <w:szCs w:val="22"/>
              </w:rPr>
              <w:t xml:space="preserve"> PCI DSS</w:t>
            </w:r>
          </w:p>
        </w:tc>
        <w:tc>
          <w:tcPr>
            <w:tcW w:w="3249" w:type="pct"/>
          </w:tcPr>
          <w:p w14:paraId="40587D81" w14:textId="77777777" w:rsidR="00000000" w:rsidRPr="00091C1C" w:rsidRDefault="00000000" w:rsidP="00091C1C">
            <w:pPr>
              <w:bidi/>
              <w:spacing w:after="0" w:line="240" w:lineRule="auto"/>
              <w:rPr>
                <w:rFonts w:ascii="Sakkal Majalla" w:hAnsi="Sakkal Majalla" w:cs="Sakkal Majalla"/>
                <w:sz w:val="22"/>
                <w:szCs w:val="22"/>
              </w:rPr>
            </w:pPr>
            <w:r>
              <w:rPr>
                <w:rFonts w:ascii="Sakkal Majalla" w:hAnsi="Sakkal Majalla" w:cs="Sakkal Majalla"/>
                <w:sz w:val="22"/>
                <w:szCs w:val="22"/>
                <w:rtl/>
              </w:rPr>
              <w:t>معيار أمان بيانات بطاقات الدفع الدولي الصادر عن</w:t>
            </w:r>
            <w:r>
              <w:rPr>
                <w:rFonts w:ascii="Sakkal Majalla" w:hAnsi="Sakkal Majalla" w:cs="Sakkal Majalla"/>
                <w:sz w:val="22"/>
                <w:szCs w:val="22"/>
              </w:rPr>
              <w:t xml:space="preserve"> PCI Security Standards Council</w:t>
            </w:r>
            <w:r>
              <w:rPr>
                <w:rFonts w:ascii="Sakkal Majalla" w:hAnsi="Sakkal Majalla" w:cs="Sakkal Majalla"/>
                <w:sz w:val="22"/>
                <w:szCs w:val="22"/>
                <w:rtl/>
              </w:rPr>
              <w:t>، ويُحدد متطلبات حماية بيانات حاملي البطاقات</w:t>
            </w:r>
            <w:r>
              <w:rPr>
                <w:rFonts w:ascii="Sakkal Majalla" w:hAnsi="Sakkal Majalla" w:cs="Sakkal Majalla"/>
                <w:sz w:val="22"/>
                <w:szCs w:val="22"/>
              </w:rPr>
              <w:t>.</w:t>
            </w:r>
          </w:p>
        </w:tc>
      </w:tr>
      <w:tr w:rsidR="00091C1C" w:rsidRPr="00C95436" w14:paraId="01E257BE" w14:textId="77777777" w:rsidTr="00870675">
        <w:tc>
          <w:tcPr>
            <w:tcW w:w="1751" w:type="pct"/>
            <w:vAlign w:val="center"/>
          </w:tcPr>
          <w:p w14:paraId="5716E117" w14:textId="77777777" w:rsidR="00000000" w:rsidRPr="00091C1C" w:rsidRDefault="00000000" w:rsidP="00091C1C">
            <w:pPr>
              <w:bidi/>
              <w:spacing w:after="0" w:line="240" w:lineRule="auto"/>
              <w:jc w:val="center"/>
              <w:rPr>
                <w:rFonts w:ascii="Sakkal Majalla" w:hAnsi="Sakkal Majalla" w:cs="Sakkal Majalla"/>
                <w:sz w:val="22"/>
                <w:szCs w:val="22"/>
              </w:rPr>
            </w:pPr>
            <w:r>
              <w:rPr>
                <w:rFonts w:ascii="Sakkal Majalla" w:hAnsi="Sakkal Majalla" w:cs="Sakkal Majalla"/>
                <w:sz w:val="22"/>
                <w:szCs w:val="22"/>
                <w:rtl/>
              </w:rPr>
              <w:t>الضوابط الأساسية للأمن السيبراني</w:t>
            </w:r>
            <w:r>
              <w:rPr>
                <w:rFonts w:ascii="Sakkal Majalla" w:hAnsi="Sakkal Majalla" w:cs="Sakkal Majalla"/>
                <w:sz w:val="22"/>
                <w:szCs w:val="22"/>
              </w:rPr>
              <w:t xml:space="preserve"> (ECC)</w:t>
            </w:r>
          </w:p>
        </w:tc>
        <w:tc>
          <w:tcPr>
            <w:tcW w:w="3249" w:type="pct"/>
          </w:tcPr>
          <w:p w14:paraId="23C61A0E" w14:textId="77777777" w:rsidR="00000000" w:rsidRPr="00091C1C" w:rsidRDefault="00000000" w:rsidP="00091C1C">
            <w:pPr>
              <w:bidi/>
              <w:spacing w:after="0" w:line="240" w:lineRule="auto"/>
              <w:rPr>
                <w:rFonts w:ascii="Sakkal Majalla" w:hAnsi="Sakkal Majalla" w:cs="Sakkal Majalla"/>
                <w:sz w:val="22"/>
                <w:szCs w:val="22"/>
              </w:rPr>
            </w:pPr>
            <w:r>
              <w:rPr>
                <w:rFonts w:ascii="Sakkal Majalla" w:hAnsi="Sakkal Majalla" w:cs="Sakkal Majalla"/>
                <w:sz w:val="22"/>
                <w:szCs w:val="22"/>
                <w:rtl/>
              </w:rPr>
              <w:t>إطار وطني سعودي صادر عن الهيئة الوطنية للأمن السيبراني يُحدد الحد الأدنى من متطلبات الأمن السيبراني للمؤسسات</w:t>
            </w:r>
            <w:r>
              <w:rPr>
                <w:rFonts w:ascii="Sakkal Majalla" w:hAnsi="Sakkal Majalla" w:cs="Sakkal Majalla"/>
                <w:sz w:val="22"/>
                <w:szCs w:val="22"/>
              </w:rPr>
              <w:t>.</w:t>
            </w:r>
          </w:p>
        </w:tc>
      </w:tr>
    </w:tbl>
    <w:p w14:paraId="634CC087" w14:textId="77777777" w:rsidR="00B35152" w:rsidRPr="00C95436" w:rsidRDefault="00B35152" w:rsidP="00BC6B7C">
      <w:pPr>
        <w:bidi/>
        <w:spacing w:after="0" w:line="240" w:lineRule="auto"/>
        <w:jc w:val="both"/>
        <w:rPr>
          <w:rFonts w:ascii="Sakkal Majalla" w:hAnsi="Sakkal Majalla" w:cs="Sakkal Majalla"/>
          <w:sz w:val="28"/>
          <w:szCs w:val="28"/>
        </w:rPr>
      </w:pPr>
    </w:p>
    <w:p w14:paraId="1282F734" w14:textId="77777777" w:rsidR="00C51308" w:rsidRDefault="00C51308" w:rsidP="00BC6B7C">
      <w:pPr>
        <w:bidi/>
        <w:spacing w:after="0" w:line="240" w:lineRule="auto"/>
        <w:jc w:val="both"/>
        <w:rPr>
          <w:rFonts w:ascii="Sakkal Majalla" w:hAnsi="Sakkal Majalla" w:cs="Sakkal Majalla"/>
          <w:sz w:val="28"/>
          <w:szCs w:val="28"/>
          <w:rtl/>
        </w:rPr>
      </w:pPr>
    </w:p>
    <w:p w14:paraId="45524F8C" w14:textId="77777777" w:rsidR="00000000" w:rsidRPr="00C95436" w:rsidRDefault="00000000" w:rsidP="00091C1C">
      <w:pPr>
        <w:bidi/>
        <w:spacing w:after="0" w:line="240" w:lineRule="auto"/>
        <w:jc w:val="both"/>
        <w:rPr>
          <w:rFonts w:ascii="Sakkal Majalla" w:hAnsi="Sakkal Majalla" w:cs="Sakkal Majalla"/>
          <w:sz w:val="28"/>
          <w:szCs w:val="28"/>
          <w:rtl/>
        </w:rPr>
      </w:pPr>
    </w:p>
    <w:p w14:paraId="01C2768B" w14:textId="77777777" w:rsidR="00B35152" w:rsidRPr="00C95436" w:rsidRDefault="00B35152" w:rsidP="00BC6B7C">
      <w:pPr>
        <w:bidi/>
        <w:spacing w:after="0" w:line="240" w:lineRule="auto"/>
        <w:jc w:val="both"/>
        <w:rPr>
          <w:rFonts w:ascii="Sakkal Majalla" w:hAnsi="Sakkal Majalla" w:cs="Sakkal Majalla"/>
          <w:sz w:val="28"/>
          <w:szCs w:val="28"/>
          <w:rtl/>
        </w:rPr>
      </w:pPr>
      <w:r>
        <w:rPr>
          <w:rFonts w:ascii="Sakkal Majalla" w:hAnsi="Sakkal Majalla" w:cs="Sakkal Majalla"/>
          <w:sz w:val="24"/>
          <w:szCs w:val="24"/>
          <w:rtl/>
        </w:rPr>
        <w:t>القسم الثاني: متغيرات الدراسة الرئيسية</w:t>
      </w:r>
    </w:p>
    <w:p w14:paraId="1C4A6D51" w14:textId="77777777" w:rsidR="00B35152" w:rsidRPr="00C95436" w:rsidRDefault="00B35152" w:rsidP="00BC6B7C">
      <w:pPr>
        <w:bidi/>
        <w:spacing w:after="0" w:line="240" w:lineRule="auto"/>
        <w:jc w:val="both"/>
        <w:rPr>
          <w:rFonts w:ascii="Sakkal Majalla" w:hAnsi="Sakkal Majalla" w:cs="Sakkal Majalla"/>
          <w:sz w:val="28"/>
          <w:szCs w:val="28"/>
        </w:rPr>
      </w:pPr>
      <w:r>
        <w:rPr>
          <w:rFonts w:ascii="Sakkal Majalla" w:hAnsi="Sakkal Majalla" w:cs="Sakkal Majalla"/>
          <w:sz w:val="24"/>
          <w:szCs w:val="24"/>
          <w:rtl/>
        </w:rPr>
        <w:t>يرجى تحديد درجة موافقتك على كل عبارة وفق مقياس ليكرت الخماسي:</w:t>
      </w:r>
    </w:p>
    <w:tbl>
      <w:tblPr>
        <w:tblStyle w:val="a9"/>
        <w:bidiVisual/>
        <w:tblW w:w="5000" w:type="pct"/>
        <w:tblLook w:val="04A0" w:firstRow="1" w:lastRow="0" w:firstColumn="1" w:lastColumn="0" w:noHBand="0" w:noVBand="1"/>
      </w:tblPr>
      <w:tblGrid>
        <w:gridCol w:w="1660"/>
        <w:gridCol w:w="1659"/>
        <w:gridCol w:w="1659"/>
        <w:gridCol w:w="1659"/>
        <w:gridCol w:w="1659"/>
      </w:tblGrid>
      <w:tr w:rsidR="00B35152" w:rsidRPr="00C95436" w14:paraId="5FBADA61" w14:textId="77777777" w:rsidTr="00D916A2">
        <w:tc>
          <w:tcPr>
            <w:tcW w:w="1000" w:type="pct"/>
            <w:vAlign w:val="center"/>
          </w:tcPr>
          <w:p w14:paraId="6E508674" w14:textId="77777777" w:rsidR="00B35152" w:rsidRPr="00C95436" w:rsidRDefault="00B35152" w:rsidP="00BC6B7C">
            <w:pPr>
              <w:bidi/>
              <w:spacing w:after="0" w:line="240" w:lineRule="auto"/>
              <w:jc w:val="center"/>
              <w:rPr>
                <w:rFonts w:ascii="Sakkal Majalla" w:hAnsi="Sakkal Majalla" w:cs="Sakkal Majalla"/>
                <w:b/>
                <w:bCs/>
                <w:sz w:val="24"/>
                <w:szCs w:val="24"/>
              </w:rPr>
            </w:pPr>
            <w:r>
              <w:rPr>
                <w:rFonts w:ascii="Sakkal Majalla" w:hAnsi="Sakkal Majalla" w:cs="Sakkal Majalla"/>
                <w:b/>
                <w:bCs/>
                <w:rtl/>
              </w:rPr>
              <w:t>أوافق بشدة (5)</w:t>
            </w:r>
          </w:p>
        </w:tc>
        <w:tc>
          <w:tcPr>
            <w:tcW w:w="1000" w:type="pct"/>
            <w:vAlign w:val="center"/>
          </w:tcPr>
          <w:p w14:paraId="224312AB" w14:textId="77777777" w:rsidR="00B35152" w:rsidRPr="00C95436" w:rsidRDefault="00B35152" w:rsidP="00BC6B7C">
            <w:pPr>
              <w:bidi/>
              <w:spacing w:after="0" w:line="240" w:lineRule="auto"/>
              <w:jc w:val="center"/>
              <w:rPr>
                <w:rFonts w:ascii="Sakkal Majalla" w:hAnsi="Sakkal Majalla" w:cs="Sakkal Majalla"/>
                <w:b/>
                <w:bCs/>
                <w:sz w:val="24"/>
                <w:szCs w:val="24"/>
              </w:rPr>
            </w:pPr>
            <w:r>
              <w:rPr>
                <w:rFonts w:ascii="Sakkal Majalla" w:hAnsi="Sakkal Majalla" w:cs="Sakkal Majalla"/>
                <w:b/>
                <w:bCs/>
                <w:rtl/>
              </w:rPr>
              <w:t>أوافق (4)</w:t>
            </w:r>
          </w:p>
        </w:tc>
        <w:tc>
          <w:tcPr>
            <w:tcW w:w="1000" w:type="pct"/>
            <w:vAlign w:val="center"/>
          </w:tcPr>
          <w:p w14:paraId="022FEDC9" w14:textId="77777777" w:rsidR="00B35152" w:rsidRPr="00C95436" w:rsidRDefault="00B35152" w:rsidP="00BC6B7C">
            <w:pPr>
              <w:bidi/>
              <w:spacing w:after="0" w:line="240" w:lineRule="auto"/>
              <w:jc w:val="center"/>
              <w:rPr>
                <w:rFonts w:ascii="Sakkal Majalla" w:hAnsi="Sakkal Majalla" w:cs="Sakkal Majalla"/>
                <w:b/>
                <w:bCs/>
                <w:sz w:val="24"/>
                <w:szCs w:val="24"/>
              </w:rPr>
            </w:pPr>
            <w:r>
              <w:rPr>
                <w:rFonts w:ascii="Sakkal Majalla" w:hAnsi="Sakkal Majalla" w:cs="Sakkal Majalla"/>
                <w:b/>
                <w:bCs/>
                <w:rtl/>
              </w:rPr>
              <w:t>محايد (3)</w:t>
            </w:r>
          </w:p>
        </w:tc>
        <w:tc>
          <w:tcPr>
            <w:tcW w:w="1000" w:type="pct"/>
            <w:vAlign w:val="center"/>
          </w:tcPr>
          <w:p w14:paraId="03C1EC53" w14:textId="77777777" w:rsidR="00B35152" w:rsidRPr="00C95436" w:rsidRDefault="00B35152" w:rsidP="00BC6B7C">
            <w:pPr>
              <w:bidi/>
              <w:spacing w:after="0" w:line="240" w:lineRule="auto"/>
              <w:jc w:val="center"/>
              <w:rPr>
                <w:rFonts w:ascii="Sakkal Majalla" w:hAnsi="Sakkal Majalla" w:cs="Sakkal Majalla"/>
                <w:b/>
                <w:bCs/>
                <w:sz w:val="24"/>
                <w:szCs w:val="24"/>
              </w:rPr>
            </w:pPr>
            <w:r>
              <w:rPr>
                <w:rFonts w:ascii="Sakkal Majalla" w:hAnsi="Sakkal Majalla" w:cs="Sakkal Majalla"/>
                <w:b/>
                <w:bCs/>
                <w:rtl/>
              </w:rPr>
              <w:t>لا أوافق (2)</w:t>
            </w:r>
          </w:p>
        </w:tc>
        <w:tc>
          <w:tcPr>
            <w:tcW w:w="1000" w:type="pct"/>
            <w:vAlign w:val="center"/>
          </w:tcPr>
          <w:p w14:paraId="4193D763" w14:textId="77777777" w:rsidR="00B35152" w:rsidRPr="00C95436" w:rsidRDefault="00B35152" w:rsidP="00BC6B7C">
            <w:pPr>
              <w:bidi/>
              <w:spacing w:after="0" w:line="240" w:lineRule="auto"/>
              <w:jc w:val="center"/>
              <w:rPr>
                <w:rFonts w:ascii="Sakkal Majalla" w:hAnsi="Sakkal Majalla" w:cs="Sakkal Majalla"/>
                <w:b/>
                <w:bCs/>
                <w:sz w:val="24"/>
                <w:szCs w:val="24"/>
              </w:rPr>
            </w:pPr>
            <w:r>
              <w:rPr>
                <w:rFonts w:ascii="Sakkal Majalla" w:hAnsi="Sakkal Majalla" w:cs="Sakkal Majalla"/>
                <w:b/>
                <w:bCs/>
                <w:rtl/>
              </w:rPr>
              <w:t>لا أوافق بشدة (1)</w:t>
            </w:r>
          </w:p>
        </w:tc>
      </w:tr>
    </w:tbl>
    <w:p w14:paraId="1E589B99" w14:textId="77777777" w:rsidR="00B35152" w:rsidRPr="00C95436" w:rsidRDefault="00B35152" w:rsidP="00BC6B7C">
      <w:pPr>
        <w:bidi/>
        <w:spacing w:after="0" w:line="240" w:lineRule="auto"/>
        <w:jc w:val="both"/>
        <w:rPr>
          <w:rFonts w:ascii="Sakkal Majalla" w:hAnsi="Sakkal Majalla" w:cs="Sakkal Majalla"/>
          <w:sz w:val="28"/>
          <w:szCs w:val="28"/>
        </w:rPr>
      </w:pPr>
      <w:r>
        <w:rPr>
          <w:rFonts w:ascii="Sakkal Majalla" w:hAnsi="Sakkal Majalla" w:cs="Sakkal Majalla"/>
          <w:sz w:val="24"/>
          <w:szCs w:val="24"/>
          <w:rtl/>
        </w:rPr>
        <w:t>مقياس ليكرت الخماسي المستخدم</w:t>
      </w:r>
    </w:p>
    <w:p w14:paraId="485606B0" w14:textId="77777777" w:rsidR="00B35152" w:rsidRPr="00C95436" w:rsidRDefault="00B35152" w:rsidP="00BC6B7C">
      <w:pPr>
        <w:bidi/>
        <w:spacing w:after="0" w:line="240" w:lineRule="auto"/>
        <w:jc w:val="both"/>
        <w:rPr>
          <w:rFonts w:ascii="Sakkal Majalla" w:hAnsi="Sakkal Majalla" w:cs="Sakkal Majalla"/>
          <w:sz w:val="28"/>
          <w:szCs w:val="28"/>
        </w:rPr>
      </w:pPr>
    </w:p>
    <w:p w14:paraId="274B5A11" w14:textId="77777777" w:rsidR="00B35152" w:rsidRPr="00C95436" w:rsidRDefault="00B35152" w:rsidP="00BC6B7C">
      <w:pPr>
        <w:bidi/>
        <w:spacing w:after="0" w:line="240" w:lineRule="auto"/>
        <w:jc w:val="both"/>
        <w:rPr>
          <w:rFonts w:ascii="Sakkal Majalla" w:hAnsi="Sakkal Majalla" w:cs="Sakkal Majalla"/>
          <w:sz w:val="28"/>
          <w:szCs w:val="28"/>
        </w:rPr>
      </w:pPr>
      <w:r>
        <w:rPr>
          <w:rFonts w:ascii="Sakkal Majalla" w:hAnsi="Sakkal Majalla" w:cs="Sakkal Majalla"/>
          <w:sz w:val="24"/>
          <w:szCs w:val="24"/>
          <w:rtl/>
        </w:rPr>
        <w:t>أولاً: تطبيق تقنية الترميز الأمني للبيانات (المتغير المستقل الأول)</w:t>
      </w:r>
    </w:p>
    <w:tbl>
      <w:tblPr>
        <w:tblStyle w:val="4-1"/>
        <w:tblW w:w="5000" w:type="pct"/>
        <w:jc w:val="center"/>
        <w:tblLook w:val="04A0" w:firstRow="1" w:lastRow="0" w:firstColumn="1" w:lastColumn="0" w:noHBand="0" w:noVBand="1"/>
      </w:tblPr>
      <w:tblGrid>
        <w:gridCol w:w="577"/>
        <w:gridCol w:w="587"/>
        <w:gridCol w:w="587"/>
        <w:gridCol w:w="587"/>
        <w:gridCol w:w="587"/>
        <w:gridCol w:w="5371"/>
      </w:tblGrid>
      <w:tr w:rsidR="00B35152" w:rsidRPr="00C95436" w14:paraId="72717CF3" w14:textId="77777777" w:rsidTr="00D916A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10CB06A2" w14:textId="77777777" w:rsidR="00B35152" w:rsidRPr="00C95436" w:rsidRDefault="00B35152" w:rsidP="00BC6B7C">
            <w:pPr>
              <w:bidi/>
              <w:spacing w:after="0" w:line="240" w:lineRule="auto"/>
              <w:jc w:val="center"/>
              <w:rPr>
                <w:rFonts w:ascii="Sakkal Majalla" w:hAnsi="Sakkal Majalla" w:cs="Sakkal Majalla"/>
                <w:sz w:val="24"/>
                <w:szCs w:val="24"/>
              </w:rPr>
            </w:pPr>
            <w:r>
              <w:rPr>
                <w:rFonts w:ascii="Sakkal Majalla" w:hAnsi="Sakkal Majalla" w:cs="Sakkal Majalla"/>
                <w:rtl/>
              </w:rPr>
              <w:t>5</w:t>
            </w:r>
          </w:p>
        </w:tc>
        <w:tc>
          <w:tcPr>
            <w:tcW w:w="354" w:type="pct"/>
            <w:vAlign w:val="center"/>
          </w:tcPr>
          <w:p w14:paraId="57CA4121"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4</w:t>
            </w:r>
          </w:p>
        </w:tc>
        <w:tc>
          <w:tcPr>
            <w:tcW w:w="354" w:type="pct"/>
            <w:vAlign w:val="center"/>
          </w:tcPr>
          <w:p w14:paraId="05316562"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3</w:t>
            </w:r>
          </w:p>
        </w:tc>
        <w:tc>
          <w:tcPr>
            <w:tcW w:w="354" w:type="pct"/>
            <w:vAlign w:val="center"/>
          </w:tcPr>
          <w:p w14:paraId="530B24A3"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2</w:t>
            </w:r>
          </w:p>
        </w:tc>
        <w:tc>
          <w:tcPr>
            <w:tcW w:w="354" w:type="pct"/>
            <w:vAlign w:val="center"/>
          </w:tcPr>
          <w:p w14:paraId="6D89585B"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1</w:t>
            </w:r>
          </w:p>
        </w:tc>
        <w:tc>
          <w:tcPr>
            <w:tcW w:w="3238" w:type="pct"/>
            <w:vAlign w:val="center"/>
          </w:tcPr>
          <w:p w14:paraId="490F7E6A" w14:textId="77777777" w:rsidR="00B35152" w:rsidRPr="00C95436" w:rsidRDefault="00B35152" w:rsidP="00BC6B7C">
            <w:pPr>
              <w:bidi/>
              <w:spacing w:after="0" w:line="24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العبارة</w:t>
            </w:r>
          </w:p>
        </w:tc>
      </w:tr>
      <w:tr w:rsidR="00B35152" w:rsidRPr="00C95436" w14:paraId="1B3C435B" w14:textId="77777777" w:rsidTr="00D916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06D36B52" w14:textId="77777777" w:rsidR="00B35152" w:rsidRPr="00C95436" w:rsidRDefault="00B35152" w:rsidP="00BC6B7C">
            <w:pPr>
              <w:bidi/>
              <w:spacing w:after="0" w:line="240" w:lineRule="auto"/>
              <w:jc w:val="center"/>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77C8D1C6"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6E24807A"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0961C9BA"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07848C5C"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8" w:type="pct"/>
            <w:vAlign w:val="center"/>
          </w:tcPr>
          <w:p w14:paraId="03096A36" w14:textId="77777777" w:rsidR="00B35152" w:rsidRPr="00C95436" w:rsidRDefault="00B35152" w:rsidP="00BC6B7C">
            <w:pPr>
              <w:bidi/>
              <w:spacing w:after="0" w:line="24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تستخدم مؤسستنا تقنية الترميز لحماية بيانات الدفع والمعاملات المالية الحساسة.</w:t>
            </w:r>
          </w:p>
        </w:tc>
      </w:tr>
      <w:tr w:rsidR="00B35152" w:rsidRPr="00C95436" w14:paraId="342AB70A" w14:textId="77777777" w:rsidTr="00D916A2">
        <w:trPr>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71F0B434" w14:textId="77777777" w:rsidR="00B35152" w:rsidRPr="00C95436" w:rsidRDefault="00B35152" w:rsidP="00BC6B7C">
            <w:pPr>
              <w:bidi/>
              <w:spacing w:after="0" w:line="240" w:lineRule="auto"/>
              <w:jc w:val="center"/>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3A3E1DEF"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7C0F3B27"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6F5D457F"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683FFC90"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8" w:type="pct"/>
          </w:tcPr>
          <w:p w14:paraId="79C92203" w14:textId="77777777" w:rsidR="00B35152" w:rsidRPr="00C95436" w:rsidRDefault="00B35152" w:rsidP="00BC6B7C">
            <w:pPr>
              <w:bidi/>
              <w:spacing w:after="0" w:line="24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تطبق مؤسستنا ترميز البيانات في مرحلة التخزين (Tokenization at Rest).</w:t>
            </w:r>
          </w:p>
        </w:tc>
      </w:tr>
      <w:tr w:rsidR="00B35152" w:rsidRPr="00C95436" w14:paraId="60470BB4" w14:textId="77777777" w:rsidTr="00D916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65BCCE7A" w14:textId="77777777" w:rsidR="00B35152" w:rsidRPr="00C95436" w:rsidRDefault="00B35152" w:rsidP="00BC6B7C">
            <w:pPr>
              <w:bidi/>
              <w:spacing w:after="0" w:line="240" w:lineRule="auto"/>
              <w:jc w:val="center"/>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174A01FA"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0D3A9DA1"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1CBDD9BF"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3A5726F7"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8" w:type="pct"/>
          </w:tcPr>
          <w:p w14:paraId="3C7E9C82" w14:textId="77777777" w:rsidR="00B35152" w:rsidRPr="00C95436" w:rsidRDefault="00B35152" w:rsidP="00BC6B7C">
            <w:pPr>
              <w:bidi/>
              <w:spacing w:after="0" w:line="24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تطبق مؤسستنا ترميز البيانات في مرحلة النقل (Tokenization in Transit).</w:t>
            </w:r>
          </w:p>
        </w:tc>
      </w:tr>
      <w:tr w:rsidR="00B35152" w:rsidRPr="00C95436" w14:paraId="0D496DE2" w14:textId="77777777" w:rsidTr="00D916A2">
        <w:trPr>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2098E87C" w14:textId="77777777" w:rsidR="00B35152" w:rsidRPr="00C95436" w:rsidRDefault="00B35152" w:rsidP="00BC6B7C">
            <w:pPr>
              <w:bidi/>
              <w:spacing w:after="0" w:line="240" w:lineRule="auto"/>
              <w:jc w:val="center"/>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251BACB3"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31BD05BA"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3B917AFA"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57278A75"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8" w:type="pct"/>
          </w:tcPr>
          <w:p w14:paraId="22F788D7" w14:textId="77777777" w:rsidR="00B35152" w:rsidRPr="00C95436" w:rsidRDefault="00B35152" w:rsidP="00BC6B7C">
            <w:pPr>
              <w:bidi/>
              <w:spacing w:after="0" w:line="24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تغطي تقنية الترميز أنواعاً متعددة من البيانات الحساسة (بطاقات الدفع، الهوية، الحسابات).</w:t>
            </w:r>
          </w:p>
        </w:tc>
      </w:tr>
      <w:tr w:rsidR="00B35152" w:rsidRPr="00C95436" w14:paraId="23BD1BA4" w14:textId="77777777" w:rsidTr="00D916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55093F68" w14:textId="77777777" w:rsidR="00B35152" w:rsidRPr="00C95436" w:rsidRDefault="00B35152" w:rsidP="00BC6B7C">
            <w:pPr>
              <w:bidi/>
              <w:spacing w:after="0" w:line="240" w:lineRule="auto"/>
              <w:jc w:val="center"/>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5ED25D7C"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47593CAE"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4579C8DC"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6C1B7E1B"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8" w:type="pct"/>
          </w:tcPr>
          <w:p w14:paraId="75C1B802" w14:textId="77777777" w:rsidR="00B35152" w:rsidRPr="00C95436" w:rsidRDefault="00B35152" w:rsidP="00BC6B7C">
            <w:pPr>
              <w:bidi/>
              <w:spacing w:after="0" w:line="24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تُطبَّق آلية الترميز على جميع قنوات الدفع الإلكتروني في مؤسستنا.</w:t>
            </w:r>
          </w:p>
        </w:tc>
      </w:tr>
      <w:tr w:rsidR="00B35152" w:rsidRPr="00C95436" w14:paraId="5B56A49E" w14:textId="77777777" w:rsidTr="00D916A2">
        <w:trPr>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28DA203F" w14:textId="77777777" w:rsidR="00B35152" w:rsidRPr="00C95436" w:rsidRDefault="00B35152" w:rsidP="00BC6B7C">
            <w:pPr>
              <w:bidi/>
              <w:spacing w:after="0" w:line="240" w:lineRule="auto"/>
              <w:jc w:val="center"/>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5313D72B"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3B3274FF"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19BF3574"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57725C4F"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8" w:type="pct"/>
          </w:tcPr>
          <w:p w14:paraId="594C333E" w14:textId="77777777" w:rsidR="00B35152" w:rsidRPr="00C95436" w:rsidRDefault="00B35152" w:rsidP="00BC6B7C">
            <w:pPr>
              <w:bidi/>
              <w:spacing w:after="0" w:line="24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تُحدَّث منظومة الترميز بصفة منتظمة لمواكبة التطورات التقنية والتهديدات المستحدثة.</w:t>
            </w:r>
          </w:p>
        </w:tc>
      </w:tr>
    </w:tbl>
    <w:p w14:paraId="25F62C19" w14:textId="77777777" w:rsidR="00B35152" w:rsidRPr="00C95436" w:rsidRDefault="00B35152" w:rsidP="00BC6B7C">
      <w:pPr>
        <w:bidi/>
        <w:spacing w:after="0" w:line="240" w:lineRule="auto"/>
        <w:jc w:val="center"/>
        <w:rPr>
          <w:rFonts w:ascii="Sakkal Majalla" w:hAnsi="Sakkal Majalla" w:cs="Sakkal Majalla"/>
          <w:sz w:val="28"/>
          <w:szCs w:val="28"/>
        </w:rPr>
      </w:pPr>
      <w:r>
        <w:rPr>
          <w:rFonts w:ascii="Sakkal Majalla" w:hAnsi="Sakkal Majalla" w:cs="Sakkal Majalla"/>
          <w:sz w:val="24"/>
          <w:szCs w:val="24"/>
          <w:rtl/>
        </w:rPr>
        <w:t>عبارات متغير تطبيق تقنية الترميز</w:t>
      </w:r>
    </w:p>
    <w:p w14:paraId="700687BB" w14:textId="77777777" w:rsidR="00B35152" w:rsidRPr="00C95436" w:rsidRDefault="00B35152" w:rsidP="00BC6B7C">
      <w:pPr>
        <w:bidi/>
        <w:spacing w:after="0" w:line="240" w:lineRule="auto"/>
        <w:jc w:val="both"/>
        <w:rPr>
          <w:rFonts w:ascii="Sakkal Majalla" w:hAnsi="Sakkal Majalla" w:cs="Sakkal Majalla"/>
          <w:sz w:val="28"/>
          <w:szCs w:val="28"/>
          <w:rtl/>
        </w:rPr>
      </w:pPr>
      <w:r>
        <w:rPr>
          <w:rFonts w:ascii="Sakkal Majalla" w:hAnsi="Sakkal Majalla" w:cs="Sakkal Majalla"/>
          <w:sz w:val="24"/>
          <w:szCs w:val="24"/>
          <w:rtl/>
        </w:rPr>
        <w:t>ثالثاً: الأمن السيبراني المؤسسي (المتغير التابع الأول)</w:t>
      </w:r>
    </w:p>
    <w:tbl>
      <w:tblPr>
        <w:tblStyle w:val="4-1"/>
        <w:tblW w:w="5000" w:type="pct"/>
        <w:jc w:val="center"/>
        <w:tblLook w:val="04A0" w:firstRow="1" w:lastRow="0" w:firstColumn="1" w:lastColumn="0" w:noHBand="0" w:noVBand="1"/>
      </w:tblPr>
      <w:tblGrid>
        <w:gridCol w:w="577"/>
        <w:gridCol w:w="587"/>
        <w:gridCol w:w="587"/>
        <w:gridCol w:w="587"/>
        <w:gridCol w:w="587"/>
        <w:gridCol w:w="5371"/>
      </w:tblGrid>
      <w:tr w:rsidR="00B35152" w:rsidRPr="00C95436" w14:paraId="4A74DC1D" w14:textId="77777777" w:rsidTr="00D916A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45920A2B" w14:textId="77777777" w:rsidR="00B35152" w:rsidRPr="00C95436" w:rsidRDefault="00B35152" w:rsidP="00BC6B7C">
            <w:pPr>
              <w:bidi/>
              <w:spacing w:after="0" w:line="240" w:lineRule="auto"/>
              <w:jc w:val="center"/>
              <w:rPr>
                <w:rFonts w:ascii="Sakkal Majalla" w:hAnsi="Sakkal Majalla" w:cs="Sakkal Majalla"/>
                <w:sz w:val="24"/>
                <w:szCs w:val="24"/>
              </w:rPr>
            </w:pPr>
            <w:r>
              <w:rPr>
                <w:rFonts w:ascii="Sakkal Majalla" w:hAnsi="Sakkal Majalla" w:cs="Sakkal Majalla"/>
                <w:rtl/>
              </w:rPr>
              <w:t>5</w:t>
            </w:r>
          </w:p>
        </w:tc>
        <w:tc>
          <w:tcPr>
            <w:tcW w:w="354" w:type="pct"/>
            <w:vAlign w:val="center"/>
          </w:tcPr>
          <w:p w14:paraId="0E9CE991"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4</w:t>
            </w:r>
          </w:p>
        </w:tc>
        <w:tc>
          <w:tcPr>
            <w:tcW w:w="354" w:type="pct"/>
            <w:vAlign w:val="center"/>
          </w:tcPr>
          <w:p w14:paraId="34B92044"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3</w:t>
            </w:r>
          </w:p>
        </w:tc>
        <w:tc>
          <w:tcPr>
            <w:tcW w:w="354" w:type="pct"/>
            <w:vAlign w:val="center"/>
          </w:tcPr>
          <w:p w14:paraId="3D179A35"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2</w:t>
            </w:r>
          </w:p>
        </w:tc>
        <w:tc>
          <w:tcPr>
            <w:tcW w:w="354" w:type="pct"/>
            <w:vAlign w:val="center"/>
          </w:tcPr>
          <w:p w14:paraId="4D83C45C"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1</w:t>
            </w:r>
          </w:p>
        </w:tc>
        <w:tc>
          <w:tcPr>
            <w:tcW w:w="3238" w:type="pct"/>
            <w:vAlign w:val="center"/>
          </w:tcPr>
          <w:p w14:paraId="5310E6D8"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العبارة</w:t>
            </w:r>
          </w:p>
        </w:tc>
      </w:tr>
      <w:tr w:rsidR="00B35152" w:rsidRPr="00C95436" w14:paraId="75D15E38" w14:textId="77777777" w:rsidTr="00D916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002D10BE" w14:textId="77777777" w:rsidR="00B35152" w:rsidRPr="00C95436" w:rsidRDefault="00B35152" w:rsidP="00BC6B7C">
            <w:pPr>
              <w:bidi/>
              <w:spacing w:after="0" w:line="240" w:lineRule="auto"/>
              <w:jc w:val="center"/>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5BE7F215"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6C3EFE26"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47A8DCF5"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3431853C"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8" w:type="pct"/>
            <w:vAlign w:val="center"/>
          </w:tcPr>
          <w:p w14:paraId="6AD12DA7" w14:textId="77777777" w:rsidR="00B35152" w:rsidRPr="00C95436" w:rsidRDefault="00B35152" w:rsidP="00BC6B7C">
            <w:pPr>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تنخفض معدلات الاختراقات الأمنية التي تتعرض لها مؤسستنا مقارنة بالسنوات السابقة.</w:t>
            </w:r>
          </w:p>
        </w:tc>
      </w:tr>
      <w:tr w:rsidR="00B35152" w:rsidRPr="00C95436" w14:paraId="1DF5D9D3" w14:textId="77777777" w:rsidTr="00D916A2">
        <w:trPr>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7C18829A" w14:textId="77777777" w:rsidR="00B35152" w:rsidRPr="00C95436" w:rsidRDefault="00B35152" w:rsidP="00BC6B7C">
            <w:pPr>
              <w:bidi/>
              <w:spacing w:after="0" w:line="240" w:lineRule="auto"/>
              <w:jc w:val="center"/>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53573C50"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54B1B854"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40F9649A"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3A954BFA"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8" w:type="pct"/>
            <w:vAlign w:val="center"/>
          </w:tcPr>
          <w:p w14:paraId="0C907C1B" w14:textId="77777777" w:rsidR="00B35152" w:rsidRPr="00C95436" w:rsidRDefault="00B35152" w:rsidP="00BC6B7C">
            <w:pPr>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تُحقق أنظمة الحماية لدى مؤسستنا مستوى عالياً من الوقاية ضد محاولات الاختراق.</w:t>
            </w:r>
          </w:p>
        </w:tc>
      </w:tr>
      <w:tr w:rsidR="00B35152" w:rsidRPr="00C95436" w14:paraId="5869FDF0" w14:textId="77777777" w:rsidTr="00D916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7BB22819" w14:textId="77777777" w:rsidR="00B35152" w:rsidRPr="00C95436" w:rsidRDefault="00B35152" w:rsidP="00BC6B7C">
            <w:pPr>
              <w:bidi/>
              <w:spacing w:after="0" w:line="240" w:lineRule="auto"/>
              <w:jc w:val="center"/>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7CB94CFA"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6BCB036F"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664FB9D3"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1B98C146"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8" w:type="pct"/>
            <w:vAlign w:val="center"/>
          </w:tcPr>
          <w:p w14:paraId="4E3B6A4D" w14:textId="77777777" w:rsidR="00B35152" w:rsidRPr="00C95436" w:rsidRDefault="00B35152" w:rsidP="00BC6B7C">
            <w:pPr>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تستجيب مؤسستنا للحوادث السيبرانية خلال زمن قصير من اكتشافها.</w:t>
            </w:r>
          </w:p>
        </w:tc>
      </w:tr>
      <w:tr w:rsidR="00B35152" w:rsidRPr="00C95436" w14:paraId="70E39013" w14:textId="77777777" w:rsidTr="00D916A2">
        <w:trPr>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753FC497" w14:textId="77777777" w:rsidR="00B35152" w:rsidRPr="00C95436" w:rsidRDefault="00B35152" w:rsidP="00BC6B7C">
            <w:pPr>
              <w:bidi/>
              <w:spacing w:after="0" w:line="240" w:lineRule="auto"/>
              <w:jc w:val="center"/>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2A65BDFB"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1C361A08"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62916232"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7E710854"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8" w:type="pct"/>
            <w:vAlign w:val="center"/>
          </w:tcPr>
          <w:p w14:paraId="51597B7F" w14:textId="77777777" w:rsidR="00B35152" w:rsidRPr="00C95436" w:rsidRDefault="00B35152" w:rsidP="00BC6B7C">
            <w:pPr>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تُحتوي مؤسستنا أثر الحوادث السيبرانية بفعالية لمنع تفاقمها.</w:t>
            </w:r>
          </w:p>
        </w:tc>
      </w:tr>
      <w:tr w:rsidR="00B35152" w:rsidRPr="00C95436" w14:paraId="6968A2A6" w14:textId="77777777" w:rsidTr="00D916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651B1A0B" w14:textId="77777777" w:rsidR="00B35152" w:rsidRPr="00C95436" w:rsidRDefault="00B35152" w:rsidP="00BC6B7C">
            <w:pPr>
              <w:bidi/>
              <w:spacing w:after="0" w:line="240" w:lineRule="auto"/>
              <w:jc w:val="center"/>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5BC2FCA0"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62625DCA"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72B4FC26"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243A41FB"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8" w:type="pct"/>
            <w:vAlign w:val="center"/>
          </w:tcPr>
          <w:p w14:paraId="6A01FD8B" w14:textId="77777777" w:rsidR="00B35152" w:rsidRPr="00C95436" w:rsidRDefault="00B35152" w:rsidP="00BC6B7C">
            <w:pPr>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تستعيد مؤسستنا عملياتها التشغيلية بسرعة بعد وقوع أي حادث سيبراني.</w:t>
            </w:r>
          </w:p>
        </w:tc>
      </w:tr>
      <w:tr w:rsidR="00B35152" w:rsidRPr="00C95436" w14:paraId="00C3710E" w14:textId="77777777" w:rsidTr="00D916A2">
        <w:trPr>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6E349C62" w14:textId="77777777" w:rsidR="00B35152" w:rsidRPr="00C95436" w:rsidRDefault="00B35152" w:rsidP="00BC6B7C">
            <w:pPr>
              <w:bidi/>
              <w:spacing w:after="0" w:line="240" w:lineRule="auto"/>
              <w:jc w:val="center"/>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736052E2"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5158AEE6"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523A7EB4"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291B8E5E"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8" w:type="pct"/>
            <w:vAlign w:val="center"/>
          </w:tcPr>
          <w:p w14:paraId="213170DC" w14:textId="77777777" w:rsidR="00B35152" w:rsidRPr="00C95436" w:rsidRDefault="00B35152" w:rsidP="00BC6B7C">
            <w:pPr>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تمتلك مؤسستنا خطط استمرارية أعمال فعّالة لمواجهة الحوادث السيبرانية.</w:t>
            </w:r>
          </w:p>
        </w:tc>
      </w:tr>
    </w:tbl>
    <w:p w14:paraId="64D4E459" w14:textId="77777777" w:rsidR="00B35152" w:rsidRPr="00C95436" w:rsidRDefault="00B35152" w:rsidP="00BC6B7C">
      <w:pPr>
        <w:bidi/>
        <w:spacing w:after="0" w:line="240" w:lineRule="auto"/>
        <w:jc w:val="center"/>
        <w:rPr>
          <w:rFonts w:ascii="Sakkal Majalla" w:hAnsi="Sakkal Majalla" w:cs="Sakkal Majalla"/>
          <w:sz w:val="28"/>
          <w:szCs w:val="28"/>
        </w:rPr>
      </w:pPr>
      <w:r>
        <w:rPr>
          <w:rFonts w:ascii="Sakkal Majalla" w:hAnsi="Sakkal Majalla" w:cs="Sakkal Majalla"/>
          <w:sz w:val="24"/>
          <w:szCs w:val="24"/>
          <w:rtl/>
        </w:rPr>
        <w:t>عبارات متغير الأمن السيبراني</w:t>
      </w:r>
    </w:p>
    <w:p w14:paraId="5649285D" w14:textId="77777777" w:rsidR="00B35152" w:rsidRPr="00C95436" w:rsidRDefault="00B35152" w:rsidP="00BC6B7C">
      <w:pPr>
        <w:bidi/>
        <w:spacing w:after="0" w:line="240" w:lineRule="auto"/>
        <w:jc w:val="both"/>
        <w:rPr>
          <w:rFonts w:ascii="Sakkal Majalla" w:hAnsi="Sakkal Majalla" w:cs="Sakkal Majalla"/>
          <w:sz w:val="28"/>
          <w:szCs w:val="28"/>
        </w:rPr>
      </w:pPr>
      <w:r>
        <w:rPr>
          <w:rFonts w:ascii="Sakkal Majalla" w:hAnsi="Sakkal Majalla" w:cs="Sakkal Majalla"/>
          <w:sz w:val="24"/>
          <w:szCs w:val="24"/>
          <w:rtl/>
        </w:rPr>
        <w:t>رابعاً: كفاءة العمليات المالية (المتغير التابع الثاني)</w:t>
      </w:r>
    </w:p>
    <w:tbl>
      <w:tblPr>
        <w:tblStyle w:val="4-1"/>
        <w:tblW w:w="5000" w:type="pct"/>
        <w:tblLook w:val="04A0" w:firstRow="1" w:lastRow="0" w:firstColumn="1" w:lastColumn="0" w:noHBand="0" w:noVBand="1"/>
      </w:tblPr>
      <w:tblGrid>
        <w:gridCol w:w="522"/>
        <w:gridCol w:w="536"/>
        <w:gridCol w:w="536"/>
        <w:gridCol w:w="536"/>
        <w:gridCol w:w="536"/>
        <w:gridCol w:w="5630"/>
      </w:tblGrid>
      <w:tr w:rsidR="00B35152" w:rsidRPr="00C95436" w14:paraId="46313295" w14:textId="77777777" w:rsidTr="00D916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 w:type="pct"/>
            <w:vAlign w:val="center"/>
          </w:tcPr>
          <w:p w14:paraId="4F9E4AA8" w14:textId="77777777" w:rsidR="00B35152" w:rsidRPr="00C95436" w:rsidRDefault="00B35152" w:rsidP="00BC6B7C">
            <w:pPr>
              <w:bidi/>
              <w:spacing w:after="0" w:line="240" w:lineRule="auto"/>
              <w:jc w:val="center"/>
              <w:rPr>
                <w:rFonts w:ascii="Sakkal Majalla" w:hAnsi="Sakkal Majalla" w:cs="Sakkal Majalla"/>
                <w:b w:val="0"/>
                <w:bCs w:val="0"/>
                <w:sz w:val="24"/>
                <w:szCs w:val="24"/>
              </w:rPr>
            </w:pPr>
            <w:r>
              <w:rPr>
                <w:rFonts w:ascii="Sakkal Majalla" w:hAnsi="Sakkal Majalla" w:cs="Sakkal Majalla"/>
                <w:b w:val="0"/>
                <w:bCs w:val="0"/>
                <w:rtl/>
              </w:rPr>
              <w:t>5</w:t>
            </w:r>
          </w:p>
        </w:tc>
        <w:tc>
          <w:tcPr>
            <w:tcW w:w="323" w:type="pct"/>
            <w:vAlign w:val="center"/>
          </w:tcPr>
          <w:p w14:paraId="06A2E4D4"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Pr>
                <w:rFonts w:ascii="Sakkal Majalla" w:hAnsi="Sakkal Majalla" w:cs="Sakkal Majalla"/>
                <w:b w:val="0"/>
                <w:bCs w:val="0"/>
                <w:rtl/>
              </w:rPr>
              <w:t>4</w:t>
            </w:r>
          </w:p>
        </w:tc>
        <w:tc>
          <w:tcPr>
            <w:tcW w:w="323" w:type="pct"/>
            <w:vAlign w:val="center"/>
          </w:tcPr>
          <w:p w14:paraId="32314BAB"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Pr>
                <w:rFonts w:ascii="Sakkal Majalla" w:hAnsi="Sakkal Majalla" w:cs="Sakkal Majalla"/>
                <w:b w:val="0"/>
                <w:bCs w:val="0"/>
                <w:rtl/>
              </w:rPr>
              <w:t>3</w:t>
            </w:r>
          </w:p>
        </w:tc>
        <w:tc>
          <w:tcPr>
            <w:tcW w:w="323" w:type="pct"/>
            <w:vAlign w:val="center"/>
          </w:tcPr>
          <w:p w14:paraId="2830B0DF"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Pr>
                <w:rFonts w:ascii="Sakkal Majalla" w:hAnsi="Sakkal Majalla" w:cs="Sakkal Majalla"/>
                <w:b w:val="0"/>
                <w:bCs w:val="0"/>
                <w:rtl/>
              </w:rPr>
              <w:t>2</w:t>
            </w:r>
          </w:p>
        </w:tc>
        <w:tc>
          <w:tcPr>
            <w:tcW w:w="323" w:type="pct"/>
            <w:vAlign w:val="center"/>
          </w:tcPr>
          <w:p w14:paraId="6EFE1501"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Pr>
                <w:rFonts w:ascii="Sakkal Majalla" w:hAnsi="Sakkal Majalla" w:cs="Sakkal Majalla"/>
                <w:b w:val="0"/>
                <w:bCs w:val="0"/>
                <w:rtl/>
              </w:rPr>
              <w:t>1</w:t>
            </w:r>
          </w:p>
        </w:tc>
        <w:tc>
          <w:tcPr>
            <w:tcW w:w="3393" w:type="pct"/>
            <w:vAlign w:val="center"/>
          </w:tcPr>
          <w:p w14:paraId="2478B7D5"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العبارة</w:t>
            </w:r>
          </w:p>
        </w:tc>
      </w:tr>
      <w:tr w:rsidR="00B35152" w:rsidRPr="00C95436" w14:paraId="05A6CA00" w14:textId="77777777" w:rsidTr="00D9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 w:type="pct"/>
            <w:vAlign w:val="center"/>
          </w:tcPr>
          <w:p w14:paraId="686E4D8D" w14:textId="77777777" w:rsidR="00B35152" w:rsidRPr="00C95436" w:rsidRDefault="00B35152" w:rsidP="00BC6B7C">
            <w:pPr>
              <w:bidi/>
              <w:spacing w:after="0" w:line="240" w:lineRule="auto"/>
              <w:jc w:val="center"/>
              <w:rPr>
                <w:rFonts w:ascii="Sakkal Majalla" w:hAnsi="Sakkal Majalla" w:cs="Sakkal Majalla"/>
                <w:b w:val="0"/>
                <w:bCs w:val="0"/>
                <w:sz w:val="24"/>
                <w:szCs w:val="24"/>
              </w:rPr>
            </w:pPr>
            <w:r>
              <w:rPr>
                <w:rFonts w:ascii="Segoe UI Symbol" w:hAnsi="Segoe UI Symbol" w:cs="Segoe UI Symbol" w:hint="cs"/>
                <w:b w:val="0"/>
                <w:bCs w:val="0"/>
                <w:rtl/>
              </w:rPr>
              <w:t>☐</w:t>
            </w:r>
          </w:p>
        </w:tc>
        <w:tc>
          <w:tcPr>
            <w:tcW w:w="323" w:type="pct"/>
            <w:vAlign w:val="center"/>
          </w:tcPr>
          <w:p w14:paraId="6AA208BD"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 w:type="pct"/>
            <w:vAlign w:val="center"/>
          </w:tcPr>
          <w:p w14:paraId="653637CA"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 w:type="pct"/>
            <w:vAlign w:val="center"/>
          </w:tcPr>
          <w:p w14:paraId="6C072742"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 w:type="pct"/>
            <w:vAlign w:val="center"/>
          </w:tcPr>
          <w:p w14:paraId="6979F7E0"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393" w:type="pct"/>
          </w:tcPr>
          <w:p w14:paraId="0727319B" w14:textId="77777777" w:rsidR="00B35152" w:rsidRPr="00C95436" w:rsidRDefault="00B35152" w:rsidP="00BC6B7C">
            <w:pPr>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تُعالَج المعاملات المالية في مؤسستنا بسرعة عالية.</w:t>
            </w:r>
          </w:p>
        </w:tc>
      </w:tr>
      <w:tr w:rsidR="00B35152" w:rsidRPr="00C95436" w14:paraId="5F2FA648" w14:textId="77777777" w:rsidTr="00D916A2">
        <w:tc>
          <w:tcPr>
            <w:cnfStyle w:val="001000000000" w:firstRow="0" w:lastRow="0" w:firstColumn="1" w:lastColumn="0" w:oddVBand="0" w:evenVBand="0" w:oddHBand="0" w:evenHBand="0" w:firstRowFirstColumn="0" w:firstRowLastColumn="0" w:lastRowFirstColumn="0" w:lastRowLastColumn="0"/>
            <w:tcW w:w="315" w:type="pct"/>
            <w:vAlign w:val="center"/>
          </w:tcPr>
          <w:p w14:paraId="6AA00870" w14:textId="77777777" w:rsidR="00B35152" w:rsidRPr="00C95436" w:rsidRDefault="00B35152" w:rsidP="00BC6B7C">
            <w:pPr>
              <w:bidi/>
              <w:spacing w:after="0" w:line="240" w:lineRule="auto"/>
              <w:jc w:val="center"/>
              <w:rPr>
                <w:rFonts w:ascii="Sakkal Majalla" w:hAnsi="Sakkal Majalla" w:cs="Sakkal Majalla"/>
                <w:b w:val="0"/>
                <w:bCs w:val="0"/>
                <w:sz w:val="24"/>
                <w:szCs w:val="24"/>
              </w:rPr>
            </w:pPr>
            <w:r>
              <w:rPr>
                <w:rFonts w:ascii="Segoe UI Symbol" w:hAnsi="Segoe UI Symbol" w:cs="Segoe UI Symbol" w:hint="cs"/>
                <w:b w:val="0"/>
                <w:bCs w:val="0"/>
                <w:rtl/>
              </w:rPr>
              <w:t>☐</w:t>
            </w:r>
          </w:p>
        </w:tc>
        <w:tc>
          <w:tcPr>
            <w:tcW w:w="323" w:type="pct"/>
            <w:vAlign w:val="center"/>
          </w:tcPr>
          <w:p w14:paraId="1870917F"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 w:type="pct"/>
            <w:vAlign w:val="center"/>
          </w:tcPr>
          <w:p w14:paraId="318A82B0"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 w:type="pct"/>
            <w:vAlign w:val="center"/>
          </w:tcPr>
          <w:p w14:paraId="29C473B4"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 w:type="pct"/>
            <w:vAlign w:val="center"/>
          </w:tcPr>
          <w:p w14:paraId="70978B17"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393" w:type="pct"/>
          </w:tcPr>
          <w:p w14:paraId="00BFF53C" w14:textId="77777777" w:rsidR="00B35152" w:rsidRPr="00C95436" w:rsidRDefault="00B35152" w:rsidP="00BC6B7C">
            <w:pPr>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تتسم عمليات مؤسستنا التشغيلية بإنتاجية مرتفعة.</w:t>
            </w:r>
          </w:p>
        </w:tc>
      </w:tr>
      <w:tr w:rsidR="00B35152" w:rsidRPr="00C95436" w14:paraId="152F5024" w14:textId="77777777" w:rsidTr="00D9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 w:type="pct"/>
            <w:vAlign w:val="center"/>
          </w:tcPr>
          <w:p w14:paraId="420B0DCC" w14:textId="77777777" w:rsidR="00B35152" w:rsidRPr="00C95436" w:rsidRDefault="00B35152" w:rsidP="00BC6B7C">
            <w:pPr>
              <w:bidi/>
              <w:spacing w:after="0" w:line="240" w:lineRule="auto"/>
              <w:jc w:val="center"/>
              <w:rPr>
                <w:rFonts w:ascii="Sakkal Majalla" w:hAnsi="Sakkal Majalla" w:cs="Sakkal Majalla"/>
                <w:b w:val="0"/>
                <w:bCs w:val="0"/>
                <w:sz w:val="24"/>
                <w:szCs w:val="24"/>
              </w:rPr>
            </w:pPr>
            <w:r>
              <w:rPr>
                <w:rFonts w:ascii="Segoe UI Symbol" w:hAnsi="Segoe UI Symbol" w:cs="Segoe UI Symbol" w:hint="cs"/>
                <w:b w:val="0"/>
                <w:bCs w:val="0"/>
                <w:rtl/>
              </w:rPr>
              <w:t>☐</w:t>
            </w:r>
          </w:p>
        </w:tc>
        <w:tc>
          <w:tcPr>
            <w:tcW w:w="323" w:type="pct"/>
            <w:vAlign w:val="center"/>
          </w:tcPr>
          <w:p w14:paraId="3D1D10CB"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 w:type="pct"/>
            <w:vAlign w:val="center"/>
          </w:tcPr>
          <w:p w14:paraId="1F1A12BD"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 w:type="pct"/>
            <w:vAlign w:val="center"/>
          </w:tcPr>
          <w:p w14:paraId="464DB214"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 w:type="pct"/>
            <w:vAlign w:val="center"/>
          </w:tcPr>
          <w:p w14:paraId="2DB585CE"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393" w:type="pct"/>
          </w:tcPr>
          <w:p w14:paraId="27DAEFD4" w14:textId="77777777" w:rsidR="00B35152" w:rsidRPr="00C95436" w:rsidRDefault="00B35152" w:rsidP="00BC6B7C">
            <w:pPr>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تنخفض معدلات الأخطاء في معالجة المعاملات المالية لدى مؤسستنا.</w:t>
            </w:r>
          </w:p>
        </w:tc>
      </w:tr>
      <w:tr w:rsidR="00B35152" w:rsidRPr="00C95436" w14:paraId="49E921F9" w14:textId="77777777" w:rsidTr="00D916A2">
        <w:tc>
          <w:tcPr>
            <w:cnfStyle w:val="001000000000" w:firstRow="0" w:lastRow="0" w:firstColumn="1" w:lastColumn="0" w:oddVBand="0" w:evenVBand="0" w:oddHBand="0" w:evenHBand="0" w:firstRowFirstColumn="0" w:firstRowLastColumn="0" w:lastRowFirstColumn="0" w:lastRowLastColumn="0"/>
            <w:tcW w:w="315" w:type="pct"/>
            <w:vAlign w:val="center"/>
          </w:tcPr>
          <w:p w14:paraId="53222A6D" w14:textId="77777777" w:rsidR="00B35152" w:rsidRPr="00C95436" w:rsidRDefault="00B35152" w:rsidP="00BC6B7C">
            <w:pPr>
              <w:bidi/>
              <w:spacing w:after="0" w:line="240" w:lineRule="auto"/>
              <w:jc w:val="center"/>
              <w:rPr>
                <w:rFonts w:ascii="Sakkal Majalla" w:hAnsi="Sakkal Majalla" w:cs="Sakkal Majalla"/>
                <w:b w:val="0"/>
                <w:bCs w:val="0"/>
                <w:sz w:val="24"/>
                <w:szCs w:val="24"/>
              </w:rPr>
            </w:pPr>
            <w:r>
              <w:rPr>
                <w:rFonts w:ascii="Segoe UI Symbol" w:hAnsi="Segoe UI Symbol" w:cs="Segoe UI Symbol" w:hint="cs"/>
                <w:b w:val="0"/>
                <w:bCs w:val="0"/>
                <w:rtl/>
              </w:rPr>
              <w:t>☐</w:t>
            </w:r>
          </w:p>
        </w:tc>
        <w:tc>
          <w:tcPr>
            <w:tcW w:w="323" w:type="pct"/>
            <w:vAlign w:val="center"/>
          </w:tcPr>
          <w:p w14:paraId="60C27E06"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 w:type="pct"/>
            <w:vAlign w:val="center"/>
          </w:tcPr>
          <w:p w14:paraId="206991A3"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 w:type="pct"/>
            <w:vAlign w:val="center"/>
          </w:tcPr>
          <w:p w14:paraId="0D04CB72"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 w:type="pct"/>
            <w:vAlign w:val="center"/>
          </w:tcPr>
          <w:p w14:paraId="0BFD94DB"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393" w:type="pct"/>
          </w:tcPr>
          <w:p w14:paraId="1A445121" w14:textId="77777777" w:rsidR="00B35152" w:rsidRPr="00C95436" w:rsidRDefault="00B35152" w:rsidP="00BC6B7C">
            <w:pPr>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تتسم عمليات مؤسستنا بدقة عالية في تنفيذ المعاملات المالية.</w:t>
            </w:r>
          </w:p>
        </w:tc>
      </w:tr>
      <w:tr w:rsidR="00B35152" w:rsidRPr="00C95436" w14:paraId="52EE3D40" w14:textId="77777777" w:rsidTr="00D9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 w:type="pct"/>
            <w:vAlign w:val="center"/>
          </w:tcPr>
          <w:p w14:paraId="0FC93623" w14:textId="77777777" w:rsidR="00B35152" w:rsidRPr="00C95436" w:rsidRDefault="00B35152" w:rsidP="00BC6B7C">
            <w:pPr>
              <w:bidi/>
              <w:spacing w:after="0" w:line="240" w:lineRule="auto"/>
              <w:jc w:val="center"/>
              <w:rPr>
                <w:rFonts w:ascii="Sakkal Majalla" w:hAnsi="Sakkal Majalla" w:cs="Sakkal Majalla"/>
                <w:b w:val="0"/>
                <w:bCs w:val="0"/>
                <w:sz w:val="24"/>
                <w:szCs w:val="24"/>
              </w:rPr>
            </w:pPr>
            <w:r>
              <w:rPr>
                <w:rFonts w:ascii="Segoe UI Symbol" w:hAnsi="Segoe UI Symbol" w:cs="Segoe UI Symbol" w:hint="cs"/>
                <w:b w:val="0"/>
                <w:bCs w:val="0"/>
                <w:rtl/>
              </w:rPr>
              <w:t>☐</w:t>
            </w:r>
          </w:p>
        </w:tc>
        <w:tc>
          <w:tcPr>
            <w:tcW w:w="323" w:type="pct"/>
            <w:vAlign w:val="center"/>
          </w:tcPr>
          <w:p w14:paraId="352E86AD"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 w:type="pct"/>
            <w:vAlign w:val="center"/>
          </w:tcPr>
          <w:p w14:paraId="54F169E5"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 w:type="pct"/>
            <w:vAlign w:val="center"/>
          </w:tcPr>
          <w:p w14:paraId="4C78683B"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 w:type="pct"/>
            <w:vAlign w:val="center"/>
          </w:tcPr>
          <w:p w14:paraId="42438ACE"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393" w:type="pct"/>
          </w:tcPr>
          <w:p w14:paraId="3430E5D7" w14:textId="77777777" w:rsidR="00B35152" w:rsidRPr="00C95436" w:rsidRDefault="00B35152" w:rsidP="00BC6B7C">
            <w:pPr>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تنخفض التكلفة التشغيلية لإدارة أمن البيانات في مؤسستنا.</w:t>
            </w:r>
          </w:p>
        </w:tc>
      </w:tr>
      <w:tr w:rsidR="00B35152" w:rsidRPr="00C95436" w14:paraId="207D031B" w14:textId="77777777" w:rsidTr="00D916A2">
        <w:tc>
          <w:tcPr>
            <w:cnfStyle w:val="001000000000" w:firstRow="0" w:lastRow="0" w:firstColumn="1" w:lastColumn="0" w:oddVBand="0" w:evenVBand="0" w:oddHBand="0" w:evenHBand="0" w:firstRowFirstColumn="0" w:firstRowLastColumn="0" w:lastRowFirstColumn="0" w:lastRowLastColumn="0"/>
            <w:tcW w:w="315" w:type="pct"/>
            <w:vAlign w:val="center"/>
          </w:tcPr>
          <w:p w14:paraId="18B0996B" w14:textId="77777777" w:rsidR="00B35152" w:rsidRPr="00C95436" w:rsidRDefault="00B35152" w:rsidP="00BC6B7C">
            <w:pPr>
              <w:bidi/>
              <w:spacing w:after="0" w:line="240" w:lineRule="auto"/>
              <w:jc w:val="center"/>
              <w:rPr>
                <w:rFonts w:ascii="Sakkal Majalla" w:hAnsi="Sakkal Majalla" w:cs="Sakkal Majalla"/>
                <w:b w:val="0"/>
                <w:bCs w:val="0"/>
                <w:sz w:val="24"/>
                <w:szCs w:val="24"/>
              </w:rPr>
            </w:pPr>
            <w:r>
              <w:rPr>
                <w:rFonts w:ascii="Segoe UI Symbol" w:hAnsi="Segoe UI Symbol" w:cs="Segoe UI Symbol" w:hint="cs"/>
                <w:b w:val="0"/>
                <w:bCs w:val="0"/>
                <w:rtl/>
              </w:rPr>
              <w:t>☐</w:t>
            </w:r>
          </w:p>
        </w:tc>
        <w:tc>
          <w:tcPr>
            <w:tcW w:w="323" w:type="pct"/>
            <w:vAlign w:val="center"/>
          </w:tcPr>
          <w:p w14:paraId="49FA5731"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 w:type="pct"/>
            <w:vAlign w:val="center"/>
          </w:tcPr>
          <w:p w14:paraId="23EFCAEB"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 w:type="pct"/>
            <w:vAlign w:val="center"/>
          </w:tcPr>
          <w:p w14:paraId="4148643A"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 w:type="pct"/>
            <w:vAlign w:val="center"/>
          </w:tcPr>
          <w:p w14:paraId="1139CA28"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393" w:type="pct"/>
          </w:tcPr>
          <w:p w14:paraId="710D2623" w14:textId="77777777" w:rsidR="00B35152" w:rsidRPr="00C95436" w:rsidRDefault="00B35152" w:rsidP="00BC6B7C">
            <w:pPr>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تحقق مؤسستنا تكاملاً سلساً مع الأنظمة المالية الخارجية والشركاء التجاريين.</w:t>
            </w:r>
          </w:p>
        </w:tc>
      </w:tr>
    </w:tbl>
    <w:p w14:paraId="76ECD5FB" w14:textId="77777777" w:rsidR="00B35152" w:rsidRPr="00C95436" w:rsidRDefault="00B35152" w:rsidP="00BC6B7C">
      <w:pPr>
        <w:bidi/>
        <w:spacing w:after="0" w:line="240" w:lineRule="auto"/>
        <w:jc w:val="center"/>
        <w:rPr>
          <w:rFonts w:ascii="Sakkal Majalla" w:hAnsi="Sakkal Majalla" w:cs="Sakkal Majalla"/>
          <w:sz w:val="28"/>
          <w:szCs w:val="28"/>
        </w:rPr>
      </w:pPr>
      <w:r>
        <w:rPr>
          <w:rFonts w:ascii="Sakkal Majalla" w:hAnsi="Sakkal Majalla" w:cs="Sakkal Majalla"/>
          <w:sz w:val="24"/>
          <w:szCs w:val="24"/>
          <w:rtl/>
        </w:rPr>
        <w:t>عبارات متغير كفاءة العمليات المالية</w:t>
      </w:r>
    </w:p>
    <w:p w14:paraId="76DA00B5" w14:textId="77777777" w:rsidR="00C51308" w:rsidRPr="00C95436" w:rsidRDefault="00C51308" w:rsidP="00BC6B7C">
      <w:pPr>
        <w:bidi/>
        <w:spacing w:after="0" w:line="240" w:lineRule="auto"/>
        <w:jc w:val="both"/>
        <w:rPr>
          <w:rFonts w:ascii="Sakkal Majalla" w:hAnsi="Sakkal Majalla" w:cs="Sakkal Majalla"/>
          <w:sz w:val="28"/>
          <w:szCs w:val="28"/>
        </w:rPr>
      </w:pPr>
    </w:p>
    <w:p w14:paraId="245A09C8" w14:textId="77777777" w:rsidR="00B35152" w:rsidRPr="00C95436" w:rsidRDefault="00B35152" w:rsidP="00BC6B7C">
      <w:pPr>
        <w:bidi/>
        <w:spacing w:after="0" w:line="240" w:lineRule="auto"/>
        <w:jc w:val="both"/>
        <w:rPr>
          <w:rFonts w:ascii="Sakkal Majalla" w:hAnsi="Sakkal Majalla" w:cs="Sakkal Majalla"/>
          <w:sz w:val="28"/>
          <w:szCs w:val="28"/>
        </w:rPr>
      </w:pPr>
      <w:r>
        <w:rPr>
          <w:rFonts w:ascii="Sakkal Majalla" w:hAnsi="Sakkal Majalla" w:cs="Sakkal Majalla"/>
          <w:sz w:val="24"/>
          <w:szCs w:val="24"/>
          <w:rtl/>
        </w:rPr>
        <w:t>ثانياً: الامتثال للمعايير الدولية (المتغير المستقل الثاني)</w:t>
      </w:r>
    </w:p>
    <w:tbl>
      <w:tblPr>
        <w:tblStyle w:val="4-1"/>
        <w:tblW w:w="5000" w:type="pct"/>
        <w:tblLook w:val="04A0" w:firstRow="1" w:lastRow="0" w:firstColumn="1" w:lastColumn="0" w:noHBand="0" w:noVBand="1"/>
      </w:tblPr>
      <w:tblGrid>
        <w:gridCol w:w="577"/>
        <w:gridCol w:w="587"/>
        <w:gridCol w:w="587"/>
        <w:gridCol w:w="587"/>
        <w:gridCol w:w="587"/>
        <w:gridCol w:w="5371"/>
      </w:tblGrid>
      <w:tr w:rsidR="00B35152" w:rsidRPr="00C95436" w14:paraId="0DA63693" w14:textId="77777777" w:rsidTr="00D916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2D35F208" w14:textId="77777777" w:rsidR="00B35152" w:rsidRPr="00C95436" w:rsidRDefault="00B35152" w:rsidP="00BC6B7C">
            <w:pPr>
              <w:bidi/>
              <w:spacing w:after="0" w:line="240" w:lineRule="auto"/>
              <w:jc w:val="center"/>
              <w:rPr>
                <w:rFonts w:ascii="Sakkal Majalla" w:hAnsi="Sakkal Majalla" w:cs="Sakkal Majalla"/>
                <w:sz w:val="24"/>
                <w:szCs w:val="24"/>
              </w:rPr>
            </w:pPr>
            <w:r>
              <w:rPr>
                <w:rFonts w:ascii="Sakkal Majalla" w:hAnsi="Sakkal Majalla" w:cs="Sakkal Majalla"/>
                <w:rtl/>
              </w:rPr>
              <w:t>5</w:t>
            </w:r>
          </w:p>
        </w:tc>
        <w:tc>
          <w:tcPr>
            <w:tcW w:w="354" w:type="pct"/>
            <w:vAlign w:val="center"/>
          </w:tcPr>
          <w:p w14:paraId="0992F57A"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4</w:t>
            </w:r>
          </w:p>
        </w:tc>
        <w:tc>
          <w:tcPr>
            <w:tcW w:w="354" w:type="pct"/>
            <w:vAlign w:val="center"/>
          </w:tcPr>
          <w:p w14:paraId="65DFF141"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3</w:t>
            </w:r>
          </w:p>
        </w:tc>
        <w:tc>
          <w:tcPr>
            <w:tcW w:w="354" w:type="pct"/>
            <w:vAlign w:val="center"/>
          </w:tcPr>
          <w:p w14:paraId="5B3743B2"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2</w:t>
            </w:r>
          </w:p>
        </w:tc>
        <w:tc>
          <w:tcPr>
            <w:tcW w:w="354" w:type="pct"/>
            <w:vAlign w:val="center"/>
          </w:tcPr>
          <w:p w14:paraId="722CF1E1"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1</w:t>
            </w:r>
          </w:p>
        </w:tc>
        <w:tc>
          <w:tcPr>
            <w:tcW w:w="3238" w:type="pct"/>
          </w:tcPr>
          <w:p w14:paraId="41484C5C" w14:textId="77777777" w:rsidR="00B35152" w:rsidRPr="00C95436" w:rsidRDefault="00B35152" w:rsidP="00BC6B7C">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العبارة</w:t>
            </w:r>
          </w:p>
        </w:tc>
      </w:tr>
      <w:tr w:rsidR="00B35152" w:rsidRPr="00C95436" w14:paraId="1F846F91" w14:textId="77777777" w:rsidTr="00D9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3C884E04" w14:textId="77777777" w:rsidR="00B35152" w:rsidRPr="00C95436" w:rsidRDefault="00B35152" w:rsidP="00BC6B7C">
            <w:pPr>
              <w:bidi/>
              <w:spacing w:after="0" w:line="240" w:lineRule="auto"/>
              <w:jc w:val="center"/>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5425B429"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457D7863"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79805297"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4AED68E2"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8" w:type="pct"/>
          </w:tcPr>
          <w:p w14:paraId="10DD9406" w14:textId="77777777" w:rsidR="00B35152" w:rsidRPr="00C95436" w:rsidRDefault="00B35152" w:rsidP="00BC6B7C">
            <w:pPr>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تلتزم مؤسستنا بمتطلبات معيار PCI DSS في جميع عملياتها.</w:t>
            </w:r>
          </w:p>
        </w:tc>
      </w:tr>
      <w:tr w:rsidR="00B35152" w:rsidRPr="00C95436" w14:paraId="1BC79D1C" w14:textId="77777777" w:rsidTr="00D916A2">
        <w:tc>
          <w:tcPr>
            <w:cnfStyle w:val="001000000000" w:firstRow="0" w:lastRow="0" w:firstColumn="1" w:lastColumn="0" w:oddVBand="0" w:evenVBand="0" w:oddHBand="0" w:evenHBand="0" w:firstRowFirstColumn="0" w:firstRowLastColumn="0" w:lastRowFirstColumn="0" w:lastRowLastColumn="0"/>
            <w:tcW w:w="347" w:type="pct"/>
            <w:vAlign w:val="center"/>
          </w:tcPr>
          <w:p w14:paraId="36B8C8CC" w14:textId="77777777" w:rsidR="00B35152" w:rsidRPr="00C95436" w:rsidRDefault="00B35152" w:rsidP="00BC6B7C">
            <w:pPr>
              <w:bidi/>
              <w:spacing w:after="0" w:line="240" w:lineRule="auto"/>
              <w:jc w:val="center"/>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69FBF9A5"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02A53059"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163C6E0C"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2756802E"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8" w:type="pct"/>
          </w:tcPr>
          <w:p w14:paraId="3C802992" w14:textId="77777777" w:rsidR="00B35152" w:rsidRPr="00C95436" w:rsidRDefault="00B35152" w:rsidP="00BC6B7C">
            <w:pPr>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تلتزم مؤسستنا بمتطلبات معيار ISO 27001 لإدارة أمن المعلومات.</w:t>
            </w:r>
          </w:p>
        </w:tc>
      </w:tr>
      <w:tr w:rsidR="00B35152" w:rsidRPr="00C95436" w14:paraId="5BE2BBB5" w14:textId="77777777" w:rsidTr="00D9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53E2F132" w14:textId="77777777" w:rsidR="00B35152" w:rsidRPr="00C95436" w:rsidRDefault="00B35152" w:rsidP="00BC6B7C">
            <w:pPr>
              <w:bidi/>
              <w:spacing w:after="0" w:line="240" w:lineRule="auto"/>
              <w:jc w:val="center"/>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444BE394"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2E668B7E"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2F023BBD"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03BA88C5"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8" w:type="pct"/>
          </w:tcPr>
          <w:p w14:paraId="261DAF81" w14:textId="77777777" w:rsidR="00B35152" w:rsidRPr="00C95436" w:rsidRDefault="00B35152" w:rsidP="00BC6B7C">
            <w:pPr>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تلتزم مؤسستنا بالأطر التنظيمية الصادرة عن البنك المركزي السعودي (ساما) لحماية البيانات.</w:t>
            </w:r>
          </w:p>
        </w:tc>
      </w:tr>
      <w:tr w:rsidR="00B35152" w:rsidRPr="00C95436" w14:paraId="166A9353" w14:textId="77777777" w:rsidTr="00D916A2">
        <w:tc>
          <w:tcPr>
            <w:cnfStyle w:val="001000000000" w:firstRow="0" w:lastRow="0" w:firstColumn="1" w:lastColumn="0" w:oddVBand="0" w:evenVBand="0" w:oddHBand="0" w:evenHBand="0" w:firstRowFirstColumn="0" w:firstRowLastColumn="0" w:lastRowFirstColumn="0" w:lastRowLastColumn="0"/>
            <w:tcW w:w="347" w:type="pct"/>
            <w:vAlign w:val="center"/>
          </w:tcPr>
          <w:p w14:paraId="2447F269" w14:textId="77777777" w:rsidR="00B35152" w:rsidRPr="00C95436" w:rsidRDefault="00B35152" w:rsidP="00BC6B7C">
            <w:pPr>
              <w:bidi/>
              <w:spacing w:after="0" w:line="240" w:lineRule="auto"/>
              <w:jc w:val="center"/>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772B6FF2"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587293E5"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3EA09122"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30EC9022"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8" w:type="pct"/>
          </w:tcPr>
          <w:p w14:paraId="7E622677" w14:textId="77777777" w:rsidR="00B35152" w:rsidRPr="00C95436" w:rsidRDefault="00B35152" w:rsidP="00BC6B7C">
            <w:pPr>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تحصل مؤسستنا على الموافقات التنظيمية اللازمة لإطلاق خدماتها المالية الجديدة دون تأخير.</w:t>
            </w:r>
          </w:p>
        </w:tc>
      </w:tr>
      <w:tr w:rsidR="00B35152" w:rsidRPr="00C95436" w14:paraId="0D749C0C" w14:textId="77777777" w:rsidTr="00D9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11A2A6CE" w14:textId="77777777" w:rsidR="00B35152" w:rsidRPr="00C95436" w:rsidRDefault="00B35152" w:rsidP="00BC6B7C">
            <w:pPr>
              <w:bidi/>
              <w:spacing w:after="0" w:line="240" w:lineRule="auto"/>
              <w:jc w:val="center"/>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27E5E389"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3956C92D"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517084FC"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64AA95E1"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8" w:type="pct"/>
          </w:tcPr>
          <w:p w14:paraId="7F44CCE0" w14:textId="77777777" w:rsidR="00B35152" w:rsidRPr="00C95436" w:rsidRDefault="00B35152" w:rsidP="00BC6B7C">
            <w:pPr>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تجتاز مؤسستنا عمليات التدقيق الرقابي دون ملاحظات جوهرية متعلقة بالامتثال.</w:t>
            </w:r>
          </w:p>
        </w:tc>
      </w:tr>
      <w:tr w:rsidR="00B35152" w:rsidRPr="00C95436" w14:paraId="52D3C6B2" w14:textId="77777777" w:rsidTr="00D916A2">
        <w:tc>
          <w:tcPr>
            <w:cnfStyle w:val="001000000000" w:firstRow="0" w:lastRow="0" w:firstColumn="1" w:lastColumn="0" w:oddVBand="0" w:evenVBand="0" w:oddHBand="0" w:evenHBand="0" w:firstRowFirstColumn="0" w:firstRowLastColumn="0" w:lastRowFirstColumn="0" w:lastRowLastColumn="0"/>
            <w:tcW w:w="347" w:type="pct"/>
            <w:vAlign w:val="center"/>
          </w:tcPr>
          <w:p w14:paraId="4D9336C6" w14:textId="77777777" w:rsidR="00B35152" w:rsidRPr="00C95436" w:rsidRDefault="00B35152" w:rsidP="00BC6B7C">
            <w:pPr>
              <w:bidi/>
              <w:spacing w:after="0" w:line="240" w:lineRule="auto"/>
              <w:jc w:val="center"/>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23A92F89"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2C9159F0"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5F340462"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69990648"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8" w:type="pct"/>
          </w:tcPr>
          <w:p w14:paraId="2E92DA77" w14:textId="77777777" w:rsidR="00B35152" w:rsidRPr="00C95436" w:rsidRDefault="00B35152" w:rsidP="00BC6B7C">
            <w:pPr>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تُحدِّث مؤسستنا سياساتها الداخلية بانتظام لمواكبة أي تغيير في المعايير الدولية.</w:t>
            </w:r>
          </w:p>
        </w:tc>
      </w:tr>
    </w:tbl>
    <w:p w14:paraId="217A6EBC" w14:textId="77777777" w:rsidR="00B35152" w:rsidRPr="00C95436" w:rsidRDefault="00B35152" w:rsidP="00091C1C">
      <w:pPr>
        <w:bidi/>
        <w:spacing w:after="0" w:line="240" w:lineRule="auto"/>
        <w:jc w:val="center"/>
        <w:rPr>
          <w:rFonts w:ascii="Sakkal Majalla" w:hAnsi="Sakkal Majalla" w:cs="Sakkal Majalla"/>
          <w:sz w:val="28"/>
          <w:szCs w:val="28"/>
        </w:rPr>
      </w:pPr>
      <w:r>
        <w:rPr>
          <w:rFonts w:ascii="Sakkal Majalla" w:hAnsi="Sakkal Majalla" w:cs="Sakkal Majalla"/>
          <w:sz w:val="24"/>
          <w:szCs w:val="24"/>
          <w:rtl/>
        </w:rPr>
        <w:t>عبارات متغير الامتثال للمعايير الدولية</w:t>
      </w:r>
    </w:p>
    <w:p w14:paraId="70F6F47E" w14:textId="77777777" w:rsidR="00B35152" w:rsidRPr="00C95436" w:rsidRDefault="00B35152" w:rsidP="00BC6B7C">
      <w:pPr>
        <w:bidi/>
        <w:spacing w:after="0" w:line="240" w:lineRule="auto"/>
        <w:jc w:val="both"/>
        <w:rPr>
          <w:rFonts w:ascii="Sakkal Majalla" w:hAnsi="Sakkal Majalla" w:cs="Sakkal Majalla"/>
          <w:sz w:val="28"/>
          <w:szCs w:val="28"/>
          <w:rtl/>
        </w:rPr>
      </w:pPr>
      <w:r>
        <w:rPr>
          <w:rFonts w:ascii="Sakkal Majalla" w:hAnsi="Sakkal Majalla" w:cs="Sakkal Majalla"/>
          <w:sz w:val="24"/>
          <w:szCs w:val="24"/>
          <w:rtl/>
        </w:rPr>
        <w:lastRenderedPageBreak/>
        <w:t>خامساً: تحديات تطبيق تقنية الترميز (بيانات وصفية تكميلية خارج نطاق الفروض)</w:t>
      </w:r>
    </w:p>
    <w:tbl>
      <w:tblPr>
        <w:tblStyle w:val="4-1"/>
        <w:tblW w:w="5000" w:type="pct"/>
        <w:tblLook w:val="04A0" w:firstRow="1" w:lastRow="0" w:firstColumn="1" w:lastColumn="0" w:noHBand="0" w:noVBand="1"/>
      </w:tblPr>
      <w:tblGrid>
        <w:gridCol w:w="577"/>
        <w:gridCol w:w="587"/>
        <w:gridCol w:w="587"/>
        <w:gridCol w:w="587"/>
        <w:gridCol w:w="587"/>
        <w:gridCol w:w="5371"/>
      </w:tblGrid>
      <w:tr w:rsidR="00B35152" w:rsidRPr="00C95436" w14:paraId="1A42C31F" w14:textId="77777777" w:rsidTr="00D916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4D0E6994" w14:textId="77777777" w:rsidR="00B35152" w:rsidRPr="00C95436" w:rsidRDefault="00B35152" w:rsidP="00BC6B7C">
            <w:pPr>
              <w:bidi/>
              <w:spacing w:after="0" w:line="240" w:lineRule="auto"/>
              <w:jc w:val="center"/>
              <w:rPr>
                <w:rFonts w:ascii="Sakkal Majalla" w:hAnsi="Sakkal Majalla" w:cs="Sakkal Majalla"/>
                <w:sz w:val="24"/>
                <w:szCs w:val="24"/>
              </w:rPr>
            </w:pPr>
            <w:r>
              <w:rPr>
                <w:rFonts w:ascii="Sakkal Majalla" w:hAnsi="Sakkal Majalla" w:cs="Sakkal Majalla"/>
                <w:rtl/>
              </w:rPr>
              <w:t>5</w:t>
            </w:r>
          </w:p>
        </w:tc>
        <w:tc>
          <w:tcPr>
            <w:tcW w:w="354" w:type="pct"/>
            <w:vAlign w:val="center"/>
          </w:tcPr>
          <w:p w14:paraId="3CF52A82"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4</w:t>
            </w:r>
          </w:p>
        </w:tc>
        <w:tc>
          <w:tcPr>
            <w:tcW w:w="354" w:type="pct"/>
            <w:vAlign w:val="center"/>
          </w:tcPr>
          <w:p w14:paraId="246C8B9B"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3</w:t>
            </w:r>
          </w:p>
        </w:tc>
        <w:tc>
          <w:tcPr>
            <w:tcW w:w="354" w:type="pct"/>
            <w:vAlign w:val="center"/>
          </w:tcPr>
          <w:p w14:paraId="73346CA2"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2</w:t>
            </w:r>
          </w:p>
        </w:tc>
        <w:tc>
          <w:tcPr>
            <w:tcW w:w="354" w:type="pct"/>
            <w:vAlign w:val="center"/>
          </w:tcPr>
          <w:p w14:paraId="3D386CF3"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1</w:t>
            </w:r>
          </w:p>
        </w:tc>
        <w:tc>
          <w:tcPr>
            <w:tcW w:w="3238" w:type="pct"/>
            <w:vAlign w:val="center"/>
          </w:tcPr>
          <w:p w14:paraId="38B887E9"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العبارة</w:t>
            </w:r>
          </w:p>
        </w:tc>
      </w:tr>
      <w:tr w:rsidR="00B35152" w:rsidRPr="00C95436" w14:paraId="5BAA1235" w14:textId="77777777" w:rsidTr="00D9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0E444F10" w14:textId="77777777" w:rsidR="00B35152" w:rsidRPr="00C95436" w:rsidRDefault="00B35152" w:rsidP="00BC6B7C">
            <w:pPr>
              <w:bidi/>
              <w:spacing w:after="0" w:line="240" w:lineRule="auto"/>
              <w:jc w:val="center"/>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6D99C145"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3E987791"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7A2FC71F"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15F6DB1D"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8" w:type="pct"/>
            <w:vAlign w:val="center"/>
          </w:tcPr>
          <w:p w14:paraId="3A409BE9" w14:textId="77777777" w:rsidR="00B35152" w:rsidRPr="00C95436" w:rsidRDefault="00B35152" w:rsidP="00BC6B7C">
            <w:pPr>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تُمثِّل التكلفة العالية للبنية التحتية التقنية تحدياً رئيسياً أمام تطبيق الترميز في مؤسستنا.</w:t>
            </w:r>
          </w:p>
        </w:tc>
      </w:tr>
      <w:tr w:rsidR="00B35152" w:rsidRPr="00C95436" w14:paraId="18167D0A" w14:textId="77777777" w:rsidTr="00D916A2">
        <w:tc>
          <w:tcPr>
            <w:cnfStyle w:val="001000000000" w:firstRow="0" w:lastRow="0" w:firstColumn="1" w:lastColumn="0" w:oddVBand="0" w:evenVBand="0" w:oddHBand="0" w:evenHBand="0" w:firstRowFirstColumn="0" w:firstRowLastColumn="0" w:lastRowFirstColumn="0" w:lastRowLastColumn="0"/>
            <w:tcW w:w="347" w:type="pct"/>
            <w:vAlign w:val="center"/>
          </w:tcPr>
          <w:p w14:paraId="26896FEB" w14:textId="77777777" w:rsidR="00B35152" w:rsidRPr="00C95436" w:rsidRDefault="00B35152" w:rsidP="00BC6B7C">
            <w:pPr>
              <w:bidi/>
              <w:spacing w:after="0" w:line="240" w:lineRule="auto"/>
              <w:jc w:val="center"/>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01975D19"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26DB2994"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40D6CDA9"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0B9CA8E6"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8" w:type="pct"/>
          </w:tcPr>
          <w:p w14:paraId="140828EB" w14:textId="77777777" w:rsidR="00B35152" w:rsidRPr="00C95436" w:rsidRDefault="00B35152" w:rsidP="00BC6B7C">
            <w:pPr>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يُشكِّل غياب الكوادر البشرية المتخصصة في تقنية الترميز عائقاً أمام التطبيق الفعّال.</w:t>
            </w:r>
          </w:p>
        </w:tc>
      </w:tr>
      <w:tr w:rsidR="00B35152" w:rsidRPr="00C95436" w14:paraId="3D55B783" w14:textId="77777777" w:rsidTr="00D9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31C7AEEB" w14:textId="77777777" w:rsidR="00B35152" w:rsidRPr="00C95436" w:rsidRDefault="00B35152" w:rsidP="00BC6B7C">
            <w:pPr>
              <w:bidi/>
              <w:spacing w:after="0" w:line="240" w:lineRule="auto"/>
              <w:jc w:val="center"/>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548E2F62"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6DBC9D6A"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77EFCB0A"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454D2F40"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8" w:type="pct"/>
          </w:tcPr>
          <w:p w14:paraId="3D1A8464" w14:textId="77777777" w:rsidR="00B35152" w:rsidRPr="00C95436" w:rsidRDefault="00B35152" w:rsidP="00BC6B7C">
            <w:pPr>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تُعيق صعوبات التكامل مع الأنظمة القائمة عملية تطبيق تقنية الترميز.</w:t>
            </w:r>
          </w:p>
        </w:tc>
      </w:tr>
      <w:tr w:rsidR="00B35152" w:rsidRPr="00C95436" w14:paraId="2E2AA9DD" w14:textId="77777777" w:rsidTr="00D916A2">
        <w:tc>
          <w:tcPr>
            <w:cnfStyle w:val="001000000000" w:firstRow="0" w:lastRow="0" w:firstColumn="1" w:lastColumn="0" w:oddVBand="0" w:evenVBand="0" w:oddHBand="0" w:evenHBand="0" w:firstRowFirstColumn="0" w:firstRowLastColumn="0" w:lastRowFirstColumn="0" w:lastRowLastColumn="0"/>
            <w:tcW w:w="347" w:type="pct"/>
            <w:vAlign w:val="center"/>
          </w:tcPr>
          <w:p w14:paraId="1C6DE57F" w14:textId="77777777" w:rsidR="00B35152" w:rsidRPr="00C95436" w:rsidRDefault="00B35152" w:rsidP="00BC6B7C">
            <w:pPr>
              <w:bidi/>
              <w:spacing w:after="0" w:line="240" w:lineRule="auto"/>
              <w:jc w:val="center"/>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3F0A08DC"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7F02C3F3"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28242DED"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0F029F43"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8" w:type="pct"/>
          </w:tcPr>
          <w:p w14:paraId="72A48FB9" w14:textId="77777777" w:rsidR="00B35152" w:rsidRPr="00C95436" w:rsidRDefault="00B35152" w:rsidP="00BC6B7C">
            <w:pPr>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تُقيِّد بعض متطلبات الجهات التنظيمية مرونة تطبيق تقنية الترميز في بعض الأحيان.</w:t>
            </w:r>
          </w:p>
        </w:tc>
      </w:tr>
      <w:tr w:rsidR="00B35152" w:rsidRPr="00C95436" w14:paraId="572481C9" w14:textId="77777777" w:rsidTr="00D9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35C34E4A" w14:textId="77777777" w:rsidR="00B35152" w:rsidRPr="00C95436" w:rsidRDefault="00B35152" w:rsidP="00BC6B7C">
            <w:pPr>
              <w:bidi/>
              <w:spacing w:after="0" w:line="240" w:lineRule="auto"/>
              <w:jc w:val="center"/>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209F3FE8"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186364A6"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38190514"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32E4A2C3"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8" w:type="pct"/>
          </w:tcPr>
          <w:p w14:paraId="0844EC28" w14:textId="77777777" w:rsidR="00B35152" w:rsidRPr="00C95436" w:rsidRDefault="00B35152" w:rsidP="00BC6B7C">
            <w:pPr>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يُشكِّل نقص الوعي الداخلي بأهمية الترميز عائقاً أمام توسيع نطاق التطبيق.</w:t>
            </w:r>
          </w:p>
        </w:tc>
      </w:tr>
      <w:tr w:rsidR="00B35152" w:rsidRPr="00C95436" w14:paraId="790A2544" w14:textId="77777777" w:rsidTr="00D916A2">
        <w:tc>
          <w:tcPr>
            <w:cnfStyle w:val="001000000000" w:firstRow="0" w:lastRow="0" w:firstColumn="1" w:lastColumn="0" w:oddVBand="0" w:evenVBand="0" w:oddHBand="0" w:evenHBand="0" w:firstRowFirstColumn="0" w:firstRowLastColumn="0" w:lastRowFirstColumn="0" w:lastRowLastColumn="0"/>
            <w:tcW w:w="347" w:type="pct"/>
            <w:vAlign w:val="center"/>
          </w:tcPr>
          <w:p w14:paraId="2E93F242" w14:textId="77777777" w:rsidR="00B35152" w:rsidRPr="00C95436" w:rsidRDefault="00B35152" w:rsidP="00BC6B7C">
            <w:pPr>
              <w:bidi/>
              <w:spacing w:after="0" w:line="240" w:lineRule="auto"/>
              <w:jc w:val="center"/>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7CC19993"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2A2DA72C"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347305BF"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3BB04428"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8" w:type="pct"/>
          </w:tcPr>
          <w:p w14:paraId="74338F37" w14:textId="77777777" w:rsidR="00B35152" w:rsidRPr="00C95436" w:rsidRDefault="00B35152" w:rsidP="00BC6B7C">
            <w:pPr>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تُعوق صعوبة قياس العائد على الاستثمار (ROI) لتقنية الترميز قرارات التبني المؤسسي.</w:t>
            </w:r>
          </w:p>
        </w:tc>
      </w:tr>
    </w:tbl>
    <w:p w14:paraId="15449E50" w14:textId="77777777" w:rsidR="00B35152" w:rsidRPr="00C95436" w:rsidRDefault="00B35152" w:rsidP="00BC6B7C">
      <w:pPr>
        <w:bidi/>
        <w:spacing w:after="0" w:line="240" w:lineRule="auto"/>
        <w:jc w:val="center"/>
        <w:rPr>
          <w:rFonts w:ascii="Sakkal Majalla" w:hAnsi="Sakkal Majalla" w:cs="Sakkal Majalla"/>
          <w:sz w:val="28"/>
          <w:szCs w:val="28"/>
        </w:rPr>
      </w:pPr>
      <w:r>
        <w:rPr>
          <w:rFonts w:ascii="Sakkal Majalla" w:hAnsi="Sakkal Majalla" w:cs="Sakkal Majalla"/>
          <w:sz w:val="24"/>
          <w:szCs w:val="24"/>
          <w:rtl/>
        </w:rPr>
        <w:t>عبارات متغير تحديات تطبيق تقنية الترميز</w:t>
      </w:r>
    </w:p>
    <w:p w14:paraId="047A193D" w14:textId="77777777" w:rsidR="00B35152" w:rsidRPr="00C95436" w:rsidRDefault="00B35152" w:rsidP="00BC6B7C">
      <w:pPr>
        <w:bidi/>
        <w:spacing w:after="0" w:line="240" w:lineRule="auto"/>
        <w:jc w:val="both"/>
        <w:rPr>
          <w:rFonts w:ascii="Sakkal Majalla" w:hAnsi="Sakkal Majalla" w:cs="Sakkal Majalla"/>
          <w:sz w:val="28"/>
          <w:szCs w:val="28"/>
        </w:rPr>
      </w:pPr>
    </w:p>
    <w:p w14:paraId="5B26F926" w14:textId="77777777" w:rsidR="005D691F" w:rsidRDefault="00F4227D" w:rsidP="003620CC">
      <w:pPr>
        <w:pStyle w:val="HeadingTOCEntry"/>
        <w:bidi/>
        <w:spacing w:after="0" w:line="360" w:lineRule="auto"/>
      </w:pPr>
      <w:r>
        <w:rPr>
          <w:rFonts w:ascii="Traditional Arabic" w:hAnsi="Traditional Arabic" w:cs="Traditional Arabic"/>
          <w:b/>
          <w:bCs/>
          <w:sz w:val="32"/>
          <w:szCs w:val="32"/>
          <w:rtl/>
        </w:rPr>
        <w:t>ملحق (2): قائمة المحكّمين</w:t>
      </w:r>
    </w:p>
    <w:p w14:paraId="0131054B" w14:textId="77777777" w:rsidR="005D691F" w:rsidRDefault="00F4227D" w:rsidP="003620CC">
      <w:pPr>
        <w:bidi/>
        <w:spacing w:after="0" w:line="360" w:lineRule="auto"/>
      </w:pPr>
      <w:r>
        <w:rPr>
          <w:rFonts w:ascii="Traditional Arabic" w:hAnsi="Traditional Arabic" w:cs="Traditional Arabic"/>
          <w:sz w:val="24"/>
          <w:szCs w:val="24"/>
          <w:rtl/>
        </w:rPr>
        <w:t>يتضمن هذا الملحق أسماء السادة المحكّمين الذين شاركوا في تحكيم أداة الدراسة، ودرجاتهم العلمية، وتخصصاتهم، وجهات عملهم.</w:t>
      </w:r>
    </w:p>
    <w:tbl>
      <w:tblPr>
        <w:bidiVisual/>
        <w:tblW w:w="8300" w:type="dxa"/>
        <w:tblBorders>
          <w:top w:val="single" w:sz="6" w:space="0" w:color="7F9DB9"/>
          <w:left w:val="single" w:sz="6" w:space="0" w:color="7F9DB9"/>
          <w:bottom w:val="single" w:sz="6" w:space="0" w:color="7F9DB9"/>
          <w:right w:val="single" w:sz="6" w:space="0" w:color="7F9DB9"/>
          <w:insideH w:val="single" w:sz="6" w:space="0" w:color="7F9DB9"/>
          <w:insideV w:val="single" w:sz="6" w:space="0" w:color="7F9DB9"/>
        </w:tblBorders>
        <w:tblLook w:val="04A0" w:firstRow="1" w:lastRow="0" w:firstColumn="1" w:lastColumn="0" w:noHBand="0" w:noVBand="1"/>
      </w:tblPr>
      <w:tblGrid>
        <w:gridCol w:w="600"/>
        <w:gridCol w:w="2400"/>
        <w:gridCol w:w="1600"/>
        <w:gridCol w:w="1900"/>
        <w:gridCol w:w="1800"/>
      </w:tblGrid>
      <w:tr w:rsidR="005D691F" w14:paraId="337DA0F6" w14:textId="77777777" w:rsidTr="003620CC">
        <w:tc>
          <w:tcPr>
            <w:tcW w:w="600" w:type="dxa"/>
            <w:shd w:val="clear" w:color="auto" w:fill="DCE9F5"/>
            <w:vAlign w:val="center"/>
          </w:tcPr>
          <w:p w14:paraId="50A4C398" w14:textId="77777777" w:rsidR="005D691F" w:rsidRDefault="00F4227D" w:rsidP="003620CC">
            <w:pPr>
              <w:bidi/>
              <w:spacing w:after="0" w:line="300" w:lineRule="auto"/>
              <w:jc w:val="center"/>
            </w:pPr>
            <w:r>
              <w:rPr>
                <w:rFonts w:ascii="Traditional Arabic" w:hAnsi="Traditional Arabic" w:cs="Traditional Arabic"/>
                <w:b/>
                <w:bCs/>
                <w:rtl/>
              </w:rPr>
              <w:t>م</w:t>
            </w:r>
          </w:p>
        </w:tc>
        <w:tc>
          <w:tcPr>
            <w:tcW w:w="2400" w:type="dxa"/>
            <w:shd w:val="clear" w:color="auto" w:fill="DCE9F5"/>
            <w:vAlign w:val="center"/>
          </w:tcPr>
          <w:p w14:paraId="5BF084A5" w14:textId="77777777" w:rsidR="005D691F" w:rsidRDefault="00F4227D" w:rsidP="003620CC">
            <w:pPr>
              <w:bidi/>
              <w:spacing w:after="0" w:line="300" w:lineRule="auto"/>
              <w:jc w:val="center"/>
            </w:pPr>
            <w:r>
              <w:rPr>
                <w:rFonts w:ascii="Traditional Arabic" w:hAnsi="Traditional Arabic" w:cs="Traditional Arabic"/>
                <w:b/>
                <w:bCs/>
                <w:rtl/>
              </w:rPr>
              <w:t>اسم المحكّم</w:t>
            </w:r>
          </w:p>
        </w:tc>
        <w:tc>
          <w:tcPr>
            <w:tcW w:w="1600" w:type="dxa"/>
            <w:shd w:val="clear" w:color="auto" w:fill="DCE9F5"/>
            <w:vAlign w:val="center"/>
          </w:tcPr>
          <w:p w14:paraId="351D9EDC" w14:textId="77777777" w:rsidR="005D691F" w:rsidRDefault="00F4227D" w:rsidP="003620CC">
            <w:pPr>
              <w:bidi/>
              <w:spacing w:after="0" w:line="300" w:lineRule="auto"/>
              <w:jc w:val="center"/>
            </w:pPr>
            <w:r>
              <w:rPr>
                <w:rFonts w:ascii="Traditional Arabic" w:hAnsi="Traditional Arabic" w:cs="Traditional Arabic"/>
                <w:b/>
                <w:bCs/>
                <w:rtl/>
              </w:rPr>
              <w:t>الدرجة العلمية</w:t>
            </w:r>
          </w:p>
        </w:tc>
        <w:tc>
          <w:tcPr>
            <w:tcW w:w="1900" w:type="dxa"/>
            <w:shd w:val="clear" w:color="auto" w:fill="DCE9F5"/>
            <w:vAlign w:val="center"/>
          </w:tcPr>
          <w:p w14:paraId="4C642D7F" w14:textId="77777777" w:rsidR="005D691F" w:rsidRDefault="00F4227D" w:rsidP="003620CC">
            <w:pPr>
              <w:bidi/>
              <w:spacing w:after="0" w:line="300" w:lineRule="auto"/>
              <w:jc w:val="center"/>
            </w:pPr>
            <w:r>
              <w:rPr>
                <w:rFonts w:ascii="Traditional Arabic" w:hAnsi="Traditional Arabic" w:cs="Traditional Arabic"/>
                <w:b/>
                <w:bCs/>
                <w:rtl/>
              </w:rPr>
              <w:t>التخصص</w:t>
            </w:r>
          </w:p>
        </w:tc>
        <w:tc>
          <w:tcPr>
            <w:tcW w:w="1800" w:type="dxa"/>
            <w:shd w:val="clear" w:color="auto" w:fill="DCE9F5"/>
            <w:vAlign w:val="center"/>
          </w:tcPr>
          <w:p w14:paraId="3A32373B" w14:textId="77777777" w:rsidR="005D691F" w:rsidRDefault="00F4227D" w:rsidP="003620CC">
            <w:pPr>
              <w:bidi/>
              <w:spacing w:after="0" w:line="300" w:lineRule="auto"/>
              <w:jc w:val="center"/>
            </w:pPr>
            <w:r>
              <w:rPr>
                <w:rFonts w:ascii="Traditional Arabic" w:hAnsi="Traditional Arabic" w:cs="Traditional Arabic"/>
                <w:b/>
                <w:bCs/>
                <w:rtl/>
              </w:rPr>
              <w:t>جهة العمل</w:t>
            </w:r>
          </w:p>
        </w:tc>
      </w:tr>
      <w:tr w:rsidR="005D691F" w14:paraId="04CB042B" w14:textId="77777777" w:rsidTr="003620CC">
        <w:tc>
          <w:tcPr>
            <w:tcW w:w="600" w:type="dxa"/>
            <w:vAlign w:val="center"/>
          </w:tcPr>
          <w:p w14:paraId="7594BEA0" w14:textId="77777777" w:rsidR="005D691F" w:rsidRDefault="00F4227D" w:rsidP="003620CC">
            <w:pPr>
              <w:bidi/>
              <w:spacing w:after="0" w:line="300" w:lineRule="auto"/>
              <w:jc w:val="center"/>
            </w:pPr>
            <w:r>
              <w:rPr>
                <w:rFonts w:ascii="Traditional Arabic" w:hAnsi="Traditional Arabic" w:cs="Traditional Arabic"/>
                <w:rtl/>
              </w:rPr>
              <w:t>1</w:t>
            </w:r>
          </w:p>
        </w:tc>
        <w:tc>
          <w:tcPr>
            <w:tcW w:w="2400" w:type="dxa"/>
            <w:vAlign w:val="center"/>
          </w:tcPr>
          <w:p w14:paraId="66620858" w14:textId="77777777" w:rsidR="005D691F" w:rsidRDefault="005D691F" w:rsidP="003620CC">
            <w:pPr>
              <w:bidi/>
              <w:spacing w:after="0" w:line="300" w:lineRule="auto"/>
              <w:jc w:val="center"/>
            </w:pPr>
            <w:r>
              <w:rPr>
                <w:rFonts w:ascii="Traditional Arabic" w:hAnsi="Traditional Arabic" w:cs="Traditional Arabic"/>
                <w:rtl/>
              </w:rPr>
              <w:t>د. أيمن باكير</w:t>
            </w:r>
          </w:p>
        </w:tc>
        <w:tc>
          <w:tcPr>
            <w:tcW w:w="1600" w:type="dxa"/>
            <w:vAlign w:val="center"/>
          </w:tcPr>
          <w:p w14:paraId="59E6FA80" w14:textId="77777777" w:rsidR="005D691F" w:rsidRDefault="005D691F" w:rsidP="003620CC">
            <w:pPr>
              <w:bidi/>
              <w:spacing w:after="0" w:line="300" w:lineRule="auto"/>
              <w:jc w:val="center"/>
            </w:pPr>
            <w:r>
              <w:rPr>
                <w:rFonts w:ascii="Traditional Arabic" w:hAnsi="Traditional Arabic" w:cs="Traditional Arabic"/>
                <w:rtl/>
              </w:rPr>
              <w:t>دكتوراه</w:t>
            </w:r>
          </w:p>
        </w:tc>
        <w:tc>
          <w:tcPr>
            <w:tcW w:w="1900" w:type="dxa"/>
            <w:vAlign w:val="center"/>
          </w:tcPr>
          <w:p w14:paraId="0D24D4DF" w14:textId="77777777" w:rsidR="005D691F" w:rsidRDefault="005D691F" w:rsidP="003620CC">
            <w:pPr>
              <w:bidi/>
              <w:spacing w:after="0" w:line="300" w:lineRule="auto"/>
              <w:jc w:val="center"/>
            </w:pPr>
          </w:p>
        </w:tc>
        <w:tc>
          <w:tcPr>
            <w:tcW w:w="1800" w:type="dxa"/>
            <w:vAlign w:val="center"/>
          </w:tcPr>
          <w:p w14:paraId="590736B8" w14:textId="77777777" w:rsidR="005D691F" w:rsidRDefault="005D691F" w:rsidP="003620CC">
            <w:pPr>
              <w:bidi/>
              <w:spacing w:after="0" w:line="300" w:lineRule="auto"/>
              <w:jc w:val="center"/>
            </w:pPr>
            <w:r>
              <w:rPr>
                <w:rFonts w:ascii="Traditional Arabic" w:hAnsi="Traditional Arabic" w:cs="Traditional Arabic"/>
                <w:rtl/>
              </w:rPr>
              <w:t>جامعة Midocean</w:t>
            </w:r>
          </w:p>
        </w:tc>
      </w:tr>
      <w:tr w:rsidR="005D691F" w14:paraId="4FD1560B" w14:textId="77777777" w:rsidTr="003620CC">
        <w:tc>
          <w:tcPr>
            <w:tcW w:w="600" w:type="dxa"/>
            <w:vAlign w:val="center"/>
          </w:tcPr>
          <w:p w14:paraId="7B6B987E" w14:textId="77777777" w:rsidR="005D691F" w:rsidRDefault="00F4227D" w:rsidP="003620CC">
            <w:pPr>
              <w:bidi/>
              <w:spacing w:after="0" w:line="300" w:lineRule="auto"/>
              <w:jc w:val="center"/>
            </w:pPr>
            <w:r>
              <w:rPr>
                <w:rFonts w:ascii="Traditional Arabic" w:hAnsi="Traditional Arabic" w:cs="Traditional Arabic"/>
                <w:rtl/>
              </w:rPr>
              <w:t>2</w:t>
            </w:r>
          </w:p>
        </w:tc>
        <w:tc>
          <w:tcPr>
            <w:tcW w:w="2400" w:type="dxa"/>
            <w:vAlign w:val="center"/>
          </w:tcPr>
          <w:p w14:paraId="69C626C9" w14:textId="77777777" w:rsidR="005D691F" w:rsidRDefault="005D691F" w:rsidP="003620CC">
            <w:pPr>
              <w:bidi/>
              <w:spacing w:after="0" w:line="300" w:lineRule="auto"/>
              <w:jc w:val="center"/>
            </w:pPr>
            <w:r>
              <w:rPr>
                <w:rFonts w:ascii="Traditional Arabic" w:hAnsi="Traditional Arabic" w:cs="Traditional Arabic"/>
                <w:rtl/>
              </w:rPr>
              <w:t>د. سارة محمود</w:t>
            </w:r>
          </w:p>
        </w:tc>
        <w:tc>
          <w:tcPr>
            <w:tcW w:w="1600" w:type="dxa"/>
            <w:vAlign w:val="center"/>
          </w:tcPr>
          <w:p w14:paraId="71CAE786" w14:textId="77777777" w:rsidR="005D691F" w:rsidRDefault="005D691F" w:rsidP="003620CC">
            <w:pPr>
              <w:bidi/>
              <w:spacing w:after="0" w:line="300" w:lineRule="auto"/>
              <w:jc w:val="center"/>
            </w:pPr>
            <w:r>
              <w:rPr>
                <w:rFonts w:ascii="Traditional Arabic" w:hAnsi="Traditional Arabic" w:cs="Traditional Arabic"/>
                <w:rtl/>
              </w:rPr>
              <w:t>دكتوراه</w:t>
            </w:r>
          </w:p>
        </w:tc>
        <w:tc>
          <w:tcPr>
            <w:tcW w:w="1900" w:type="dxa"/>
            <w:vAlign w:val="center"/>
          </w:tcPr>
          <w:p w14:paraId="1020FF36" w14:textId="77777777" w:rsidR="005D691F" w:rsidRDefault="005D691F" w:rsidP="003620CC">
            <w:pPr>
              <w:bidi/>
              <w:spacing w:after="0" w:line="300" w:lineRule="auto"/>
              <w:jc w:val="center"/>
            </w:pPr>
          </w:p>
        </w:tc>
        <w:tc>
          <w:tcPr>
            <w:tcW w:w="1800" w:type="dxa"/>
            <w:vAlign w:val="center"/>
          </w:tcPr>
          <w:p w14:paraId="5CEB7416" w14:textId="77777777" w:rsidR="005D691F" w:rsidRDefault="005D691F" w:rsidP="003620CC">
            <w:pPr>
              <w:bidi/>
              <w:spacing w:after="0" w:line="300" w:lineRule="auto"/>
              <w:jc w:val="center"/>
            </w:pPr>
            <w:r>
              <w:rPr>
                <w:rFonts w:ascii="Traditional Arabic" w:hAnsi="Traditional Arabic" w:cs="Traditional Arabic"/>
                <w:rtl/>
              </w:rPr>
              <w:t>جامعة Midocean</w:t>
            </w:r>
          </w:p>
        </w:tc>
      </w:tr>
      <w:tr w:rsidR="005D691F" w14:paraId="6766111D" w14:textId="77777777" w:rsidTr="003620CC">
        <w:tc>
          <w:tcPr>
            <w:tcW w:w="600" w:type="dxa"/>
            <w:vAlign w:val="center"/>
          </w:tcPr>
          <w:p w14:paraId="2CDECCF9" w14:textId="77777777" w:rsidR="005D691F" w:rsidRDefault="00F4227D" w:rsidP="003620CC">
            <w:pPr>
              <w:bidi/>
              <w:spacing w:after="0" w:line="300" w:lineRule="auto"/>
              <w:jc w:val="center"/>
            </w:pPr>
            <w:r>
              <w:rPr>
                <w:rFonts w:ascii="Traditional Arabic" w:hAnsi="Traditional Arabic" w:cs="Traditional Arabic"/>
                <w:rtl/>
              </w:rPr>
              <w:t>3</w:t>
            </w:r>
          </w:p>
        </w:tc>
        <w:tc>
          <w:tcPr>
            <w:tcW w:w="2400" w:type="dxa"/>
            <w:vAlign w:val="center"/>
          </w:tcPr>
          <w:p w14:paraId="7A6A3249" w14:textId="77777777" w:rsidR="005D691F" w:rsidRDefault="005D691F" w:rsidP="003620CC">
            <w:pPr>
              <w:bidi/>
              <w:spacing w:after="0" w:line="300" w:lineRule="auto"/>
              <w:jc w:val="center"/>
            </w:pPr>
          </w:p>
        </w:tc>
        <w:tc>
          <w:tcPr>
            <w:tcW w:w="1600" w:type="dxa"/>
            <w:vAlign w:val="center"/>
          </w:tcPr>
          <w:p w14:paraId="571825CF" w14:textId="77777777" w:rsidR="005D691F" w:rsidRDefault="005D691F" w:rsidP="003620CC">
            <w:pPr>
              <w:bidi/>
              <w:spacing w:after="0" w:line="300" w:lineRule="auto"/>
              <w:jc w:val="center"/>
            </w:pPr>
          </w:p>
        </w:tc>
        <w:tc>
          <w:tcPr>
            <w:tcW w:w="1900" w:type="dxa"/>
            <w:vAlign w:val="center"/>
          </w:tcPr>
          <w:p w14:paraId="546F69D0" w14:textId="77777777" w:rsidR="005D691F" w:rsidRDefault="005D691F" w:rsidP="003620CC">
            <w:pPr>
              <w:bidi/>
              <w:spacing w:after="0" w:line="300" w:lineRule="auto"/>
              <w:jc w:val="center"/>
            </w:pPr>
          </w:p>
        </w:tc>
        <w:tc>
          <w:tcPr>
            <w:tcW w:w="1800" w:type="dxa"/>
            <w:vAlign w:val="center"/>
          </w:tcPr>
          <w:p w14:paraId="513B34D1" w14:textId="77777777" w:rsidR="005D691F" w:rsidRDefault="005D691F" w:rsidP="003620CC">
            <w:pPr>
              <w:bidi/>
              <w:spacing w:after="0" w:line="300" w:lineRule="auto"/>
              <w:jc w:val="center"/>
            </w:pPr>
          </w:p>
        </w:tc>
      </w:tr>
      <w:tr w:rsidR="005D691F" w14:paraId="39E360A2" w14:textId="77777777" w:rsidTr="003620CC">
        <w:tc>
          <w:tcPr>
            <w:tcW w:w="600" w:type="dxa"/>
            <w:vAlign w:val="center"/>
          </w:tcPr>
          <w:p w14:paraId="51AB618C" w14:textId="77777777" w:rsidR="005D691F" w:rsidRDefault="00F4227D" w:rsidP="003620CC">
            <w:pPr>
              <w:bidi/>
              <w:spacing w:after="0" w:line="300" w:lineRule="auto"/>
              <w:jc w:val="center"/>
            </w:pPr>
            <w:r>
              <w:rPr>
                <w:rFonts w:ascii="Traditional Arabic" w:hAnsi="Traditional Arabic" w:cs="Traditional Arabic"/>
                <w:rtl/>
              </w:rPr>
              <w:t>4</w:t>
            </w:r>
          </w:p>
        </w:tc>
        <w:tc>
          <w:tcPr>
            <w:tcW w:w="2400" w:type="dxa"/>
            <w:vAlign w:val="center"/>
          </w:tcPr>
          <w:p w14:paraId="36CA13CC" w14:textId="77777777" w:rsidR="005D691F" w:rsidRDefault="005D691F" w:rsidP="003620CC">
            <w:pPr>
              <w:bidi/>
              <w:spacing w:after="0" w:line="300" w:lineRule="auto"/>
              <w:jc w:val="center"/>
            </w:pPr>
          </w:p>
        </w:tc>
        <w:tc>
          <w:tcPr>
            <w:tcW w:w="1600" w:type="dxa"/>
            <w:vAlign w:val="center"/>
          </w:tcPr>
          <w:p w14:paraId="01664E15" w14:textId="77777777" w:rsidR="005D691F" w:rsidRDefault="005D691F" w:rsidP="003620CC">
            <w:pPr>
              <w:bidi/>
              <w:spacing w:after="0" w:line="300" w:lineRule="auto"/>
              <w:jc w:val="center"/>
            </w:pPr>
          </w:p>
        </w:tc>
        <w:tc>
          <w:tcPr>
            <w:tcW w:w="1900" w:type="dxa"/>
            <w:vAlign w:val="center"/>
          </w:tcPr>
          <w:p w14:paraId="4CCE2E5B" w14:textId="77777777" w:rsidR="005D691F" w:rsidRDefault="005D691F" w:rsidP="003620CC">
            <w:pPr>
              <w:bidi/>
              <w:spacing w:after="0" w:line="300" w:lineRule="auto"/>
              <w:jc w:val="center"/>
            </w:pPr>
          </w:p>
        </w:tc>
        <w:tc>
          <w:tcPr>
            <w:tcW w:w="1800" w:type="dxa"/>
            <w:vAlign w:val="center"/>
          </w:tcPr>
          <w:p w14:paraId="1CD531C7" w14:textId="77777777" w:rsidR="005D691F" w:rsidRDefault="005D691F" w:rsidP="003620CC">
            <w:pPr>
              <w:bidi/>
              <w:spacing w:after="0" w:line="300" w:lineRule="auto"/>
              <w:jc w:val="center"/>
            </w:pPr>
          </w:p>
        </w:tc>
      </w:tr>
      <w:tr w:rsidR="005D691F" w14:paraId="749E0A0E" w14:textId="77777777" w:rsidTr="003620CC">
        <w:tc>
          <w:tcPr>
            <w:tcW w:w="600" w:type="dxa"/>
            <w:vAlign w:val="center"/>
          </w:tcPr>
          <w:p w14:paraId="62FEE950" w14:textId="77777777" w:rsidR="005D691F" w:rsidRDefault="00F4227D" w:rsidP="003620CC">
            <w:pPr>
              <w:bidi/>
              <w:spacing w:after="0" w:line="300" w:lineRule="auto"/>
              <w:jc w:val="center"/>
            </w:pPr>
            <w:r>
              <w:rPr>
                <w:rFonts w:ascii="Traditional Arabic" w:hAnsi="Traditional Arabic" w:cs="Traditional Arabic"/>
                <w:rtl/>
              </w:rPr>
              <w:t>5</w:t>
            </w:r>
          </w:p>
        </w:tc>
        <w:tc>
          <w:tcPr>
            <w:tcW w:w="2400" w:type="dxa"/>
            <w:vAlign w:val="center"/>
          </w:tcPr>
          <w:p w14:paraId="68498052" w14:textId="77777777" w:rsidR="005D691F" w:rsidRDefault="005D691F" w:rsidP="003620CC">
            <w:pPr>
              <w:bidi/>
              <w:spacing w:after="0" w:line="300" w:lineRule="auto"/>
              <w:jc w:val="center"/>
            </w:pPr>
          </w:p>
        </w:tc>
        <w:tc>
          <w:tcPr>
            <w:tcW w:w="1600" w:type="dxa"/>
            <w:vAlign w:val="center"/>
          </w:tcPr>
          <w:p w14:paraId="66CCB6F5" w14:textId="77777777" w:rsidR="005D691F" w:rsidRDefault="005D691F" w:rsidP="003620CC">
            <w:pPr>
              <w:bidi/>
              <w:spacing w:after="0" w:line="300" w:lineRule="auto"/>
              <w:jc w:val="center"/>
            </w:pPr>
          </w:p>
        </w:tc>
        <w:tc>
          <w:tcPr>
            <w:tcW w:w="1900" w:type="dxa"/>
            <w:vAlign w:val="center"/>
          </w:tcPr>
          <w:p w14:paraId="5693C7CB" w14:textId="77777777" w:rsidR="005D691F" w:rsidRDefault="005D691F" w:rsidP="003620CC">
            <w:pPr>
              <w:bidi/>
              <w:spacing w:after="0" w:line="300" w:lineRule="auto"/>
              <w:jc w:val="center"/>
            </w:pPr>
          </w:p>
        </w:tc>
        <w:tc>
          <w:tcPr>
            <w:tcW w:w="1800" w:type="dxa"/>
            <w:vAlign w:val="center"/>
          </w:tcPr>
          <w:p w14:paraId="7E649B12" w14:textId="77777777" w:rsidR="005D691F" w:rsidRDefault="005D691F" w:rsidP="003620CC">
            <w:pPr>
              <w:bidi/>
              <w:spacing w:after="0" w:line="300" w:lineRule="auto"/>
              <w:jc w:val="center"/>
            </w:pPr>
          </w:p>
        </w:tc>
      </w:tr>
      <w:tr w:rsidR="005D691F" w14:paraId="391A9255" w14:textId="77777777" w:rsidTr="003620CC">
        <w:tc>
          <w:tcPr>
            <w:tcW w:w="600" w:type="dxa"/>
            <w:vAlign w:val="center"/>
          </w:tcPr>
          <w:p w14:paraId="6DF4B97D" w14:textId="77777777" w:rsidR="005D691F" w:rsidRDefault="00F4227D" w:rsidP="003620CC">
            <w:pPr>
              <w:bidi/>
              <w:spacing w:after="0" w:line="300" w:lineRule="auto"/>
              <w:jc w:val="center"/>
            </w:pPr>
            <w:r>
              <w:rPr>
                <w:rFonts w:ascii="Traditional Arabic" w:hAnsi="Traditional Arabic" w:cs="Traditional Arabic"/>
                <w:rtl/>
              </w:rPr>
              <w:t>6</w:t>
            </w:r>
          </w:p>
        </w:tc>
        <w:tc>
          <w:tcPr>
            <w:tcW w:w="2400" w:type="dxa"/>
            <w:vAlign w:val="center"/>
          </w:tcPr>
          <w:p w14:paraId="607CDABB" w14:textId="77777777" w:rsidR="005D691F" w:rsidRDefault="005D691F" w:rsidP="003620CC">
            <w:pPr>
              <w:bidi/>
              <w:spacing w:after="0" w:line="300" w:lineRule="auto"/>
              <w:jc w:val="center"/>
            </w:pPr>
          </w:p>
        </w:tc>
        <w:tc>
          <w:tcPr>
            <w:tcW w:w="1600" w:type="dxa"/>
            <w:vAlign w:val="center"/>
          </w:tcPr>
          <w:p w14:paraId="30E02E8C" w14:textId="77777777" w:rsidR="005D691F" w:rsidRDefault="005D691F" w:rsidP="003620CC">
            <w:pPr>
              <w:bidi/>
              <w:spacing w:after="0" w:line="300" w:lineRule="auto"/>
              <w:jc w:val="center"/>
            </w:pPr>
          </w:p>
        </w:tc>
        <w:tc>
          <w:tcPr>
            <w:tcW w:w="1900" w:type="dxa"/>
            <w:vAlign w:val="center"/>
          </w:tcPr>
          <w:p w14:paraId="236678F1" w14:textId="77777777" w:rsidR="005D691F" w:rsidRDefault="005D691F" w:rsidP="003620CC">
            <w:pPr>
              <w:bidi/>
              <w:spacing w:after="0" w:line="300" w:lineRule="auto"/>
              <w:jc w:val="center"/>
            </w:pPr>
          </w:p>
        </w:tc>
        <w:tc>
          <w:tcPr>
            <w:tcW w:w="1800" w:type="dxa"/>
            <w:vAlign w:val="center"/>
          </w:tcPr>
          <w:p w14:paraId="2D3A855A" w14:textId="77777777" w:rsidR="005D691F" w:rsidRDefault="005D691F" w:rsidP="003620CC">
            <w:pPr>
              <w:bidi/>
              <w:spacing w:after="0" w:line="300" w:lineRule="auto"/>
              <w:jc w:val="center"/>
            </w:pPr>
          </w:p>
        </w:tc>
      </w:tr>
    </w:tbl>
    <w:p w14:paraId="4B6C890A" w14:textId="77777777" w:rsidR="005D691F" w:rsidRDefault="00F4227D" w:rsidP="003620CC">
      <w:pPr>
        <w:pStyle w:val="TableCaption"/>
        <w:bidi/>
        <w:spacing w:after="0" w:line="360" w:lineRule="auto"/>
      </w:pPr>
      <w:r>
        <w:rPr>
          <w:rFonts w:ascii="Traditional Arabic" w:hAnsi="Traditional Arabic" w:cs="Traditional Arabic"/>
          <w:b/>
          <w:bCs/>
          <w:sz w:val="24"/>
          <w:szCs w:val="24"/>
          <w:rtl/>
        </w:rPr>
        <w:t>جدول (م-2): بيانات محكّمي أداة الدراسة</w:t>
      </w:r>
    </w:p>
    <w:p w14:paraId="1DD22D63" w14:textId="77777777" w:rsidR="005D691F" w:rsidRDefault="005D691F" w:rsidP="00E000FF">
      <w:pPr>
        <w:bidi/>
        <w:spacing w:after="0" w:line="360" w:lineRule="auto"/>
        <w:jc w:val="right"/>
      </w:pPr>
    </w:p>
    <w:p w14:paraId="2323DFE5" w14:textId="77777777" w:rsidR="003620CC" w:rsidRPr="003620CC" w:rsidRDefault="003620CC">
      <w:pPr>
        <w:spacing w:after="200" w:line="276" w:lineRule="auto"/>
        <w:rPr>
          <w:rFonts w:ascii="Traditional Arabic" w:hAnsi="Traditional Arabic" w:cs="Traditional Arabic"/>
          <w:b/>
          <w:bCs/>
          <w:sz w:val="32"/>
          <w:szCs w:val="32"/>
          <w:rtl/>
        </w:rPr>
      </w:pPr>
      <w:bookmarkStart w:id="61" w:name="_Toc224563965"/>
      <w:bookmarkStart w:id="62" w:name="_Toc234424174"/>
      <w:r>
        <w:rPr>
          <w:rFonts w:ascii="Traditional Arabic" w:hAnsi="Traditional Arabic" w:cs="Traditional Arabic"/>
          <w:b/>
          <w:bCs/>
          <w:sz w:val="32"/>
          <w:szCs w:val="32"/>
          <w:rtl/>
        </w:rPr>
        <w:br w:type="page"/>
      </w:r>
    </w:p>
    <w:p w14:paraId="32511F1F" w14:textId="77777777" w:rsidR="007F4183" w:rsidRPr="0072768E" w:rsidRDefault="007F4183" w:rsidP="00E000FF">
      <w:pPr>
        <w:pStyle w:val="HeadingTOCEntry"/>
        <w:bidi/>
        <w:spacing w:after="0" w:line="360" w:lineRule="auto"/>
        <w:ind w:left="432" w:hanging="432"/>
        <w:rPr>
          <w:rFonts w:ascii="Simplified Arabic" w:hAnsi="Simplified Arabic" w:cs="Simplified Arabic"/>
          <w:b/>
          <w:bCs/>
          <w:sz w:val="28"/>
          <w:szCs w:val="28"/>
          <w:u w:val="single"/>
          <w:rtl/>
        </w:rPr>
      </w:pPr>
      <w:r>
        <w:rPr>
          <w:rFonts w:ascii="Traditional Arabic" w:hAnsi="Traditional Arabic" w:cs="Traditional Arabic"/>
          <w:b/>
          <w:bCs/>
          <w:sz w:val="32"/>
          <w:szCs w:val="32"/>
          <w:u w:val="single"/>
          <w:rtl/>
        </w:rPr>
        <w:lastRenderedPageBreak/>
        <w:t>المراجع:</w:t>
      </w:r>
      <w:bookmarkEnd w:id="61"/>
      <w:bookmarkEnd w:id="62"/>
    </w:p>
    <w:p w14:paraId="6D23B450" w14:textId="77777777" w:rsidR="00381524" w:rsidRPr="0072768E" w:rsidRDefault="00381524" w:rsidP="00E000FF">
      <w:pPr>
        <w:pStyle w:val="1"/>
        <w:numPr>
          <w:ilvl w:val="0"/>
          <w:numId w:val="0"/>
        </w:numPr>
        <w:bidi/>
        <w:spacing w:before="0" w:line="360" w:lineRule="auto"/>
        <w:ind w:left="432" w:hanging="432"/>
        <w:rPr>
          <w:rFonts w:ascii="Simplified Arabic" w:hAnsi="Simplified Arabic" w:cs="Simplified Arabic"/>
          <w:b/>
          <w:bCs/>
          <w:color w:val="auto"/>
          <w:sz w:val="28"/>
          <w:szCs w:val="28"/>
          <w:u w:val="single"/>
          <w:rtl/>
        </w:rPr>
      </w:pPr>
      <w:bookmarkStart w:id="63" w:name="_Toc224563966"/>
      <w:bookmarkStart w:id="64" w:name="_Toc234424175"/>
      <w:r>
        <w:rPr>
          <w:rFonts w:ascii="Traditional Arabic" w:hAnsi="Traditional Arabic" w:cs="Traditional Arabic" w:hint="cs"/>
          <w:b/>
          <w:bCs/>
          <w:color w:val="auto"/>
          <w:u w:val="single"/>
          <w:rtl/>
        </w:rPr>
        <w:t>المراجع العربية:</w:t>
      </w:r>
      <w:bookmarkEnd w:id="63"/>
      <w:bookmarkEnd w:id="64"/>
    </w:p>
    <w:p w14:paraId="0DC948EB"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البراهيم، خالد، والعويد، سعد. (2024). تطبيقات تقنية الترميز في البنوك السعودية: دراسة ميدانية. *مجلة الاقتصاد والإدارة*، *38*(2)، 145-178.</w:t>
      </w:r>
    </w:p>
    <w:p w14:paraId="7DFF098D"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التويجري، عبدالله، والحربي، فهد. (2024). أثر تقنية الترميز على كفاءة المدفوعات الإلكترونية في المملكة العربية السعودية. *المجلة العربية للعلوم الإدارية*، *31*(1)، 89-118.</w:t>
      </w:r>
    </w:p>
    <w:p w14:paraId="3C1E708A"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الجهني، محمد، العتيبي، سعود، والقحطاني، علي. (2023). الأمن السيبراني في المؤسسات المالية السعودية: التحديات والحلول. *مجلة جامعة الملك سعود للعلوم الإدارية*، *35*(2)، 201-234.</w:t>
      </w:r>
    </w:p>
    <w:p w14:paraId="76D043F5"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الحارثي، سلطان، الشهري، ماجد، والغامدي، خالد. (2024). تطبيقات البلوكشين والترميز في القطاع المصرفي السعودي. *المجلة السعودية للعلوم الاقتصادية والمالية*، *12*(3)، 67-95.</w:t>
      </w:r>
    </w:p>
    <w:p w14:paraId="2ECC0870"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الحربي، فيصل. (2024). *إدارة الأمن السيبراني في العصر الرقمي*. الرياض: دار جامعة الملك سعود للنشر.</w:t>
      </w:r>
    </w:p>
    <w:p w14:paraId="646C8308"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الحربي، نايف، والسلمي، عبدالرحمن. (2024). العلاقة بين الأمن السيبراني والكفاءة التشغيلية في البنوك السعودية. *مجلة الإدارة العامة*، *64*(2)، 345-378.</w:t>
      </w:r>
    </w:p>
    <w:p w14:paraId="31EBBBA6"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الخليفي، أحمد، والمالكي، سعد. (2023). التقنية المالية والتحول الرقمي في المملكة العربية السعودية. *مجلة الاقتصاد الخليجي*، *18*(4)، 112-143.</w:t>
      </w:r>
    </w:p>
    <w:p w14:paraId="3B8A9ECE"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الدخيل، عبدالعزيز. (2023). *الابتكار المالي ورؤية المملكة 2030*. الرياض: مركز الملك فيصل للبحوث والدراسات الإسلامية.</w:t>
      </w:r>
    </w:p>
    <w:p w14:paraId="4FFB13F6"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الدوسري، فهد. (2024). أثر التحول الرقمي على كفاءة البنوك التجارية السعودية. *المجلة العربية للإدارة*، *44*(1)، 78-106.</w:t>
      </w:r>
    </w:p>
    <w:p w14:paraId="6E399703"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الراجحي، سليمان. (2024). استراتيجيات الأمن السيبراني في المؤسسات المالية الإسلامية. *مجلة الاقتصاد الإسلامي*، *29*(3)، 134-165.</w:t>
      </w:r>
    </w:p>
    <w:p w14:paraId="32633558"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الراجحي، وليد. (2023). تطبيقات الترميز في حماية البيانات المصرفية. *مجلة الأمن المعلوماتي*، *7*(2)، 45-72.</w:t>
      </w:r>
    </w:p>
    <w:p w14:paraId="23023023"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الزامل، سعود. (2023). دور التقنية المالية في تحقيق رؤية المملكة 2030. *مجلة دراسات الخليج والجزيرة العربية*، *49*(187)، 89-124.</w:t>
      </w:r>
    </w:p>
    <w:p w14:paraId="25FD66EA"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الزهراني، عبدالله. (2024). الامتثال للمعايير الدولية للأمن السيبراني في القطاع المصرفي السعودي. *المجلة السعودية للعلوم الإدارية*، *16*(2)، 201-234.</w:t>
      </w:r>
    </w:p>
    <w:p w14:paraId="0561DB54"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الشمراني، محمد. (2023). *الحوسبة السحابية والأمن السيبراني في البنوك*. جدة: دار حافظ للنشر والتوزيع.</w:t>
      </w:r>
    </w:p>
    <w:p w14:paraId="1627E176"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lastRenderedPageBreak/>
        <w:t>الشمري، عبدالله، القحطاني، ناصر، والعنزي، فهد. (2024). تقييم نضج الأمن السيبراني في المؤسسات المالية السعودية. *مجلة الإدارة والاقتصاد*، *42*(3)، 156-189.</w:t>
      </w:r>
    </w:p>
    <w:p w14:paraId="13012B56"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الشهراني، علي، والغامدي، أحمد. (2024). أثر الترميز على تحسين تجربة العملاء في البنوك الرقمية السعودية. *المجلة العربية للدراسات المصرفية*، *15*(1)، 67-98.</w:t>
      </w:r>
    </w:p>
    <w:p w14:paraId="2EE82FF3"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الشهري، سعد، والنعيمي، خالد. (2023). التحديات التنظيمية لتطبيق تقنية الترميز في السعودية. *مجلة القانون والاقتصاد*، *38*(2)، 234-267.</w:t>
      </w:r>
    </w:p>
    <w:p w14:paraId="1C844F7A"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الصالح، محمد، والقحطاني، عبدالرحمن. (2024). كفاءة العمليات المالية في ظل التحول الرقمي. *مجلة العلوم الاقتصادية والإدارية*، *30*(4)، 123-156.</w:t>
      </w:r>
    </w:p>
    <w:p w14:paraId="1AE9B8C4"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العبدالله، فهد. (2023). *التقنية المالية في المملكة العربية السعودية: الواقع والمستقبل*. الرياض: معهد الإدارة العامة.</w:t>
      </w:r>
    </w:p>
    <w:p w14:paraId="1361E895"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العتيبي، سعود. (2024). أنظمة المدفوعات الرقمية في المملكة العربية السعودية. *مجلة النقود والمصارف*، *22*(1)، 45-78.</w:t>
      </w:r>
    </w:p>
    <w:p w14:paraId="2E246A81"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العتيبي، خالد، السلمي، محمد، والقحطاني، فيصل. (2023). الاختراقات الداخلية في المؤسسات المالية: دراسة حالة السعودية. *مجلة الأمن السيبراني*، *5*(3)، 112-145.</w:t>
      </w:r>
    </w:p>
    <w:p w14:paraId="4616B08D"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العتيبي، عبدالله، والقحطاني، ناصر. (2023). إدارة المخاطر السيبرانية في البنوك السعودية. *المجلة العلمية للاقتصاد والتجارة*، *53*(2)، 456-489.</w:t>
      </w:r>
    </w:p>
    <w:p w14:paraId="6F7FFB52"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العجمي، فيصل، الدوسري، سعد، والمطيري، عبدالله. (2024). تقييم فاعلية أنظمة الأمن السيبراني في القطاع المالي السعودي. *مجلة جامعة الإمام محمد بن سعود الإسلامية للعلوم الاقتصادية والإدارية*، *18*(2)، 234-267.</w:t>
      </w:r>
    </w:p>
    <w:p w14:paraId="1BD95A6C"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العمري، يوسف، الحربي، ماجد، والزهراني، خالد. (2024). التحول الرقمي وأثره على الشمول المالي في السعودية. *المجلة العربية للعلوم المالية والمصرفية*، *11*(3)، 89-122.</w:t>
      </w:r>
    </w:p>
    <w:p w14:paraId="7C6EAEC8"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الفهد، عبدالعزيز، والسديري، تركي. (2023). نماذج الأعمال المبتكرة في التقنية المالية السعودية. *مجلة ريادة الأعمال والابتكار*، *9*(4)، 178-211.</w:t>
      </w:r>
    </w:p>
    <w:p w14:paraId="3D342EC9"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القحطاني، علي. (2024). *أمن المعلومات في المؤسسات المالية الحديثة*. الدمام: مكتبة المتنبي.</w:t>
      </w:r>
    </w:p>
    <w:p w14:paraId="15F39FE0"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القرشي، محمد، العتيبي، فهد، والشهري، سعود. (2023). تطبيقات الذكاء الاصطناعي في الأمن المصرفي السعودي. *مجلة التقنية والعلوم التطبيقية*، *14*(2)، 123-156.</w:t>
      </w:r>
    </w:p>
    <w:p w14:paraId="3E491976"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القرني، سلطان، والشمري، عبدالله. (2024). استراتيجيات حماية البيانات في البنوك الرقمية. *المجلة السعودية لتقنية المعلومات*، *8*(1)، 67-94.</w:t>
      </w:r>
    </w:p>
    <w:p w14:paraId="1562897A"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lastRenderedPageBreak/>
        <w:t>المالكي، عبدالرحمن، الزهراني، أحمد، والغامدي، فيصل. (2024). تقييم نضج التحول الرقمي في المؤسسات المالية السعودية. *مجلة الملك عبدالعزيز للاقتصاد والإدارة*، *38*(1)، 201-235.</w:t>
      </w:r>
    </w:p>
    <w:p w14:paraId="0040DD59"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المحيميد، سعد، العنزي، محمد، والدوسري، خالد. (2023). البنوك الرقمية في المملكة: الفرص والتحديات. *المجلة العربية للمعلومات*، *44*(2)، 156-189.</w:t>
      </w:r>
    </w:p>
    <w:p w14:paraId="53785282"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المطيري، فهد. (2024). الامتثال التنظيمي للأمن السيبراني في القطاع المالي السعودي. *مجلة الحقوق*، *48*(3)، 234-267.</w:t>
      </w:r>
    </w:p>
    <w:p w14:paraId="4A022164"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المطيري، ناصر، والعنزي، سعود. (2023). تحليل التهديدات السيبرانية في القطاع المصرفي السعودي. *مجلة الأمن والدفاع السيبراني*، *6*(4)، 89-123.</w:t>
      </w:r>
    </w:p>
    <w:p w14:paraId="4EC7CB39"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محمد، عبدالله، والزهراني، فيصل. (2023). أثر تقنية البلوكشين على كفاءة التسويات المالية. *مجلة العلوم المالية والمحاسبية*، *19*(3)، 145-178.</w:t>
      </w:r>
    </w:p>
    <w:p w14:paraId="61CC3800" w14:textId="77777777" w:rsidR="00832328" w:rsidRDefault="00832328" w:rsidP="00E000FF">
      <w:pPr>
        <w:bidi/>
        <w:spacing w:after="0" w:line="360" w:lineRule="auto"/>
        <w:rPr>
          <w:rFonts w:ascii="Simplified Arabic" w:eastAsiaTheme="majorEastAsia" w:hAnsi="Simplified Arabic" w:cs="Simplified Arabic"/>
          <w:rtl/>
        </w:rPr>
      </w:pPr>
      <w:r>
        <w:rPr>
          <w:rFonts w:ascii="Traditional Arabic" w:eastAsiaTheme="majorEastAsia" w:hAnsi="Traditional Arabic" w:cs="Traditional Arabic"/>
          <w:sz w:val="24"/>
          <w:szCs w:val="24"/>
          <w:rtl/>
        </w:rPr>
        <w:br w:type="page"/>
      </w:r>
    </w:p>
    <w:p w14:paraId="728D4039" w14:textId="77777777" w:rsidR="00381524" w:rsidRDefault="00381524" w:rsidP="00E000FF">
      <w:pPr>
        <w:pStyle w:val="1"/>
        <w:numPr>
          <w:ilvl w:val="0"/>
          <w:numId w:val="0"/>
        </w:numPr>
        <w:bidi/>
        <w:spacing w:before="0" w:line="360" w:lineRule="auto"/>
        <w:ind w:left="432" w:hanging="432"/>
        <w:rPr>
          <w:rFonts w:ascii="Simplified Arabic" w:hAnsi="Simplified Arabic" w:cs="Simplified Arabic"/>
          <w:b/>
          <w:bCs/>
          <w:color w:val="auto"/>
          <w:sz w:val="28"/>
          <w:szCs w:val="28"/>
          <w:u w:val="single"/>
          <w:rtl/>
        </w:rPr>
      </w:pPr>
      <w:bookmarkStart w:id="65" w:name="_Toc224563967"/>
      <w:bookmarkStart w:id="66" w:name="_Toc234424176"/>
      <w:r>
        <w:rPr>
          <w:rFonts w:ascii="Traditional Arabic" w:hAnsi="Traditional Arabic" w:cs="Traditional Arabic" w:hint="cs"/>
          <w:b/>
          <w:bCs/>
          <w:color w:val="auto"/>
          <w:u w:val="single"/>
          <w:rtl/>
        </w:rPr>
        <w:lastRenderedPageBreak/>
        <w:t>المراجع الأجنبية:</w:t>
      </w:r>
      <w:bookmarkEnd w:id="65"/>
      <w:bookmarkEnd w:id="66"/>
    </w:p>
    <w:p w14:paraId="2FE5BDF3" w14:textId="77777777" w:rsidR="00A845B0" w:rsidRPr="00FB5EDA" w:rsidRDefault="00A845B0" w:rsidP="00E000FF">
      <w:pPr>
        <w:bidi/>
        <w:spacing w:after="0" w:line="360" w:lineRule="auto"/>
        <w:jc w:val="both"/>
        <w:rPr>
          <w:rFonts w:ascii="Simplified Arabic" w:eastAsia="Aptos" w:hAnsi="Simplified Arabic" w:cs="Simplified Arabic"/>
          <w:b/>
          <w:bCs/>
          <w:sz w:val="28"/>
          <w:szCs w:val="28"/>
        </w:rPr>
      </w:pPr>
      <w:r>
        <w:rPr>
          <w:rFonts w:ascii="Traditional Arabic" w:eastAsia="Aptos" w:hAnsi="Traditional Arabic" w:cs="Traditional Arabic"/>
          <w:b/>
          <w:bCs/>
          <w:sz w:val="28"/>
          <w:szCs w:val="28"/>
          <w:rtl/>
        </w:rPr>
        <w:t>(أ) التقارير المهنية والمؤسسية:</w:t>
      </w:r>
    </w:p>
    <w:p w14:paraId="1BB4D4D8"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Financial Sector Development Program. (2023). Fintech Saudi annual report 2022/2023. Saudi Vision 2030.</w:t>
      </w:r>
    </w:p>
    <w:p w14:paraId="0356137A"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Saudi Payments. (2023). Annual payments statistics and consumer confidence report. Saudi Central Bank.</w:t>
      </w:r>
    </w:p>
    <w:p w14:paraId="1835DADB"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Saudi Vision 2030. (2024). Financial Sector Development Program annual report 2024. Kingdom of Saudi Arabia.</w:t>
      </w:r>
    </w:p>
    <w:p w14:paraId="6519CB7D" w14:textId="77777777" w:rsidR="00A845B0" w:rsidRPr="00FB5EDA"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ENISA. (2024). ENISA Threat Landscape: Finance Sector January 2023 to June 2024. European Union Agency for Cybersecurity.</w:t>
      </w:r>
    </w:p>
    <w:p w14:paraId="29A062A3" w14:textId="77777777" w:rsidR="00A845B0" w:rsidRPr="00FB5EDA"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Financial Stability Board. (2024). The financial stability implications of tokenisation. FSB.</w:t>
      </w:r>
    </w:p>
    <w:p w14:paraId="08F4D418" w14:textId="77777777" w:rsidR="00A845B0" w:rsidRPr="00FB5EDA"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IBM Security. (2024). Cost of a Data Breach 2024: Financial Industry. IBM Corporation.</w:t>
      </w:r>
    </w:p>
    <w:p w14:paraId="33795E22" w14:textId="77777777" w:rsidR="00A845B0" w:rsidRPr="00FB5EDA"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International Monetary Fund. (2024). Financial Sector Assessment Program: Saudi Arabia. IMF.</w:t>
      </w:r>
    </w:p>
    <w:p w14:paraId="521D07C8" w14:textId="77777777" w:rsidR="00A845B0" w:rsidRPr="00FB5EDA"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McKinsey &amp; Company. (2024). From ripples to waves: The transformational power of tokenizing assets. McKinsey Global Institute.</w:t>
      </w:r>
    </w:p>
    <w:p w14:paraId="3EC05DCC" w14:textId="77777777" w:rsidR="00A845B0" w:rsidRPr="00FB5EDA"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PCI Security Standards Council. (2024). PCI DSS v4.0 and tokenization guidelines. PCI SSC.</w:t>
      </w:r>
    </w:p>
    <w:p w14:paraId="74DB224A" w14:textId="77777777" w:rsidR="00A845B0" w:rsidRPr="00FB5EDA"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Saudi Central Bank (SAMA). (2024). National Payments Strategy and Digital Transformation Report. SAMA.</w:t>
      </w:r>
    </w:p>
    <w:p w14:paraId="15BF6027" w14:textId="77777777" w:rsidR="00A845B0" w:rsidRPr="00FB5EDA"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Thunes Research. (2025). Saudi Arabia: Unlocking fintech potential across the Middle East. Thunes.</w:t>
      </w:r>
    </w:p>
    <w:p w14:paraId="69D887F7" w14:textId="77777777" w:rsidR="00A845B0" w:rsidRPr="00FB5EDA"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World Economic Forum. (2024). How tokenization is transforming finance and investment. WEF.</w:t>
      </w:r>
    </w:p>
    <w:p w14:paraId="32E4F9BB" w14:textId="77777777" w:rsidR="00A845B0" w:rsidRPr="00FB5EDA" w:rsidRDefault="00A845B0" w:rsidP="00E000FF">
      <w:pPr>
        <w:bidi/>
        <w:spacing w:after="0" w:line="360" w:lineRule="auto"/>
        <w:jc w:val="both"/>
        <w:rPr>
          <w:rFonts w:ascii="Simplified Arabic" w:eastAsia="Aptos" w:hAnsi="Simplified Arabic" w:cs="Simplified Arabic"/>
          <w:b/>
          <w:bCs/>
          <w:sz w:val="28"/>
          <w:szCs w:val="28"/>
        </w:rPr>
      </w:pPr>
      <w:r>
        <w:rPr>
          <w:rFonts w:ascii="Traditional Arabic" w:eastAsia="Aptos" w:hAnsi="Traditional Arabic" w:cs="Traditional Arabic"/>
          <w:b/>
          <w:bCs/>
          <w:sz w:val="28"/>
          <w:szCs w:val="28"/>
          <w:rtl/>
        </w:rPr>
        <w:t>(ب) الدراسات الأكاديمية المحكمة:</w:t>
      </w:r>
    </w:p>
    <w:p w14:paraId="154D3D19"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 xml:space="preserve">Abdurrahman, A., Gustomo, A., &amp; Prasetio, E. A. (2024). Enhancing banking performance through dynamic digital transformation capabilities and governance, risk management, and compliance: Insights from the Indonesian </w:t>
      </w:r>
      <w:r>
        <w:rPr>
          <w:rFonts w:ascii="Traditional Arabic" w:hAnsi="Traditional Arabic" w:cstheme="minorHAnsi"/>
          <w:sz w:val="24"/>
          <w:szCs w:val="24"/>
          <w:rtl/>
        </w:rPr>
        <w:lastRenderedPageBreak/>
        <w:t>context. The Electronic Journal of Information Systems in Developing Countries, 90(1), e12299. https://doi.org/10.1002/isd2.12299</w:t>
      </w:r>
    </w:p>
    <w:p w14:paraId="4F2DAA78"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Abdurrahman, A., Gustomo, A., &amp; Prasetio, E. A. (2024). Impact of dynamic capabilities on digital transformation and innovation to improve banking performance: A TOE framework study. Journal of Open Innovation: Technology, Market, and Complexity, 10(1), 100215. https://doi.org/10.1016/j.joitmc.2024.100215</w:t>
      </w:r>
    </w:p>
    <w:p w14:paraId="25F194E3"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Abdurrahman, A., Gustomo, A., Wibisono, D., &amp; Prasetio, E. A. (2024). Exploring barriers, drivers, and routines of dynamic capabilities in Indonesian digital banking transformation: A qualitative study based on the TOE framework. The Electronic Journal of Information Systems in Developing Countries, 90(3), e12329. https://doi.org/10.1002/isd2.12329</w:t>
      </w:r>
    </w:p>
    <w:p w14:paraId="3FE99365"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Abed, S. S. (2020). Social commerce adoption using TOE framework: An empirical investigation of Saudi Arabian SMEs. International Journal of Information Management, 53, 102118. https://doi.org/10.1016/j.ijinfomgt.2020.102118</w:t>
      </w:r>
    </w:p>
    <w:p w14:paraId="7EC855BD"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 xml:space="preserve">Adigwe, C., et al. (2024). Tokenization of agricultural assets: Strengthening blockchain security in agri-finance and investment models against fraud and cyber risks. Agricultural Finance Review. </w:t>
      </w:r>
    </w:p>
    <w:p w14:paraId="668E41DF"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 xml:space="preserve">Ahammad, M. S., Maliha, M., &amp; Nila, N. E. (2025). An innovative blockchain framework for strengthening security and efficiency in banking. Scientific Reports, 15, 39029. </w:t>
      </w:r>
      <w:hyperlink r:id="rId21" w:history="1">
        <w:r>
          <w:rPr>
            <w:rStyle w:val="Hyperlink"/>
            <w:rFonts w:cstheme="minorHAnsi"/>
          </w:rPr>
          <w:t>https://doi.org/10.1038/s41598-025-25457-8</w:t>
        </w:r>
      </w:hyperlink>
      <w:r>
        <w:rPr>
          <w:rFonts w:ascii="Traditional Arabic" w:hAnsi="Traditional Arabic" w:cstheme="minorHAnsi"/>
          <w:sz w:val="24"/>
          <w:szCs w:val="24"/>
          <w:rtl/>
        </w:rPr>
        <w:t xml:space="preserve"> </w:t>
      </w:r>
    </w:p>
    <w:p w14:paraId="7A81FEEB"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Al-Matari, E. M., Mgammal, M. H., Senan, N. A. M., Kamardin, H., &amp; Alruwaili, T. F. (2023). Fintech and financial sector performance in Saudi Arabia: An empirical study. Journal of Governance and Regulation, 12(2), 43-65. https://doi.org/10.22495/jgrv12i2art5</w:t>
      </w:r>
    </w:p>
    <w:p w14:paraId="681D87B0"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 xml:space="preserve">Al-Qudah, A. A., Al-Okaily, M., &amp; Yadav, M. P. P. (2025). Analyzing the impact of blockchain technology on banking transaction costs using random forest method. Frontiers in Blockchain, 8, 1551970. </w:t>
      </w:r>
      <w:hyperlink r:id="rId22" w:history="1">
        <w:r>
          <w:rPr>
            <w:rStyle w:val="Hyperlink"/>
            <w:rFonts w:cstheme="minorHAnsi"/>
          </w:rPr>
          <w:t>https://doi.org/10.3389/fbloc.2025.1551970</w:t>
        </w:r>
      </w:hyperlink>
      <w:r>
        <w:rPr>
          <w:rFonts w:ascii="Traditional Arabic" w:hAnsi="Traditional Arabic" w:cstheme="minorHAnsi"/>
          <w:sz w:val="24"/>
          <w:szCs w:val="24"/>
          <w:rtl/>
        </w:rPr>
        <w:t xml:space="preserve"> </w:t>
      </w:r>
    </w:p>
    <w:p w14:paraId="4FEB50C4"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lastRenderedPageBreak/>
        <w:t xml:space="preserve">Almadadha, R. (2025). Blockchain and financial performance: Empirical evidence from major Australian banks. Frontiers in Blockchain, 8, 1463633. </w:t>
      </w:r>
      <w:hyperlink r:id="rId23" w:history="1">
        <w:r>
          <w:rPr>
            <w:rStyle w:val="Hyperlink"/>
            <w:rFonts w:cstheme="minorHAnsi"/>
          </w:rPr>
          <w:t>https://doi.org/10.3389/fbloc.2025.1463633</w:t>
        </w:r>
      </w:hyperlink>
      <w:r>
        <w:rPr>
          <w:rFonts w:ascii="Traditional Arabic" w:hAnsi="Traditional Arabic" w:cstheme="minorHAnsi"/>
          <w:sz w:val="24"/>
          <w:szCs w:val="24"/>
          <w:rtl/>
        </w:rPr>
        <w:t xml:space="preserve"> </w:t>
      </w:r>
    </w:p>
    <w:p w14:paraId="11864347"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Alnemer, H. A. (2022). Determinants of digital banking adoption in the Kingdom of Saudi Arabia: A technology acceptance model approach. Digital Business, 2(2), 100037. https://doi.org/10.1016/j.digbus.2022.100037</w:t>
      </w:r>
    </w:p>
    <w:p w14:paraId="66CFA6A0"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 xml:space="preserve">Carapella, F., et al. (2023). Tokenization: Overview and financial stability implications. Finance and Economics Discussion Series, Federal Reserve Board. </w:t>
      </w:r>
    </w:p>
    <w:p w14:paraId="47382BEE"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Cele, N. N., &amp; Kwenda, S. (2025). Do cybersecurity threats and risks have an impact on the adoption of digital banking? A systematic literature review. Journal of Financial Crime, 32(1), 31-48. https://doi.org/10.1108/JFC-10-2023-0263</w:t>
      </w:r>
    </w:p>
    <w:p w14:paraId="50FA2134"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Chang, V., Baudier, P., Zhang, H., Xu, Q., Zhang, J., &amp; Arami, M. (2020). How blockchain can impact financial services: The overview, challenges and recommendations from expert interviewees. Technological Forecasting and Social Change, 158, 120166. https://doi.org/10.1016/j.techfore.2020.120166</w:t>
      </w:r>
    </w:p>
    <w:p w14:paraId="26D89644"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Chatterjee, S., Rana, N. P., Dwivedi, Y. K., &amp; Baabdullah, A. M. (2021). Understanding AI adoption in manufacturing and production firms using an integrated TAM-TOE model. Technological Forecasting and Social Change, 170, 120880. https://doi.org/10.1016/j.techfore.2021.120880</w:t>
      </w:r>
    </w:p>
    <w:p w14:paraId="5E098864"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Chaudhry, U. B., &amp; Hydros, A. K. M. (2023). Zero-trust-based security model against data breaches in the banking sector: A blockchain consensus algorithm. IET Blockchain, 3(2), 98-115. https://doi.org/10.1049/blc2.12028</w:t>
      </w:r>
    </w:p>
    <w:p w14:paraId="2EC24E6E"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Fares, O. H., Butt, I., &amp; Lee, S. H. M. (2023). Utilization of artificial intelligence in the banking sector: A systematic literature review. Journal of Financial Services Marketing, 28(4), 835-852. https://doi.org/10.1057/s41264-022-00176-7</w:t>
      </w:r>
    </w:p>
    <w:p w14:paraId="6F478D3A"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 xml:space="preserve">Goghie, A. S. (2024). Tokenization and the banking system: Redefining authority in the blockchain era. Journal of Banking Regulation. </w:t>
      </w:r>
      <w:hyperlink r:id="rId24" w:history="1">
        <w:r>
          <w:rPr>
            <w:rStyle w:val="Hyperlink"/>
            <w:rFonts w:cstheme="minorHAnsi"/>
          </w:rPr>
          <w:t>https://doi.org/10.1177/10245294241258255</w:t>
        </w:r>
      </w:hyperlink>
      <w:r>
        <w:rPr>
          <w:rFonts w:ascii="Traditional Arabic" w:hAnsi="Traditional Arabic" w:cstheme="minorHAnsi"/>
          <w:sz w:val="24"/>
          <w:szCs w:val="24"/>
          <w:rtl/>
        </w:rPr>
        <w:t xml:space="preserve"> </w:t>
      </w:r>
    </w:p>
    <w:p w14:paraId="2701DDE9"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lastRenderedPageBreak/>
        <w:t xml:space="preserve">Grossmann, A., et al. (2025). Designing the future of bond markets: Reducing transaction costs through tokenization. Journal of Financial Markets. </w:t>
      </w:r>
    </w:p>
    <w:p w14:paraId="0DAB0698"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 xml:space="preserve">Islam, M. S., &amp; In, H. P. (2024). Blockchain technology in the banking sector: A content analysis. Frontiers in Blockchain, 8, 1667848. </w:t>
      </w:r>
      <w:hyperlink r:id="rId25" w:history="1">
        <w:r>
          <w:rPr>
            <w:rStyle w:val="Hyperlink"/>
            <w:rFonts w:cstheme="minorHAnsi"/>
          </w:rPr>
          <w:t>https://doi.org/10.3389/fbloc.2025.1667848</w:t>
        </w:r>
      </w:hyperlink>
      <w:r>
        <w:rPr>
          <w:rFonts w:ascii="Traditional Arabic" w:hAnsi="Traditional Arabic" w:cstheme="minorHAnsi"/>
          <w:sz w:val="24"/>
          <w:szCs w:val="24"/>
          <w:rtl/>
        </w:rPr>
        <w:t xml:space="preserve"> </w:t>
      </w:r>
    </w:p>
    <w:p w14:paraId="7528AB9D"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 xml:space="preserve">Karanovic, V., et al. (2024). The impact of blockchain technology on financial services and digital transactions. In Proceedings of the 8th International Conference on Future Networks &amp; Distributed Systems. ACM. </w:t>
      </w:r>
      <w:hyperlink r:id="rId26" w:history="1">
        <w:r>
          <w:rPr>
            <w:rStyle w:val="Hyperlink"/>
            <w:rFonts w:cstheme="minorHAnsi"/>
          </w:rPr>
          <w:t>https://doi.org/10.1145/3726122.3726195</w:t>
        </w:r>
      </w:hyperlink>
    </w:p>
    <w:p w14:paraId="344CA14B"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Lavayssière, X., &amp; Zhang, J. (2025). Tokenization and financial market inefficiencies (FinTech Note No. 2025/001). International Monetary Fund.</w:t>
      </w:r>
    </w:p>
    <w:p w14:paraId="7AD48C70"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Park, S., &amp; Hastings, J. D. (2025). Weak enforcement and low compliance in PCI DSS: A comparative security study. arXiv preprint arXiv:2512.13430.</w:t>
      </w:r>
    </w:p>
    <w:p w14:paraId="471CAEDB"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Rahman, M., Ming, T. H., Baigh, T. A., &amp; Sarker, M. (2023). Adoption of artificial intelligence in banking services: An empirical analysis. International Journal of Emerging Markets, 18(10), 4270-4300. https://doi.org/10.1108/IJOEM-06-2020-0724</w:t>
      </w:r>
    </w:p>
    <w:p w14:paraId="326CDF4D"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Rebekah, E., &amp; Afjal, M. (2025). Exploring the mediating role of FinTech adoption and digital transformation in enhancing bank performance: A TOE framework study using a hybrid SEM-ANN approach. SAGE Open, 15(3). https://doi.org/10.1177/21582440251367149</w:t>
      </w:r>
    </w:p>
    <w:p w14:paraId="15BF5B5A"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 xml:space="preserve">Sakarneh, B., &amp; Kilani, Y. M. (2024). The role of blockchain technology in managing efficiency and cost reduction in the banking sector in Jordan. Journal of Systems Management Sciences, 14(5), 251-267. </w:t>
      </w:r>
      <w:hyperlink r:id="rId27" w:history="1">
        <w:r>
          <w:rPr>
            <w:rStyle w:val="Hyperlink"/>
            <w:rFonts w:cstheme="minorHAnsi"/>
          </w:rPr>
          <w:t>https://doi.org/10.33168/JSMS.2024.0516</w:t>
        </w:r>
      </w:hyperlink>
      <w:r>
        <w:rPr>
          <w:rFonts w:ascii="Traditional Arabic" w:hAnsi="Traditional Arabic" w:cstheme="minorHAnsi"/>
          <w:sz w:val="24"/>
          <w:szCs w:val="24"/>
          <w:rtl/>
        </w:rPr>
        <w:t xml:space="preserve"> </w:t>
      </w:r>
    </w:p>
    <w:p w14:paraId="69203F05"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Tripathi, P. (2024). Tokenization strategy implementation with PCI compliance for digital payment in the banking sector. American Journal of Computer Architecture, 11(3), 30-33.</w:t>
      </w:r>
    </w:p>
    <w:p w14:paraId="151E8CEB" w14:textId="77777777" w:rsidR="00A845B0" w:rsidRPr="00A845B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 xml:space="preserve">Udeh, C. A., et al. (2025). Exploring trust dynamics in finance: The impact of blockchain technology and smart contracts. Humanities and Social Sciences Communications, 12, 105473. </w:t>
      </w:r>
      <w:hyperlink r:id="rId28" w:history="1">
        <w:r>
          <w:rPr>
            <w:rStyle w:val="Hyperlink"/>
            <w:rFonts w:cstheme="minorHAnsi"/>
          </w:rPr>
          <w:t>https://doi.org/10.1038/s41599-025-05473-9</w:t>
        </w:r>
      </w:hyperlink>
    </w:p>
    <w:p w14:paraId="5010CEA4"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lastRenderedPageBreak/>
        <w:t>Zhao, J., Li, X., Yu, C.-H., Chen, S., &amp; Lee, C.-C. (2022). Riding the FinTech innovation wave: FinTech, patents and bank performance. Journal of International Money and Finance, 122, 102552. https://doi.org/10.1016/j.jimonfin.2021.102552</w:t>
      </w:r>
    </w:p>
    <w:p w14:paraId="2FD4370E"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Zhu, K., Kraemer, K. L., &amp; Xu, S. (2020). The process of innovation assimilation by firms in different countries: A technology diffusion perspective on e-business. Management Science, 52(10), 1557-1576.</w:t>
      </w:r>
    </w:p>
    <w:p w14:paraId="7B50E6E1" w14:textId="77777777" w:rsidR="00A96A8E" w:rsidRPr="00832328" w:rsidRDefault="00A96A8E" w:rsidP="00E000FF">
      <w:pPr>
        <w:bidi/>
        <w:spacing w:after="0" w:line="360" w:lineRule="auto"/>
        <w:rPr>
          <w:rtl/>
        </w:rPr>
      </w:pPr>
    </w:p>
    <w:sectPr w:rsidR="00A96A8E" w:rsidRPr="00832328" w:rsidSect="006E2853">
      <w:pgSz w:w="11906" w:h="16838"/>
      <w:pgMar w:top="1440" w:right="1800" w:bottom="1440" w:left="1800" w:header="708" w:footer="144" w:gutter="0"/>
      <w:cols w:space="708"/>
      <w:titlePg/>
      <w:bidi/>
      <w:rtlGutter/>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8" w:author="A" w:date="2026-09-16T05:55:00Z" w:initials="K">
    <w:p w14:paraId="0C0F3EAF" w14:textId="77777777" w:rsidR="00236BF8" w:rsidRDefault="00236BF8">
      <w:pPr>
        <w:pStyle w:val="affb"/>
        <w:rPr>
          <w:rtl/>
        </w:rPr>
      </w:pPr>
      <w:r>
        <w:rPr>
          <w:rStyle w:val="affa"/>
        </w:rPr>
        <w:annotationRef/>
      </w:r>
      <w:r>
        <w:rPr>
          <w:rFonts w:hint="cs"/>
          <w:rtl/>
        </w:rPr>
        <w:t xml:space="preserve">تغير الصياغة لا يجوز جمع كافة المتغيرات مرة واحدة في اختبار الفروق </w:t>
      </w:r>
    </w:p>
    <w:p w14:paraId="7FB7CA51" w14:textId="77777777" w:rsidR="00236BF8" w:rsidRDefault="00236BF8">
      <w:pPr>
        <w:pStyle w:val="affb"/>
        <w:rPr>
          <w:rtl/>
        </w:rPr>
      </w:pPr>
      <w:r>
        <w:rPr>
          <w:rFonts w:hint="cs"/>
          <w:rtl/>
        </w:rPr>
        <w:t xml:space="preserve">يجب ان تفصل </w:t>
      </w:r>
    </w:p>
    <w:p w14:paraId="4CD44D15" w14:textId="77777777" w:rsidR="00236BF8" w:rsidRDefault="00236BF8" w:rsidP="00236BF8">
      <w:pPr>
        <w:pStyle w:val="affb"/>
        <w:rPr>
          <w:rtl/>
        </w:rPr>
      </w:pPr>
      <w:r w:rsidRPr="00236BF8">
        <w:rPr>
          <w:rtl/>
        </w:rPr>
        <w:t xml:space="preserve">توجد فروق ذات دلالة إحصائية بين متوسطات استجابات أفراد عينة الدراسة حول </w:t>
      </w:r>
      <w:r w:rsidRPr="00236BF8">
        <w:rPr>
          <w:b/>
          <w:bCs/>
          <w:rtl/>
        </w:rPr>
        <w:t>كفاءة العمليات المالية</w:t>
      </w:r>
      <w:r w:rsidRPr="00236BF8">
        <w:rPr>
          <w:rtl/>
        </w:rPr>
        <w:t xml:space="preserve"> تُعزى إلى</w:t>
      </w:r>
      <w:r>
        <w:rPr>
          <w:rFonts w:hint="cs"/>
          <w:rtl/>
        </w:rPr>
        <w:t xml:space="preserve"> نوع المؤسسة المالية </w:t>
      </w:r>
    </w:p>
    <w:p w14:paraId="39C507F5" w14:textId="77777777" w:rsidR="00236BF8" w:rsidRDefault="00236BF8" w:rsidP="00236BF8">
      <w:pPr>
        <w:pStyle w:val="affb"/>
        <w:rPr>
          <w:rtl/>
        </w:rPr>
      </w:pPr>
      <w:r w:rsidRPr="00236BF8">
        <w:rPr>
          <w:rtl/>
        </w:rPr>
        <w:t xml:space="preserve">توجد فروق ذات دلالة إحصائية بين متوسطات استجابات أفراد عينة الدراسة </w:t>
      </w:r>
      <w:r>
        <w:rPr>
          <w:rFonts w:hint="cs"/>
          <w:rtl/>
        </w:rPr>
        <w:t xml:space="preserve">حول الامن السيبراني المؤسسي </w:t>
      </w:r>
      <w:r w:rsidRPr="00236BF8">
        <w:rPr>
          <w:rtl/>
        </w:rPr>
        <w:t xml:space="preserve"> تُعزى إلى</w:t>
      </w:r>
      <w:r>
        <w:rPr>
          <w:rFonts w:hint="cs"/>
          <w:rtl/>
        </w:rPr>
        <w:t xml:space="preserve"> نوع المؤسسة المالية </w:t>
      </w:r>
    </w:p>
    <w:p w14:paraId="20B32E87" w14:textId="77777777" w:rsidR="00236BF8" w:rsidRDefault="00236BF8" w:rsidP="00236BF8">
      <w:pPr>
        <w:pStyle w:val="affb"/>
        <w:rPr>
          <w:b/>
          <w:bCs/>
          <w:rtl/>
        </w:rPr>
      </w:pPr>
      <w:r w:rsidRPr="00236BF8">
        <w:rPr>
          <w:rtl/>
        </w:rPr>
        <w:t xml:space="preserve">توجد فروق ذات دلالة إحصائية بين متوسطات استجابات أفراد عينة الدراسة حول </w:t>
      </w:r>
      <w:r>
        <w:rPr>
          <w:rFonts w:hint="cs"/>
          <w:b/>
          <w:bCs/>
          <w:rtl/>
        </w:rPr>
        <w:t xml:space="preserve">تطبيق تقنية الترمزي الأمني للبيانات تعزي للمؤسسة المالية </w:t>
      </w:r>
    </w:p>
    <w:p w14:paraId="044A9F87" w14:textId="3F6986BB" w:rsidR="00236BF8" w:rsidRDefault="00236BF8" w:rsidP="00236BF8">
      <w:pPr>
        <w:pStyle w:val="affb"/>
      </w:pPr>
      <w:r>
        <w:rPr>
          <w:rFonts w:hint="cs"/>
          <w:b/>
          <w:bCs/>
          <w:rtl/>
        </w:rPr>
        <w:t xml:space="preserve">وينطبق هذا على باقي فروض الفروق اللاحقة </w:t>
      </w:r>
    </w:p>
  </w:comment>
  <w:comment w:id="19" w:author="A" w:date="2026-09-16T05:54:00Z" w:initials="K">
    <w:p w14:paraId="73782EDC" w14:textId="5498C857" w:rsidR="00236BF8" w:rsidRDefault="00236BF8">
      <w:pPr>
        <w:pStyle w:val="affb"/>
      </w:pPr>
      <w:r>
        <w:rPr>
          <w:rStyle w:val="affa"/>
        </w:rPr>
        <w:annotationRef/>
      </w:r>
      <w:r>
        <w:rPr>
          <w:rFonts w:hint="cs"/>
          <w:rtl/>
        </w:rPr>
        <w:t xml:space="preserve">حذف هذه الفقرة </w:t>
      </w:r>
    </w:p>
  </w:comment>
  <w:comment w:id="41" w:author="A" w:date="2026-09-16T06:04:00Z" w:initials="K">
    <w:p w14:paraId="25D90DC3" w14:textId="77777777" w:rsidR="00614C20" w:rsidRDefault="00614C20" w:rsidP="00614C20">
      <w:pPr>
        <w:pStyle w:val="affb"/>
        <w:rPr>
          <w:rtl/>
        </w:rPr>
      </w:pPr>
      <w:r>
        <w:rPr>
          <w:rStyle w:val="affa"/>
        </w:rPr>
        <w:annotationRef/>
      </w:r>
      <w:r>
        <w:rPr>
          <w:rFonts w:hint="cs"/>
          <w:rtl/>
        </w:rPr>
        <w:t xml:space="preserve">تنقل إلى قائمة الملاحق </w:t>
      </w:r>
    </w:p>
    <w:p w14:paraId="1E4ED282" w14:textId="0EA60A36" w:rsidR="00614C20" w:rsidRDefault="00614C20" w:rsidP="00614C20">
      <w:pPr>
        <w:pStyle w:val="affb"/>
      </w:pPr>
      <w:r>
        <w:rPr>
          <w:rFonts w:hint="cs"/>
          <w:rtl/>
        </w:rPr>
        <w:t xml:space="preserve">أسماء المحكمين ولا تضاف في متن الرسالة </w:t>
      </w:r>
    </w:p>
  </w:comment>
  <w:comment w:id="46" w:author="A" w:date="2026-09-16T06:05:00Z" w:initials="K">
    <w:p w14:paraId="58F88210" w14:textId="77777777" w:rsidR="00614C20" w:rsidRDefault="00614C20">
      <w:pPr>
        <w:pStyle w:val="affb"/>
        <w:rPr>
          <w:rtl/>
        </w:rPr>
      </w:pPr>
      <w:r>
        <w:rPr>
          <w:rStyle w:val="affa"/>
        </w:rPr>
        <w:annotationRef/>
      </w:r>
      <w:r>
        <w:rPr>
          <w:rFonts w:hint="cs"/>
          <w:rtl/>
        </w:rPr>
        <w:t xml:space="preserve">لا تستخدم صيغة المستقبل </w:t>
      </w:r>
    </w:p>
    <w:p w14:paraId="12E278C9" w14:textId="45A1A1E6" w:rsidR="00614C20" w:rsidRDefault="00614C20">
      <w:pPr>
        <w:pStyle w:val="affb"/>
      </w:pPr>
      <w:r>
        <w:rPr>
          <w:rFonts w:hint="cs"/>
          <w:rtl/>
        </w:rPr>
        <w:t xml:space="preserve">استخدم صيغة الماضي ، بمعنى تم مراعاة </w:t>
      </w:r>
    </w:p>
  </w:comment>
  <w:comment w:id="49" w:author="A" w:date="2026-09-16T06:20:00Z" w:initials="K">
    <w:p w14:paraId="1AB45FF8" w14:textId="1A2FEA94" w:rsidR="002C5C7C" w:rsidRDefault="002C5C7C">
      <w:pPr>
        <w:pStyle w:val="affb"/>
      </w:pPr>
      <w:r>
        <w:rPr>
          <w:rStyle w:val="affa"/>
        </w:rPr>
        <w:annotationRef/>
      </w:r>
      <w:r>
        <w:rPr>
          <w:rFonts w:hint="cs"/>
          <w:rtl/>
        </w:rPr>
        <w:t xml:space="preserve">هذا الجدول لا يتطابق مع الجدول في الفصل الثالث الخاص بالعينة </w:t>
      </w:r>
    </w:p>
  </w:comment>
  <w:comment w:id="50" w:author="A" w:date="2026-09-16T06:06:00Z" w:initials="K">
    <w:p w14:paraId="4D9B18D8" w14:textId="77777777" w:rsidR="00614C20" w:rsidRDefault="00614C20">
      <w:pPr>
        <w:pStyle w:val="affb"/>
        <w:rPr>
          <w:rtl/>
        </w:rPr>
      </w:pPr>
      <w:r>
        <w:rPr>
          <w:rStyle w:val="affa"/>
        </w:rPr>
        <w:annotationRef/>
      </w:r>
      <w:r>
        <w:rPr>
          <w:rFonts w:hint="cs"/>
          <w:rtl/>
        </w:rPr>
        <w:t xml:space="preserve">ما المقصود بالمستوى هنا </w:t>
      </w:r>
    </w:p>
    <w:p w14:paraId="33DF2438" w14:textId="77777777" w:rsidR="00614C20" w:rsidRDefault="00614C20">
      <w:pPr>
        <w:pStyle w:val="affb"/>
        <w:rPr>
          <w:rtl/>
        </w:rPr>
      </w:pPr>
      <w:r>
        <w:rPr>
          <w:rFonts w:hint="cs"/>
          <w:rtl/>
        </w:rPr>
        <w:t xml:space="preserve">هل درجة الموافقة ، يجب ان تكون واضحة </w:t>
      </w:r>
    </w:p>
    <w:p w14:paraId="0747EDA3" w14:textId="77777777" w:rsidR="00614C20" w:rsidRDefault="00614C20">
      <w:pPr>
        <w:pStyle w:val="affb"/>
        <w:rPr>
          <w:rtl/>
        </w:rPr>
      </w:pPr>
      <w:r>
        <w:rPr>
          <w:rFonts w:hint="cs"/>
          <w:rtl/>
        </w:rPr>
        <w:t xml:space="preserve">يجب إضافة عمود أخرى للترتيب الفقرات من حيث درحة الموافقة </w:t>
      </w:r>
    </w:p>
    <w:p w14:paraId="75CEC997" w14:textId="77777777" w:rsidR="00614C20" w:rsidRDefault="00614C20">
      <w:pPr>
        <w:pStyle w:val="affb"/>
        <w:rPr>
          <w:rtl/>
        </w:rPr>
      </w:pPr>
      <w:r>
        <w:rPr>
          <w:rFonts w:hint="cs"/>
          <w:rtl/>
        </w:rPr>
        <w:t xml:space="preserve">واضافة عمود في البداية لترقيم الفقرات </w:t>
      </w:r>
    </w:p>
    <w:p w14:paraId="0AEEA321" w14:textId="77777777" w:rsidR="00614C20" w:rsidRDefault="00614C20">
      <w:pPr>
        <w:pStyle w:val="affb"/>
        <w:rPr>
          <w:rtl/>
        </w:rPr>
      </w:pPr>
      <w:r>
        <w:rPr>
          <w:rFonts w:hint="cs"/>
          <w:rtl/>
        </w:rPr>
        <w:t xml:space="preserve">قاعدة عامة تطبق على كافة الجداول رقم الجدول واسم الجدول يكتب اعلى الجدول وليس في الأسف </w:t>
      </w:r>
    </w:p>
    <w:p w14:paraId="5A19201E" w14:textId="2E5549A7" w:rsidR="00614C20" w:rsidRDefault="00614C20">
      <w:pPr>
        <w:pStyle w:val="affb"/>
      </w:pPr>
      <w:r>
        <w:rPr>
          <w:rFonts w:hint="cs"/>
          <w:rtl/>
        </w:rPr>
        <w:t xml:space="preserve">ويجب كتابة مصدر الجدول اسفل الجدول </w:t>
      </w:r>
    </w:p>
  </w:comment>
  <w:comment w:id="52" w:author="A" w:date="2026-09-16T06:06:00Z" w:initials="K">
    <w:p w14:paraId="64CCD369" w14:textId="43922EC5" w:rsidR="00614C20" w:rsidRDefault="00614C20">
      <w:pPr>
        <w:pStyle w:val="affb"/>
      </w:pPr>
      <w:r>
        <w:rPr>
          <w:rStyle w:val="affa"/>
        </w:rPr>
        <w:annotationRef/>
      </w:r>
      <w:r>
        <w:rPr>
          <w:rFonts w:hint="cs"/>
          <w:rtl/>
        </w:rPr>
        <w:t xml:space="preserve">هذا التعليق غير كافي </w:t>
      </w:r>
    </w:p>
  </w:comment>
  <w:comment w:id="51" w:author="A" w:date="2026-09-16T06:08:00Z" w:initials="K">
    <w:p w14:paraId="6FE0EE54" w14:textId="67D51E48" w:rsidR="00614C20" w:rsidRDefault="00614C20">
      <w:pPr>
        <w:pStyle w:val="affb"/>
      </w:pPr>
      <w:r>
        <w:rPr>
          <w:rStyle w:val="affa"/>
        </w:rPr>
        <w:annotationRef/>
      </w:r>
      <w:r>
        <w:rPr>
          <w:rFonts w:hint="cs"/>
          <w:rtl/>
        </w:rPr>
        <w:t xml:space="preserve">التعليق غير كافي ،يجب كتابة رقم الجدول ، يجب ان يتم يجب ان يفسر الباحث نتجية المحور ككل ، ثم يتحدث عن الفقرة التي جاءت في المرتبة الأولى من حيث الاستجابة ويفسرها ، والفقرة التي جاءت في المرتبة الثانية ويفسرها وهذا ينطبثق على كافة جداول التحليل الوصفي </w:t>
      </w:r>
    </w:p>
  </w:comment>
  <w:comment w:id="53" w:author="A" w:date="2026-09-16T06:29:00Z" w:initials="K">
    <w:p w14:paraId="0482D147" w14:textId="77777777" w:rsidR="00F470C0" w:rsidRDefault="00F470C0">
      <w:pPr>
        <w:pStyle w:val="affb"/>
        <w:rPr>
          <w:rtl/>
        </w:rPr>
      </w:pPr>
      <w:r>
        <w:rPr>
          <w:rStyle w:val="affa"/>
        </w:rPr>
        <w:annotationRef/>
      </w:r>
      <w:r>
        <w:rPr>
          <w:rFonts w:hint="cs"/>
          <w:rtl/>
        </w:rPr>
        <w:t xml:space="preserve">هذا الجزء بحاجة إلى إعادة اختبار وكتابة وترتيب وتنسيق بما يتلائم مع رسالة دكتورة </w:t>
      </w:r>
    </w:p>
    <w:p w14:paraId="3B693B34" w14:textId="447C0E2F" w:rsidR="00F470C0" w:rsidRDefault="00F470C0">
      <w:pPr>
        <w:pStyle w:val="affb"/>
      </w:pPr>
      <w:r>
        <w:rPr>
          <w:rFonts w:hint="cs"/>
          <w:rtl/>
        </w:rPr>
        <w:t xml:space="preserve">اضف إلى ذلك يجب ان يعاد صياغة الفروض من الفرض الثالث إلى الفرض السابع ، وفق التعديلات المرفقة في الفصل الأول وبناء عليه يتم اختبار الفروض مرة أخرى </w:t>
      </w:r>
    </w:p>
  </w:comment>
  <w:comment w:id="54" w:author="A" w:date="2026-09-16T06:11:00Z" w:initials="K">
    <w:p w14:paraId="6F87F45C" w14:textId="77777777" w:rsidR="00614C20" w:rsidRDefault="00614C20">
      <w:pPr>
        <w:pStyle w:val="affb"/>
        <w:rPr>
          <w:rtl/>
        </w:rPr>
      </w:pPr>
      <w:r>
        <w:rPr>
          <w:rStyle w:val="affa"/>
        </w:rPr>
        <w:annotationRef/>
      </w:r>
      <w:r>
        <w:rPr>
          <w:rFonts w:hint="cs"/>
          <w:rtl/>
        </w:rPr>
        <w:t xml:space="preserve">حذف الفقرة </w:t>
      </w:r>
    </w:p>
    <w:p w14:paraId="75F79455" w14:textId="6E7FD903" w:rsidR="00614C20" w:rsidRDefault="00614C20">
      <w:pPr>
        <w:pStyle w:val="affb"/>
      </w:pPr>
      <w:r>
        <w:rPr>
          <w:rFonts w:hint="cs"/>
          <w:rtl/>
        </w:rPr>
        <w:t xml:space="preserve">ثم البداية باختبار الفرض الأول ثم يكتب الباحث الفرض الأول الرئيس ويحدج الاختبار الاحصائي المستخدم </w:t>
      </w:r>
    </w:p>
  </w:comment>
  <w:comment w:id="55" w:author="A" w:date="2026-09-16T06:13:00Z" w:initials="K">
    <w:p w14:paraId="39B52E11" w14:textId="2F14F67F" w:rsidR="00614C20" w:rsidRDefault="00614C20">
      <w:pPr>
        <w:pStyle w:val="affb"/>
      </w:pPr>
      <w:r>
        <w:rPr>
          <w:rStyle w:val="affa"/>
        </w:rPr>
        <w:annotationRef/>
      </w:r>
      <w:r>
        <w:rPr>
          <w:rFonts w:hint="cs"/>
          <w:rtl/>
        </w:rPr>
        <w:t xml:space="preserve">يجب ادراج الحدول قبل التعليق ، ثم يأتي التعليق هذا خطا شكلي ويطبق على كافة اختبارات الفروض </w:t>
      </w:r>
    </w:p>
  </w:comment>
  <w:comment w:id="56" w:author="A" w:date="2026-09-16T06:26:00Z" w:initials="K">
    <w:p w14:paraId="1EF74298" w14:textId="77777777" w:rsidR="006F3BCD" w:rsidRDefault="006F3BCD">
      <w:pPr>
        <w:pStyle w:val="affb"/>
        <w:rPr>
          <w:rtl/>
        </w:rPr>
      </w:pPr>
      <w:r>
        <w:rPr>
          <w:rStyle w:val="affa"/>
        </w:rPr>
        <w:annotationRef/>
      </w:r>
      <w:r>
        <w:rPr>
          <w:rFonts w:hint="cs"/>
          <w:rtl/>
        </w:rPr>
        <w:t xml:space="preserve">جدول 4.22 لاختبار الفرض الثالث </w:t>
      </w:r>
    </w:p>
    <w:p w14:paraId="58926CEF" w14:textId="77777777" w:rsidR="006F3BCD" w:rsidRDefault="006F3BCD">
      <w:pPr>
        <w:pStyle w:val="affb"/>
        <w:rPr>
          <w:rtl/>
        </w:rPr>
      </w:pPr>
      <w:r>
        <w:rPr>
          <w:rFonts w:hint="cs"/>
          <w:rtl/>
        </w:rPr>
        <w:t xml:space="preserve">اين جداول اختبارات الفروض </w:t>
      </w:r>
    </w:p>
    <w:p w14:paraId="63EC0A2B" w14:textId="04F362CC" w:rsidR="006F3BCD" w:rsidRDefault="006F3BCD">
      <w:pPr>
        <w:pStyle w:val="affb"/>
      </w:pPr>
      <w:r>
        <w:rPr>
          <w:rFonts w:hint="cs"/>
          <w:rtl/>
        </w:rPr>
        <w:t xml:space="preserve">هذا العرض لا يكفي ولا يليق برسالة دكتوراه </w:t>
      </w:r>
    </w:p>
  </w:comment>
  <w:comment w:id="57" w:author="A" w:date="2026-09-16T06:27:00Z" w:initials="K">
    <w:p w14:paraId="0B94B81B" w14:textId="77777777" w:rsidR="006F3BCD" w:rsidRDefault="006F3BCD">
      <w:pPr>
        <w:pStyle w:val="affb"/>
        <w:rPr>
          <w:rtl/>
        </w:rPr>
      </w:pPr>
      <w:r>
        <w:rPr>
          <w:rStyle w:val="affa"/>
        </w:rPr>
        <w:annotationRef/>
      </w:r>
      <w:r>
        <w:rPr>
          <w:rFonts w:hint="cs"/>
          <w:rtl/>
        </w:rPr>
        <w:t xml:space="preserve">عرض النتائج هنا التعليق لا يكفي اطلاقا ولا يليق برسالة دكتوراه </w:t>
      </w:r>
    </w:p>
    <w:p w14:paraId="0821CC2F" w14:textId="65E6B25E" w:rsidR="006F3BCD" w:rsidRDefault="006F3BCD">
      <w:pPr>
        <w:pStyle w:val="affb"/>
      </w:pPr>
      <w:r>
        <w:rPr>
          <w:rFonts w:hint="cs"/>
          <w:rtl/>
        </w:rPr>
        <w:t xml:space="preserve">على الباحث الاطلاع على عدد من رسائل الدكتوراة  لمعرفة كيفية التعليق وكيف تعرض نتائج الفصل الرابع ونتائج اختبارات الفصول </w:t>
      </w:r>
    </w:p>
  </w:comment>
  <w:comment w:id="58" w:author="A" w:date="2026-09-16T06:37:00Z" w:initials="K">
    <w:p w14:paraId="7B359D2A" w14:textId="452EE388" w:rsidR="00B9655D" w:rsidRDefault="00B9655D">
      <w:pPr>
        <w:pStyle w:val="affb"/>
      </w:pPr>
      <w:r>
        <w:rPr>
          <w:rStyle w:val="affa"/>
        </w:rPr>
        <w:annotationRef/>
      </w:r>
    </w:p>
  </w:comment>
  <w:comment w:id="59" w:author="A" w:date="2026-09-16T06:37:00Z" w:initials="K">
    <w:p w14:paraId="5C1795BC" w14:textId="77777777" w:rsidR="00B9655D" w:rsidRDefault="00B9655D" w:rsidP="00B9655D">
      <w:pPr>
        <w:pStyle w:val="affb"/>
        <w:bidi/>
        <w:rPr>
          <w:rtl/>
        </w:rPr>
      </w:pPr>
      <w:r>
        <w:rPr>
          <w:rStyle w:val="affa"/>
        </w:rPr>
        <w:annotationRef/>
      </w:r>
      <w:r w:rsidRPr="00B9655D">
        <w:rPr>
          <w:rtl/>
        </w:rPr>
        <w:t>ما الدليل الإحصائي الذي قدمته على أن استخدام</w:t>
      </w:r>
      <w:r w:rsidRPr="00B9655D">
        <w:t xml:space="preserve"> Huber Robust Regression </w:t>
      </w:r>
      <w:r w:rsidRPr="00B9655D">
        <w:rPr>
          <w:rtl/>
        </w:rPr>
        <w:t>كان أكثر ملاءمة من</w:t>
      </w:r>
      <w:r w:rsidRPr="00B9655D">
        <w:t xml:space="preserve"> OLS</w:t>
      </w:r>
      <w:r w:rsidRPr="00B9655D">
        <w:rPr>
          <w:rtl/>
        </w:rPr>
        <w:t>؟ وما اختبارات تشخيص النموذج التي أجريتها قبل اتخاذ هذا القرار؟</w:t>
      </w:r>
      <w:r w:rsidRPr="00B9655D">
        <w:t>"</w:t>
      </w:r>
    </w:p>
    <w:p w14:paraId="53621FA8" w14:textId="77777777" w:rsidR="00B9655D" w:rsidRDefault="00B9655D" w:rsidP="00B9655D">
      <w:pPr>
        <w:pStyle w:val="affb"/>
        <w:bidi/>
        <w:rPr>
          <w:rtl/>
        </w:rPr>
      </w:pPr>
      <w:r>
        <w:rPr>
          <w:rFonts w:hint="cs"/>
          <w:rtl/>
        </w:rPr>
        <w:t xml:space="preserve">لماذا لم تستخدم تحليل الانحدار المتعدد؟ </w:t>
      </w:r>
    </w:p>
    <w:p w14:paraId="32DBA416" w14:textId="4E6B776A" w:rsidR="00B9655D" w:rsidRDefault="00B9655D" w:rsidP="00B9655D">
      <w:pPr>
        <w:pStyle w:val="affb"/>
        <w:bidi/>
      </w:pPr>
      <w:r>
        <w:rPr>
          <w:rFonts w:hint="cs"/>
          <w:rtl/>
        </w:rPr>
        <w:t xml:space="preserve">الاستشهاد بان البيانات تنحرف عن التوزيع الطبيعي غير كافي ، </w:t>
      </w:r>
    </w:p>
  </w:comment>
  <w:comment w:id="60" w:author="A" w:date="2026-09-16T06:39:00Z" w:initials="K">
    <w:p w14:paraId="0213E757" w14:textId="77777777" w:rsidR="00B9655D" w:rsidRDefault="00B9655D" w:rsidP="00B9655D">
      <w:pPr>
        <w:pStyle w:val="affb"/>
        <w:rPr>
          <w:rtl/>
        </w:rPr>
      </w:pPr>
      <w:r>
        <w:rPr>
          <w:rStyle w:val="affa"/>
        </w:rPr>
        <w:annotationRef/>
      </w:r>
      <w:r w:rsidRPr="00B9655D">
        <w:rPr>
          <w:rtl/>
        </w:rPr>
        <w:t>عدم تحقق التوزيع الطبيعي للمتغيرات الأصلية ليس شرطاً مانعاً لاستخدام الانحدار الخطي. الافتراض الأهم يتعلق بتوزيع بواقي نموذج الانحدار، وليس بضرورة أن تكون المتغيرات نفسها موزعة توزيعاً طبيعياً</w:t>
      </w:r>
      <w:r w:rsidRPr="00B9655D">
        <w:t>.</w:t>
      </w:r>
    </w:p>
    <w:p w14:paraId="0BD0EDAF" w14:textId="78D422BC" w:rsidR="00B9655D" w:rsidRDefault="00B9655D" w:rsidP="00B9655D">
      <w:pPr>
        <w:pStyle w:val="affb"/>
      </w:pPr>
      <w:r>
        <w:rPr>
          <w:rFonts w:hint="cs"/>
          <w:rtl/>
        </w:rPr>
        <w:t xml:space="preserve">هل قم بهذه الاختبارات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44A9F87" w15:done="0"/>
  <w15:commentEx w15:paraId="73782EDC" w15:done="0"/>
  <w15:commentEx w15:paraId="1E4ED282" w15:done="0"/>
  <w15:commentEx w15:paraId="12E278C9" w15:done="0"/>
  <w15:commentEx w15:paraId="1AB45FF8" w15:done="0"/>
  <w15:commentEx w15:paraId="5A19201E" w15:done="0"/>
  <w15:commentEx w15:paraId="64CCD369" w15:done="0"/>
  <w15:commentEx w15:paraId="6FE0EE54" w15:done="0"/>
  <w15:commentEx w15:paraId="3B693B34" w15:done="0"/>
  <w15:commentEx w15:paraId="75F79455" w15:done="0"/>
  <w15:commentEx w15:paraId="39B52E11" w15:done="0"/>
  <w15:commentEx w15:paraId="63EC0A2B" w15:done="0"/>
  <w15:commentEx w15:paraId="0821CC2F" w15:done="0"/>
  <w15:commentEx w15:paraId="7B359D2A" w15:done="0"/>
  <w15:commentEx w15:paraId="32DBA416" w15:paraIdParent="7B359D2A" w15:done="0"/>
  <w15:commentEx w15:paraId="0BD0EDA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49D84C7" w16cex:dateUtc="2026-09-16T01:55:00Z"/>
  <w16cex:commentExtensible w16cex:durableId="0ACF6526" w16cex:dateUtc="2026-09-16T01:54:00Z"/>
  <w16cex:commentExtensible w16cex:durableId="6EAF8CA4" w16cex:dateUtc="2026-09-16T02:04:00Z"/>
  <w16cex:commentExtensible w16cex:durableId="132A8E0B" w16cex:dateUtc="2026-09-16T02:05:00Z"/>
  <w16cex:commentExtensible w16cex:durableId="711B1944" w16cex:dateUtc="2026-09-16T02:20:00Z"/>
  <w16cex:commentExtensible w16cex:durableId="0D625F6E" w16cex:dateUtc="2026-09-16T02:06:00Z"/>
  <w16cex:commentExtensible w16cex:durableId="70B920B9" w16cex:dateUtc="2026-09-16T02:06:00Z"/>
  <w16cex:commentExtensible w16cex:durableId="51D222FD" w16cex:dateUtc="2026-09-16T02:08:00Z"/>
  <w16cex:commentExtensible w16cex:durableId="06672117" w16cex:dateUtc="2026-09-16T02:29:00Z"/>
  <w16cex:commentExtensible w16cex:durableId="3F29642B" w16cex:dateUtc="2026-09-16T02:11:00Z"/>
  <w16cex:commentExtensible w16cex:durableId="7112B768" w16cex:dateUtc="2026-09-16T02:13:00Z"/>
  <w16cex:commentExtensible w16cex:durableId="7C35ED62" w16cex:dateUtc="2026-09-16T02:26:00Z"/>
  <w16cex:commentExtensible w16cex:durableId="2011FFAC" w16cex:dateUtc="2026-09-16T02:27:00Z"/>
  <w16cex:commentExtensible w16cex:durableId="49B8707D" w16cex:dateUtc="2026-09-16T02:37:00Z"/>
  <w16cex:commentExtensible w16cex:durableId="10B961A8" w16cex:dateUtc="2026-09-16T02:37:00Z"/>
  <w16cex:commentExtensible w16cex:durableId="4A9B7E99" w16cex:dateUtc="2026-09-16T02: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44A9F87" w16cid:durableId="449D84C7"/>
  <w16cid:commentId w16cid:paraId="73782EDC" w16cid:durableId="0ACF6526"/>
  <w16cid:commentId w16cid:paraId="1E4ED282" w16cid:durableId="6EAF8CA4"/>
  <w16cid:commentId w16cid:paraId="12E278C9" w16cid:durableId="132A8E0B"/>
  <w16cid:commentId w16cid:paraId="1AB45FF8" w16cid:durableId="711B1944"/>
  <w16cid:commentId w16cid:paraId="5A19201E" w16cid:durableId="0D625F6E"/>
  <w16cid:commentId w16cid:paraId="64CCD369" w16cid:durableId="70B920B9"/>
  <w16cid:commentId w16cid:paraId="6FE0EE54" w16cid:durableId="51D222FD"/>
  <w16cid:commentId w16cid:paraId="3B693B34" w16cid:durableId="06672117"/>
  <w16cid:commentId w16cid:paraId="75F79455" w16cid:durableId="3F29642B"/>
  <w16cid:commentId w16cid:paraId="39B52E11" w16cid:durableId="7112B768"/>
  <w16cid:commentId w16cid:paraId="63EC0A2B" w16cid:durableId="7C35ED62"/>
  <w16cid:commentId w16cid:paraId="0821CC2F" w16cid:durableId="2011FFAC"/>
  <w16cid:commentId w16cid:paraId="7B359D2A" w16cid:durableId="49B8707D"/>
  <w16cid:commentId w16cid:paraId="32DBA416" w16cid:durableId="10B961A8"/>
  <w16cid:commentId w16cid:paraId="0BD0EDAF" w16cid:durableId="4A9B7E9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AED56A" w14:textId="77777777" w:rsidR="008C239C" w:rsidRDefault="008C239C" w:rsidP="00F628F0">
      <w:pPr>
        <w:spacing w:after="0" w:line="240" w:lineRule="auto"/>
      </w:pPr>
      <w:r>
        <w:separator/>
      </w:r>
    </w:p>
  </w:endnote>
  <w:endnote w:type="continuationSeparator" w:id="0">
    <w:p w14:paraId="583B250C" w14:textId="77777777" w:rsidR="008C239C" w:rsidRDefault="008C239C"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auto"/>
    <w:notTrueType/>
    <w:pitch w:val="variable"/>
    <w:sig w:usb0="00000003" w:usb1="00000000" w:usb2="00000000" w:usb3="00000000" w:csb0="00000001" w:csb1="00000000"/>
  </w:font>
  <w:font w:name="Traditional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7245577"/>
      <w:docPartObj>
        <w:docPartGallery w:val="Page Numbers (Bottom of Page)"/>
        <w:docPartUnique/>
      </w:docPartObj>
    </w:sdtPr>
    <w:sdtEndPr>
      <w:rPr>
        <w:color w:val="7F7F7F" w:themeColor="background1" w:themeShade="7F"/>
        <w:spacing w:val="60"/>
      </w:rPr>
    </w:sdtEndPr>
    <w:sdtContent>
      <w:p w14:paraId="3E165189" w14:textId="77777777" w:rsidR="006E2853" w:rsidRDefault="006E2853">
        <w:pPr>
          <w:pStyle w:val="a7"/>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4F488" w14:textId="77777777" w:rsidR="00883E09" w:rsidRPr="006E2853" w:rsidRDefault="00883E09" w:rsidP="00883E09">
    <w:pPr>
      <w:pStyle w:val="a7"/>
      <w:bidi/>
      <w:rPr>
        <w:sz w:val="24"/>
        <w:szCs w:val="24"/>
      </w:rPr>
    </w:pPr>
    <w:r w:rsidRPr="006E2853">
      <w:rPr>
        <w:noProo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27E1C9" w14:textId="77777777" w:rsidR="008C239C" w:rsidRDefault="008C239C" w:rsidP="00F628F0">
      <w:pPr>
        <w:spacing w:after="0" w:line="240" w:lineRule="auto"/>
      </w:pPr>
      <w:r>
        <w:separator/>
      </w:r>
    </w:p>
  </w:footnote>
  <w:footnote w:type="continuationSeparator" w:id="0">
    <w:p w14:paraId="1A0F813A" w14:textId="77777777" w:rsidR="008C239C" w:rsidRDefault="008C239C"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6C5F" w14:textId="77777777" w:rsidR="003235C8" w:rsidRDefault="00000000">
    <w:pPr>
      <w:pStyle w:val="a6"/>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597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0BFD79" w14:textId="77777777" w:rsidR="003235C8" w:rsidRDefault="00000000">
    <w:pPr>
      <w:pStyle w:val="a6"/>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5875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1056A6DE" w14:textId="77777777" w:rsidR="003235C8" w:rsidRDefault="00000000">
        <w:pPr>
          <w:pStyle w:val="a6"/>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57728;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5" w15:restartNumberingAfterBreak="0">
    <w:nsid w:val="FFFFFF89"/>
    <w:multiLevelType w:val="singleLevel"/>
    <w:tmpl w:val="57D84C70"/>
    <w:lvl w:ilvl="0">
      <w:start w:val="1"/>
      <w:numFmt w:val="bullet"/>
      <w:pStyle w:val="a0"/>
      <w:lvlText w:val=""/>
      <w:lvlJc w:val="left"/>
      <w:pPr>
        <w:tabs>
          <w:tab w:val="num" w:pos="360"/>
        </w:tabs>
        <w:ind w:left="360" w:hanging="360"/>
      </w:pPr>
      <w:rPr>
        <w:rFonts w:ascii="Symbol" w:hAnsi="Symbol" w:hint="default"/>
      </w:rPr>
    </w:lvl>
  </w:abstractNum>
  <w:abstractNum w:abstractNumId="6" w15:restartNumberingAfterBreak="0">
    <w:nsid w:val="00741374"/>
    <w:multiLevelType w:val="hybridMultilevel"/>
    <w:tmpl w:val="0E622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1FB2296"/>
    <w:multiLevelType w:val="multilevel"/>
    <w:tmpl w:val="3D705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27A2880"/>
    <w:multiLevelType w:val="multilevel"/>
    <w:tmpl w:val="D7A0A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830DC9"/>
    <w:multiLevelType w:val="multilevel"/>
    <w:tmpl w:val="F54E34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BE68AC"/>
    <w:multiLevelType w:val="hybridMultilevel"/>
    <w:tmpl w:val="5E02E50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A0D471B"/>
    <w:multiLevelType w:val="multilevel"/>
    <w:tmpl w:val="14822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BF19CF"/>
    <w:multiLevelType w:val="multilevel"/>
    <w:tmpl w:val="7FA8D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7107264"/>
    <w:multiLevelType w:val="multilevel"/>
    <w:tmpl w:val="89307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BD26D7"/>
    <w:multiLevelType w:val="multilevel"/>
    <w:tmpl w:val="86607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A5B4D22"/>
    <w:multiLevelType w:val="multilevel"/>
    <w:tmpl w:val="D398E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A991D67"/>
    <w:multiLevelType w:val="multilevel"/>
    <w:tmpl w:val="84B0D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D6D04EC"/>
    <w:multiLevelType w:val="multilevel"/>
    <w:tmpl w:val="13CCE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1737C9D"/>
    <w:multiLevelType w:val="multilevel"/>
    <w:tmpl w:val="AFF6F3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5"/>
      <w:numFmt w:val="bullet"/>
      <w:lvlText w:val="•"/>
      <w:lvlJc w:val="left"/>
      <w:pPr>
        <w:ind w:left="2160" w:hanging="360"/>
      </w:pPr>
      <w:rPr>
        <w:rFonts w:ascii="Simplified Arabic" w:eastAsiaTheme="minorHAnsi" w:hAnsi="Simplified Arabic" w:cs="Simplified Arabic"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30A6D3D"/>
    <w:multiLevelType w:val="multilevel"/>
    <w:tmpl w:val="0672BA00"/>
    <w:lvl w:ilvl="0">
      <w:start w:val="1"/>
      <w:numFmt w:val="decimal"/>
      <w:pStyle w:val="1"/>
      <w:lvlText w:val="%1"/>
      <w:lvlJc w:val="left"/>
      <w:pPr>
        <w:ind w:left="432" w:hanging="432"/>
      </w:pPr>
    </w:lvl>
    <w:lvl w:ilvl="1">
      <w:start w:val="1"/>
      <w:numFmt w:val="decimal"/>
      <w:lvlText w:val="%1.%2"/>
      <w:lvlJc w:val="left"/>
      <w:pPr>
        <w:ind w:left="576" w:hanging="576"/>
      </w:pPr>
    </w:lvl>
    <w:lvl w:ilvl="2">
      <w:start w:val="1"/>
      <w:numFmt w:val="bullet"/>
      <w:pStyle w:val="31"/>
      <w:lvlText w:val=""/>
      <w:lvlJc w:val="left"/>
      <w:pPr>
        <w:ind w:left="360" w:hanging="360"/>
      </w:pPr>
      <w:rPr>
        <w:rFonts w:ascii="Symbol" w:hAnsi="Symbol" w:hint="default"/>
      </w:rPr>
    </w:lvl>
    <w:lvl w:ilvl="3">
      <w:start w:val="1"/>
      <w:numFmt w:val="bullet"/>
      <w:pStyle w:val="4"/>
      <w:lvlText w:val="o"/>
      <w:lvlJc w:val="left"/>
      <w:pPr>
        <w:ind w:left="360" w:hanging="360"/>
      </w:pPr>
      <w:rPr>
        <w:rFonts w:ascii="Courier New" w:hAnsi="Courier New" w:cs="Courier New" w:hint="default"/>
      </w:r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20" w15:restartNumberingAfterBreak="0">
    <w:nsid w:val="23CC12E2"/>
    <w:multiLevelType w:val="multilevel"/>
    <w:tmpl w:val="221A9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7EA7E2A"/>
    <w:multiLevelType w:val="multilevel"/>
    <w:tmpl w:val="B520F9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809177F"/>
    <w:multiLevelType w:val="multilevel"/>
    <w:tmpl w:val="2EB2DA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84214E4"/>
    <w:multiLevelType w:val="multilevel"/>
    <w:tmpl w:val="355EE7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952659D"/>
    <w:multiLevelType w:val="multilevel"/>
    <w:tmpl w:val="F3C0D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0653DE9"/>
    <w:multiLevelType w:val="multilevel"/>
    <w:tmpl w:val="A002F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1461259"/>
    <w:multiLevelType w:val="hybridMultilevel"/>
    <w:tmpl w:val="4E0A6ED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33045659"/>
    <w:multiLevelType w:val="multilevel"/>
    <w:tmpl w:val="B624F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3197E1F"/>
    <w:multiLevelType w:val="multilevel"/>
    <w:tmpl w:val="7DE0A0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3CA1894"/>
    <w:multiLevelType w:val="hybridMultilevel"/>
    <w:tmpl w:val="09EC0E68"/>
    <w:lvl w:ilvl="0" w:tplc="FFFFFFFF">
      <w:start w:val="1"/>
      <w:numFmt w:val="arabicAlpha"/>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352F0801"/>
    <w:multiLevelType w:val="multilevel"/>
    <w:tmpl w:val="76D440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D6A4F80"/>
    <w:multiLevelType w:val="multilevel"/>
    <w:tmpl w:val="578E7E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DE06E75"/>
    <w:multiLevelType w:val="multilevel"/>
    <w:tmpl w:val="6AA0D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EE06041"/>
    <w:multiLevelType w:val="hybridMultilevel"/>
    <w:tmpl w:val="09EC0E68"/>
    <w:lvl w:ilvl="0" w:tplc="FFFFFFFF">
      <w:start w:val="1"/>
      <w:numFmt w:val="arabicAlpha"/>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45242DB8"/>
    <w:multiLevelType w:val="hybridMultilevel"/>
    <w:tmpl w:val="09EC0E68"/>
    <w:lvl w:ilvl="0" w:tplc="0F64E59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5F5074C"/>
    <w:multiLevelType w:val="multilevel"/>
    <w:tmpl w:val="3F2AA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7D61F6F"/>
    <w:multiLevelType w:val="multilevel"/>
    <w:tmpl w:val="54221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FC91FA7"/>
    <w:multiLevelType w:val="multilevel"/>
    <w:tmpl w:val="1E505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26534CD"/>
    <w:multiLevelType w:val="multilevel"/>
    <w:tmpl w:val="90E63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658356D"/>
    <w:multiLevelType w:val="multilevel"/>
    <w:tmpl w:val="6AA0D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D276606"/>
    <w:multiLevelType w:val="multilevel"/>
    <w:tmpl w:val="1D6E8C80"/>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41" w15:restartNumberingAfterBreak="0">
    <w:nsid w:val="663B2965"/>
    <w:multiLevelType w:val="multilevel"/>
    <w:tmpl w:val="78C0E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72E11D4"/>
    <w:multiLevelType w:val="hybridMultilevel"/>
    <w:tmpl w:val="09EC0E68"/>
    <w:lvl w:ilvl="0" w:tplc="FFFFFFFF">
      <w:start w:val="1"/>
      <w:numFmt w:val="arabicAlpha"/>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68E5662A"/>
    <w:multiLevelType w:val="multilevel"/>
    <w:tmpl w:val="91862A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93154DB"/>
    <w:multiLevelType w:val="multilevel"/>
    <w:tmpl w:val="545A68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BB95443"/>
    <w:multiLevelType w:val="multilevel"/>
    <w:tmpl w:val="BCAA55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CA25F5A"/>
    <w:multiLevelType w:val="multilevel"/>
    <w:tmpl w:val="8E248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E162377"/>
    <w:multiLevelType w:val="multilevel"/>
    <w:tmpl w:val="B030B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3336EB"/>
    <w:multiLevelType w:val="multilevel"/>
    <w:tmpl w:val="38466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F8D316C"/>
    <w:multiLevelType w:val="multilevel"/>
    <w:tmpl w:val="94EEFD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0AD61AA"/>
    <w:multiLevelType w:val="multilevel"/>
    <w:tmpl w:val="0D280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1063DBC"/>
    <w:multiLevelType w:val="multilevel"/>
    <w:tmpl w:val="46E8C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16802ED"/>
    <w:multiLevelType w:val="hybridMultilevel"/>
    <w:tmpl w:val="BE24E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44D6D06"/>
    <w:multiLevelType w:val="hybridMultilevel"/>
    <w:tmpl w:val="4E0A6E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8A072AF"/>
    <w:multiLevelType w:val="hybridMultilevel"/>
    <w:tmpl w:val="D1F8D13E"/>
    <w:lvl w:ilvl="0" w:tplc="06961A80">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15:restartNumberingAfterBreak="0">
    <w:nsid w:val="7A9B67D6"/>
    <w:multiLevelType w:val="multilevel"/>
    <w:tmpl w:val="82E07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D8108EE"/>
    <w:multiLevelType w:val="multilevel"/>
    <w:tmpl w:val="92BCC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E1821C4"/>
    <w:multiLevelType w:val="hybridMultilevel"/>
    <w:tmpl w:val="5E02E50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7F332193"/>
    <w:multiLevelType w:val="multilevel"/>
    <w:tmpl w:val="77F0A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01639553">
    <w:abstractNumId w:val="5"/>
  </w:num>
  <w:num w:numId="2" w16cid:durableId="211040562">
    <w:abstractNumId w:val="54"/>
  </w:num>
  <w:num w:numId="3" w16cid:durableId="1087730012">
    <w:abstractNumId w:val="9"/>
  </w:num>
  <w:num w:numId="4" w16cid:durableId="782920521">
    <w:abstractNumId w:val="40"/>
  </w:num>
  <w:num w:numId="5" w16cid:durableId="678971440">
    <w:abstractNumId w:val="45"/>
  </w:num>
  <w:num w:numId="6" w16cid:durableId="996500451">
    <w:abstractNumId w:val="22"/>
  </w:num>
  <w:num w:numId="7" w16cid:durableId="2075007498">
    <w:abstractNumId w:val="30"/>
  </w:num>
  <w:num w:numId="8" w16cid:durableId="908072416">
    <w:abstractNumId w:val="23"/>
  </w:num>
  <w:num w:numId="9" w16cid:durableId="228737416">
    <w:abstractNumId w:val="47"/>
  </w:num>
  <w:num w:numId="10" w16cid:durableId="260794405">
    <w:abstractNumId w:val="36"/>
  </w:num>
  <w:num w:numId="11" w16cid:durableId="1068191117">
    <w:abstractNumId w:val="25"/>
  </w:num>
  <w:num w:numId="12" w16cid:durableId="1947226361">
    <w:abstractNumId w:val="53"/>
  </w:num>
  <w:num w:numId="13" w16cid:durableId="542982031">
    <w:abstractNumId w:val="34"/>
  </w:num>
  <w:num w:numId="14" w16cid:durableId="43873091">
    <w:abstractNumId w:val="11"/>
  </w:num>
  <w:num w:numId="15" w16cid:durableId="209151632">
    <w:abstractNumId w:val="15"/>
  </w:num>
  <w:num w:numId="16" w16cid:durableId="1362978993">
    <w:abstractNumId w:val="39"/>
  </w:num>
  <w:num w:numId="17" w16cid:durableId="1516917187">
    <w:abstractNumId w:val="32"/>
  </w:num>
  <w:num w:numId="18" w16cid:durableId="1082335728">
    <w:abstractNumId w:val="35"/>
  </w:num>
  <w:num w:numId="19" w16cid:durableId="84040623">
    <w:abstractNumId w:val="27"/>
  </w:num>
  <w:num w:numId="20" w16cid:durableId="958343222">
    <w:abstractNumId w:val="48"/>
  </w:num>
  <w:num w:numId="21" w16cid:durableId="279921945">
    <w:abstractNumId w:val="37"/>
  </w:num>
  <w:num w:numId="22" w16cid:durableId="121117224">
    <w:abstractNumId w:val="14"/>
  </w:num>
  <w:num w:numId="23" w16cid:durableId="818110836">
    <w:abstractNumId w:val="17"/>
  </w:num>
  <w:num w:numId="24" w16cid:durableId="533348259">
    <w:abstractNumId w:val="56"/>
  </w:num>
  <w:num w:numId="25" w16cid:durableId="1045523952">
    <w:abstractNumId w:val="12"/>
  </w:num>
  <w:num w:numId="26" w16cid:durableId="1007555648">
    <w:abstractNumId w:val="46"/>
  </w:num>
  <w:num w:numId="27" w16cid:durableId="188682542">
    <w:abstractNumId w:val="8"/>
  </w:num>
  <w:num w:numId="28" w16cid:durableId="258296543">
    <w:abstractNumId w:val="7"/>
  </w:num>
  <w:num w:numId="29" w16cid:durableId="675112105">
    <w:abstractNumId w:val="16"/>
  </w:num>
  <w:num w:numId="30" w16cid:durableId="1848278456">
    <w:abstractNumId w:val="51"/>
  </w:num>
  <w:num w:numId="31" w16cid:durableId="112097482">
    <w:abstractNumId w:val="31"/>
  </w:num>
  <w:num w:numId="32" w16cid:durableId="314916099">
    <w:abstractNumId w:val="20"/>
  </w:num>
  <w:num w:numId="33" w16cid:durableId="79103288">
    <w:abstractNumId w:val="38"/>
  </w:num>
  <w:num w:numId="34" w16cid:durableId="1518546391">
    <w:abstractNumId w:val="18"/>
  </w:num>
  <w:num w:numId="35" w16cid:durableId="923488500">
    <w:abstractNumId w:val="42"/>
  </w:num>
  <w:num w:numId="36" w16cid:durableId="25565346">
    <w:abstractNumId w:val="57"/>
  </w:num>
  <w:num w:numId="37" w16cid:durableId="1517890745">
    <w:abstractNumId w:val="10"/>
  </w:num>
  <w:num w:numId="38" w16cid:durableId="2069647675">
    <w:abstractNumId w:val="33"/>
  </w:num>
  <w:num w:numId="39" w16cid:durableId="649755113">
    <w:abstractNumId w:val="29"/>
  </w:num>
  <w:num w:numId="40" w16cid:durableId="2090613646">
    <w:abstractNumId w:val="21"/>
  </w:num>
  <w:num w:numId="41" w16cid:durableId="362559934">
    <w:abstractNumId w:val="55"/>
  </w:num>
  <w:num w:numId="42" w16cid:durableId="189203957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2650594">
    <w:abstractNumId w:val="13"/>
  </w:num>
  <w:num w:numId="44" w16cid:durableId="733771748">
    <w:abstractNumId w:val="44"/>
  </w:num>
  <w:num w:numId="45" w16cid:durableId="794178139">
    <w:abstractNumId w:val="43"/>
  </w:num>
  <w:num w:numId="46" w16cid:durableId="5786843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74541793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67673130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551460160">
    <w:abstractNumId w:val="19"/>
  </w:num>
  <w:num w:numId="50" w16cid:durableId="1694384353">
    <w:abstractNumId w:val="49"/>
  </w:num>
  <w:num w:numId="51" w16cid:durableId="313265361">
    <w:abstractNumId w:val="28"/>
  </w:num>
  <w:num w:numId="52" w16cid:durableId="119685410">
    <w:abstractNumId w:val="41"/>
  </w:num>
  <w:num w:numId="53" w16cid:durableId="2009937278">
    <w:abstractNumId w:val="3"/>
  </w:num>
  <w:num w:numId="54" w16cid:durableId="1596598800">
    <w:abstractNumId w:val="2"/>
  </w:num>
  <w:num w:numId="55" w16cid:durableId="443765451">
    <w:abstractNumId w:val="4"/>
  </w:num>
  <w:num w:numId="56" w16cid:durableId="134026964">
    <w:abstractNumId w:val="1"/>
  </w:num>
  <w:num w:numId="57" w16cid:durableId="233248662">
    <w:abstractNumId w:val="0"/>
  </w:num>
  <w:num w:numId="58" w16cid:durableId="1527596440">
    <w:abstractNumId w:val="24"/>
  </w:num>
  <w:num w:numId="59" w16cid:durableId="1087924731">
    <w:abstractNumId w:val="6"/>
  </w:num>
  <w:num w:numId="60" w16cid:durableId="228078509">
    <w:abstractNumId w:val="26"/>
  </w:num>
  <w:num w:numId="61" w16cid:durableId="653219921">
    <w:abstractNumId w:val="50"/>
  </w:num>
  <w:num w:numId="62" w16cid:durableId="46225005">
    <w:abstractNumId w:val="58"/>
  </w:num>
  <w:num w:numId="63" w16cid:durableId="963078233">
    <w:abstractNumId w:val="52"/>
  </w:num>
  <w:numIdMacAtCleanup w:val="6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
    <w15:presenceInfo w15:providerId="None" w15:userId="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1008"/>
    <w:rsid w:val="00001AFB"/>
    <w:rsid w:val="000025FB"/>
    <w:rsid w:val="000048EB"/>
    <w:rsid w:val="00007D43"/>
    <w:rsid w:val="000140B3"/>
    <w:rsid w:val="00015851"/>
    <w:rsid w:val="00015F0D"/>
    <w:rsid w:val="00024C79"/>
    <w:rsid w:val="00026E80"/>
    <w:rsid w:val="00027A34"/>
    <w:rsid w:val="000322E7"/>
    <w:rsid w:val="00036983"/>
    <w:rsid w:val="00037DA0"/>
    <w:rsid w:val="00044CFD"/>
    <w:rsid w:val="000511E7"/>
    <w:rsid w:val="00054C4E"/>
    <w:rsid w:val="0005531B"/>
    <w:rsid w:val="0005778F"/>
    <w:rsid w:val="00061609"/>
    <w:rsid w:val="00061A09"/>
    <w:rsid w:val="0006274F"/>
    <w:rsid w:val="00063B0F"/>
    <w:rsid w:val="000705AD"/>
    <w:rsid w:val="0007111F"/>
    <w:rsid w:val="000760B2"/>
    <w:rsid w:val="00077502"/>
    <w:rsid w:val="00077B0A"/>
    <w:rsid w:val="00084EFA"/>
    <w:rsid w:val="00085CAB"/>
    <w:rsid w:val="00087E4F"/>
    <w:rsid w:val="00090A9C"/>
    <w:rsid w:val="00091751"/>
    <w:rsid w:val="00092C24"/>
    <w:rsid w:val="000940A0"/>
    <w:rsid w:val="000A08E9"/>
    <w:rsid w:val="000A1D3E"/>
    <w:rsid w:val="000A1E46"/>
    <w:rsid w:val="000A310D"/>
    <w:rsid w:val="000A3530"/>
    <w:rsid w:val="000A49C0"/>
    <w:rsid w:val="000A49ED"/>
    <w:rsid w:val="000A5AEA"/>
    <w:rsid w:val="000A749C"/>
    <w:rsid w:val="000B0B32"/>
    <w:rsid w:val="000B306A"/>
    <w:rsid w:val="000B706D"/>
    <w:rsid w:val="000C07F3"/>
    <w:rsid w:val="000C2DBF"/>
    <w:rsid w:val="000D0869"/>
    <w:rsid w:val="000D3EAE"/>
    <w:rsid w:val="000D5131"/>
    <w:rsid w:val="000D6B1C"/>
    <w:rsid w:val="000E23AB"/>
    <w:rsid w:val="000E58D9"/>
    <w:rsid w:val="000E6887"/>
    <w:rsid w:val="000E7C3D"/>
    <w:rsid w:val="000F0964"/>
    <w:rsid w:val="000F0A0D"/>
    <w:rsid w:val="000F1206"/>
    <w:rsid w:val="000F651A"/>
    <w:rsid w:val="000F743E"/>
    <w:rsid w:val="000F7969"/>
    <w:rsid w:val="000F7F04"/>
    <w:rsid w:val="001026A6"/>
    <w:rsid w:val="001033A5"/>
    <w:rsid w:val="001058D2"/>
    <w:rsid w:val="001102A9"/>
    <w:rsid w:val="00110665"/>
    <w:rsid w:val="0011126E"/>
    <w:rsid w:val="00113A3F"/>
    <w:rsid w:val="00116AE4"/>
    <w:rsid w:val="00117CA1"/>
    <w:rsid w:val="001249AC"/>
    <w:rsid w:val="001276DC"/>
    <w:rsid w:val="00130605"/>
    <w:rsid w:val="00133347"/>
    <w:rsid w:val="00134572"/>
    <w:rsid w:val="00134AB7"/>
    <w:rsid w:val="001360ED"/>
    <w:rsid w:val="001436B8"/>
    <w:rsid w:val="001459BE"/>
    <w:rsid w:val="00146BC6"/>
    <w:rsid w:val="001501E7"/>
    <w:rsid w:val="00152104"/>
    <w:rsid w:val="001570EA"/>
    <w:rsid w:val="001603EF"/>
    <w:rsid w:val="001609B6"/>
    <w:rsid w:val="001618EF"/>
    <w:rsid w:val="001624C4"/>
    <w:rsid w:val="00162E37"/>
    <w:rsid w:val="00163E90"/>
    <w:rsid w:val="001654CD"/>
    <w:rsid w:val="0016620C"/>
    <w:rsid w:val="0017071E"/>
    <w:rsid w:val="001717BA"/>
    <w:rsid w:val="001762F4"/>
    <w:rsid w:val="001779BC"/>
    <w:rsid w:val="00180799"/>
    <w:rsid w:val="00180A9B"/>
    <w:rsid w:val="00185F71"/>
    <w:rsid w:val="00195226"/>
    <w:rsid w:val="001A03C5"/>
    <w:rsid w:val="001A250A"/>
    <w:rsid w:val="001A46CD"/>
    <w:rsid w:val="001A5804"/>
    <w:rsid w:val="001A680C"/>
    <w:rsid w:val="001B0A53"/>
    <w:rsid w:val="001B1228"/>
    <w:rsid w:val="001B355A"/>
    <w:rsid w:val="001C01BE"/>
    <w:rsid w:val="001C0813"/>
    <w:rsid w:val="001C2101"/>
    <w:rsid w:val="001C3DA0"/>
    <w:rsid w:val="001C426A"/>
    <w:rsid w:val="001C47CB"/>
    <w:rsid w:val="001C4E4D"/>
    <w:rsid w:val="001C4FBE"/>
    <w:rsid w:val="001C6421"/>
    <w:rsid w:val="001C7DB2"/>
    <w:rsid w:val="001D0529"/>
    <w:rsid w:val="001D41DE"/>
    <w:rsid w:val="001D47AD"/>
    <w:rsid w:val="001D5D32"/>
    <w:rsid w:val="001E252D"/>
    <w:rsid w:val="001E2FCB"/>
    <w:rsid w:val="001E32DF"/>
    <w:rsid w:val="001E3406"/>
    <w:rsid w:val="001E4226"/>
    <w:rsid w:val="001E44BC"/>
    <w:rsid w:val="001E499C"/>
    <w:rsid w:val="001E7127"/>
    <w:rsid w:val="001F5B72"/>
    <w:rsid w:val="0020239B"/>
    <w:rsid w:val="00204B59"/>
    <w:rsid w:val="00207C95"/>
    <w:rsid w:val="00213075"/>
    <w:rsid w:val="002151A4"/>
    <w:rsid w:val="0022051E"/>
    <w:rsid w:val="00220EB9"/>
    <w:rsid w:val="00222468"/>
    <w:rsid w:val="002239E2"/>
    <w:rsid w:val="00225669"/>
    <w:rsid w:val="00225A48"/>
    <w:rsid w:val="002267E3"/>
    <w:rsid w:val="0023186A"/>
    <w:rsid w:val="00231AB1"/>
    <w:rsid w:val="00232A16"/>
    <w:rsid w:val="002366CB"/>
    <w:rsid w:val="00236BF8"/>
    <w:rsid w:val="0024045F"/>
    <w:rsid w:val="002445B7"/>
    <w:rsid w:val="0025077C"/>
    <w:rsid w:val="00250CC6"/>
    <w:rsid w:val="00251580"/>
    <w:rsid w:val="002527C2"/>
    <w:rsid w:val="002529BB"/>
    <w:rsid w:val="00257F01"/>
    <w:rsid w:val="002616CF"/>
    <w:rsid w:val="00263733"/>
    <w:rsid w:val="00264677"/>
    <w:rsid w:val="002655C8"/>
    <w:rsid w:val="00265C31"/>
    <w:rsid w:val="00274C5B"/>
    <w:rsid w:val="00275033"/>
    <w:rsid w:val="002764B2"/>
    <w:rsid w:val="00276F64"/>
    <w:rsid w:val="002858CD"/>
    <w:rsid w:val="00285EDC"/>
    <w:rsid w:val="00290F88"/>
    <w:rsid w:val="002A113E"/>
    <w:rsid w:val="002A1374"/>
    <w:rsid w:val="002B3331"/>
    <w:rsid w:val="002B6766"/>
    <w:rsid w:val="002C2285"/>
    <w:rsid w:val="002C300C"/>
    <w:rsid w:val="002C52B7"/>
    <w:rsid w:val="002C5C7C"/>
    <w:rsid w:val="002D019D"/>
    <w:rsid w:val="002D3349"/>
    <w:rsid w:val="002D638C"/>
    <w:rsid w:val="002D68BB"/>
    <w:rsid w:val="002E03CF"/>
    <w:rsid w:val="002E2FBF"/>
    <w:rsid w:val="002E3203"/>
    <w:rsid w:val="002E4308"/>
    <w:rsid w:val="002E46FC"/>
    <w:rsid w:val="002F0EEA"/>
    <w:rsid w:val="002F20A7"/>
    <w:rsid w:val="002F20B5"/>
    <w:rsid w:val="002F358B"/>
    <w:rsid w:val="003019CE"/>
    <w:rsid w:val="00302F5B"/>
    <w:rsid w:val="003050DB"/>
    <w:rsid w:val="00310DA8"/>
    <w:rsid w:val="00313747"/>
    <w:rsid w:val="00315F6D"/>
    <w:rsid w:val="00316776"/>
    <w:rsid w:val="0031677D"/>
    <w:rsid w:val="003176E1"/>
    <w:rsid w:val="003223F2"/>
    <w:rsid w:val="0032293B"/>
    <w:rsid w:val="00322A0D"/>
    <w:rsid w:val="00322CDE"/>
    <w:rsid w:val="003235C8"/>
    <w:rsid w:val="00325D77"/>
    <w:rsid w:val="003306B7"/>
    <w:rsid w:val="00330F56"/>
    <w:rsid w:val="00333FF1"/>
    <w:rsid w:val="00334002"/>
    <w:rsid w:val="00336E1B"/>
    <w:rsid w:val="00343773"/>
    <w:rsid w:val="003557D8"/>
    <w:rsid w:val="00356156"/>
    <w:rsid w:val="003601E0"/>
    <w:rsid w:val="00360A3F"/>
    <w:rsid w:val="003620CC"/>
    <w:rsid w:val="00364C07"/>
    <w:rsid w:val="00372C68"/>
    <w:rsid w:val="00374A8C"/>
    <w:rsid w:val="00377CB0"/>
    <w:rsid w:val="00380C94"/>
    <w:rsid w:val="00381524"/>
    <w:rsid w:val="00381E67"/>
    <w:rsid w:val="00383DD8"/>
    <w:rsid w:val="00395E1F"/>
    <w:rsid w:val="00397058"/>
    <w:rsid w:val="003A195A"/>
    <w:rsid w:val="003A3893"/>
    <w:rsid w:val="003A3BCE"/>
    <w:rsid w:val="003A4334"/>
    <w:rsid w:val="003A688C"/>
    <w:rsid w:val="003A74ED"/>
    <w:rsid w:val="003A7D4B"/>
    <w:rsid w:val="003B0A07"/>
    <w:rsid w:val="003B0A71"/>
    <w:rsid w:val="003B0E76"/>
    <w:rsid w:val="003B0F00"/>
    <w:rsid w:val="003B1418"/>
    <w:rsid w:val="003B18D4"/>
    <w:rsid w:val="003B2823"/>
    <w:rsid w:val="003B6969"/>
    <w:rsid w:val="003C0190"/>
    <w:rsid w:val="003C05E1"/>
    <w:rsid w:val="003C1C46"/>
    <w:rsid w:val="003C319A"/>
    <w:rsid w:val="003C5B0F"/>
    <w:rsid w:val="003D0041"/>
    <w:rsid w:val="003D062F"/>
    <w:rsid w:val="003D3563"/>
    <w:rsid w:val="003D5F89"/>
    <w:rsid w:val="003D7E7F"/>
    <w:rsid w:val="003E1E60"/>
    <w:rsid w:val="003E2381"/>
    <w:rsid w:val="003E3C9B"/>
    <w:rsid w:val="003F0289"/>
    <w:rsid w:val="003F6189"/>
    <w:rsid w:val="003F69BC"/>
    <w:rsid w:val="003F7A34"/>
    <w:rsid w:val="00401DA1"/>
    <w:rsid w:val="0040510D"/>
    <w:rsid w:val="0041006E"/>
    <w:rsid w:val="00411D8F"/>
    <w:rsid w:val="0041566B"/>
    <w:rsid w:val="00415AC3"/>
    <w:rsid w:val="00415D77"/>
    <w:rsid w:val="0041700F"/>
    <w:rsid w:val="00420AED"/>
    <w:rsid w:val="00421191"/>
    <w:rsid w:val="00421EDA"/>
    <w:rsid w:val="00431AAC"/>
    <w:rsid w:val="004332D4"/>
    <w:rsid w:val="0043449E"/>
    <w:rsid w:val="00436B59"/>
    <w:rsid w:val="004413CD"/>
    <w:rsid w:val="0044258D"/>
    <w:rsid w:val="00442709"/>
    <w:rsid w:val="00443A60"/>
    <w:rsid w:val="00444B1D"/>
    <w:rsid w:val="00444B3C"/>
    <w:rsid w:val="0044728A"/>
    <w:rsid w:val="0045178D"/>
    <w:rsid w:val="00453C8D"/>
    <w:rsid w:val="00455B62"/>
    <w:rsid w:val="00460ED3"/>
    <w:rsid w:val="00466097"/>
    <w:rsid w:val="004676F6"/>
    <w:rsid w:val="004718F1"/>
    <w:rsid w:val="00473F99"/>
    <w:rsid w:val="0047505E"/>
    <w:rsid w:val="0047534A"/>
    <w:rsid w:val="00481067"/>
    <w:rsid w:val="00481285"/>
    <w:rsid w:val="00483888"/>
    <w:rsid w:val="00485BD0"/>
    <w:rsid w:val="00486B51"/>
    <w:rsid w:val="00487152"/>
    <w:rsid w:val="00491655"/>
    <w:rsid w:val="00492E40"/>
    <w:rsid w:val="004968A7"/>
    <w:rsid w:val="004A055C"/>
    <w:rsid w:val="004A10BC"/>
    <w:rsid w:val="004A3F65"/>
    <w:rsid w:val="004A6241"/>
    <w:rsid w:val="004A7946"/>
    <w:rsid w:val="004B484B"/>
    <w:rsid w:val="004B78C6"/>
    <w:rsid w:val="004C1CC5"/>
    <w:rsid w:val="004C573A"/>
    <w:rsid w:val="004C6F90"/>
    <w:rsid w:val="004C7B52"/>
    <w:rsid w:val="004D075E"/>
    <w:rsid w:val="004D2A39"/>
    <w:rsid w:val="004D4604"/>
    <w:rsid w:val="004D506A"/>
    <w:rsid w:val="004D6DB2"/>
    <w:rsid w:val="004D7783"/>
    <w:rsid w:val="004D7F28"/>
    <w:rsid w:val="004E01F6"/>
    <w:rsid w:val="004E1F38"/>
    <w:rsid w:val="004E6090"/>
    <w:rsid w:val="004E78D0"/>
    <w:rsid w:val="004F0744"/>
    <w:rsid w:val="004F1607"/>
    <w:rsid w:val="004F1964"/>
    <w:rsid w:val="004F1CF1"/>
    <w:rsid w:val="004F6AF4"/>
    <w:rsid w:val="004F7D3F"/>
    <w:rsid w:val="0050023D"/>
    <w:rsid w:val="0050451B"/>
    <w:rsid w:val="0050606C"/>
    <w:rsid w:val="005144E3"/>
    <w:rsid w:val="00515088"/>
    <w:rsid w:val="0052019E"/>
    <w:rsid w:val="00521174"/>
    <w:rsid w:val="00530CE8"/>
    <w:rsid w:val="00532392"/>
    <w:rsid w:val="0053336F"/>
    <w:rsid w:val="00533AA9"/>
    <w:rsid w:val="005345EE"/>
    <w:rsid w:val="00535ED5"/>
    <w:rsid w:val="0053681E"/>
    <w:rsid w:val="00540AC4"/>
    <w:rsid w:val="005419CA"/>
    <w:rsid w:val="005429D1"/>
    <w:rsid w:val="005433BE"/>
    <w:rsid w:val="00545742"/>
    <w:rsid w:val="00546BB3"/>
    <w:rsid w:val="005532E5"/>
    <w:rsid w:val="005572F9"/>
    <w:rsid w:val="005609CC"/>
    <w:rsid w:val="00560CC1"/>
    <w:rsid w:val="00560E20"/>
    <w:rsid w:val="005634D4"/>
    <w:rsid w:val="00571913"/>
    <w:rsid w:val="00585AF1"/>
    <w:rsid w:val="00587EEF"/>
    <w:rsid w:val="00594B5C"/>
    <w:rsid w:val="00595574"/>
    <w:rsid w:val="00597208"/>
    <w:rsid w:val="005979BC"/>
    <w:rsid w:val="005A28DF"/>
    <w:rsid w:val="005A3266"/>
    <w:rsid w:val="005A3959"/>
    <w:rsid w:val="005A4F66"/>
    <w:rsid w:val="005A76D0"/>
    <w:rsid w:val="005A7EB2"/>
    <w:rsid w:val="005B09CC"/>
    <w:rsid w:val="005B25B6"/>
    <w:rsid w:val="005B2E32"/>
    <w:rsid w:val="005B37D4"/>
    <w:rsid w:val="005B65AE"/>
    <w:rsid w:val="005B721E"/>
    <w:rsid w:val="005B77A6"/>
    <w:rsid w:val="005B7EB9"/>
    <w:rsid w:val="005C2893"/>
    <w:rsid w:val="005C3DA2"/>
    <w:rsid w:val="005D0283"/>
    <w:rsid w:val="005D1768"/>
    <w:rsid w:val="005D2492"/>
    <w:rsid w:val="005D4B11"/>
    <w:rsid w:val="005D691F"/>
    <w:rsid w:val="005E02EC"/>
    <w:rsid w:val="005E1B7D"/>
    <w:rsid w:val="005E2259"/>
    <w:rsid w:val="005E24FB"/>
    <w:rsid w:val="005F214D"/>
    <w:rsid w:val="005F2661"/>
    <w:rsid w:val="005F5AF5"/>
    <w:rsid w:val="00600515"/>
    <w:rsid w:val="0060105E"/>
    <w:rsid w:val="006037BB"/>
    <w:rsid w:val="0061026F"/>
    <w:rsid w:val="00611156"/>
    <w:rsid w:val="006149BB"/>
    <w:rsid w:val="00614C20"/>
    <w:rsid w:val="00622710"/>
    <w:rsid w:val="00624DDF"/>
    <w:rsid w:val="006253F7"/>
    <w:rsid w:val="0062589E"/>
    <w:rsid w:val="00625A3C"/>
    <w:rsid w:val="00631D92"/>
    <w:rsid w:val="00633F98"/>
    <w:rsid w:val="00634932"/>
    <w:rsid w:val="0063519C"/>
    <w:rsid w:val="006447D8"/>
    <w:rsid w:val="00644F28"/>
    <w:rsid w:val="006458E5"/>
    <w:rsid w:val="00647104"/>
    <w:rsid w:val="0065187E"/>
    <w:rsid w:val="006518D9"/>
    <w:rsid w:val="00655684"/>
    <w:rsid w:val="0065589D"/>
    <w:rsid w:val="00656233"/>
    <w:rsid w:val="00656E7E"/>
    <w:rsid w:val="00661A1D"/>
    <w:rsid w:val="00667BBF"/>
    <w:rsid w:val="006731F3"/>
    <w:rsid w:val="0067429E"/>
    <w:rsid w:val="00676B85"/>
    <w:rsid w:val="00681B50"/>
    <w:rsid w:val="00682DDF"/>
    <w:rsid w:val="00683490"/>
    <w:rsid w:val="00687F77"/>
    <w:rsid w:val="00692DF0"/>
    <w:rsid w:val="00697C27"/>
    <w:rsid w:val="006A160D"/>
    <w:rsid w:val="006A20B8"/>
    <w:rsid w:val="006A2734"/>
    <w:rsid w:val="006A3984"/>
    <w:rsid w:val="006A7DC3"/>
    <w:rsid w:val="006B06E2"/>
    <w:rsid w:val="006B1075"/>
    <w:rsid w:val="006B261A"/>
    <w:rsid w:val="006B366F"/>
    <w:rsid w:val="006B51C2"/>
    <w:rsid w:val="006C10F3"/>
    <w:rsid w:val="006C2E76"/>
    <w:rsid w:val="006C3326"/>
    <w:rsid w:val="006C4DA5"/>
    <w:rsid w:val="006C53DE"/>
    <w:rsid w:val="006C54C9"/>
    <w:rsid w:val="006C54D5"/>
    <w:rsid w:val="006C71F6"/>
    <w:rsid w:val="006D675C"/>
    <w:rsid w:val="006E1886"/>
    <w:rsid w:val="006E2853"/>
    <w:rsid w:val="006E413B"/>
    <w:rsid w:val="006F1837"/>
    <w:rsid w:val="006F3BCD"/>
    <w:rsid w:val="006F3CD1"/>
    <w:rsid w:val="006F4893"/>
    <w:rsid w:val="0070272D"/>
    <w:rsid w:val="00703A9A"/>
    <w:rsid w:val="00704C25"/>
    <w:rsid w:val="00705F1D"/>
    <w:rsid w:val="00706929"/>
    <w:rsid w:val="00706AC7"/>
    <w:rsid w:val="00711248"/>
    <w:rsid w:val="0072065B"/>
    <w:rsid w:val="00722179"/>
    <w:rsid w:val="007235B9"/>
    <w:rsid w:val="007239AC"/>
    <w:rsid w:val="00723E95"/>
    <w:rsid w:val="0072768E"/>
    <w:rsid w:val="00733953"/>
    <w:rsid w:val="00736364"/>
    <w:rsid w:val="0073642B"/>
    <w:rsid w:val="00740AB1"/>
    <w:rsid w:val="00741860"/>
    <w:rsid w:val="00741E70"/>
    <w:rsid w:val="00745221"/>
    <w:rsid w:val="00746533"/>
    <w:rsid w:val="007507AF"/>
    <w:rsid w:val="007509DF"/>
    <w:rsid w:val="00750F2F"/>
    <w:rsid w:val="00751456"/>
    <w:rsid w:val="00752C8C"/>
    <w:rsid w:val="00754496"/>
    <w:rsid w:val="00754FF7"/>
    <w:rsid w:val="007608E1"/>
    <w:rsid w:val="00760EBE"/>
    <w:rsid w:val="00765204"/>
    <w:rsid w:val="0076684E"/>
    <w:rsid w:val="00766A58"/>
    <w:rsid w:val="00770426"/>
    <w:rsid w:val="007750B8"/>
    <w:rsid w:val="007764F4"/>
    <w:rsid w:val="00776AB8"/>
    <w:rsid w:val="00781550"/>
    <w:rsid w:val="007822A3"/>
    <w:rsid w:val="00786A9D"/>
    <w:rsid w:val="00790119"/>
    <w:rsid w:val="00793616"/>
    <w:rsid w:val="007937D4"/>
    <w:rsid w:val="007969DC"/>
    <w:rsid w:val="00797AF9"/>
    <w:rsid w:val="007A31DC"/>
    <w:rsid w:val="007A39E6"/>
    <w:rsid w:val="007A6E44"/>
    <w:rsid w:val="007B29E4"/>
    <w:rsid w:val="007B3A5C"/>
    <w:rsid w:val="007C0C24"/>
    <w:rsid w:val="007C1F01"/>
    <w:rsid w:val="007C3A04"/>
    <w:rsid w:val="007C428F"/>
    <w:rsid w:val="007C5A80"/>
    <w:rsid w:val="007D321C"/>
    <w:rsid w:val="007D39B9"/>
    <w:rsid w:val="007D4210"/>
    <w:rsid w:val="007D7D94"/>
    <w:rsid w:val="007E01DE"/>
    <w:rsid w:val="007E0546"/>
    <w:rsid w:val="007E3985"/>
    <w:rsid w:val="007E3ABF"/>
    <w:rsid w:val="007E4F21"/>
    <w:rsid w:val="007E70DA"/>
    <w:rsid w:val="007F0039"/>
    <w:rsid w:val="007F40DD"/>
    <w:rsid w:val="007F4183"/>
    <w:rsid w:val="007F67D9"/>
    <w:rsid w:val="007F6F3E"/>
    <w:rsid w:val="008022F1"/>
    <w:rsid w:val="00802EEF"/>
    <w:rsid w:val="0080377D"/>
    <w:rsid w:val="008063CC"/>
    <w:rsid w:val="0080769A"/>
    <w:rsid w:val="008101DC"/>
    <w:rsid w:val="00810843"/>
    <w:rsid w:val="00810AE7"/>
    <w:rsid w:val="00813BE2"/>
    <w:rsid w:val="008173B3"/>
    <w:rsid w:val="00817E2A"/>
    <w:rsid w:val="00820D7D"/>
    <w:rsid w:val="00827F40"/>
    <w:rsid w:val="0083123E"/>
    <w:rsid w:val="00831B04"/>
    <w:rsid w:val="00832328"/>
    <w:rsid w:val="00834851"/>
    <w:rsid w:val="00834BE4"/>
    <w:rsid w:val="0083565C"/>
    <w:rsid w:val="0083673F"/>
    <w:rsid w:val="00840269"/>
    <w:rsid w:val="008437E3"/>
    <w:rsid w:val="00846D9A"/>
    <w:rsid w:val="00847997"/>
    <w:rsid w:val="008529D2"/>
    <w:rsid w:val="00854846"/>
    <w:rsid w:val="00854E14"/>
    <w:rsid w:val="00857CBA"/>
    <w:rsid w:val="00861080"/>
    <w:rsid w:val="00861188"/>
    <w:rsid w:val="00862094"/>
    <w:rsid w:val="0086333D"/>
    <w:rsid w:val="00864B2B"/>
    <w:rsid w:val="00870DE8"/>
    <w:rsid w:val="0087261A"/>
    <w:rsid w:val="0087531B"/>
    <w:rsid w:val="008806D9"/>
    <w:rsid w:val="008806DC"/>
    <w:rsid w:val="0088301D"/>
    <w:rsid w:val="00883CF3"/>
    <w:rsid w:val="00883E09"/>
    <w:rsid w:val="00886510"/>
    <w:rsid w:val="00894F92"/>
    <w:rsid w:val="00896B6A"/>
    <w:rsid w:val="008A09DC"/>
    <w:rsid w:val="008A2025"/>
    <w:rsid w:val="008A4A6D"/>
    <w:rsid w:val="008A69EA"/>
    <w:rsid w:val="008A7D25"/>
    <w:rsid w:val="008B0F36"/>
    <w:rsid w:val="008B1684"/>
    <w:rsid w:val="008B400C"/>
    <w:rsid w:val="008B54F8"/>
    <w:rsid w:val="008B5953"/>
    <w:rsid w:val="008C140C"/>
    <w:rsid w:val="008C178F"/>
    <w:rsid w:val="008C1E7F"/>
    <w:rsid w:val="008C239C"/>
    <w:rsid w:val="008C2AA8"/>
    <w:rsid w:val="008C3A5B"/>
    <w:rsid w:val="008D157F"/>
    <w:rsid w:val="008D1B67"/>
    <w:rsid w:val="008D5F2C"/>
    <w:rsid w:val="008D708F"/>
    <w:rsid w:val="008E18C4"/>
    <w:rsid w:val="008E1DF8"/>
    <w:rsid w:val="008E538A"/>
    <w:rsid w:val="008E7947"/>
    <w:rsid w:val="008F3533"/>
    <w:rsid w:val="008F6BBE"/>
    <w:rsid w:val="0090102E"/>
    <w:rsid w:val="00902126"/>
    <w:rsid w:val="009115F9"/>
    <w:rsid w:val="009139AE"/>
    <w:rsid w:val="009145A4"/>
    <w:rsid w:val="00916122"/>
    <w:rsid w:val="00917629"/>
    <w:rsid w:val="00917C97"/>
    <w:rsid w:val="00922314"/>
    <w:rsid w:val="0092295C"/>
    <w:rsid w:val="00924367"/>
    <w:rsid w:val="00927861"/>
    <w:rsid w:val="00931396"/>
    <w:rsid w:val="009365EF"/>
    <w:rsid w:val="0093756B"/>
    <w:rsid w:val="009400C2"/>
    <w:rsid w:val="009462FA"/>
    <w:rsid w:val="00947AF2"/>
    <w:rsid w:val="009505DD"/>
    <w:rsid w:val="00955905"/>
    <w:rsid w:val="00962E14"/>
    <w:rsid w:val="0096761A"/>
    <w:rsid w:val="009705B3"/>
    <w:rsid w:val="00971016"/>
    <w:rsid w:val="009813A6"/>
    <w:rsid w:val="00982637"/>
    <w:rsid w:val="00986114"/>
    <w:rsid w:val="00986F78"/>
    <w:rsid w:val="00995640"/>
    <w:rsid w:val="009A3584"/>
    <w:rsid w:val="009A42B9"/>
    <w:rsid w:val="009A4B6E"/>
    <w:rsid w:val="009A4C47"/>
    <w:rsid w:val="009A6E2C"/>
    <w:rsid w:val="009B032D"/>
    <w:rsid w:val="009B7B1F"/>
    <w:rsid w:val="009C2244"/>
    <w:rsid w:val="009C3C7B"/>
    <w:rsid w:val="009C3CB8"/>
    <w:rsid w:val="009D1D31"/>
    <w:rsid w:val="009D3F77"/>
    <w:rsid w:val="009D5952"/>
    <w:rsid w:val="009D7913"/>
    <w:rsid w:val="009D7E0E"/>
    <w:rsid w:val="009E3672"/>
    <w:rsid w:val="009E3E9A"/>
    <w:rsid w:val="009E4604"/>
    <w:rsid w:val="009F1183"/>
    <w:rsid w:val="009F1514"/>
    <w:rsid w:val="009F2F7B"/>
    <w:rsid w:val="009F44B4"/>
    <w:rsid w:val="009F49A9"/>
    <w:rsid w:val="009F4F5E"/>
    <w:rsid w:val="009F589F"/>
    <w:rsid w:val="009F7119"/>
    <w:rsid w:val="00A00401"/>
    <w:rsid w:val="00A043DE"/>
    <w:rsid w:val="00A05BAE"/>
    <w:rsid w:val="00A10CBA"/>
    <w:rsid w:val="00A11618"/>
    <w:rsid w:val="00A132E4"/>
    <w:rsid w:val="00A14CF4"/>
    <w:rsid w:val="00A14E08"/>
    <w:rsid w:val="00A1570C"/>
    <w:rsid w:val="00A15C4F"/>
    <w:rsid w:val="00A16980"/>
    <w:rsid w:val="00A16E60"/>
    <w:rsid w:val="00A23560"/>
    <w:rsid w:val="00A26A1E"/>
    <w:rsid w:val="00A2724A"/>
    <w:rsid w:val="00A279D5"/>
    <w:rsid w:val="00A30195"/>
    <w:rsid w:val="00A33BF7"/>
    <w:rsid w:val="00A34922"/>
    <w:rsid w:val="00A34BF0"/>
    <w:rsid w:val="00A35F9B"/>
    <w:rsid w:val="00A37539"/>
    <w:rsid w:val="00A409F3"/>
    <w:rsid w:val="00A40B4C"/>
    <w:rsid w:val="00A40CCF"/>
    <w:rsid w:val="00A51842"/>
    <w:rsid w:val="00A5242C"/>
    <w:rsid w:val="00A554AC"/>
    <w:rsid w:val="00A60347"/>
    <w:rsid w:val="00A62483"/>
    <w:rsid w:val="00A62487"/>
    <w:rsid w:val="00A63AF0"/>
    <w:rsid w:val="00A67E70"/>
    <w:rsid w:val="00A70534"/>
    <w:rsid w:val="00A73A46"/>
    <w:rsid w:val="00A74A2B"/>
    <w:rsid w:val="00A74EA0"/>
    <w:rsid w:val="00A7525C"/>
    <w:rsid w:val="00A77B25"/>
    <w:rsid w:val="00A83153"/>
    <w:rsid w:val="00A845B0"/>
    <w:rsid w:val="00A8785A"/>
    <w:rsid w:val="00A90432"/>
    <w:rsid w:val="00A95690"/>
    <w:rsid w:val="00A96230"/>
    <w:rsid w:val="00A96A8E"/>
    <w:rsid w:val="00AB0DB7"/>
    <w:rsid w:val="00AB0E27"/>
    <w:rsid w:val="00AB1931"/>
    <w:rsid w:val="00AB2182"/>
    <w:rsid w:val="00AB65EC"/>
    <w:rsid w:val="00AB6C56"/>
    <w:rsid w:val="00AC24D4"/>
    <w:rsid w:val="00AC46F5"/>
    <w:rsid w:val="00AC4F32"/>
    <w:rsid w:val="00AC5345"/>
    <w:rsid w:val="00AD070F"/>
    <w:rsid w:val="00AD191A"/>
    <w:rsid w:val="00AD525A"/>
    <w:rsid w:val="00AD5DDB"/>
    <w:rsid w:val="00AD783C"/>
    <w:rsid w:val="00AD7D4E"/>
    <w:rsid w:val="00AE21DB"/>
    <w:rsid w:val="00AE473A"/>
    <w:rsid w:val="00AE6B9C"/>
    <w:rsid w:val="00AF5C9F"/>
    <w:rsid w:val="00AF62C2"/>
    <w:rsid w:val="00AF6E34"/>
    <w:rsid w:val="00B00D76"/>
    <w:rsid w:val="00B015C1"/>
    <w:rsid w:val="00B03ACE"/>
    <w:rsid w:val="00B03D10"/>
    <w:rsid w:val="00B05FDA"/>
    <w:rsid w:val="00B1069E"/>
    <w:rsid w:val="00B10965"/>
    <w:rsid w:val="00B146C0"/>
    <w:rsid w:val="00B16F84"/>
    <w:rsid w:val="00B21BA2"/>
    <w:rsid w:val="00B22A4D"/>
    <w:rsid w:val="00B25A96"/>
    <w:rsid w:val="00B32E4E"/>
    <w:rsid w:val="00B348C7"/>
    <w:rsid w:val="00B35152"/>
    <w:rsid w:val="00B43F32"/>
    <w:rsid w:val="00B44197"/>
    <w:rsid w:val="00B4456F"/>
    <w:rsid w:val="00B5019C"/>
    <w:rsid w:val="00B56F1B"/>
    <w:rsid w:val="00B605CF"/>
    <w:rsid w:val="00B61F61"/>
    <w:rsid w:val="00B62F7E"/>
    <w:rsid w:val="00B63BBC"/>
    <w:rsid w:val="00B64268"/>
    <w:rsid w:val="00B65B60"/>
    <w:rsid w:val="00B745F3"/>
    <w:rsid w:val="00B76012"/>
    <w:rsid w:val="00B77EB8"/>
    <w:rsid w:val="00B802A8"/>
    <w:rsid w:val="00B842E8"/>
    <w:rsid w:val="00B90CF8"/>
    <w:rsid w:val="00B91986"/>
    <w:rsid w:val="00B958FD"/>
    <w:rsid w:val="00B95BC3"/>
    <w:rsid w:val="00B9655D"/>
    <w:rsid w:val="00B96E4F"/>
    <w:rsid w:val="00BA688E"/>
    <w:rsid w:val="00BB33BD"/>
    <w:rsid w:val="00BB3408"/>
    <w:rsid w:val="00BB4052"/>
    <w:rsid w:val="00BB46BB"/>
    <w:rsid w:val="00BB5D6B"/>
    <w:rsid w:val="00BB5DCC"/>
    <w:rsid w:val="00BB78AD"/>
    <w:rsid w:val="00BC00FF"/>
    <w:rsid w:val="00BC0354"/>
    <w:rsid w:val="00BC0C9B"/>
    <w:rsid w:val="00BC7341"/>
    <w:rsid w:val="00BC78DA"/>
    <w:rsid w:val="00BD17E4"/>
    <w:rsid w:val="00BD4333"/>
    <w:rsid w:val="00BE07E2"/>
    <w:rsid w:val="00BE2447"/>
    <w:rsid w:val="00BE2AD6"/>
    <w:rsid w:val="00BE609B"/>
    <w:rsid w:val="00BE6B62"/>
    <w:rsid w:val="00BF00BC"/>
    <w:rsid w:val="00BF10E4"/>
    <w:rsid w:val="00BF20DB"/>
    <w:rsid w:val="00BF2A76"/>
    <w:rsid w:val="00BF4225"/>
    <w:rsid w:val="00BF5EEF"/>
    <w:rsid w:val="00C11026"/>
    <w:rsid w:val="00C1168C"/>
    <w:rsid w:val="00C11906"/>
    <w:rsid w:val="00C1324B"/>
    <w:rsid w:val="00C13A85"/>
    <w:rsid w:val="00C144E4"/>
    <w:rsid w:val="00C159FA"/>
    <w:rsid w:val="00C2122A"/>
    <w:rsid w:val="00C228F4"/>
    <w:rsid w:val="00C2376A"/>
    <w:rsid w:val="00C27893"/>
    <w:rsid w:val="00C30195"/>
    <w:rsid w:val="00C327A0"/>
    <w:rsid w:val="00C332B7"/>
    <w:rsid w:val="00C34CBD"/>
    <w:rsid w:val="00C34D41"/>
    <w:rsid w:val="00C35EB8"/>
    <w:rsid w:val="00C36FEE"/>
    <w:rsid w:val="00C3762E"/>
    <w:rsid w:val="00C41974"/>
    <w:rsid w:val="00C44E75"/>
    <w:rsid w:val="00C45804"/>
    <w:rsid w:val="00C472D8"/>
    <w:rsid w:val="00C476E1"/>
    <w:rsid w:val="00C501FA"/>
    <w:rsid w:val="00C51308"/>
    <w:rsid w:val="00C53ED7"/>
    <w:rsid w:val="00C56B6D"/>
    <w:rsid w:val="00C570AB"/>
    <w:rsid w:val="00C61182"/>
    <w:rsid w:val="00C62DC1"/>
    <w:rsid w:val="00C6300C"/>
    <w:rsid w:val="00C70032"/>
    <w:rsid w:val="00C74AAF"/>
    <w:rsid w:val="00C76706"/>
    <w:rsid w:val="00C81452"/>
    <w:rsid w:val="00C83BEA"/>
    <w:rsid w:val="00C8462C"/>
    <w:rsid w:val="00C84B8E"/>
    <w:rsid w:val="00C87AB5"/>
    <w:rsid w:val="00C90D49"/>
    <w:rsid w:val="00C919A0"/>
    <w:rsid w:val="00C93ED6"/>
    <w:rsid w:val="00C93FA9"/>
    <w:rsid w:val="00CA1B14"/>
    <w:rsid w:val="00CA7275"/>
    <w:rsid w:val="00CA7D6A"/>
    <w:rsid w:val="00CB0020"/>
    <w:rsid w:val="00CB09C4"/>
    <w:rsid w:val="00CB0A76"/>
    <w:rsid w:val="00CB0E67"/>
    <w:rsid w:val="00CB113A"/>
    <w:rsid w:val="00CB7DC8"/>
    <w:rsid w:val="00CC160D"/>
    <w:rsid w:val="00CC365B"/>
    <w:rsid w:val="00CC3C32"/>
    <w:rsid w:val="00CD18C9"/>
    <w:rsid w:val="00CD417C"/>
    <w:rsid w:val="00CD67C0"/>
    <w:rsid w:val="00CE13A5"/>
    <w:rsid w:val="00CE1603"/>
    <w:rsid w:val="00CE2E72"/>
    <w:rsid w:val="00CE39F0"/>
    <w:rsid w:val="00CE45FE"/>
    <w:rsid w:val="00CE4EDB"/>
    <w:rsid w:val="00CE7FD7"/>
    <w:rsid w:val="00CF38E8"/>
    <w:rsid w:val="00CF3CD3"/>
    <w:rsid w:val="00CF46AB"/>
    <w:rsid w:val="00CF4B56"/>
    <w:rsid w:val="00CF7270"/>
    <w:rsid w:val="00D0035F"/>
    <w:rsid w:val="00D012B5"/>
    <w:rsid w:val="00D03411"/>
    <w:rsid w:val="00D046CC"/>
    <w:rsid w:val="00D0488B"/>
    <w:rsid w:val="00D05D80"/>
    <w:rsid w:val="00D05EDF"/>
    <w:rsid w:val="00D06E2E"/>
    <w:rsid w:val="00D1286C"/>
    <w:rsid w:val="00D16538"/>
    <w:rsid w:val="00D20E96"/>
    <w:rsid w:val="00D21886"/>
    <w:rsid w:val="00D235C5"/>
    <w:rsid w:val="00D23CA7"/>
    <w:rsid w:val="00D3074D"/>
    <w:rsid w:val="00D31D7E"/>
    <w:rsid w:val="00D329C2"/>
    <w:rsid w:val="00D370C1"/>
    <w:rsid w:val="00D43F87"/>
    <w:rsid w:val="00D46A37"/>
    <w:rsid w:val="00D4735D"/>
    <w:rsid w:val="00D47F4C"/>
    <w:rsid w:val="00D51A70"/>
    <w:rsid w:val="00D53FE2"/>
    <w:rsid w:val="00D5405D"/>
    <w:rsid w:val="00D5434C"/>
    <w:rsid w:val="00D56961"/>
    <w:rsid w:val="00D57A0E"/>
    <w:rsid w:val="00D64F3E"/>
    <w:rsid w:val="00D659C8"/>
    <w:rsid w:val="00D66F8C"/>
    <w:rsid w:val="00D70797"/>
    <w:rsid w:val="00D7258E"/>
    <w:rsid w:val="00D734FB"/>
    <w:rsid w:val="00D73F64"/>
    <w:rsid w:val="00D9144F"/>
    <w:rsid w:val="00D93936"/>
    <w:rsid w:val="00DA2FBD"/>
    <w:rsid w:val="00DA49DC"/>
    <w:rsid w:val="00DA5FAE"/>
    <w:rsid w:val="00DA6668"/>
    <w:rsid w:val="00DB0607"/>
    <w:rsid w:val="00DB0F24"/>
    <w:rsid w:val="00DB1620"/>
    <w:rsid w:val="00DB288F"/>
    <w:rsid w:val="00DB3CDF"/>
    <w:rsid w:val="00DB43FD"/>
    <w:rsid w:val="00DB67ED"/>
    <w:rsid w:val="00DB691B"/>
    <w:rsid w:val="00DB70A4"/>
    <w:rsid w:val="00DC02DC"/>
    <w:rsid w:val="00DC034B"/>
    <w:rsid w:val="00DC200A"/>
    <w:rsid w:val="00DC4145"/>
    <w:rsid w:val="00DC6A22"/>
    <w:rsid w:val="00DC6BDA"/>
    <w:rsid w:val="00DC7903"/>
    <w:rsid w:val="00DD12BB"/>
    <w:rsid w:val="00DD34D2"/>
    <w:rsid w:val="00DD4597"/>
    <w:rsid w:val="00DD4659"/>
    <w:rsid w:val="00DD4E9D"/>
    <w:rsid w:val="00DD7531"/>
    <w:rsid w:val="00DE094D"/>
    <w:rsid w:val="00DE4849"/>
    <w:rsid w:val="00DF076D"/>
    <w:rsid w:val="00DF1676"/>
    <w:rsid w:val="00DF1B31"/>
    <w:rsid w:val="00DF2AA7"/>
    <w:rsid w:val="00DF30DF"/>
    <w:rsid w:val="00DF3C8D"/>
    <w:rsid w:val="00DF6C9D"/>
    <w:rsid w:val="00DF6DD4"/>
    <w:rsid w:val="00E000FF"/>
    <w:rsid w:val="00E01563"/>
    <w:rsid w:val="00E021E5"/>
    <w:rsid w:val="00E031FB"/>
    <w:rsid w:val="00E04048"/>
    <w:rsid w:val="00E07760"/>
    <w:rsid w:val="00E105F1"/>
    <w:rsid w:val="00E1134E"/>
    <w:rsid w:val="00E11EF3"/>
    <w:rsid w:val="00E13189"/>
    <w:rsid w:val="00E3299D"/>
    <w:rsid w:val="00E34F6D"/>
    <w:rsid w:val="00E3576C"/>
    <w:rsid w:val="00E36535"/>
    <w:rsid w:val="00E4043A"/>
    <w:rsid w:val="00E415CF"/>
    <w:rsid w:val="00E4583A"/>
    <w:rsid w:val="00E459B7"/>
    <w:rsid w:val="00E45FD8"/>
    <w:rsid w:val="00E501DC"/>
    <w:rsid w:val="00E50770"/>
    <w:rsid w:val="00E5204E"/>
    <w:rsid w:val="00E54078"/>
    <w:rsid w:val="00E568E3"/>
    <w:rsid w:val="00E57E7F"/>
    <w:rsid w:val="00E62032"/>
    <w:rsid w:val="00E638A6"/>
    <w:rsid w:val="00E646B3"/>
    <w:rsid w:val="00E65AC4"/>
    <w:rsid w:val="00E667FB"/>
    <w:rsid w:val="00E70A28"/>
    <w:rsid w:val="00E70E4C"/>
    <w:rsid w:val="00E7645F"/>
    <w:rsid w:val="00E92308"/>
    <w:rsid w:val="00E92F51"/>
    <w:rsid w:val="00EA0044"/>
    <w:rsid w:val="00EA2C08"/>
    <w:rsid w:val="00EA59C0"/>
    <w:rsid w:val="00EA69AC"/>
    <w:rsid w:val="00EB57DF"/>
    <w:rsid w:val="00EB65E9"/>
    <w:rsid w:val="00EB684E"/>
    <w:rsid w:val="00EC25CF"/>
    <w:rsid w:val="00EC4694"/>
    <w:rsid w:val="00EC7FEB"/>
    <w:rsid w:val="00ED4BFF"/>
    <w:rsid w:val="00EE1529"/>
    <w:rsid w:val="00EE7D55"/>
    <w:rsid w:val="00EE7EE6"/>
    <w:rsid w:val="00EF0359"/>
    <w:rsid w:val="00EF040F"/>
    <w:rsid w:val="00EF1678"/>
    <w:rsid w:val="00EF450E"/>
    <w:rsid w:val="00EF4C31"/>
    <w:rsid w:val="00EF75E3"/>
    <w:rsid w:val="00F00638"/>
    <w:rsid w:val="00F03C2E"/>
    <w:rsid w:val="00F05002"/>
    <w:rsid w:val="00F109AE"/>
    <w:rsid w:val="00F1254A"/>
    <w:rsid w:val="00F12891"/>
    <w:rsid w:val="00F153B7"/>
    <w:rsid w:val="00F1554E"/>
    <w:rsid w:val="00F16CC0"/>
    <w:rsid w:val="00F17A30"/>
    <w:rsid w:val="00F17D8A"/>
    <w:rsid w:val="00F20D35"/>
    <w:rsid w:val="00F21041"/>
    <w:rsid w:val="00F21814"/>
    <w:rsid w:val="00F27469"/>
    <w:rsid w:val="00F277A5"/>
    <w:rsid w:val="00F307DE"/>
    <w:rsid w:val="00F36ECD"/>
    <w:rsid w:val="00F40A76"/>
    <w:rsid w:val="00F4227D"/>
    <w:rsid w:val="00F43BA7"/>
    <w:rsid w:val="00F443A5"/>
    <w:rsid w:val="00F4536C"/>
    <w:rsid w:val="00F470C0"/>
    <w:rsid w:val="00F53404"/>
    <w:rsid w:val="00F55531"/>
    <w:rsid w:val="00F5781A"/>
    <w:rsid w:val="00F60DA3"/>
    <w:rsid w:val="00F611F5"/>
    <w:rsid w:val="00F61524"/>
    <w:rsid w:val="00F628F0"/>
    <w:rsid w:val="00F630BE"/>
    <w:rsid w:val="00F703AE"/>
    <w:rsid w:val="00F71C4B"/>
    <w:rsid w:val="00F7361A"/>
    <w:rsid w:val="00F73EE4"/>
    <w:rsid w:val="00F74068"/>
    <w:rsid w:val="00F77CC4"/>
    <w:rsid w:val="00F80066"/>
    <w:rsid w:val="00F81D47"/>
    <w:rsid w:val="00F83044"/>
    <w:rsid w:val="00F87C09"/>
    <w:rsid w:val="00F87E87"/>
    <w:rsid w:val="00F909EF"/>
    <w:rsid w:val="00F92126"/>
    <w:rsid w:val="00F92EA4"/>
    <w:rsid w:val="00FA0158"/>
    <w:rsid w:val="00FA28F4"/>
    <w:rsid w:val="00FA4160"/>
    <w:rsid w:val="00FA7511"/>
    <w:rsid w:val="00FB1CD1"/>
    <w:rsid w:val="00FB40CE"/>
    <w:rsid w:val="00FB4BB3"/>
    <w:rsid w:val="00FB4EC1"/>
    <w:rsid w:val="00FB5943"/>
    <w:rsid w:val="00FB599B"/>
    <w:rsid w:val="00FB67F2"/>
    <w:rsid w:val="00FB7985"/>
    <w:rsid w:val="00FB7B59"/>
    <w:rsid w:val="00FC2D13"/>
    <w:rsid w:val="00FC3BCE"/>
    <w:rsid w:val="00FC3D33"/>
    <w:rsid w:val="00FC4679"/>
    <w:rsid w:val="00FD131E"/>
    <w:rsid w:val="00FD201E"/>
    <w:rsid w:val="00FD65D4"/>
    <w:rsid w:val="00FD6BAF"/>
    <w:rsid w:val="00FD7953"/>
    <w:rsid w:val="00FE6577"/>
    <w:rsid w:val="00FF15A1"/>
    <w:rsid w:val="00FF2D1F"/>
    <w:rsid w:val="00FF5618"/>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CA4BAC"/>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1C4FBE"/>
    <w:pPr>
      <w:spacing w:after="160" w:line="259" w:lineRule="auto"/>
    </w:pPr>
  </w:style>
  <w:style w:type="paragraph" w:styleId="1">
    <w:name w:val="heading 1"/>
    <w:basedOn w:val="a1"/>
    <w:next w:val="a1"/>
    <w:link w:val="1Char"/>
    <w:uiPriority w:val="9"/>
    <w:qFormat/>
    <w:rsid w:val="00436B59"/>
    <w:pPr>
      <w:keepNext/>
      <w:keepLines/>
      <w:numPr>
        <w:numId w:val="49"/>
      </w:numPr>
      <w:spacing w:before="240" w:after="0"/>
      <w:outlineLvl w:val="0"/>
    </w:pPr>
    <w:rPr>
      <w:rFonts w:asciiTheme="majorHAnsi" w:eastAsiaTheme="majorEastAsia" w:hAnsiTheme="majorHAnsi" w:cstheme="majorBidi"/>
      <w:color w:val="365F91" w:themeColor="accent1" w:themeShade="BF"/>
      <w:sz w:val="32"/>
      <w:szCs w:val="32"/>
    </w:rPr>
  </w:style>
  <w:style w:type="paragraph" w:styleId="21">
    <w:name w:val="heading 2"/>
    <w:basedOn w:val="a1"/>
    <w:next w:val="a1"/>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1">
    <w:name w:val="heading 3"/>
    <w:basedOn w:val="a1"/>
    <w:next w:val="a1"/>
    <w:link w:val="3Char"/>
    <w:uiPriority w:val="9"/>
    <w:unhideWhenUsed/>
    <w:qFormat/>
    <w:rsid w:val="00325D77"/>
    <w:pPr>
      <w:keepNext/>
      <w:keepLines/>
      <w:numPr>
        <w:ilvl w:val="2"/>
        <w:numId w:val="49"/>
      </w:numPr>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1"/>
    <w:next w:val="a1"/>
    <w:link w:val="4Char"/>
    <w:uiPriority w:val="9"/>
    <w:unhideWhenUsed/>
    <w:qFormat/>
    <w:rsid w:val="00325D77"/>
    <w:pPr>
      <w:keepNext/>
      <w:keepLines/>
      <w:numPr>
        <w:ilvl w:val="3"/>
        <w:numId w:val="49"/>
      </w:numPr>
      <w:spacing w:before="40" w:after="0"/>
      <w:outlineLvl w:val="3"/>
    </w:pPr>
    <w:rPr>
      <w:rFonts w:asciiTheme="majorHAnsi" w:eastAsiaTheme="majorEastAsia" w:hAnsiTheme="majorHAnsi" w:cstheme="majorBidi"/>
      <w:i/>
      <w:iCs/>
      <w:color w:val="365F91" w:themeColor="accent1" w:themeShade="BF"/>
    </w:rPr>
  </w:style>
  <w:style w:type="paragraph" w:styleId="5">
    <w:name w:val="heading 5"/>
    <w:basedOn w:val="a1"/>
    <w:next w:val="a1"/>
    <w:link w:val="5Char"/>
    <w:uiPriority w:val="9"/>
    <w:semiHidden/>
    <w:unhideWhenUsed/>
    <w:qFormat/>
    <w:rsid w:val="00325D77"/>
    <w:pPr>
      <w:keepNext/>
      <w:keepLines/>
      <w:numPr>
        <w:ilvl w:val="4"/>
        <w:numId w:val="49"/>
      </w:numPr>
      <w:spacing w:before="40" w:after="0"/>
      <w:outlineLvl w:val="4"/>
    </w:pPr>
    <w:rPr>
      <w:rFonts w:asciiTheme="majorHAnsi" w:eastAsiaTheme="majorEastAsia" w:hAnsiTheme="majorHAnsi" w:cstheme="majorBidi"/>
      <w:color w:val="365F91" w:themeColor="accent1" w:themeShade="BF"/>
    </w:rPr>
  </w:style>
  <w:style w:type="paragraph" w:styleId="6">
    <w:name w:val="heading 6"/>
    <w:basedOn w:val="a1"/>
    <w:next w:val="a1"/>
    <w:link w:val="6Char"/>
    <w:uiPriority w:val="9"/>
    <w:semiHidden/>
    <w:unhideWhenUsed/>
    <w:qFormat/>
    <w:rsid w:val="00325D77"/>
    <w:pPr>
      <w:keepNext/>
      <w:keepLines/>
      <w:numPr>
        <w:ilvl w:val="5"/>
        <w:numId w:val="49"/>
      </w:numPr>
      <w:spacing w:before="40" w:after="0"/>
      <w:outlineLvl w:val="5"/>
    </w:pPr>
    <w:rPr>
      <w:rFonts w:asciiTheme="majorHAnsi" w:eastAsiaTheme="majorEastAsia" w:hAnsiTheme="majorHAnsi" w:cstheme="majorBidi"/>
      <w:color w:val="243F60" w:themeColor="accent1" w:themeShade="7F"/>
    </w:rPr>
  </w:style>
  <w:style w:type="paragraph" w:styleId="7">
    <w:name w:val="heading 7"/>
    <w:basedOn w:val="a1"/>
    <w:next w:val="a1"/>
    <w:link w:val="7Char"/>
    <w:uiPriority w:val="9"/>
    <w:semiHidden/>
    <w:unhideWhenUsed/>
    <w:qFormat/>
    <w:rsid w:val="00325D77"/>
    <w:pPr>
      <w:keepNext/>
      <w:keepLines/>
      <w:numPr>
        <w:ilvl w:val="6"/>
        <w:numId w:val="49"/>
      </w:numPr>
      <w:spacing w:before="40" w:after="0"/>
      <w:outlineLvl w:val="6"/>
    </w:pPr>
    <w:rPr>
      <w:rFonts w:asciiTheme="majorHAnsi" w:eastAsiaTheme="majorEastAsia" w:hAnsiTheme="majorHAnsi" w:cstheme="majorBidi"/>
      <w:i/>
      <w:iCs/>
      <w:color w:val="243F60" w:themeColor="accent1" w:themeShade="7F"/>
    </w:rPr>
  </w:style>
  <w:style w:type="paragraph" w:styleId="8">
    <w:name w:val="heading 8"/>
    <w:basedOn w:val="a1"/>
    <w:next w:val="a1"/>
    <w:link w:val="8Char"/>
    <w:uiPriority w:val="9"/>
    <w:semiHidden/>
    <w:unhideWhenUsed/>
    <w:qFormat/>
    <w:rsid w:val="00325D77"/>
    <w:pPr>
      <w:keepNext/>
      <w:keepLines/>
      <w:numPr>
        <w:ilvl w:val="7"/>
        <w:numId w:val="49"/>
      </w:numPr>
      <w:spacing w:before="40" w:after="0"/>
      <w:outlineLvl w:val="7"/>
    </w:pPr>
    <w:rPr>
      <w:rFonts w:asciiTheme="majorHAnsi" w:eastAsiaTheme="majorEastAsia" w:hAnsiTheme="majorHAnsi" w:cstheme="majorBidi"/>
      <w:color w:val="272727" w:themeColor="text1" w:themeTint="D8"/>
      <w:sz w:val="21"/>
      <w:szCs w:val="21"/>
    </w:rPr>
  </w:style>
  <w:style w:type="paragraph" w:styleId="9">
    <w:name w:val="heading 9"/>
    <w:basedOn w:val="a1"/>
    <w:next w:val="a1"/>
    <w:link w:val="9Char"/>
    <w:uiPriority w:val="9"/>
    <w:semiHidden/>
    <w:unhideWhenUsed/>
    <w:qFormat/>
    <w:rsid w:val="00325D77"/>
    <w:pPr>
      <w:keepNext/>
      <w:keepLines/>
      <w:numPr>
        <w:ilvl w:val="8"/>
        <w:numId w:val="49"/>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Char">
    <w:name w:val="عنوان 2 Char"/>
    <w:basedOn w:val="a2"/>
    <w:link w:val="21"/>
    <w:uiPriority w:val="9"/>
    <w:rsid w:val="000F7F04"/>
    <w:rPr>
      <w:rFonts w:asciiTheme="majorHAnsi" w:eastAsiaTheme="majorEastAsia" w:hAnsiTheme="majorHAnsi" w:cstheme="majorBidi"/>
      <w:color w:val="365F91" w:themeColor="accent1" w:themeShade="BF"/>
      <w:sz w:val="26"/>
      <w:szCs w:val="26"/>
    </w:rPr>
  </w:style>
  <w:style w:type="paragraph" w:styleId="a5">
    <w:name w:val="List Paragraph"/>
    <w:basedOn w:val="a1"/>
    <w:qFormat/>
    <w:rsid w:val="000F7F04"/>
    <w:pPr>
      <w:ind w:left="720"/>
      <w:contextualSpacing/>
    </w:pPr>
  </w:style>
  <w:style w:type="paragraph" w:styleId="a6">
    <w:name w:val="header"/>
    <w:basedOn w:val="a1"/>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2"/>
    <w:link w:val="a6"/>
    <w:uiPriority w:val="99"/>
    <w:rsid w:val="00F628F0"/>
  </w:style>
  <w:style w:type="paragraph" w:styleId="a7">
    <w:name w:val="footer"/>
    <w:basedOn w:val="a1"/>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2"/>
    <w:link w:val="a7"/>
    <w:uiPriority w:val="99"/>
    <w:rsid w:val="00F628F0"/>
  </w:style>
  <w:style w:type="paragraph" w:styleId="a8">
    <w:name w:val="Balloon Text"/>
    <w:basedOn w:val="a1"/>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2"/>
    <w:link w:val="a8"/>
    <w:uiPriority w:val="99"/>
    <w:semiHidden/>
    <w:rsid w:val="00F628F0"/>
    <w:rPr>
      <w:rFonts w:ascii="Tahoma" w:hAnsi="Tahoma" w:cs="Tahoma"/>
      <w:sz w:val="16"/>
      <w:szCs w:val="16"/>
    </w:rPr>
  </w:style>
  <w:style w:type="character" w:customStyle="1" w:styleId="1Char">
    <w:name w:val="العنوان 1 Char"/>
    <w:basedOn w:val="a2"/>
    <w:link w:val="1"/>
    <w:uiPriority w:val="9"/>
    <w:rsid w:val="00436B59"/>
    <w:rPr>
      <w:rFonts w:asciiTheme="majorHAnsi" w:eastAsiaTheme="majorEastAsia" w:hAnsiTheme="majorHAnsi" w:cstheme="majorBidi"/>
      <w:color w:val="365F91" w:themeColor="accent1" w:themeShade="BF"/>
      <w:sz w:val="32"/>
      <w:szCs w:val="32"/>
    </w:rPr>
  </w:style>
  <w:style w:type="table" w:styleId="a9">
    <w:name w:val="Table Grid"/>
    <w:basedOn w:val="a3"/>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rmal (Web)"/>
    <w:basedOn w:val="a1"/>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Strong"/>
    <w:basedOn w:val="a2"/>
    <w:uiPriority w:val="22"/>
    <w:qFormat/>
    <w:rsid w:val="000B706D"/>
    <w:rPr>
      <w:b/>
      <w:bCs/>
    </w:rPr>
  </w:style>
  <w:style w:type="paragraph" w:styleId="ac">
    <w:name w:val="Subtitle"/>
    <w:basedOn w:val="a1"/>
    <w:link w:val="Char2"/>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2"/>
    <w:link w:val="ac"/>
    <w:uiPriority w:val="11"/>
    <w:rsid w:val="006F1837"/>
    <w:rPr>
      <w:rFonts w:ascii="Times New Roman" w:eastAsia="Times New Roman" w:hAnsi="Times New Roman" w:cs="Times New Roman"/>
      <w:i/>
      <w:iCs/>
      <w:sz w:val="28"/>
      <w:szCs w:val="28"/>
      <w:lang w:eastAsia="ar-SA"/>
    </w:rPr>
  </w:style>
  <w:style w:type="character" w:styleId="Hyperlink">
    <w:name w:val="Hyperlink"/>
    <w:basedOn w:val="a2"/>
    <w:uiPriority w:val="99"/>
    <w:unhideWhenUsed/>
    <w:rsid w:val="00374A8C"/>
    <w:rPr>
      <w:color w:val="0000FF" w:themeColor="hyperlink"/>
      <w:u w:val="single"/>
    </w:rPr>
  </w:style>
  <w:style w:type="character" w:styleId="ad">
    <w:name w:val="Unresolved Mention"/>
    <w:basedOn w:val="a2"/>
    <w:uiPriority w:val="99"/>
    <w:semiHidden/>
    <w:unhideWhenUsed/>
    <w:rsid w:val="00374A8C"/>
    <w:rPr>
      <w:color w:val="605E5C"/>
      <w:shd w:val="clear" w:color="auto" w:fill="E1DFDD"/>
    </w:rPr>
  </w:style>
  <w:style w:type="character" w:customStyle="1" w:styleId="3Char">
    <w:name w:val="عنوان 3 Char"/>
    <w:basedOn w:val="a2"/>
    <w:link w:val="31"/>
    <w:uiPriority w:val="9"/>
    <w:rsid w:val="00325D77"/>
    <w:rPr>
      <w:rFonts w:asciiTheme="majorHAnsi" w:eastAsiaTheme="majorEastAsia" w:hAnsiTheme="majorHAnsi" w:cstheme="majorBidi"/>
      <w:color w:val="243F60" w:themeColor="accent1" w:themeShade="7F"/>
      <w:sz w:val="24"/>
      <w:szCs w:val="24"/>
    </w:rPr>
  </w:style>
  <w:style w:type="character" w:customStyle="1" w:styleId="4Char">
    <w:name w:val="عنوان 4 Char"/>
    <w:basedOn w:val="a2"/>
    <w:link w:val="4"/>
    <w:uiPriority w:val="9"/>
    <w:rsid w:val="00325D77"/>
    <w:rPr>
      <w:rFonts w:asciiTheme="majorHAnsi" w:eastAsiaTheme="majorEastAsia" w:hAnsiTheme="majorHAnsi" w:cstheme="majorBidi"/>
      <w:i/>
      <w:iCs/>
      <w:color w:val="365F91" w:themeColor="accent1" w:themeShade="BF"/>
    </w:rPr>
  </w:style>
  <w:style w:type="character" w:customStyle="1" w:styleId="5Char">
    <w:name w:val="عنوان 5 Char"/>
    <w:basedOn w:val="a2"/>
    <w:link w:val="5"/>
    <w:uiPriority w:val="9"/>
    <w:semiHidden/>
    <w:rsid w:val="00325D77"/>
    <w:rPr>
      <w:rFonts w:asciiTheme="majorHAnsi" w:eastAsiaTheme="majorEastAsia" w:hAnsiTheme="majorHAnsi" w:cstheme="majorBidi"/>
      <w:color w:val="365F91" w:themeColor="accent1" w:themeShade="BF"/>
    </w:rPr>
  </w:style>
  <w:style w:type="character" w:customStyle="1" w:styleId="6Char">
    <w:name w:val="عنوان 6 Char"/>
    <w:basedOn w:val="a2"/>
    <w:link w:val="6"/>
    <w:uiPriority w:val="9"/>
    <w:semiHidden/>
    <w:rsid w:val="00325D77"/>
    <w:rPr>
      <w:rFonts w:asciiTheme="majorHAnsi" w:eastAsiaTheme="majorEastAsia" w:hAnsiTheme="majorHAnsi" w:cstheme="majorBidi"/>
      <w:color w:val="243F60" w:themeColor="accent1" w:themeShade="7F"/>
    </w:rPr>
  </w:style>
  <w:style w:type="character" w:customStyle="1" w:styleId="7Char">
    <w:name w:val="عنوان 7 Char"/>
    <w:basedOn w:val="a2"/>
    <w:link w:val="7"/>
    <w:uiPriority w:val="9"/>
    <w:semiHidden/>
    <w:rsid w:val="00325D77"/>
    <w:rPr>
      <w:rFonts w:asciiTheme="majorHAnsi" w:eastAsiaTheme="majorEastAsia" w:hAnsiTheme="majorHAnsi" w:cstheme="majorBidi"/>
      <w:i/>
      <w:iCs/>
      <w:color w:val="243F60" w:themeColor="accent1" w:themeShade="7F"/>
    </w:rPr>
  </w:style>
  <w:style w:type="character" w:customStyle="1" w:styleId="8Char">
    <w:name w:val="عنوان 8 Char"/>
    <w:basedOn w:val="a2"/>
    <w:link w:val="8"/>
    <w:uiPriority w:val="9"/>
    <w:semiHidden/>
    <w:rsid w:val="00325D77"/>
    <w:rPr>
      <w:rFonts w:asciiTheme="majorHAnsi" w:eastAsiaTheme="majorEastAsia" w:hAnsiTheme="majorHAnsi" w:cstheme="majorBidi"/>
      <w:color w:val="272727" w:themeColor="text1" w:themeTint="D8"/>
      <w:sz w:val="21"/>
      <w:szCs w:val="21"/>
    </w:rPr>
  </w:style>
  <w:style w:type="character" w:customStyle="1" w:styleId="9Char">
    <w:name w:val="عنوان 9 Char"/>
    <w:basedOn w:val="a2"/>
    <w:link w:val="9"/>
    <w:uiPriority w:val="9"/>
    <w:semiHidden/>
    <w:rsid w:val="00325D77"/>
    <w:rPr>
      <w:rFonts w:asciiTheme="majorHAnsi" w:eastAsiaTheme="majorEastAsia" w:hAnsiTheme="majorHAnsi" w:cstheme="majorBidi"/>
      <w:i/>
      <w:iCs/>
      <w:color w:val="272727" w:themeColor="text1" w:themeTint="D8"/>
      <w:sz w:val="21"/>
      <w:szCs w:val="21"/>
    </w:rPr>
  </w:style>
  <w:style w:type="paragraph" w:styleId="10">
    <w:name w:val="toc 1"/>
    <w:basedOn w:val="a1"/>
    <w:next w:val="a1"/>
    <w:autoRedefine/>
    <w:uiPriority w:val="39"/>
    <w:unhideWhenUsed/>
    <w:rsid w:val="000C2DBF"/>
    <w:pPr>
      <w:bidi/>
      <w:spacing w:before="360" w:after="0"/>
    </w:pPr>
    <w:rPr>
      <w:rFonts w:asciiTheme="majorHAnsi" w:hAnsiTheme="majorHAnsi" w:cs="Times New Roman"/>
      <w:b/>
      <w:bCs/>
      <w:caps/>
      <w:sz w:val="24"/>
      <w:szCs w:val="28"/>
    </w:rPr>
  </w:style>
  <w:style w:type="paragraph" w:styleId="22">
    <w:name w:val="toc 2"/>
    <w:basedOn w:val="a1"/>
    <w:next w:val="a1"/>
    <w:autoRedefine/>
    <w:uiPriority w:val="39"/>
    <w:unhideWhenUsed/>
    <w:rsid w:val="003A195A"/>
    <w:pPr>
      <w:bidi/>
      <w:spacing w:before="240" w:after="0"/>
    </w:pPr>
    <w:rPr>
      <w:rFonts w:cstheme="minorHAnsi"/>
      <w:b/>
      <w:bCs/>
      <w:sz w:val="20"/>
      <w:szCs w:val="24"/>
    </w:rPr>
  </w:style>
  <w:style w:type="paragraph" w:styleId="32">
    <w:name w:val="toc 3"/>
    <w:basedOn w:val="a1"/>
    <w:next w:val="a1"/>
    <w:autoRedefine/>
    <w:uiPriority w:val="39"/>
    <w:unhideWhenUsed/>
    <w:rsid w:val="003A195A"/>
    <w:pPr>
      <w:bidi/>
      <w:spacing w:after="0"/>
      <w:ind w:left="220"/>
    </w:pPr>
    <w:rPr>
      <w:rFonts w:cstheme="minorHAnsi"/>
      <w:sz w:val="20"/>
      <w:szCs w:val="24"/>
    </w:rPr>
  </w:style>
  <w:style w:type="paragraph" w:styleId="40">
    <w:name w:val="toc 4"/>
    <w:basedOn w:val="a1"/>
    <w:next w:val="a1"/>
    <w:autoRedefine/>
    <w:uiPriority w:val="39"/>
    <w:unhideWhenUsed/>
    <w:rsid w:val="003A195A"/>
    <w:pPr>
      <w:bidi/>
      <w:spacing w:after="0"/>
      <w:ind w:left="440"/>
    </w:pPr>
    <w:rPr>
      <w:rFonts w:cstheme="minorHAnsi"/>
      <w:sz w:val="20"/>
      <w:szCs w:val="24"/>
    </w:rPr>
  </w:style>
  <w:style w:type="paragraph" w:styleId="50">
    <w:name w:val="toc 5"/>
    <w:basedOn w:val="a1"/>
    <w:next w:val="a1"/>
    <w:autoRedefine/>
    <w:uiPriority w:val="39"/>
    <w:unhideWhenUsed/>
    <w:rsid w:val="003A195A"/>
    <w:pPr>
      <w:bidi/>
      <w:spacing w:after="0"/>
      <w:ind w:left="660"/>
    </w:pPr>
    <w:rPr>
      <w:rFonts w:cstheme="minorHAnsi"/>
      <w:sz w:val="20"/>
      <w:szCs w:val="24"/>
    </w:rPr>
  </w:style>
  <w:style w:type="paragraph" w:styleId="60">
    <w:name w:val="toc 6"/>
    <w:basedOn w:val="a1"/>
    <w:next w:val="a1"/>
    <w:autoRedefine/>
    <w:uiPriority w:val="39"/>
    <w:unhideWhenUsed/>
    <w:rsid w:val="003A195A"/>
    <w:pPr>
      <w:bidi/>
      <w:spacing w:after="0"/>
      <w:ind w:left="880"/>
    </w:pPr>
    <w:rPr>
      <w:rFonts w:cstheme="minorHAnsi"/>
      <w:sz w:val="20"/>
      <w:szCs w:val="24"/>
    </w:rPr>
  </w:style>
  <w:style w:type="paragraph" w:styleId="70">
    <w:name w:val="toc 7"/>
    <w:basedOn w:val="a1"/>
    <w:next w:val="a1"/>
    <w:autoRedefine/>
    <w:uiPriority w:val="39"/>
    <w:unhideWhenUsed/>
    <w:rsid w:val="003A195A"/>
    <w:pPr>
      <w:bidi/>
      <w:spacing w:after="0"/>
      <w:ind w:left="1100"/>
    </w:pPr>
    <w:rPr>
      <w:rFonts w:cstheme="minorHAnsi"/>
      <w:sz w:val="20"/>
      <w:szCs w:val="24"/>
    </w:rPr>
  </w:style>
  <w:style w:type="paragraph" w:styleId="80">
    <w:name w:val="toc 8"/>
    <w:basedOn w:val="a1"/>
    <w:next w:val="a1"/>
    <w:autoRedefine/>
    <w:uiPriority w:val="39"/>
    <w:unhideWhenUsed/>
    <w:rsid w:val="003A195A"/>
    <w:pPr>
      <w:bidi/>
      <w:spacing w:after="0"/>
      <w:ind w:left="1320"/>
    </w:pPr>
    <w:rPr>
      <w:rFonts w:cstheme="minorHAnsi"/>
      <w:sz w:val="20"/>
      <w:szCs w:val="24"/>
    </w:rPr>
  </w:style>
  <w:style w:type="paragraph" w:styleId="90">
    <w:name w:val="toc 9"/>
    <w:basedOn w:val="a1"/>
    <w:next w:val="a1"/>
    <w:autoRedefine/>
    <w:uiPriority w:val="39"/>
    <w:unhideWhenUsed/>
    <w:rsid w:val="003A195A"/>
    <w:pPr>
      <w:bidi/>
      <w:spacing w:after="0"/>
      <w:ind w:left="1540"/>
    </w:pPr>
    <w:rPr>
      <w:rFonts w:cstheme="minorHAnsi"/>
      <w:sz w:val="20"/>
      <w:szCs w:val="24"/>
    </w:rPr>
  </w:style>
  <w:style w:type="paragraph" w:styleId="a0">
    <w:name w:val="List Bullet"/>
    <w:basedOn w:val="a1"/>
    <w:uiPriority w:val="99"/>
    <w:unhideWhenUsed/>
    <w:rsid w:val="001E4226"/>
    <w:pPr>
      <w:numPr>
        <w:numId w:val="1"/>
      </w:numPr>
      <w:contextualSpacing/>
    </w:pPr>
  </w:style>
  <w:style w:type="character" w:styleId="ae">
    <w:name w:val="FollowedHyperlink"/>
    <w:basedOn w:val="a2"/>
    <w:uiPriority w:val="99"/>
    <w:semiHidden/>
    <w:unhideWhenUsed/>
    <w:rsid w:val="003B0E76"/>
    <w:rPr>
      <w:color w:val="800080" w:themeColor="followedHyperlink"/>
      <w:u w:val="single"/>
    </w:rPr>
  </w:style>
  <w:style w:type="paragraph" w:styleId="HTML">
    <w:name w:val="HTML Preformatted"/>
    <w:basedOn w:val="a1"/>
    <w:link w:val="HTMLChar"/>
    <w:uiPriority w:val="99"/>
    <w:semiHidden/>
    <w:unhideWhenUsed/>
    <w:rsid w:val="000705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Char">
    <w:name w:val="بتنسيق HTML مسبق Char"/>
    <w:basedOn w:val="a2"/>
    <w:link w:val="HTML"/>
    <w:uiPriority w:val="99"/>
    <w:semiHidden/>
    <w:rsid w:val="000705AD"/>
    <w:rPr>
      <w:rFonts w:ascii="Courier New" w:eastAsia="Times New Roman" w:hAnsi="Courier New" w:cs="Courier New"/>
      <w:sz w:val="20"/>
      <w:szCs w:val="20"/>
    </w:rPr>
  </w:style>
  <w:style w:type="character" w:styleId="HTMLCode">
    <w:name w:val="HTML Code"/>
    <w:basedOn w:val="a2"/>
    <w:uiPriority w:val="99"/>
    <w:semiHidden/>
    <w:unhideWhenUsed/>
    <w:rsid w:val="000705AD"/>
    <w:rPr>
      <w:rFonts w:ascii="Courier New" w:eastAsia="Times New Roman" w:hAnsi="Courier New" w:cs="Courier New"/>
      <w:sz w:val="20"/>
      <w:szCs w:val="20"/>
    </w:rPr>
  </w:style>
  <w:style w:type="paragraph" w:customStyle="1" w:styleId="whitespace-normal">
    <w:name w:val="whitespace-normal"/>
    <w:basedOn w:val="a1"/>
    <w:rsid w:val="000C07F3"/>
    <w:pPr>
      <w:spacing w:before="100" w:beforeAutospacing="1" w:after="100" w:afterAutospacing="1" w:line="240" w:lineRule="auto"/>
    </w:pPr>
    <w:rPr>
      <w:rFonts w:ascii="Times New Roman" w:eastAsia="Times New Roman" w:hAnsi="Times New Roman" w:cs="Times New Roman"/>
      <w:sz w:val="24"/>
      <w:szCs w:val="24"/>
    </w:rPr>
  </w:style>
  <w:style w:type="paragraph" w:styleId="af">
    <w:name w:val="No Spacing"/>
    <w:uiPriority w:val="1"/>
    <w:qFormat/>
    <w:rsid w:val="00D93936"/>
    <w:pPr>
      <w:spacing w:after="0" w:line="240" w:lineRule="auto"/>
    </w:pPr>
    <w:rPr>
      <w:rFonts w:eastAsiaTheme="minorEastAsia"/>
    </w:rPr>
  </w:style>
  <w:style w:type="paragraph" w:styleId="af0">
    <w:name w:val="Title"/>
    <w:basedOn w:val="a1"/>
    <w:next w:val="a1"/>
    <w:link w:val="Char3"/>
    <w:uiPriority w:val="10"/>
    <w:qFormat/>
    <w:rsid w:val="00D9393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3">
    <w:name w:val="العنوان Char"/>
    <w:basedOn w:val="a2"/>
    <w:link w:val="af0"/>
    <w:uiPriority w:val="10"/>
    <w:rsid w:val="00D93936"/>
    <w:rPr>
      <w:rFonts w:asciiTheme="majorHAnsi" w:eastAsiaTheme="majorEastAsia" w:hAnsiTheme="majorHAnsi" w:cstheme="majorBidi"/>
      <w:color w:val="17365D" w:themeColor="text2" w:themeShade="BF"/>
      <w:spacing w:val="5"/>
      <w:kern w:val="28"/>
      <w:sz w:val="52"/>
      <w:szCs w:val="52"/>
    </w:rPr>
  </w:style>
  <w:style w:type="paragraph" w:styleId="af1">
    <w:name w:val="Body Text"/>
    <w:basedOn w:val="a1"/>
    <w:link w:val="Char4"/>
    <w:uiPriority w:val="99"/>
    <w:unhideWhenUsed/>
    <w:rsid w:val="00D93936"/>
    <w:pPr>
      <w:spacing w:after="120" w:line="276" w:lineRule="auto"/>
    </w:pPr>
    <w:rPr>
      <w:rFonts w:eastAsiaTheme="minorEastAsia"/>
    </w:rPr>
  </w:style>
  <w:style w:type="character" w:customStyle="1" w:styleId="Char4">
    <w:name w:val="نص أساسي Char"/>
    <w:basedOn w:val="a2"/>
    <w:link w:val="af1"/>
    <w:uiPriority w:val="99"/>
    <w:rsid w:val="00D93936"/>
    <w:rPr>
      <w:rFonts w:eastAsiaTheme="minorEastAsia"/>
    </w:rPr>
  </w:style>
  <w:style w:type="paragraph" w:styleId="23">
    <w:name w:val="Body Text 2"/>
    <w:basedOn w:val="a1"/>
    <w:link w:val="2Char0"/>
    <w:uiPriority w:val="99"/>
    <w:unhideWhenUsed/>
    <w:rsid w:val="00D93936"/>
    <w:pPr>
      <w:spacing w:after="120" w:line="480" w:lineRule="auto"/>
    </w:pPr>
    <w:rPr>
      <w:rFonts w:eastAsiaTheme="minorEastAsia"/>
    </w:rPr>
  </w:style>
  <w:style w:type="character" w:customStyle="1" w:styleId="2Char0">
    <w:name w:val="نص أساسي 2 Char"/>
    <w:basedOn w:val="a2"/>
    <w:link w:val="23"/>
    <w:uiPriority w:val="99"/>
    <w:rsid w:val="00D93936"/>
    <w:rPr>
      <w:rFonts w:eastAsiaTheme="minorEastAsia"/>
    </w:rPr>
  </w:style>
  <w:style w:type="paragraph" w:styleId="33">
    <w:name w:val="Body Text 3"/>
    <w:basedOn w:val="a1"/>
    <w:link w:val="3Char0"/>
    <w:uiPriority w:val="99"/>
    <w:unhideWhenUsed/>
    <w:rsid w:val="00D93936"/>
    <w:pPr>
      <w:spacing w:after="120" w:line="276" w:lineRule="auto"/>
    </w:pPr>
    <w:rPr>
      <w:rFonts w:eastAsiaTheme="minorEastAsia"/>
      <w:sz w:val="16"/>
      <w:szCs w:val="16"/>
    </w:rPr>
  </w:style>
  <w:style w:type="character" w:customStyle="1" w:styleId="3Char0">
    <w:name w:val="نص أساسي 3 Char"/>
    <w:basedOn w:val="a2"/>
    <w:link w:val="33"/>
    <w:uiPriority w:val="99"/>
    <w:rsid w:val="00D93936"/>
    <w:rPr>
      <w:rFonts w:eastAsiaTheme="minorEastAsia"/>
      <w:sz w:val="16"/>
      <w:szCs w:val="16"/>
    </w:rPr>
  </w:style>
  <w:style w:type="paragraph" w:styleId="af2">
    <w:name w:val="List"/>
    <w:basedOn w:val="a1"/>
    <w:uiPriority w:val="99"/>
    <w:unhideWhenUsed/>
    <w:rsid w:val="00D93936"/>
    <w:pPr>
      <w:spacing w:after="200" w:line="276" w:lineRule="auto"/>
      <w:ind w:left="360" w:hanging="360"/>
      <w:contextualSpacing/>
    </w:pPr>
    <w:rPr>
      <w:rFonts w:eastAsiaTheme="minorEastAsia"/>
    </w:rPr>
  </w:style>
  <w:style w:type="paragraph" w:styleId="24">
    <w:name w:val="List 2"/>
    <w:basedOn w:val="a1"/>
    <w:uiPriority w:val="99"/>
    <w:unhideWhenUsed/>
    <w:rsid w:val="00D93936"/>
    <w:pPr>
      <w:spacing w:after="200" w:line="276" w:lineRule="auto"/>
      <w:ind w:left="720" w:hanging="360"/>
      <w:contextualSpacing/>
    </w:pPr>
    <w:rPr>
      <w:rFonts w:eastAsiaTheme="minorEastAsia"/>
    </w:rPr>
  </w:style>
  <w:style w:type="paragraph" w:styleId="34">
    <w:name w:val="List 3"/>
    <w:basedOn w:val="a1"/>
    <w:uiPriority w:val="99"/>
    <w:unhideWhenUsed/>
    <w:rsid w:val="00D93936"/>
    <w:pPr>
      <w:spacing w:after="200" w:line="276" w:lineRule="auto"/>
      <w:ind w:left="1080" w:hanging="360"/>
      <w:contextualSpacing/>
    </w:pPr>
    <w:rPr>
      <w:rFonts w:eastAsiaTheme="minorEastAsia"/>
    </w:rPr>
  </w:style>
  <w:style w:type="paragraph" w:styleId="20">
    <w:name w:val="List Bullet 2"/>
    <w:basedOn w:val="a1"/>
    <w:uiPriority w:val="99"/>
    <w:unhideWhenUsed/>
    <w:rsid w:val="00D93936"/>
    <w:pPr>
      <w:numPr>
        <w:numId w:val="53"/>
      </w:numPr>
      <w:tabs>
        <w:tab w:val="clear" w:pos="720"/>
      </w:tabs>
      <w:spacing w:after="200" w:line="276" w:lineRule="auto"/>
      <w:ind w:left="0" w:firstLine="0"/>
      <w:contextualSpacing/>
    </w:pPr>
    <w:rPr>
      <w:rFonts w:eastAsiaTheme="minorEastAsia"/>
    </w:rPr>
  </w:style>
  <w:style w:type="paragraph" w:styleId="30">
    <w:name w:val="List Bullet 3"/>
    <w:basedOn w:val="a1"/>
    <w:uiPriority w:val="99"/>
    <w:unhideWhenUsed/>
    <w:rsid w:val="00D93936"/>
    <w:pPr>
      <w:numPr>
        <w:numId w:val="54"/>
      </w:numPr>
      <w:tabs>
        <w:tab w:val="clear" w:pos="1080"/>
      </w:tabs>
      <w:spacing w:after="200" w:line="276" w:lineRule="auto"/>
      <w:ind w:left="0" w:firstLine="0"/>
      <w:contextualSpacing/>
    </w:pPr>
    <w:rPr>
      <w:rFonts w:eastAsiaTheme="minorEastAsia"/>
    </w:rPr>
  </w:style>
  <w:style w:type="paragraph" w:styleId="a">
    <w:name w:val="List Number"/>
    <w:basedOn w:val="a1"/>
    <w:uiPriority w:val="99"/>
    <w:unhideWhenUsed/>
    <w:rsid w:val="00D93936"/>
    <w:pPr>
      <w:numPr>
        <w:numId w:val="55"/>
      </w:numPr>
      <w:tabs>
        <w:tab w:val="clear" w:pos="360"/>
      </w:tabs>
      <w:spacing w:after="200" w:line="276" w:lineRule="auto"/>
      <w:ind w:left="0" w:firstLine="0"/>
      <w:contextualSpacing/>
    </w:pPr>
    <w:rPr>
      <w:rFonts w:eastAsiaTheme="minorEastAsia"/>
    </w:rPr>
  </w:style>
  <w:style w:type="paragraph" w:styleId="2">
    <w:name w:val="List Number 2"/>
    <w:basedOn w:val="a1"/>
    <w:uiPriority w:val="99"/>
    <w:unhideWhenUsed/>
    <w:rsid w:val="00D93936"/>
    <w:pPr>
      <w:numPr>
        <w:numId w:val="56"/>
      </w:numPr>
      <w:tabs>
        <w:tab w:val="clear" w:pos="720"/>
      </w:tabs>
      <w:spacing w:after="200" w:line="276" w:lineRule="auto"/>
      <w:ind w:left="0" w:firstLine="0"/>
      <w:contextualSpacing/>
    </w:pPr>
    <w:rPr>
      <w:rFonts w:eastAsiaTheme="minorEastAsia"/>
    </w:rPr>
  </w:style>
  <w:style w:type="paragraph" w:styleId="3">
    <w:name w:val="List Number 3"/>
    <w:basedOn w:val="a1"/>
    <w:uiPriority w:val="99"/>
    <w:unhideWhenUsed/>
    <w:rsid w:val="00D93936"/>
    <w:pPr>
      <w:numPr>
        <w:numId w:val="57"/>
      </w:numPr>
      <w:tabs>
        <w:tab w:val="clear" w:pos="1080"/>
      </w:tabs>
      <w:spacing w:after="200" w:line="276" w:lineRule="auto"/>
      <w:ind w:left="0" w:firstLine="0"/>
      <w:contextualSpacing/>
    </w:pPr>
    <w:rPr>
      <w:rFonts w:eastAsiaTheme="minorEastAsia"/>
    </w:rPr>
  </w:style>
  <w:style w:type="paragraph" w:styleId="af3">
    <w:name w:val="List Continue"/>
    <w:basedOn w:val="a1"/>
    <w:uiPriority w:val="99"/>
    <w:unhideWhenUsed/>
    <w:rsid w:val="00D93936"/>
    <w:pPr>
      <w:spacing w:after="120" w:line="276" w:lineRule="auto"/>
      <w:ind w:left="360"/>
      <w:contextualSpacing/>
    </w:pPr>
    <w:rPr>
      <w:rFonts w:eastAsiaTheme="minorEastAsia"/>
    </w:rPr>
  </w:style>
  <w:style w:type="paragraph" w:styleId="25">
    <w:name w:val="List Continue 2"/>
    <w:basedOn w:val="a1"/>
    <w:uiPriority w:val="99"/>
    <w:unhideWhenUsed/>
    <w:rsid w:val="00D93936"/>
    <w:pPr>
      <w:spacing w:after="120" w:line="276" w:lineRule="auto"/>
      <w:ind w:left="720"/>
      <w:contextualSpacing/>
    </w:pPr>
    <w:rPr>
      <w:rFonts w:eastAsiaTheme="minorEastAsia"/>
    </w:rPr>
  </w:style>
  <w:style w:type="paragraph" w:styleId="35">
    <w:name w:val="List Continue 3"/>
    <w:basedOn w:val="a1"/>
    <w:uiPriority w:val="99"/>
    <w:unhideWhenUsed/>
    <w:rsid w:val="00D93936"/>
    <w:pPr>
      <w:spacing w:after="120" w:line="276" w:lineRule="auto"/>
      <w:ind w:left="1080"/>
      <w:contextualSpacing/>
    </w:pPr>
    <w:rPr>
      <w:rFonts w:eastAsiaTheme="minorEastAsia"/>
    </w:rPr>
  </w:style>
  <w:style w:type="paragraph" w:styleId="af4">
    <w:name w:val="macro"/>
    <w:link w:val="Char5"/>
    <w:uiPriority w:val="99"/>
    <w:unhideWhenUsed/>
    <w:rsid w:val="00D93936"/>
    <w:pPr>
      <w:tabs>
        <w:tab w:val="left" w:pos="576"/>
        <w:tab w:val="left" w:pos="1152"/>
        <w:tab w:val="left" w:pos="1728"/>
        <w:tab w:val="left" w:pos="2304"/>
        <w:tab w:val="left" w:pos="2880"/>
        <w:tab w:val="left" w:pos="3456"/>
        <w:tab w:val="left" w:pos="4032"/>
      </w:tabs>
    </w:pPr>
    <w:rPr>
      <w:rFonts w:ascii="Courier" w:eastAsiaTheme="minorEastAsia" w:hAnsi="Courier"/>
      <w:sz w:val="20"/>
      <w:szCs w:val="20"/>
    </w:rPr>
  </w:style>
  <w:style w:type="character" w:customStyle="1" w:styleId="Char5">
    <w:name w:val="نص ماكرو Char"/>
    <w:basedOn w:val="a2"/>
    <w:link w:val="af4"/>
    <w:uiPriority w:val="99"/>
    <w:rsid w:val="00D93936"/>
    <w:rPr>
      <w:rFonts w:ascii="Courier" w:eastAsiaTheme="minorEastAsia" w:hAnsi="Courier"/>
      <w:sz w:val="20"/>
      <w:szCs w:val="20"/>
    </w:rPr>
  </w:style>
  <w:style w:type="paragraph" w:styleId="af5">
    <w:name w:val="Quote"/>
    <w:basedOn w:val="a1"/>
    <w:next w:val="a1"/>
    <w:link w:val="Char6"/>
    <w:uiPriority w:val="29"/>
    <w:qFormat/>
    <w:rsid w:val="00D93936"/>
    <w:pPr>
      <w:spacing w:after="200" w:line="276" w:lineRule="auto"/>
    </w:pPr>
    <w:rPr>
      <w:rFonts w:eastAsiaTheme="minorEastAsia"/>
      <w:i/>
      <w:iCs/>
      <w:color w:val="000000" w:themeColor="text1"/>
    </w:rPr>
  </w:style>
  <w:style w:type="character" w:customStyle="1" w:styleId="Char6">
    <w:name w:val="اقتباس Char"/>
    <w:basedOn w:val="a2"/>
    <w:link w:val="af5"/>
    <w:uiPriority w:val="29"/>
    <w:rsid w:val="00D93936"/>
    <w:rPr>
      <w:rFonts w:eastAsiaTheme="minorEastAsia"/>
      <w:i/>
      <w:iCs/>
      <w:color w:val="000000" w:themeColor="text1"/>
    </w:rPr>
  </w:style>
  <w:style w:type="paragraph" w:styleId="af6">
    <w:name w:val="caption"/>
    <w:basedOn w:val="a1"/>
    <w:next w:val="a1"/>
    <w:uiPriority w:val="35"/>
    <w:semiHidden/>
    <w:unhideWhenUsed/>
    <w:qFormat/>
    <w:rsid w:val="00D93936"/>
    <w:pPr>
      <w:spacing w:after="200" w:line="240" w:lineRule="auto"/>
    </w:pPr>
    <w:rPr>
      <w:rFonts w:eastAsiaTheme="minorEastAsia"/>
      <w:b/>
      <w:bCs/>
      <w:color w:val="4F81BD" w:themeColor="accent1"/>
      <w:sz w:val="18"/>
      <w:szCs w:val="18"/>
    </w:rPr>
  </w:style>
  <w:style w:type="character" w:styleId="af7">
    <w:name w:val="Emphasis"/>
    <w:basedOn w:val="a2"/>
    <w:uiPriority w:val="20"/>
    <w:qFormat/>
    <w:rsid w:val="00D93936"/>
    <w:rPr>
      <w:i/>
      <w:iCs/>
    </w:rPr>
  </w:style>
  <w:style w:type="paragraph" w:styleId="af8">
    <w:name w:val="Intense Quote"/>
    <w:basedOn w:val="a1"/>
    <w:next w:val="a1"/>
    <w:link w:val="Char7"/>
    <w:uiPriority w:val="30"/>
    <w:qFormat/>
    <w:rsid w:val="00D93936"/>
    <w:pPr>
      <w:pBdr>
        <w:bottom w:val="single" w:sz="4" w:space="4" w:color="4F81BD" w:themeColor="accent1"/>
      </w:pBdr>
      <w:spacing w:before="200" w:after="280" w:line="276" w:lineRule="auto"/>
      <w:ind w:left="936" w:right="936"/>
    </w:pPr>
    <w:rPr>
      <w:rFonts w:eastAsiaTheme="minorEastAsia"/>
      <w:b/>
      <w:bCs/>
      <w:i/>
      <w:iCs/>
      <w:color w:val="4F81BD" w:themeColor="accent1"/>
    </w:rPr>
  </w:style>
  <w:style w:type="character" w:customStyle="1" w:styleId="Char7">
    <w:name w:val="اقتباس مكثف Char"/>
    <w:basedOn w:val="a2"/>
    <w:link w:val="af8"/>
    <w:uiPriority w:val="30"/>
    <w:rsid w:val="00D93936"/>
    <w:rPr>
      <w:rFonts w:eastAsiaTheme="minorEastAsia"/>
      <w:b/>
      <w:bCs/>
      <w:i/>
      <w:iCs/>
      <w:color w:val="4F81BD" w:themeColor="accent1"/>
    </w:rPr>
  </w:style>
  <w:style w:type="character" w:styleId="af9">
    <w:name w:val="Subtle Emphasis"/>
    <w:basedOn w:val="a2"/>
    <w:uiPriority w:val="19"/>
    <w:qFormat/>
    <w:rsid w:val="00D93936"/>
    <w:rPr>
      <w:i/>
      <w:iCs/>
      <w:color w:val="808080" w:themeColor="text1" w:themeTint="7F"/>
    </w:rPr>
  </w:style>
  <w:style w:type="character" w:styleId="afa">
    <w:name w:val="Intense Emphasis"/>
    <w:basedOn w:val="a2"/>
    <w:uiPriority w:val="21"/>
    <w:qFormat/>
    <w:rsid w:val="00D93936"/>
    <w:rPr>
      <w:b/>
      <w:bCs/>
      <w:i/>
      <w:iCs/>
      <w:color w:val="4F81BD" w:themeColor="accent1"/>
    </w:rPr>
  </w:style>
  <w:style w:type="character" w:styleId="afb">
    <w:name w:val="Subtle Reference"/>
    <w:basedOn w:val="a2"/>
    <w:uiPriority w:val="31"/>
    <w:qFormat/>
    <w:rsid w:val="00D93936"/>
    <w:rPr>
      <w:smallCaps/>
      <w:color w:val="C0504D" w:themeColor="accent2"/>
      <w:u w:val="single"/>
    </w:rPr>
  </w:style>
  <w:style w:type="character" w:styleId="afc">
    <w:name w:val="Intense Reference"/>
    <w:basedOn w:val="a2"/>
    <w:uiPriority w:val="32"/>
    <w:qFormat/>
    <w:rsid w:val="00D93936"/>
    <w:rPr>
      <w:b/>
      <w:bCs/>
      <w:smallCaps/>
      <w:color w:val="C0504D" w:themeColor="accent2"/>
      <w:spacing w:val="5"/>
      <w:u w:val="single"/>
    </w:rPr>
  </w:style>
  <w:style w:type="character" w:styleId="afd">
    <w:name w:val="Book Title"/>
    <w:basedOn w:val="a2"/>
    <w:uiPriority w:val="33"/>
    <w:qFormat/>
    <w:rsid w:val="00D93936"/>
    <w:rPr>
      <w:b/>
      <w:bCs/>
      <w:smallCaps/>
      <w:spacing w:val="5"/>
    </w:rPr>
  </w:style>
  <w:style w:type="paragraph" w:styleId="afe">
    <w:name w:val="TOC Heading"/>
    <w:basedOn w:val="1"/>
    <w:next w:val="a1"/>
    <w:uiPriority w:val="39"/>
    <w:semiHidden/>
    <w:unhideWhenUsed/>
    <w:qFormat/>
    <w:rsid w:val="00D93936"/>
    <w:pPr>
      <w:numPr>
        <w:numId w:val="0"/>
      </w:numPr>
      <w:spacing w:before="480" w:line="276" w:lineRule="auto"/>
      <w:outlineLvl w:val="9"/>
    </w:pPr>
    <w:rPr>
      <w:b/>
      <w:bCs/>
      <w:sz w:val="28"/>
      <w:szCs w:val="28"/>
    </w:rPr>
  </w:style>
  <w:style w:type="table" w:styleId="aff">
    <w:name w:val="Light Shading"/>
    <w:basedOn w:val="a3"/>
    <w:uiPriority w:val="60"/>
    <w:rsid w:val="00D93936"/>
    <w:pPr>
      <w:spacing w:after="0" w:line="240" w:lineRule="auto"/>
    </w:pPr>
    <w:rPr>
      <w:rFonts w:eastAsiaTheme="minorEastAsia"/>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D93936"/>
    <w:pPr>
      <w:spacing w:after="0" w:line="240" w:lineRule="auto"/>
    </w:pPr>
    <w:rPr>
      <w:rFonts w:eastAsiaTheme="minorEastAsia"/>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D93936"/>
    <w:pPr>
      <w:spacing w:after="0" w:line="240" w:lineRule="auto"/>
    </w:pPr>
    <w:rPr>
      <w:rFonts w:eastAsiaTheme="minorEastAsia"/>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D93936"/>
    <w:pPr>
      <w:spacing w:after="0" w:line="240" w:lineRule="auto"/>
    </w:pPr>
    <w:rPr>
      <w:rFonts w:eastAsiaTheme="minorEastAsia"/>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D93936"/>
    <w:pPr>
      <w:spacing w:after="0" w:line="240" w:lineRule="auto"/>
    </w:pPr>
    <w:rPr>
      <w:rFonts w:eastAsiaTheme="minorEastAsia"/>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D93936"/>
    <w:pPr>
      <w:spacing w:after="0" w:line="240" w:lineRule="auto"/>
    </w:pPr>
    <w:rPr>
      <w:rFonts w:eastAsiaTheme="minorEastAsia"/>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D93936"/>
    <w:pPr>
      <w:spacing w:after="0" w:line="240" w:lineRule="auto"/>
    </w:pPr>
    <w:rPr>
      <w:rFonts w:eastAsiaTheme="minorEastAsia"/>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0">
    <w:name w:val="Light List"/>
    <w:basedOn w:val="a3"/>
    <w:uiPriority w:val="61"/>
    <w:rsid w:val="00D93936"/>
    <w:pPr>
      <w:spacing w:after="0" w:line="240" w:lineRule="auto"/>
    </w:pPr>
    <w:rPr>
      <w:rFonts w:eastAsiaTheme="minorEastAsi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D93936"/>
    <w:pPr>
      <w:spacing w:after="0" w:line="240" w:lineRule="auto"/>
    </w:pPr>
    <w:rPr>
      <w:rFonts w:eastAsiaTheme="minorEastAsia"/>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D93936"/>
    <w:pPr>
      <w:spacing w:after="0" w:line="240" w:lineRule="auto"/>
    </w:pPr>
    <w:rPr>
      <w:rFonts w:eastAsiaTheme="minorEastAsia"/>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D93936"/>
    <w:pPr>
      <w:spacing w:after="0" w:line="240" w:lineRule="auto"/>
    </w:pPr>
    <w:rPr>
      <w:rFonts w:eastAsiaTheme="minorEastAsia"/>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D93936"/>
    <w:pPr>
      <w:spacing w:after="0" w:line="240" w:lineRule="auto"/>
    </w:pPr>
    <w:rPr>
      <w:rFonts w:eastAsiaTheme="minorEastAsia"/>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D93936"/>
    <w:pPr>
      <w:spacing w:after="0" w:line="240" w:lineRule="auto"/>
    </w:pPr>
    <w:rPr>
      <w:rFonts w:eastAsiaTheme="minorEastAsia"/>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D93936"/>
    <w:pPr>
      <w:spacing w:after="0" w:line="240" w:lineRule="auto"/>
    </w:pPr>
    <w:rPr>
      <w:rFonts w:eastAsiaTheme="minorEastAsia"/>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1">
    <w:name w:val="Light Grid"/>
    <w:basedOn w:val="a3"/>
    <w:uiPriority w:val="62"/>
    <w:rsid w:val="00D93936"/>
    <w:pPr>
      <w:spacing w:after="0" w:line="240" w:lineRule="auto"/>
    </w:pPr>
    <w:rPr>
      <w:rFonts w:eastAsiaTheme="minorEastAsi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D93936"/>
    <w:pPr>
      <w:spacing w:after="0" w:line="240" w:lineRule="auto"/>
    </w:pPr>
    <w:rPr>
      <w:rFonts w:eastAsiaTheme="minorEastAsia"/>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D93936"/>
    <w:pPr>
      <w:spacing w:after="0" w:line="240" w:lineRule="auto"/>
    </w:pPr>
    <w:rPr>
      <w:rFonts w:eastAsiaTheme="minorEastAsia"/>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D93936"/>
    <w:pPr>
      <w:spacing w:after="0" w:line="240" w:lineRule="auto"/>
    </w:pPr>
    <w:rPr>
      <w:rFonts w:eastAsiaTheme="minorEastAsia"/>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D93936"/>
    <w:pPr>
      <w:spacing w:after="0" w:line="240" w:lineRule="auto"/>
    </w:pPr>
    <w:rPr>
      <w:rFonts w:eastAsiaTheme="minorEastAsia"/>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D93936"/>
    <w:pPr>
      <w:spacing w:after="0" w:line="240" w:lineRule="auto"/>
    </w:pPr>
    <w:rPr>
      <w:rFonts w:eastAsiaTheme="minorEastAsia"/>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D93936"/>
    <w:pPr>
      <w:spacing w:after="0" w:line="240" w:lineRule="auto"/>
    </w:pPr>
    <w:rPr>
      <w:rFonts w:eastAsiaTheme="minorEastAsia"/>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D93936"/>
    <w:pPr>
      <w:spacing w:after="0" w:line="240" w:lineRule="auto"/>
    </w:pPr>
    <w:rPr>
      <w:rFonts w:eastAsiaTheme="minorEastAsi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D93936"/>
    <w:pPr>
      <w:spacing w:after="0" w:line="240" w:lineRule="auto"/>
    </w:pPr>
    <w:rPr>
      <w:rFonts w:eastAsiaTheme="minorEastAsia"/>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D93936"/>
    <w:pPr>
      <w:spacing w:after="0" w:line="240" w:lineRule="auto"/>
    </w:pPr>
    <w:rPr>
      <w:rFonts w:eastAsiaTheme="minorEastAsia"/>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D93936"/>
    <w:pPr>
      <w:spacing w:after="0" w:line="240" w:lineRule="auto"/>
    </w:pPr>
    <w:rPr>
      <w:rFonts w:eastAsiaTheme="minorEastAsia"/>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D93936"/>
    <w:pPr>
      <w:spacing w:after="0" w:line="240" w:lineRule="auto"/>
    </w:pPr>
    <w:rPr>
      <w:rFonts w:eastAsiaTheme="minorEastAsia"/>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D93936"/>
    <w:pPr>
      <w:spacing w:after="0" w:line="240" w:lineRule="auto"/>
    </w:pPr>
    <w:rPr>
      <w:rFonts w:eastAsiaTheme="minorEastAsia"/>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D93936"/>
    <w:pPr>
      <w:spacing w:after="0" w:line="240" w:lineRule="auto"/>
    </w:pPr>
    <w:rPr>
      <w:rFonts w:eastAsiaTheme="minorEastAsia"/>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6">
    <w:name w:val="Medium Shading 2"/>
    <w:basedOn w:val="a3"/>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D93936"/>
    <w:pPr>
      <w:spacing w:after="0" w:line="240" w:lineRule="auto"/>
    </w:pPr>
    <w:rPr>
      <w:rFonts w:eastAsiaTheme="minorEastAsia"/>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D93936"/>
    <w:pPr>
      <w:spacing w:after="0" w:line="240" w:lineRule="auto"/>
    </w:pPr>
    <w:rPr>
      <w:rFonts w:eastAsiaTheme="minorEastAsia"/>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D93936"/>
    <w:pPr>
      <w:spacing w:after="0" w:line="240" w:lineRule="auto"/>
    </w:pPr>
    <w:rPr>
      <w:rFonts w:eastAsiaTheme="minorEastAsia"/>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D93936"/>
    <w:pPr>
      <w:spacing w:after="0" w:line="240" w:lineRule="auto"/>
    </w:pPr>
    <w:rPr>
      <w:rFonts w:eastAsiaTheme="minorEastAsia"/>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D93936"/>
    <w:pPr>
      <w:spacing w:after="0" w:line="240" w:lineRule="auto"/>
    </w:pPr>
    <w:rPr>
      <w:rFonts w:eastAsiaTheme="minorEastAsia"/>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D93936"/>
    <w:pPr>
      <w:spacing w:after="0" w:line="240" w:lineRule="auto"/>
    </w:pPr>
    <w:rPr>
      <w:rFonts w:eastAsiaTheme="minorEastAsia"/>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D93936"/>
    <w:pPr>
      <w:spacing w:after="0" w:line="240" w:lineRule="auto"/>
    </w:pPr>
    <w:rPr>
      <w:rFonts w:eastAsiaTheme="minorEastAsia"/>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7">
    <w:name w:val="Medium List 2"/>
    <w:basedOn w:val="a3"/>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D93936"/>
    <w:pPr>
      <w:spacing w:after="0" w:line="240" w:lineRule="auto"/>
    </w:pPr>
    <w:rPr>
      <w:rFonts w:eastAsiaTheme="minorEastAsi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D93936"/>
    <w:pPr>
      <w:spacing w:after="0" w:line="240" w:lineRule="auto"/>
    </w:pPr>
    <w:rPr>
      <w:rFonts w:eastAsiaTheme="minorEastAsia"/>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D93936"/>
    <w:pPr>
      <w:spacing w:after="0" w:line="240" w:lineRule="auto"/>
    </w:pPr>
    <w:rPr>
      <w:rFonts w:eastAsiaTheme="minorEastAsia"/>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D93936"/>
    <w:pPr>
      <w:spacing w:after="0" w:line="240" w:lineRule="auto"/>
    </w:pPr>
    <w:rPr>
      <w:rFonts w:eastAsiaTheme="minorEastAsia"/>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D93936"/>
    <w:pPr>
      <w:spacing w:after="0" w:line="240" w:lineRule="auto"/>
    </w:pPr>
    <w:rPr>
      <w:rFonts w:eastAsiaTheme="minorEastAsia"/>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D93936"/>
    <w:pPr>
      <w:spacing w:after="0" w:line="240" w:lineRule="auto"/>
    </w:pPr>
    <w:rPr>
      <w:rFonts w:eastAsiaTheme="minorEastAsia"/>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D93936"/>
    <w:pPr>
      <w:spacing w:after="0" w:line="240" w:lineRule="auto"/>
    </w:pPr>
    <w:rPr>
      <w:rFonts w:eastAsiaTheme="minorEastAsia"/>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8">
    <w:name w:val="Medium Grid 2"/>
    <w:basedOn w:val="a3"/>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6">
    <w:name w:val="Medium Grid 3"/>
    <w:basedOn w:val="a3"/>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2">
    <w:name w:val="Dark List"/>
    <w:basedOn w:val="a3"/>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3">
    <w:name w:val="Colorful Shading"/>
    <w:basedOn w:val="a3"/>
    <w:uiPriority w:val="71"/>
    <w:rsid w:val="00D93936"/>
    <w:pPr>
      <w:spacing w:after="0" w:line="240" w:lineRule="auto"/>
    </w:pPr>
    <w:rPr>
      <w:rFonts w:eastAsiaTheme="minorEastAsia"/>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D93936"/>
    <w:pPr>
      <w:spacing w:after="0" w:line="240" w:lineRule="auto"/>
    </w:pPr>
    <w:rPr>
      <w:rFonts w:eastAsiaTheme="minorEastAsia"/>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D93936"/>
    <w:pPr>
      <w:spacing w:after="0" w:line="240" w:lineRule="auto"/>
    </w:pPr>
    <w:rPr>
      <w:rFonts w:eastAsiaTheme="minorEastAsia"/>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D93936"/>
    <w:pPr>
      <w:spacing w:after="0" w:line="240" w:lineRule="auto"/>
    </w:pPr>
    <w:rPr>
      <w:rFonts w:eastAsiaTheme="minorEastAsia"/>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D93936"/>
    <w:pPr>
      <w:spacing w:after="0" w:line="240" w:lineRule="auto"/>
    </w:pPr>
    <w:rPr>
      <w:rFonts w:eastAsiaTheme="minorEastAsia"/>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D93936"/>
    <w:pPr>
      <w:spacing w:after="0" w:line="240" w:lineRule="auto"/>
    </w:pPr>
    <w:rPr>
      <w:rFonts w:eastAsiaTheme="minorEastAsia"/>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D93936"/>
    <w:pPr>
      <w:spacing w:after="0" w:line="240" w:lineRule="auto"/>
    </w:pPr>
    <w:rPr>
      <w:rFonts w:eastAsiaTheme="minorEastAsia"/>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4">
    <w:name w:val="Colorful List"/>
    <w:basedOn w:val="a3"/>
    <w:uiPriority w:val="72"/>
    <w:rsid w:val="00D93936"/>
    <w:pPr>
      <w:spacing w:after="0" w:line="240" w:lineRule="auto"/>
    </w:pPr>
    <w:rPr>
      <w:rFonts w:eastAsiaTheme="minorEastAsia"/>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D93936"/>
    <w:pPr>
      <w:spacing w:after="0" w:line="240" w:lineRule="auto"/>
    </w:pPr>
    <w:rPr>
      <w:rFonts w:eastAsiaTheme="minorEastAsia"/>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D93936"/>
    <w:pPr>
      <w:spacing w:after="0" w:line="240" w:lineRule="auto"/>
    </w:pPr>
    <w:rPr>
      <w:rFonts w:eastAsiaTheme="minorEastAsia"/>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D93936"/>
    <w:pPr>
      <w:spacing w:after="0" w:line="240" w:lineRule="auto"/>
    </w:pPr>
    <w:rPr>
      <w:rFonts w:eastAsiaTheme="minorEastAsia"/>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D93936"/>
    <w:pPr>
      <w:spacing w:after="0" w:line="240" w:lineRule="auto"/>
    </w:pPr>
    <w:rPr>
      <w:rFonts w:eastAsiaTheme="minorEastAsia"/>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D93936"/>
    <w:pPr>
      <w:spacing w:after="0" w:line="240" w:lineRule="auto"/>
    </w:pPr>
    <w:rPr>
      <w:rFonts w:eastAsiaTheme="minorEastAsia"/>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D93936"/>
    <w:pPr>
      <w:spacing w:after="0" w:line="240" w:lineRule="auto"/>
    </w:pPr>
    <w:rPr>
      <w:rFonts w:eastAsiaTheme="minorEastAsia"/>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5">
    <w:name w:val="Colorful Grid"/>
    <w:basedOn w:val="a3"/>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TableGrid1">
    <w:name w:val="Table Grid1"/>
    <w:basedOn w:val="a3"/>
    <w:next w:val="a9"/>
    <w:uiPriority w:val="39"/>
    <w:rsid w:val="00DF3C8D"/>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1">
    <w:name w:val="Grid Table 4 Accent 1"/>
    <w:basedOn w:val="a3"/>
    <w:uiPriority w:val="49"/>
    <w:rsid w:val="005D4B11"/>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41">
    <w:name w:val="Grid Table 4"/>
    <w:basedOn w:val="a3"/>
    <w:uiPriority w:val="49"/>
    <w:rsid w:val="00CA727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Strong1">
    <w:name w:val="Strong1"/>
    <w:qFormat/>
    <w:rsid w:val="007608E1"/>
    <w:pPr>
      <w:spacing w:after="0" w:line="240" w:lineRule="auto"/>
    </w:pPr>
    <w:rPr>
      <w:rFonts w:ascii="Simplified Arabic" w:eastAsia="Simplified Arabic" w:hAnsi="Simplified Arabic" w:cs="Simplified Arabic"/>
      <w:b/>
      <w:bCs/>
      <w:sz w:val="28"/>
      <w:szCs w:val="28"/>
      <w:rtl/>
    </w:rPr>
  </w:style>
  <w:style w:type="character" w:styleId="aff6">
    <w:name w:val="footnote reference"/>
    <w:uiPriority w:val="99"/>
    <w:semiHidden/>
    <w:unhideWhenUsed/>
    <w:rsid w:val="007608E1"/>
    <w:rPr>
      <w:vertAlign w:val="superscript"/>
    </w:rPr>
  </w:style>
  <w:style w:type="paragraph" w:styleId="aff7">
    <w:name w:val="footnote text"/>
    <w:link w:val="Char8"/>
    <w:uiPriority w:val="99"/>
    <w:semiHidden/>
    <w:unhideWhenUsed/>
    <w:rsid w:val="007608E1"/>
    <w:pPr>
      <w:spacing w:after="0" w:line="240" w:lineRule="auto"/>
    </w:pPr>
    <w:rPr>
      <w:rFonts w:ascii="Simplified Arabic" w:eastAsia="Simplified Arabic" w:hAnsi="Simplified Arabic" w:cs="Simplified Arabic"/>
      <w:sz w:val="20"/>
      <w:szCs w:val="20"/>
      <w:rtl/>
    </w:rPr>
  </w:style>
  <w:style w:type="character" w:customStyle="1" w:styleId="Char8">
    <w:name w:val="نص حاشية سفلية Char"/>
    <w:basedOn w:val="a2"/>
    <w:link w:val="aff7"/>
    <w:uiPriority w:val="99"/>
    <w:semiHidden/>
    <w:rsid w:val="007608E1"/>
    <w:rPr>
      <w:rFonts w:ascii="Simplified Arabic" w:eastAsia="Simplified Arabic" w:hAnsi="Simplified Arabic" w:cs="Simplified Arabic"/>
      <w:sz w:val="20"/>
      <w:szCs w:val="20"/>
    </w:rPr>
  </w:style>
  <w:style w:type="character" w:styleId="aff8">
    <w:name w:val="endnote reference"/>
    <w:uiPriority w:val="99"/>
    <w:semiHidden/>
    <w:unhideWhenUsed/>
    <w:rsid w:val="007608E1"/>
    <w:rPr>
      <w:vertAlign w:val="superscript"/>
    </w:rPr>
  </w:style>
  <w:style w:type="paragraph" w:styleId="aff9">
    <w:name w:val="endnote text"/>
    <w:link w:val="Char9"/>
    <w:uiPriority w:val="99"/>
    <w:semiHidden/>
    <w:unhideWhenUsed/>
    <w:rsid w:val="007608E1"/>
    <w:pPr>
      <w:spacing w:after="0" w:line="240" w:lineRule="auto"/>
    </w:pPr>
    <w:rPr>
      <w:rFonts w:ascii="Simplified Arabic" w:eastAsia="Simplified Arabic" w:hAnsi="Simplified Arabic" w:cs="Simplified Arabic"/>
      <w:sz w:val="20"/>
      <w:szCs w:val="20"/>
      <w:rtl/>
    </w:rPr>
  </w:style>
  <w:style w:type="character" w:customStyle="1" w:styleId="Char9">
    <w:name w:val="نص تعليق ختامي Char"/>
    <w:basedOn w:val="a2"/>
    <w:link w:val="aff9"/>
    <w:uiPriority w:val="99"/>
    <w:semiHidden/>
    <w:rsid w:val="007608E1"/>
    <w:rPr>
      <w:rFonts w:ascii="Simplified Arabic" w:eastAsia="Simplified Arabic" w:hAnsi="Simplified Arabic" w:cs="Simplified Arabic"/>
      <w:sz w:val="20"/>
      <w:szCs w:val="20"/>
    </w:rPr>
  </w:style>
  <w:style w:type="character" w:styleId="affa">
    <w:name w:val="annotation reference"/>
    <w:basedOn w:val="a2"/>
    <w:uiPriority w:val="99"/>
    <w:semiHidden/>
    <w:unhideWhenUsed/>
    <w:rsid w:val="00BF5EEF"/>
    <w:rPr>
      <w:sz w:val="16"/>
      <w:szCs w:val="16"/>
    </w:rPr>
  </w:style>
  <w:style w:type="paragraph" w:styleId="affb">
    <w:name w:val="annotation text"/>
    <w:basedOn w:val="a1"/>
    <w:link w:val="Chara"/>
    <w:uiPriority w:val="99"/>
    <w:unhideWhenUsed/>
    <w:rsid w:val="00BF5EEF"/>
    <w:pPr>
      <w:spacing w:line="240" w:lineRule="auto"/>
    </w:pPr>
    <w:rPr>
      <w:sz w:val="20"/>
      <w:szCs w:val="20"/>
    </w:rPr>
  </w:style>
  <w:style w:type="character" w:customStyle="1" w:styleId="Chara">
    <w:name w:val="نص تعليق Char"/>
    <w:basedOn w:val="a2"/>
    <w:link w:val="affb"/>
    <w:uiPriority w:val="99"/>
    <w:rsid w:val="00BF5EEF"/>
    <w:rPr>
      <w:sz w:val="20"/>
      <w:szCs w:val="20"/>
    </w:rPr>
  </w:style>
  <w:style w:type="paragraph" w:styleId="affc">
    <w:name w:val="annotation subject"/>
    <w:basedOn w:val="affb"/>
    <w:next w:val="affb"/>
    <w:link w:val="Charb"/>
    <w:uiPriority w:val="99"/>
    <w:semiHidden/>
    <w:unhideWhenUsed/>
    <w:rsid w:val="00BF5EEF"/>
    <w:rPr>
      <w:b/>
      <w:bCs/>
    </w:rPr>
  </w:style>
  <w:style w:type="character" w:customStyle="1" w:styleId="Charb">
    <w:name w:val="موضوع تعليق Char"/>
    <w:basedOn w:val="Chara"/>
    <w:link w:val="affc"/>
    <w:uiPriority w:val="99"/>
    <w:semiHidden/>
    <w:rsid w:val="00BF5EEF"/>
    <w:rPr>
      <w:b/>
      <w:bCs/>
      <w:sz w:val="20"/>
      <w:szCs w:val="20"/>
    </w:rPr>
  </w:style>
  <w:style w:type="paragraph" w:styleId="affd">
    <w:name w:val="Revision"/>
    <w:hidden/>
    <w:uiPriority w:val="99"/>
    <w:semiHidden/>
    <w:rsid w:val="00883CF3"/>
    <w:pPr>
      <w:spacing w:after="0" w:line="240" w:lineRule="auto"/>
    </w:pPr>
  </w:style>
  <w:style w:type="paragraph" w:customStyle="1" w:styleId="HeadingTOCEntry">
    <w:name w:val="Heading TOC Entry"/>
    <w:basedOn w:val="a1"/>
    <w:qFormat/>
  </w:style>
  <w:style w:type="paragraph" w:customStyle="1" w:styleId="TableCaption">
    <w:name w:val="Table Caption"/>
    <w:basedOn w:val="a1"/>
    <w:qFormat/>
  </w:style>
  <w:style w:type="paragraph" w:customStyle="1" w:styleId="FigureCaption">
    <w:name w:val="Figure Caption"/>
    <w:basedOn w:val="a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42156">
      <w:bodyDiv w:val="1"/>
      <w:marLeft w:val="0"/>
      <w:marRight w:val="0"/>
      <w:marTop w:val="0"/>
      <w:marBottom w:val="0"/>
      <w:divBdr>
        <w:top w:val="none" w:sz="0" w:space="0" w:color="auto"/>
        <w:left w:val="none" w:sz="0" w:space="0" w:color="auto"/>
        <w:bottom w:val="none" w:sz="0" w:space="0" w:color="auto"/>
        <w:right w:val="none" w:sz="0" w:space="0" w:color="auto"/>
      </w:divBdr>
    </w:div>
    <w:div w:id="16858238">
      <w:bodyDiv w:val="1"/>
      <w:marLeft w:val="0"/>
      <w:marRight w:val="0"/>
      <w:marTop w:val="0"/>
      <w:marBottom w:val="0"/>
      <w:divBdr>
        <w:top w:val="none" w:sz="0" w:space="0" w:color="auto"/>
        <w:left w:val="none" w:sz="0" w:space="0" w:color="auto"/>
        <w:bottom w:val="none" w:sz="0" w:space="0" w:color="auto"/>
        <w:right w:val="none" w:sz="0" w:space="0" w:color="auto"/>
      </w:divBdr>
    </w:div>
    <w:div w:id="33582975">
      <w:bodyDiv w:val="1"/>
      <w:marLeft w:val="0"/>
      <w:marRight w:val="0"/>
      <w:marTop w:val="0"/>
      <w:marBottom w:val="0"/>
      <w:divBdr>
        <w:top w:val="none" w:sz="0" w:space="0" w:color="auto"/>
        <w:left w:val="none" w:sz="0" w:space="0" w:color="auto"/>
        <w:bottom w:val="none" w:sz="0" w:space="0" w:color="auto"/>
        <w:right w:val="none" w:sz="0" w:space="0" w:color="auto"/>
      </w:divBdr>
    </w:div>
    <w:div w:id="81685910">
      <w:bodyDiv w:val="1"/>
      <w:marLeft w:val="0"/>
      <w:marRight w:val="0"/>
      <w:marTop w:val="0"/>
      <w:marBottom w:val="0"/>
      <w:divBdr>
        <w:top w:val="none" w:sz="0" w:space="0" w:color="auto"/>
        <w:left w:val="none" w:sz="0" w:space="0" w:color="auto"/>
        <w:bottom w:val="none" w:sz="0" w:space="0" w:color="auto"/>
        <w:right w:val="none" w:sz="0" w:space="0" w:color="auto"/>
      </w:divBdr>
    </w:div>
    <w:div w:id="83963703">
      <w:bodyDiv w:val="1"/>
      <w:marLeft w:val="0"/>
      <w:marRight w:val="0"/>
      <w:marTop w:val="0"/>
      <w:marBottom w:val="0"/>
      <w:divBdr>
        <w:top w:val="none" w:sz="0" w:space="0" w:color="auto"/>
        <w:left w:val="none" w:sz="0" w:space="0" w:color="auto"/>
        <w:bottom w:val="none" w:sz="0" w:space="0" w:color="auto"/>
        <w:right w:val="none" w:sz="0" w:space="0" w:color="auto"/>
      </w:divBdr>
      <w:divsChild>
        <w:div w:id="1582524680">
          <w:marLeft w:val="0"/>
          <w:marRight w:val="0"/>
          <w:marTop w:val="0"/>
          <w:marBottom w:val="0"/>
          <w:divBdr>
            <w:top w:val="none" w:sz="0" w:space="0" w:color="auto"/>
            <w:left w:val="none" w:sz="0" w:space="0" w:color="auto"/>
            <w:bottom w:val="none" w:sz="0" w:space="0" w:color="auto"/>
            <w:right w:val="none" w:sz="0" w:space="0" w:color="auto"/>
          </w:divBdr>
          <w:divsChild>
            <w:div w:id="2023774190">
              <w:marLeft w:val="0"/>
              <w:marRight w:val="0"/>
              <w:marTop w:val="0"/>
              <w:marBottom w:val="0"/>
              <w:divBdr>
                <w:top w:val="none" w:sz="0" w:space="0" w:color="auto"/>
                <w:left w:val="none" w:sz="0" w:space="0" w:color="auto"/>
                <w:bottom w:val="none" w:sz="0" w:space="0" w:color="auto"/>
                <w:right w:val="none" w:sz="0" w:space="0" w:color="auto"/>
              </w:divBdr>
              <w:divsChild>
                <w:div w:id="2078504271">
                  <w:marLeft w:val="0"/>
                  <w:marRight w:val="0"/>
                  <w:marTop w:val="0"/>
                  <w:marBottom w:val="0"/>
                  <w:divBdr>
                    <w:top w:val="none" w:sz="0" w:space="0" w:color="auto"/>
                    <w:left w:val="none" w:sz="0" w:space="0" w:color="auto"/>
                    <w:bottom w:val="none" w:sz="0" w:space="0" w:color="auto"/>
                    <w:right w:val="none" w:sz="0" w:space="0" w:color="auto"/>
                  </w:divBdr>
                  <w:divsChild>
                    <w:div w:id="282924680">
                      <w:marLeft w:val="0"/>
                      <w:marRight w:val="0"/>
                      <w:marTop w:val="0"/>
                      <w:marBottom w:val="0"/>
                      <w:divBdr>
                        <w:top w:val="none" w:sz="0" w:space="0" w:color="auto"/>
                        <w:left w:val="none" w:sz="0" w:space="0" w:color="auto"/>
                        <w:bottom w:val="none" w:sz="0" w:space="0" w:color="auto"/>
                        <w:right w:val="none" w:sz="0" w:space="0" w:color="auto"/>
                      </w:divBdr>
                      <w:divsChild>
                        <w:div w:id="566307557">
                          <w:marLeft w:val="0"/>
                          <w:marRight w:val="0"/>
                          <w:marTop w:val="0"/>
                          <w:marBottom w:val="0"/>
                          <w:divBdr>
                            <w:top w:val="none" w:sz="0" w:space="0" w:color="auto"/>
                            <w:left w:val="none" w:sz="0" w:space="0" w:color="auto"/>
                            <w:bottom w:val="none" w:sz="0" w:space="0" w:color="auto"/>
                            <w:right w:val="none" w:sz="0" w:space="0" w:color="auto"/>
                          </w:divBdr>
                          <w:divsChild>
                            <w:div w:id="143814665">
                              <w:marLeft w:val="0"/>
                              <w:marRight w:val="0"/>
                              <w:marTop w:val="0"/>
                              <w:marBottom w:val="0"/>
                              <w:divBdr>
                                <w:top w:val="none" w:sz="0" w:space="0" w:color="auto"/>
                                <w:left w:val="none" w:sz="0" w:space="0" w:color="auto"/>
                                <w:bottom w:val="none" w:sz="0" w:space="0" w:color="auto"/>
                                <w:right w:val="none" w:sz="0" w:space="0" w:color="auto"/>
                              </w:divBdr>
                              <w:divsChild>
                                <w:div w:id="1549607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631795">
                          <w:marLeft w:val="0"/>
                          <w:marRight w:val="0"/>
                          <w:marTop w:val="0"/>
                          <w:marBottom w:val="0"/>
                          <w:divBdr>
                            <w:top w:val="none" w:sz="0" w:space="0" w:color="auto"/>
                            <w:left w:val="none" w:sz="0" w:space="0" w:color="auto"/>
                            <w:bottom w:val="none" w:sz="0" w:space="0" w:color="auto"/>
                            <w:right w:val="none" w:sz="0" w:space="0" w:color="auto"/>
                          </w:divBdr>
                          <w:divsChild>
                            <w:div w:id="562057779">
                              <w:marLeft w:val="0"/>
                              <w:marRight w:val="0"/>
                              <w:marTop w:val="0"/>
                              <w:marBottom w:val="0"/>
                              <w:divBdr>
                                <w:top w:val="none" w:sz="0" w:space="0" w:color="auto"/>
                                <w:left w:val="none" w:sz="0" w:space="0" w:color="auto"/>
                                <w:bottom w:val="none" w:sz="0" w:space="0" w:color="auto"/>
                                <w:right w:val="none" w:sz="0" w:space="0" w:color="auto"/>
                              </w:divBdr>
                              <w:divsChild>
                                <w:div w:id="675576124">
                                  <w:marLeft w:val="0"/>
                                  <w:marRight w:val="0"/>
                                  <w:marTop w:val="0"/>
                                  <w:marBottom w:val="0"/>
                                  <w:divBdr>
                                    <w:top w:val="none" w:sz="0" w:space="0" w:color="auto"/>
                                    <w:left w:val="none" w:sz="0" w:space="0" w:color="auto"/>
                                    <w:bottom w:val="none" w:sz="0" w:space="0" w:color="auto"/>
                                    <w:right w:val="none" w:sz="0" w:space="0" w:color="auto"/>
                                  </w:divBdr>
                                  <w:divsChild>
                                    <w:div w:id="357239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7006172">
              <w:marLeft w:val="0"/>
              <w:marRight w:val="0"/>
              <w:marTop w:val="0"/>
              <w:marBottom w:val="0"/>
              <w:divBdr>
                <w:top w:val="none" w:sz="0" w:space="0" w:color="auto"/>
                <w:left w:val="none" w:sz="0" w:space="0" w:color="auto"/>
                <w:bottom w:val="none" w:sz="0" w:space="0" w:color="auto"/>
                <w:right w:val="none" w:sz="0" w:space="0" w:color="auto"/>
              </w:divBdr>
              <w:divsChild>
                <w:div w:id="2062822989">
                  <w:marLeft w:val="0"/>
                  <w:marRight w:val="0"/>
                  <w:marTop w:val="0"/>
                  <w:marBottom w:val="0"/>
                  <w:divBdr>
                    <w:top w:val="none" w:sz="0" w:space="0" w:color="auto"/>
                    <w:left w:val="none" w:sz="0" w:space="0" w:color="auto"/>
                    <w:bottom w:val="none" w:sz="0" w:space="0" w:color="auto"/>
                    <w:right w:val="none" w:sz="0" w:space="0" w:color="auto"/>
                  </w:divBdr>
                  <w:divsChild>
                    <w:div w:id="1807503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552148">
      <w:bodyDiv w:val="1"/>
      <w:marLeft w:val="0"/>
      <w:marRight w:val="0"/>
      <w:marTop w:val="0"/>
      <w:marBottom w:val="0"/>
      <w:divBdr>
        <w:top w:val="none" w:sz="0" w:space="0" w:color="auto"/>
        <w:left w:val="none" w:sz="0" w:space="0" w:color="auto"/>
        <w:bottom w:val="none" w:sz="0" w:space="0" w:color="auto"/>
        <w:right w:val="none" w:sz="0" w:space="0" w:color="auto"/>
      </w:divBdr>
    </w:div>
    <w:div w:id="104035035">
      <w:bodyDiv w:val="1"/>
      <w:marLeft w:val="0"/>
      <w:marRight w:val="0"/>
      <w:marTop w:val="0"/>
      <w:marBottom w:val="0"/>
      <w:divBdr>
        <w:top w:val="none" w:sz="0" w:space="0" w:color="auto"/>
        <w:left w:val="none" w:sz="0" w:space="0" w:color="auto"/>
        <w:bottom w:val="none" w:sz="0" w:space="0" w:color="auto"/>
        <w:right w:val="none" w:sz="0" w:space="0" w:color="auto"/>
      </w:divBdr>
    </w:div>
    <w:div w:id="111364864">
      <w:bodyDiv w:val="1"/>
      <w:marLeft w:val="0"/>
      <w:marRight w:val="0"/>
      <w:marTop w:val="0"/>
      <w:marBottom w:val="0"/>
      <w:divBdr>
        <w:top w:val="none" w:sz="0" w:space="0" w:color="auto"/>
        <w:left w:val="none" w:sz="0" w:space="0" w:color="auto"/>
        <w:bottom w:val="none" w:sz="0" w:space="0" w:color="auto"/>
        <w:right w:val="none" w:sz="0" w:space="0" w:color="auto"/>
      </w:divBdr>
    </w:div>
    <w:div w:id="114099489">
      <w:bodyDiv w:val="1"/>
      <w:marLeft w:val="0"/>
      <w:marRight w:val="0"/>
      <w:marTop w:val="0"/>
      <w:marBottom w:val="0"/>
      <w:divBdr>
        <w:top w:val="none" w:sz="0" w:space="0" w:color="auto"/>
        <w:left w:val="none" w:sz="0" w:space="0" w:color="auto"/>
        <w:bottom w:val="none" w:sz="0" w:space="0" w:color="auto"/>
        <w:right w:val="none" w:sz="0" w:space="0" w:color="auto"/>
      </w:divBdr>
    </w:div>
    <w:div w:id="114105716">
      <w:bodyDiv w:val="1"/>
      <w:marLeft w:val="0"/>
      <w:marRight w:val="0"/>
      <w:marTop w:val="0"/>
      <w:marBottom w:val="0"/>
      <w:divBdr>
        <w:top w:val="none" w:sz="0" w:space="0" w:color="auto"/>
        <w:left w:val="none" w:sz="0" w:space="0" w:color="auto"/>
        <w:bottom w:val="none" w:sz="0" w:space="0" w:color="auto"/>
        <w:right w:val="none" w:sz="0" w:space="0" w:color="auto"/>
      </w:divBdr>
    </w:div>
    <w:div w:id="196089876">
      <w:bodyDiv w:val="1"/>
      <w:marLeft w:val="0"/>
      <w:marRight w:val="0"/>
      <w:marTop w:val="0"/>
      <w:marBottom w:val="0"/>
      <w:divBdr>
        <w:top w:val="none" w:sz="0" w:space="0" w:color="auto"/>
        <w:left w:val="none" w:sz="0" w:space="0" w:color="auto"/>
        <w:bottom w:val="none" w:sz="0" w:space="0" w:color="auto"/>
        <w:right w:val="none" w:sz="0" w:space="0" w:color="auto"/>
      </w:divBdr>
      <w:divsChild>
        <w:div w:id="1325284780">
          <w:marLeft w:val="0"/>
          <w:marRight w:val="0"/>
          <w:marTop w:val="0"/>
          <w:marBottom w:val="0"/>
          <w:divBdr>
            <w:top w:val="none" w:sz="0" w:space="0" w:color="auto"/>
            <w:left w:val="none" w:sz="0" w:space="0" w:color="auto"/>
            <w:bottom w:val="none" w:sz="0" w:space="0" w:color="auto"/>
            <w:right w:val="none" w:sz="0" w:space="0" w:color="auto"/>
          </w:divBdr>
          <w:divsChild>
            <w:div w:id="1047680787">
              <w:marLeft w:val="0"/>
              <w:marRight w:val="0"/>
              <w:marTop w:val="0"/>
              <w:marBottom w:val="0"/>
              <w:divBdr>
                <w:top w:val="none" w:sz="0" w:space="0" w:color="auto"/>
                <w:left w:val="none" w:sz="0" w:space="0" w:color="auto"/>
                <w:bottom w:val="none" w:sz="0" w:space="0" w:color="auto"/>
                <w:right w:val="none" w:sz="0" w:space="0" w:color="auto"/>
              </w:divBdr>
              <w:divsChild>
                <w:div w:id="1571962549">
                  <w:marLeft w:val="0"/>
                  <w:marRight w:val="0"/>
                  <w:marTop w:val="0"/>
                  <w:marBottom w:val="0"/>
                  <w:divBdr>
                    <w:top w:val="none" w:sz="0" w:space="0" w:color="auto"/>
                    <w:left w:val="none" w:sz="0" w:space="0" w:color="auto"/>
                    <w:bottom w:val="none" w:sz="0" w:space="0" w:color="auto"/>
                    <w:right w:val="none" w:sz="0" w:space="0" w:color="auto"/>
                  </w:divBdr>
                  <w:divsChild>
                    <w:div w:id="1657882548">
                      <w:marLeft w:val="0"/>
                      <w:marRight w:val="0"/>
                      <w:marTop w:val="0"/>
                      <w:marBottom w:val="0"/>
                      <w:divBdr>
                        <w:top w:val="none" w:sz="0" w:space="0" w:color="auto"/>
                        <w:left w:val="none" w:sz="0" w:space="0" w:color="auto"/>
                        <w:bottom w:val="none" w:sz="0" w:space="0" w:color="auto"/>
                        <w:right w:val="none" w:sz="0" w:space="0" w:color="auto"/>
                      </w:divBdr>
                      <w:divsChild>
                        <w:div w:id="390857502">
                          <w:marLeft w:val="0"/>
                          <w:marRight w:val="0"/>
                          <w:marTop w:val="0"/>
                          <w:marBottom w:val="0"/>
                          <w:divBdr>
                            <w:top w:val="none" w:sz="0" w:space="0" w:color="auto"/>
                            <w:left w:val="none" w:sz="0" w:space="0" w:color="auto"/>
                            <w:bottom w:val="none" w:sz="0" w:space="0" w:color="auto"/>
                            <w:right w:val="none" w:sz="0" w:space="0" w:color="auto"/>
                          </w:divBdr>
                          <w:divsChild>
                            <w:div w:id="746851553">
                              <w:marLeft w:val="0"/>
                              <w:marRight w:val="0"/>
                              <w:marTop w:val="0"/>
                              <w:marBottom w:val="0"/>
                              <w:divBdr>
                                <w:top w:val="none" w:sz="0" w:space="0" w:color="auto"/>
                                <w:left w:val="none" w:sz="0" w:space="0" w:color="auto"/>
                                <w:bottom w:val="none" w:sz="0" w:space="0" w:color="auto"/>
                                <w:right w:val="none" w:sz="0" w:space="0" w:color="auto"/>
                              </w:divBdr>
                              <w:divsChild>
                                <w:div w:id="219250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789431">
                          <w:marLeft w:val="0"/>
                          <w:marRight w:val="0"/>
                          <w:marTop w:val="0"/>
                          <w:marBottom w:val="0"/>
                          <w:divBdr>
                            <w:top w:val="none" w:sz="0" w:space="0" w:color="auto"/>
                            <w:left w:val="none" w:sz="0" w:space="0" w:color="auto"/>
                            <w:bottom w:val="none" w:sz="0" w:space="0" w:color="auto"/>
                            <w:right w:val="none" w:sz="0" w:space="0" w:color="auto"/>
                          </w:divBdr>
                          <w:divsChild>
                            <w:div w:id="1827358813">
                              <w:marLeft w:val="0"/>
                              <w:marRight w:val="0"/>
                              <w:marTop w:val="0"/>
                              <w:marBottom w:val="0"/>
                              <w:divBdr>
                                <w:top w:val="none" w:sz="0" w:space="0" w:color="auto"/>
                                <w:left w:val="none" w:sz="0" w:space="0" w:color="auto"/>
                                <w:bottom w:val="none" w:sz="0" w:space="0" w:color="auto"/>
                                <w:right w:val="none" w:sz="0" w:space="0" w:color="auto"/>
                              </w:divBdr>
                              <w:divsChild>
                                <w:div w:id="988247441">
                                  <w:marLeft w:val="0"/>
                                  <w:marRight w:val="0"/>
                                  <w:marTop w:val="0"/>
                                  <w:marBottom w:val="0"/>
                                  <w:divBdr>
                                    <w:top w:val="none" w:sz="0" w:space="0" w:color="auto"/>
                                    <w:left w:val="none" w:sz="0" w:space="0" w:color="auto"/>
                                    <w:bottom w:val="none" w:sz="0" w:space="0" w:color="auto"/>
                                    <w:right w:val="none" w:sz="0" w:space="0" w:color="auto"/>
                                  </w:divBdr>
                                  <w:divsChild>
                                    <w:div w:id="82667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0594527">
              <w:marLeft w:val="0"/>
              <w:marRight w:val="0"/>
              <w:marTop w:val="0"/>
              <w:marBottom w:val="0"/>
              <w:divBdr>
                <w:top w:val="none" w:sz="0" w:space="0" w:color="auto"/>
                <w:left w:val="none" w:sz="0" w:space="0" w:color="auto"/>
                <w:bottom w:val="none" w:sz="0" w:space="0" w:color="auto"/>
                <w:right w:val="none" w:sz="0" w:space="0" w:color="auto"/>
              </w:divBdr>
              <w:divsChild>
                <w:div w:id="668798369">
                  <w:marLeft w:val="0"/>
                  <w:marRight w:val="0"/>
                  <w:marTop w:val="0"/>
                  <w:marBottom w:val="0"/>
                  <w:divBdr>
                    <w:top w:val="none" w:sz="0" w:space="0" w:color="auto"/>
                    <w:left w:val="none" w:sz="0" w:space="0" w:color="auto"/>
                    <w:bottom w:val="none" w:sz="0" w:space="0" w:color="auto"/>
                    <w:right w:val="none" w:sz="0" w:space="0" w:color="auto"/>
                  </w:divBdr>
                  <w:divsChild>
                    <w:div w:id="42588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604391">
      <w:bodyDiv w:val="1"/>
      <w:marLeft w:val="0"/>
      <w:marRight w:val="0"/>
      <w:marTop w:val="0"/>
      <w:marBottom w:val="0"/>
      <w:divBdr>
        <w:top w:val="none" w:sz="0" w:space="0" w:color="auto"/>
        <w:left w:val="none" w:sz="0" w:space="0" w:color="auto"/>
        <w:bottom w:val="none" w:sz="0" w:space="0" w:color="auto"/>
        <w:right w:val="none" w:sz="0" w:space="0" w:color="auto"/>
      </w:divBdr>
    </w:div>
    <w:div w:id="221716319">
      <w:bodyDiv w:val="1"/>
      <w:marLeft w:val="0"/>
      <w:marRight w:val="0"/>
      <w:marTop w:val="0"/>
      <w:marBottom w:val="0"/>
      <w:divBdr>
        <w:top w:val="none" w:sz="0" w:space="0" w:color="auto"/>
        <w:left w:val="none" w:sz="0" w:space="0" w:color="auto"/>
        <w:bottom w:val="none" w:sz="0" w:space="0" w:color="auto"/>
        <w:right w:val="none" w:sz="0" w:space="0" w:color="auto"/>
      </w:divBdr>
    </w:div>
    <w:div w:id="232853969">
      <w:bodyDiv w:val="1"/>
      <w:marLeft w:val="0"/>
      <w:marRight w:val="0"/>
      <w:marTop w:val="0"/>
      <w:marBottom w:val="0"/>
      <w:divBdr>
        <w:top w:val="none" w:sz="0" w:space="0" w:color="auto"/>
        <w:left w:val="none" w:sz="0" w:space="0" w:color="auto"/>
        <w:bottom w:val="none" w:sz="0" w:space="0" w:color="auto"/>
        <w:right w:val="none" w:sz="0" w:space="0" w:color="auto"/>
      </w:divBdr>
    </w:div>
    <w:div w:id="251471390">
      <w:bodyDiv w:val="1"/>
      <w:marLeft w:val="0"/>
      <w:marRight w:val="0"/>
      <w:marTop w:val="0"/>
      <w:marBottom w:val="0"/>
      <w:divBdr>
        <w:top w:val="none" w:sz="0" w:space="0" w:color="auto"/>
        <w:left w:val="none" w:sz="0" w:space="0" w:color="auto"/>
        <w:bottom w:val="none" w:sz="0" w:space="0" w:color="auto"/>
        <w:right w:val="none" w:sz="0" w:space="0" w:color="auto"/>
      </w:divBdr>
    </w:div>
    <w:div w:id="259611168">
      <w:bodyDiv w:val="1"/>
      <w:marLeft w:val="0"/>
      <w:marRight w:val="0"/>
      <w:marTop w:val="0"/>
      <w:marBottom w:val="0"/>
      <w:divBdr>
        <w:top w:val="none" w:sz="0" w:space="0" w:color="auto"/>
        <w:left w:val="none" w:sz="0" w:space="0" w:color="auto"/>
        <w:bottom w:val="none" w:sz="0" w:space="0" w:color="auto"/>
        <w:right w:val="none" w:sz="0" w:space="0" w:color="auto"/>
      </w:divBdr>
    </w:div>
    <w:div w:id="314334025">
      <w:bodyDiv w:val="1"/>
      <w:marLeft w:val="0"/>
      <w:marRight w:val="0"/>
      <w:marTop w:val="0"/>
      <w:marBottom w:val="0"/>
      <w:divBdr>
        <w:top w:val="none" w:sz="0" w:space="0" w:color="auto"/>
        <w:left w:val="none" w:sz="0" w:space="0" w:color="auto"/>
        <w:bottom w:val="none" w:sz="0" w:space="0" w:color="auto"/>
        <w:right w:val="none" w:sz="0" w:space="0" w:color="auto"/>
      </w:divBdr>
    </w:div>
    <w:div w:id="316082312">
      <w:bodyDiv w:val="1"/>
      <w:marLeft w:val="0"/>
      <w:marRight w:val="0"/>
      <w:marTop w:val="0"/>
      <w:marBottom w:val="0"/>
      <w:divBdr>
        <w:top w:val="none" w:sz="0" w:space="0" w:color="auto"/>
        <w:left w:val="none" w:sz="0" w:space="0" w:color="auto"/>
        <w:bottom w:val="none" w:sz="0" w:space="0" w:color="auto"/>
        <w:right w:val="none" w:sz="0" w:space="0" w:color="auto"/>
      </w:divBdr>
    </w:div>
    <w:div w:id="323243487">
      <w:bodyDiv w:val="1"/>
      <w:marLeft w:val="0"/>
      <w:marRight w:val="0"/>
      <w:marTop w:val="0"/>
      <w:marBottom w:val="0"/>
      <w:divBdr>
        <w:top w:val="none" w:sz="0" w:space="0" w:color="auto"/>
        <w:left w:val="none" w:sz="0" w:space="0" w:color="auto"/>
        <w:bottom w:val="none" w:sz="0" w:space="0" w:color="auto"/>
        <w:right w:val="none" w:sz="0" w:space="0" w:color="auto"/>
      </w:divBdr>
    </w:div>
    <w:div w:id="328603594">
      <w:bodyDiv w:val="1"/>
      <w:marLeft w:val="0"/>
      <w:marRight w:val="0"/>
      <w:marTop w:val="0"/>
      <w:marBottom w:val="0"/>
      <w:divBdr>
        <w:top w:val="none" w:sz="0" w:space="0" w:color="auto"/>
        <w:left w:val="none" w:sz="0" w:space="0" w:color="auto"/>
        <w:bottom w:val="none" w:sz="0" w:space="0" w:color="auto"/>
        <w:right w:val="none" w:sz="0" w:space="0" w:color="auto"/>
      </w:divBdr>
    </w:div>
    <w:div w:id="343215184">
      <w:bodyDiv w:val="1"/>
      <w:marLeft w:val="0"/>
      <w:marRight w:val="0"/>
      <w:marTop w:val="0"/>
      <w:marBottom w:val="0"/>
      <w:divBdr>
        <w:top w:val="none" w:sz="0" w:space="0" w:color="auto"/>
        <w:left w:val="none" w:sz="0" w:space="0" w:color="auto"/>
        <w:bottom w:val="none" w:sz="0" w:space="0" w:color="auto"/>
        <w:right w:val="none" w:sz="0" w:space="0" w:color="auto"/>
      </w:divBdr>
    </w:div>
    <w:div w:id="390807466">
      <w:bodyDiv w:val="1"/>
      <w:marLeft w:val="0"/>
      <w:marRight w:val="0"/>
      <w:marTop w:val="0"/>
      <w:marBottom w:val="0"/>
      <w:divBdr>
        <w:top w:val="none" w:sz="0" w:space="0" w:color="auto"/>
        <w:left w:val="none" w:sz="0" w:space="0" w:color="auto"/>
        <w:bottom w:val="none" w:sz="0" w:space="0" w:color="auto"/>
        <w:right w:val="none" w:sz="0" w:space="0" w:color="auto"/>
      </w:divBdr>
    </w:div>
    <w:div w:id="394860235">
      <w:bodyDiv w:val="1"/>
      <w:marLeft w:val="0"/>
      <w:marRight w:val="0"/>
      <w:marTop w:val="0"/>
      <w:marBottom w:val="0"/>
      <w:divBdr>
        <w:top w:val="none" w:sz="0" w:space="0" w:color="auto"/>
        <w:left w:val="none" w:sz="0" w:space="0" w:color="auto"/>
        <w:bottom w:val="none" w:sz="0" w:space="0" w:color="auto"/>
        <w:right w:val="none" w:sz="0" w:space="0" w:color="auto"/>
      </w:divBdr>
    </w:div>
    <w:div w:id="437607726">
      <w:bodyDiv w:val="1"/>
      <w:marLeft w:val="0"/>
      <w:marRight w:val="0"/>
      <w:marTop w:val="0"/>
      <w:marBottom w:val="0"/>
      <w:divBdr>
        <w:top w:val="none" w:sz="0" w:space="0" w:color="auto"/>
        <w:left w:val="none" w:sz="0" w:space="0" w:color="auto"/>
        <w:bottom w:val="none" w:sz="0" w:space="0" w:color="auto"/>
        <w:right w:val="none" w:sz="0" w:space="0" w:color="auto"/>
      </w:divBdr>
    </w:div>
    <w:div w:id="464666818">
      <w:bodyDiv w:val="1"/>
      <w:marLeft w:val="0"/>
      <w:marRight w:val="0"/>
      <w:marTop w:val="0"/>
      <w:marBottom w:val="0"/>
      <w:divBdr>
        <w:top w:val="none" w:sz="0" w:space="0" w:color="auto"/>
        <w:left w:val="none" w:sz="0" w:space="0" w:color="auto"/>
        <w:bottom w:val="none" w:sz="0" w:space="0" w:color="auto"/>
        <w:right w:val="none" w:sz="0" w:space="0" w:color="auto"/>
      </w:divBdr>
    </w:div>
    <w:div w:id="488907924">
      <w:bodyDiv w:val="1"/>
      <w:marLeft w:val="0"/>
      <w:marRight w:val="0"/>
      <w:marTop w:val="0"/>
      <w:marBottom w:val="0"/>
      <w:divBdr>
        <w:top w:val="none" w:sz="0" w:space="0" w:color="auto"/>
        <w:left w:val="none" w:sz="0" w:space="0" w:color="auto"/>
        <w:bottom w:val="none" w:sz="0" w:space="0" w:color="auto"/>
        <w:right w:val="none" w:sz="0" w:space="0" w:color="auto"/>
      </w:divBdr>
    </w:div>
    <w:div w:id="488986139">
      <w:bodyDiv w:val="1"/>
      <w:marLeft w:val="0"/>
      <w:marRight w:val="0"/>
      <w:marTop w:val="0"/>
      <w:marBottom w:val="0"/>
      <w:divBdr>
        <w:top w:val="none" w:sz="0" w:space="0" w:color="auto"/>
        <w:left w:val="none" w:sz="0" w:space="0" w:color="auto"/>
        <w:bottom w:val="none" w:sz="0" w:space="0" w:color="auto"/>
        <w:right w:val="none" w:sz="0" w:space="0" w:color="auto"/>
      </w:divBdr>
      <w:divsChild>
        <w:div w:id="220017358">
          <w:marLeft w:val="0"/>
          <w:marRight w:val="0"/>
          <w:marTop w:val="0"/>
          <w:marBottom w:val="0"/>
          <w:divBdr>
            <w:top w:val="none" w:sz="0" w:space="0" w:color="auto"/>
            <w:left w:val="none" w:sz="0" w:space="0" w:color="auto"/>
            <w:bottom w:val="none" w:sz="0" w:space="0" w:color="auto"/>
            <w:right w:val="none" w:sz="0" w:space="0" w:color="auto"/>
          </w:divBdr>
          <w:divsChild>
            <w:div w:id="380907737">
              <w:marLeft w:val="0"/>
              <w:marRight w:val="0"/>
              <w:marTop w:val="0"/>
              <w:marBottom w:val="0"/>
              <w:divBdr>
                <w:top w:val="none" w:sz="0" w:space="0" w:color="auto"/>
                <w:left w:val="none" w:sz="0" w:space="0" w:color="auto"/>
                <w:bottom w:val="none" w:sz="0" w:space="0" w:color="auto"/>
                <w:right w:val="none" w:sz="0" w:space="0" w:color="auto"/>
              </w:divBdr>
              <w:divsChild>
                <w:div w:id="688877176">
                  <w:marLeft w:val="0"/>
                  <w:marRight w:val="0"/>
                  <w:marTop w:val="0"/>
                  <w:marBottom w:val="0"/>
                  <w:divBdr>
                    <w:top w:val="none" w:sz="0" w:space="0" w:color="auto"/>
                    <w:left w:val="none" w:sz="0" w:space="0" w:color="auto"/>
                    <w:bottom w:val="none" w:sz="0" w:space="0" w:color="auto"/>
                    <w:right w:val="none" w:sz="0" w:space="0" w:color="auto"/>
                  </w:divBdr>
                  <w:divsChild>
                    <w:div w:id="1876651100">
                      <w:marLeft w:val="0"/>
                      <w:marRight w:val="0"/>
                      <w:marTop w:val="0"/>
                      <w:marBottom w:val="0"/>
                      <w:divBdr>
                        <w:top w:val="none" w:sz="0" w:space="0" w:color="auto"/>
                        <w:left w:val="none" w:sz="0" w:space="0" w:color="auto"/>
                        <w:bottom w:val="none" w:sz="0" w:space="0" w:color="auto"/>
                        <w:right w:val="none" w:sz="0" w:space="0" w:color="auto"/>
                      </w:divBdr>
                      <w:divsChild>
                        <w:div w:id="467479880">
                          <w:marLeft w:val="0"/>
                          <w:marRight w:val="0"/>
                          <w:marTop w:val="0"/>
                          <w:marBottom w:val="0"/>
                          <w:divBdr>
                            <w:top w:val="none" w:sz="0" w:space="0" w:color="auto"/>
                            <w:left w:val="none" w:sz="0" w:space="0" w:color="auto"/>
                            <w:bottom w:val="none" w:sz="0" w:space="0" w:color="auto"/>
                            <w:right w:val="none" w:sz="0" w:space="0" w:color="auto"/>
                          </w:divBdr>
                          <w:divsChild>
                            <w:div w:id="1927616928">
                              <w:marLeft w:val="0"/>
                              <w:marRight w:val="0"/>
                              <w:marTop w:val="0"/>
                              <w:marBottom w:val="0"/>
                              <w:divBdr>
                                <w:top w:val="none" w:sz="0" w:space="0" w:color="auto"/>
                                <w:left w:val="none" w:sz="0" w:space="0" w:color="auto"/>
                                <w:bottom w:val="none" w:sz="0" w:space="0" w:color="auto"/>
                                <w:right w:val="none" w:sz="0" w:space="0" w:color="auto"/>
                              </w:divBdr>
                              <w:divsChild>
                                <w:div w:id="489054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516756">
                          <w:marLeft w:val="0"/>
                          <w:marRight w:val="0"/>
                          <w:marTop w:val="0"/>
                          <w:marBottom w:val="0"/>
                          <w:divBdr>
                            <w:top w:val="none" w:sz="0" w:space="0" w:color="auto"/>
                            <w:left w:val="none" w:sz="0" w:space="0" w:color="auto"/>
                            <w:bottom w:val="none" w:sz="0" w:space="0" w:color="auto"/>
                            <w:right w:val="none" w:sz="0" w:space="0" w:color="auto"/>
                          </w:divBdr>
                          <w:divsChild>
                            <w:div w:id="2105103315">
                              <w:marLeft w:val="0"/>
                              <w:marRight w:val="0"/>
                              <w:marTop w:val="0"/>
                              <w:marBottom w:val="0"/>
                              <w:divBdr>
                                <w:top w:val="none" w:sz="0" w:space="0" w:color="auto"/>
                                <w:left w:val="none" w:sz="0" w:space="0" w:color="auto"/>
                                <w:bottom w:val="none" w:sz="0" w:space="0" w:color="auto"/>
                                <w:right w:val="none" w:sz="0" w:space="0" w:color="auto"/>
                              </w:divBdr>
                              <w:divsChild>
                                <w:div w:id="2055692331">
                                  <w:marLeft w:val="0"/>
                                  <w:marRight w:val="0"/>
                                  <w:marTop w:val="0"/>
                                  <w:marBottom w:val="0"/>
                                  <w:divBdr>
                                    <w:top w:val="none" w:sz="0" w:space="0" w:color="auto"/>
                                    <w:left w:val="none" w:sz="0" w:space="0" w:color="auto"/>
                                    <w:bottom w:val="none" w:sz="0" w:space="0" w:color="auto"/>
                                    <w:right w:val="none" w:sz="0" w:space="0" w:color="auto"/>
                                  </w:divBdr>
                                  <w:divsChild>
                                    <w:div w:id="1042051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7315780">
              <w:marLeft w:val="0"/>
              <w:marRight w:val="0"/>
              <w:marTop w:val="0"/>
              <w:marBottom w:val="0"/>
              <w:divBdr>
                <w:top w:val="none" w:sz="0" w:space="0" w:color="auto"/>
                <w:left w:val="none" w:sz="0" w:space="0" w:color="auto"/>
                <w:bottom w:val="none" w:sz="0" w:space="0" w:color="auto"/>
                <w:right w:val="none" w:sz="0" w:space="0" w:color="auto"/>
              </w:divBdr>
              <w:divsChild>
                <w:div w:id="1639846157">
                  <w:marLeft w:val="0"/>
                  <w:marRight w:val="0"/>
                  <w:marTop w:val="0"/>
                  <w:marBottom w:val="0"/>
                  <w:divBdr>
                    <w:top w:val="none" w:sz="0" w:space="0" w:color="auto"/>
                    <w:left w:val="none" w:sz="0" w:space="0" w:color="auto"/>
                    <w:bottom w:val="none" w:sz="0" w:space="0" w:color="auto"/>
                    <w:right w:val="none" w:sz="0" w:space="0" w:color="auto"/>
                  </w:divBdr>
                  <w:divsChild>
                    <w:div w:id="2048682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1357790">
      <w:bodyDiv w:val="1"/>
      <w:marLeft w:val="0"/>
      <w:marRight w:val="0"/>
      <w:marTop w:val="0"/>
      <w:marBottom w:val="0"/>
      <w:divBdr>
        <w:top w:val="none" w:sz="0" w:space="0" w:color="auto"/>
        <w:left w:val="none" w:sz="0" w:space="0" w:color="auto"/>
        <w:bottom w:val="none" w:sz="0" w:space="0" w:color="auto"/>
        <w:right w:val="none" w:sz="0" w:space="0" w:color="auto"/>
      </w:divBdr>
    </w:div>
    <w:div w:id="504440912">
      <w:bodyDiv w:val="1"/>
      <w:marLeft w:val="0"/>
      <w:marRight w:val="0"/>
      <w:marTop w:val="0"/>
      <w:marBottom w:val="0"/>
      <w:divBdr>
        <w:top w:val="none" w:sz="0" w:space="0" w:color="auto"/>
        <w:left w:val="none" w:sz="0" w:space="0" w:color="auto"/>
        <w:bottom w:val="none" w:sz="0" w:space="0" w:color="auto"/>
        <w:right w:val="none" w:sz="0" w:space="0" w:color="auto"/>
      </w:divBdr>
    </w:div>
    <w:div w:id="532809468">
      <w:bodyDiv w:val="1"/>
      <w:marLeft w:val="0"/>
      <w:marRight w:val="0"/>
      <w:marTop w:val="0"/>
      <w:marBottom w:val="0"/>
      <w:divBdr>
        <w:top w:val="none" w:sz="0" w:space="0" w:color="auto"/>
        <w:left w:val="none" w:sz="0" w:space="0" w:color="auto"/>
        <w:bottom w:val="none" w:sz="0" w:space="0" w:color="auto"/>
        <w:right w:val="none" w:sz="0" w:space="0" w:color="auto"/>
      </w:divBdr>
    </w:div>
    <w:div w:id="568804068">
      <w:bodyDiv w:val="1"/>
      <w:marLeft w:val="0"/>
      <w:marRight w:val="0"/>
      <w:marTop w:val="0"/>
      <w:marBottom w:val="0"/>
      <w:divBdr>
        <w:top w:val="none" w:sz="0" w:space="0" w:color="auto"/>
        <w:left w:val="none" w:sz="0" w:space="0" w:color="auto"/>
        <w:bottom w:val="none" w:sz="0" w:space="0" w:color="auto"/>
        <w:right w:val="none" w:sz="0" w:space="0" w:color="auto"/>
      </w:divBdr>
    </w:div>
    <w:div w:id="578173998">
      <w:bodyDiv w:val="1"/>
      <w:marLeft w:val="0"/>
      <w:marRight w:val="0"/>
      <w:marTop w:val="0"/>
      <w:marBottom w:val="0"/>
      <w:divBdr>
        <w:top w:val="none" w:sz="0" w:space="0" w:color="auto"/>
        <w:left w:val="none" w:sz="0" w:space="0" w:color="auto"/>
        <w:bottom w:val="none" w:sz="0" w:space="0" w:color="auto"/>
        <w:right w:val="none" w:sz="0" w:space="0" w:color="auto"/>
      </w:divBdr>
    </w:div>
    <w:div w:id="622270726">
      <w:bodyDiv w:val="1"/>
      <w:marLeft w:val="0"/>
      <w:marRight w:val="0"/>
      <w:marTop w:val="0"/>
      <w:marBottom w:val="0"/>
      <w:divBdr>
        <w:top w:val="none" w:sz="0" w:space="0" w:color="auto"/>
        <w:left w:val="none" w:sz="0" w:space="0" w:color="auto"/>
        <w:bottom w:val="none" w:sz="0" w:space="0" w:color="auto"/>
        <w:right w:val="none" w:sz="0" w:space="0" w:color="auto"/>
      </w:divBdr>
    </w:div>
    <w:div w:id="624850584">
      <w:bodyDiv w:val="1"/>
      <w:marLeft w:val="0"/>
      <w:marRight w:val="0"/>
      <w:marTop w:val="0"/>
      <w:marBottom w:val="0"/>
      <w:divBdr>
        <w:top w:val="none" w:sz="0" w:space="0" w:color="auto"/>
        <w:left w:val="none" w:sz="0" w:space="0" w:color="auto"/>
        <w:bottom w:val="none" w:sz="0" w:space="0" w:color="auto"/>
        <w:right w:val="none" w:sz="0" w:space="0" w:color="auto"/>
      </w:divBdr>
      <w:divsChild>
        <w:div w:id="1207838700">
          <w:marLeft w:val="0"/>
          <w:marRight w:val="0"/>
          <w:marTop w:val="0"/>
          <w:marBottom w:val="0"/>
          <w:divBdr>
            <w:top w:val="none" w:sz="0" w:space="0" w:color="auto"/>
            <w:left w:val="none" w:sz="0" w:space="0" w:color="auto"/>
            <w:bottom w:val="none" w:sz="0" w:space="0" w:color="auto"/>
            <w:right w:val="none" w:sz="0" w:space="0" w:color="auto"/>
          </w:divBdr>
          <w:divsChild>
            <w:div w:id="1532181105">
              <w:marLeft w:val="0"/>
              <w:marRight w:val="0"/>
              <w:marTop w:val="0"/>
              <w:marBottom w:val="0"/>
              <w:divBdr>
                <w:top w:val="none" w:sz="0" w:space="0" w:color="auto"/>
                <w:left w:val="none" w:sz="0" w:space="0" w:color="auto"/>
                <w:bottom w:val="none" w:sz="0" w:space="0" w:color="auto"/>
                <w:right w:val="none" w:sz="0" w:space="0" w:color="auto"/>
              </w:divBdr>
              <w:divsChild>
                <w:div w:id="450250339">
                  <w:marLeft w:val="0"/>
                  <w:marRight w:val="0"/>
                  <w:marTop w:val="0"/>
                  <w:marBottom w:val="0"/>
                  <w:divBdr>
                    <w:top w:val="none" w:sz="0" w:space="0" w:color="auto"/>
                    <w:left w:val="none" w:sz="0" w:space="0" w:color="auto"/>
                    <w:bottom w:val="none" w:sz="0" w:space="0" w:color="auto"/>
                    <w:right w:val="none" w:sz="0" w:space="0" w:color="auto"/>
                  </w:divBdr>
                  <w:divsChild>
                    <w:div w:id="1161194074">
                      <w:marLeft w:val="0"/>
                      <w:marRight w:val="0"/>
                      <w:marTop w:val="0"/>
                      <w:marBottom w:val="0"/>
                      <w:divBdr>
                        <w:top w:val="none" w:sz="0" w:space="0" w:color="auto"/>
                        <w:left w:val="none" w:sz="0" w:space="0" w:color="auto"/>
                        <w:bottom w:val="none" w:sz="0" w:space="0" w:color="auto"/>
                        <w:right w:val="none" w:sz="0" w:space="0" w:color="auto"/>
                      </w:divBdr>
                      <w:divsChild>
                        <w:div w:id="1373189101">
                          <w:marLeft w:val="0"/>
                          <w:marRight w:val="0"/>
                          <w:marTop w:val="0"/>
                          <w:marBottom w:val="0"/>
                          <w:divBdr>
                            <w:top w:val="none" w:sz="0" w:space="0" w:color="auto"/>
                            <w:left w:val="none" w:sz="0" w:space="0" w:color="auto"/>
                            <w:bottom w:val="none" w:sz="0" w:space="0" w:color="auto"/>
                            <w:right w:val="none" w:sz="0" w:space="0" w:color="auto"/>
                          </w:divBdr>
                          <w:divsChild>
                            <w:div w:id="1200359527">
                              <w:marLeft w:val="0"/>
                              <w:marRight w:val="0"/>
                              <w:marTop w:val="0"/>
                              <w:marBottom w:val="0"/>
                              <w:divBdr>
                                <w:top w:val="none" w:sz="0" w:space="0" w:color="auto"/>
                                <w:left w:val="none" w:sz="0" w:space="0" w:color="auto"/>
                                <w:bottom w:val="none" w:sz="0" w:space="0" w:color="auto"/>
                                <w:right w:val="none" w:sz="0" w:space="0" w:color="auto"/>
                              </w:divBdr>
                              <w:divsChild>
                                <w:div w:id="1012563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659096">
                          <w:marLeft w:val="0"/>
                          <w:marRight w:val="0"/>
                          <w:marTop w:val="0"/>
                          <w:marBottom w:val="0"/>
                          <w:divBdr>
                            <w:top w:val="none" w:sz="0" w:space="0" w:color="auto"/>
                            <w:left w:val="none" w:sz="0" w:space="0" w:color="auto"/>
                            <w:bottom w:val="none" w:sz="0" w:space="0" w:color="auto"/>
                            <w:right w:val="none" w:sz="0" w:space="0" w:color="auto"/>
                          </w:divBdr>
                          <w:divsChild>
                            <w:div w:id="1130325110">
                              <w:marLeft w:val="0"/>
                              <w:marRight w:val="0"/>
                              <w:marTop w:val="0"/>
                              <w:marBottom w:val="0"/>
                              <w:divBdr>
                                <w:top w:val="none" w:sz="0" w:space="0" w:color="auto"/>
                                <w:left w:val="none" w:sz="0" w:space="0" w:color="auto"/>
                                <w:bottom w:val="none" w:sz="0" w:space="0" w:color="auto"/>
                                <w:right w:val="none" w:sz="0" w:space="0" w:color="auto"/>
                              </w:divBdr>
                              <w:divsChild>
                                <w:div w:id="1467429553">
                                  <w:marLeft w:val="0"/>
                                  <w:marRight w:val="0"/>
                                  <w:marTop w:val="0"/>
                                  <w:marBottom w:val="0"/>
                                  <w:divBdr>
                                    <w:top w:val="none" w:sz="0" w:space="0" w:color="auto"/>
                                    <w:left w:val="none" w:sz="0" w:space="0" w:color="auto"/>
                                    <w:bottom w:val="none" w:sz="0" w:space="0" w:color="auto"/>
                                    <w:right w:val="none" w:sz="0" w:space="0" w:color="auto"/>
                                  </w:divBdr>
                                  <w:divsChild>
                                    <w:div w:id="65171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56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085277">
              <w:marLeft w:val="0"/>
              <w:marRight w:val="0"/>
              <w:marTop w:val="0"/>
              <w:marBottom w:val="0"/>
              <w:divBdr>
                <w:top w:val="none" w:sz="0" w:space="0" w:color="auto"/>
                <w:left w:val="none" w:sz="0" w:space="0" w:color="auto"/>
                <w:bottom w:val="none" w:sz="0" w:space="0" w:color="auto"/>
                <w:right w:val="none" w:sz="0" w:space="0" w:color="auto"/>
              </w:divBdr>
              <w:divsChild>
                <w:div w:id="996376325">
                  <w:marLeft w:val="0"/>
                  <w:marRight w:val="0"/>
                  <w:marTop w:val="0"/>
                  <w:marBottom w:val="0"/>
                  <w:divBdr>
                    <w:top w:val="none" w:sz="0" w:space="0" w:color="auto"/>
                    <w:left w:val="none" w:sz="0" w:space="0" w:color="auto"/>
                    <w:bottom w:val="none" w:sz="0" w:space="0" w:color="auto"/>
                    <w:right w:val="none" w:sz="0" w:space="0" w:color="auto"/>
                  </w:divBdr>
                  <w:divsChild>
                    <w:div w:id="216010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4550782">
      <w:bodyDiv w:val="1"/>
      <w:marLeft w:val="0"/>
      <w:marRight w:val="0"/>
      <w:marTop w:val="0"/>
      <w:marBottom w:val="0"/>
      <w:divBdr>
        <w:top w:val="none" w:sz="0" w:space="0" w:color="auto"/>
        <w:left w:val="none" w:sz="0" w:space="0" w:color="auto"/>
        <w:bottom w:val="none" w:sz="0" w:space="0" w:color="auto"/>
        <w:right w:val="none" w:sz="0" w:space="0" w:color="auto"/>
      </w:divBdr>
    </w:div>
    <w:div w:id="725253213">
      <w:bodyDiv w:val="1"/>
      <w:marLeft w:val="0"/>
      <w:marRight w:val="0"/>
      <w:marTop w:val="0"/>
      <w:marBottom w:val="0"/>
      <w:divBdr>
        <w:top w:val="none" w:sz="0" w:space="0" w:color="auto"/>
        <w:left w:val="none" w:sz="0" w:space="0" w:color="auto"/>
        <w:bottom w:val="none" w:sz="0" w:space="0" w:color="auto"/>
        <w:right w:val="none" w:sz="0" w:space="0" w:color="auto"/>
      </w:divBdr>
    </w:div>
    <w:div w:id="737556495">
      <w:bodyDiv w:val="1"/>
      <w:marLeft w:val="0"/>
      <w:marRight w:val="0"/>
      <w:marTop w:val="0"/>
      <w:marBottom w:val="0"/>
      <w:divBdr>
        <w:top w:val="none" w:sz="0" w:space="0" w:color="auto"/>
        <w:left w:val="none" w:sz="0" w:space="0" w:color="auto"/>
        <w:bottom w:val="none" w:sz="0" w:space="0" w:color="auto"/>
        <w:right w:val="none" w:sz="0" w:space="0" w:color="auto"/>
      </w:divBdr>
    </w:div>
    <w:div w:id="763039794">
      <w:bodyDiv w:val="1"/>
      <w:marLeft w:val="0"/>
      <w:marRight w:val="0"/>
      <w:marTop w:val="0"/>
      <w:marBottom w:val="0"/>
      <w:divBdr>
        <w:top w:val="none" w:sz="0" w:space="0" w:color="auto"/>
        <w:left w:val="none" w:sz="0" w:space="0" w:color="auto"/>
        <w:bottom w:val="none" w:sz="0" w:space="0" w:color="auto"/>
        <w:right w:val="none" w:sz="0" w:space="0" w:color="auto"/>
      </w:divBdr>
    </w:div>
    <w:div w:id="765617802">
      <w:bodyDiv w:val="1"/>
      <w:marLeft w:val="0"/>
      <w:marRight w:val="0"/>
      <w:marTop w:val="0"/>
      <w:marBottom w:val="0"/>
      <w:divBdr>
        <w:top w:val="none" w:sz="0" w:space="0" w:color="auto"/>
        <w:left w:val="none" w:sz="0" w:space="0" w:color="auto"/>
        <w:bottom w:val="none" w:sz="0" w:space="0" w:color="auto"/>
        <w:right w:val="none" w:sz="0" w:space="0" w:color="auto"/>
      </w:divBdr>
    </w:div>
    <w:div w:id="787163433">
      <w:bodyDiv w:val="1"/>
      <w:marLeft w:val="0"/>
      <w:marRight w:val="0"/>
      <w:marTop w:val="0"/>
      <w:marBottom w:val="0"/>
      <w:divBdr>
        <w:top w:val="none" w:sz="0" w:space="0" w:color="auto"/>
        <w:left w:val="none" w:sz="0" w:space="0" w:color="auto"/>
        <w:bottom w:val="none" w:sz="0" w:space="0" w:color="auto"/>
        <w:right w:val="none" w:sz="0" w:space="0" w:color="auto"/>
      </w:divBdr>
    </w:div>
    <w:div w:id="791172313">
      <w:bodyDiv w:val="1"/>
      <w:marLeft w:val="0"/>
      <w:marRight w:val="0"/>
      <w:marTop w:val="0"/>
      <w:marBottom w:val="0"/>
      <w:divBdr>
        <w:top w:val="none" w:sz="0" w:space="0" w:color="auto"/>
        <w:left w:val="none" w:sz="0" w:space="0" w:color="auto"/>
        <w:bottom w:val="none" w:sz="0" w:space="0" w:color="auto"/>
        <w:right w:val="none" w:sz="0" w:space="0" w:color="auto"/>
      </w:divBdr>
    </w:div>
    <w:div w:id="797183990">
      <w:bodyDiv w:val="1"/>
      <w:marLeft w:val="0"/>
      <w:marRight w:val="0"/>
      <w:marTop w:val="0"/>
      <w:marBottom w:val="0"/>
      <w:divBdr>
        <w:top w:val="none" w:sz="0" w:space="0" w:color="auto"/>
        <w:left w:val="none" w:sz="0" w:space="0" w:color="auto"/>
        <w:bottom w:val="none" w:sz="0" w:space="0" w:color="auto"/>
        <w:right w:val="none" w:sz="0" w:space="0" w:color="auto"/>
      </w:divBdr>
    </w:div>
    <w:div w:id="804467870">
      <w:bodyDiv w:val="1"/>
      <w:marLeft w:val="0"/>
      <w:marRight w:val="0"/>
      <w:marTop w:val="0"/>
      <w:marBottom w:val="0"/>
      <w:divBdr>
        <w:top w:val="none" w:sz="0" w:space="0" w:color="auto"/>
        <w:left w:val="none" w:sz="0" w:space="0" w:color="auto"/>
        <w:bottom w:val="none" w:sz="0" w:space="0" w:color="auto"/>
        <w:right w:val="none" w:sz="0" w:space="0" w:color="auto"/>
      </w:divBdr>
    </w:div>
    <w:div w:id="902523584">
      <w:bodyDiv w:val="1"/>
      <w:marLeft w:val="0"/>
      <w:marRight w:val="0"/>
      <w:marTop w:val="0"/>
      <w:marBottom w:val="0"/>
      <w:divBdr>
        <w:top w:val="none" w:sz="0" w:space="0" w:color="auto"/>
        <w:left w:val="none" w:sz="0" w:space="0" w:color="auto"/>
        <w:bottom w:val="none" w:sz="0" w:space="0" w:color="auto"/>
        <w:right w:val="none" w:sz="0" w:space="0" w:color="auto"/>
      </w:divBdr>
    </w:div>
    <w:div w:id="949169430">
      <w:bodyDiv w:val="1"/>
      <w:marLeft w:val="0"/>
      <w:marRight w:val="0"/>
      <w:marTop w:val="0"/>
      <w:marBottom w:val="0"/>
      <w:divBdr>
        <w:top w:val="none" w:sz="0" w:space="0" w:color="auto"/>
        <w:left w:val="none" w:sz="0" w:space="0" w:color="auto"/>
        <w:bottom w:val="none" w:sz="0" w:space="0" w:color="auto"/>
        <w:right w:val="none" w:sz="0" w:space="0" w:color="auto"/>
      </w:divBdr>
      <w:divsChild>
        <w:div w:id="1679766173">
          <w:marLeft w:val="0"/>
          <w:marRight w:val="0"/>
          <w:marTop w:val="0"/>
          <w:marBottom w:val="0"/>
          <w:divBdr>
            <w:top w:val="none" w:sz="0" w:space="0" w:color="auto"/>
            <w:left w:val="none" w:sz="0" w:space="0" w:color="auto"/>
            <w:bottom w:val="none" w:sz="0" w:space="0" w:color="auto"/>
            <w:right w:val="none" w:sz="0" w:space="0" w:color="auto"/>
          </w:divBdr>
          <w:divsChild>
            <w:div w:id="1517041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59722873">
      <w:bodyDiv w:val="1"/>
      <w:marLeft w:val="0"/>
      <w:marRight w:val="0"/>
      <w:marTop w:val="0"/>
      <w:marBottom w:val="0"/>
      <w:divBdr>
        <w:top w:val="none" w:sz="0" w:space="0" w:color="auto"/>
        <w:left w:val="none" w:sz="0" w:space="0" w:color="auto"/>
        <w:bottom w:val="none" w:sz="0" w:space="0" w:color="auto"/>
        <w:right w:val="none" w:sz="0" w:space="0" w:color="auto"/>
      </w:divBdr>
    </w:div>
    <w:div w:id="976377312">
      <w:bodyDiv w:val="1"/>
      <w:marLeft w:val="0"/>
      <w:marRight w:val="0"/>
      <w:marTop w:val="0"/>
      <w:marBottom w:val="0"/>
      <w:divBdr>
        <w:top w:val="none" w:sz="0" w:space="0" w:color="auto"/>
        <w:left w:val="none" w:sz="0" w:space="0" w:color="auto"/>
        <w:bottom w:val="none" w:sz="0" w:space="0" w:color="auto"/>
        <w:right w:val="none" w:sz="0" w:space="0" w:color="auto"/>
      </w:divBdr>
    </w:div>
    <w:div w:id="979111155">
      <w:bodyDiv w:val="1"/>
      <w:marLeft w:val="0"/>
      <w:marRight w:val="0"/>
      <w:marTop w:val="0"/>
      <w:marBottom w:val="0"/>
      <w:divBdr>
        <w:top w:val="none" w:sz="0" w:space="0" w:color="auto"/>
        <w:left w:val="none" w:sz="0" w:space="0" w:color="auto"/>
        <w:bottom w:val="none" w:sz="0" w:space="0" w:color="auto"/>
        <w:right w:val="none" w:sz="0" w:space="0" w:color="auto"/>
      </w:divBdr>
      <w:divsChild>
        <w:div w:id="1241911138">
          <w:marLeft w:val="0"/>
          <w:marRight w:val="0"/>
          <w:marTop w:val="0"/>
          <w:marBottom w:val="0"/>
          <w:divBdr>
            <w:top w:val="none" w:sz="0" w:space="0" w:color="auto"/>
            <w:left w:val="none" w:sz="0" w:space="0" w:color="auto"/>
            <w:bottom w:val="none" w:sz="0" w:space="0" w:color="auto"/>
            <w:right w:val="none" w:sz="0" w:space="0" w:color="auto"/>
          </w:divBdr>
          <w:divsChild>
            <w:div w:id="789207450">
              <w:marLeft w:val="0"/>
              <w:marRight w:val="0"/>
              <w:marTop w:val="0"/>
              <w:marBottom w:val="0"/>
              <w:divBdr>
                <w:top w:val="none" w:sz="0" w:space="0" w:color="auto"/>
                <w:left w:val="none" w:sz="0" w:space="0" w:color="auto"/>
                <w:bottom w:val="none" w:sz="0" w:space="0" w:color="auto"/>
                <w:right w:val="none" w:sz="0" w:space="0" w:color="auto"/>
              </w:divBdr>
              <w:divsChild>
                <w:div w:id="1083064372">
                  <w:marLeft w:val="0"/>
                  <w:marRight w:val="0"/>
                  <w:marTop w:val="0"/>
                  <w:marBottom w:val="0"/>
                  <w:divBdr>
                    <w:top w:val="none" w:sz="0" w:space="0" w:color="auto"/>
                    <w:left w:val="none" w:sz="0" w:space="0" w:color="auto"/>
                    <w:bottom w:val="none" w:sz="0" w:space="0" w:color="auto"/>
                    <w:right w:val="none" w:sz="0" w:space="0" w:color="auto"/>
                  </w:divBdr>
                  <w:divsChild>
                    <w:div w:id="894465354">
                      <w:marLeft w:val="0"/>
                      <w:marRight w:val="0"/>
                      <w:marTop w:val="0"/>
                      <w:marBottom w:val="0"/>
                      <w:divBdr>
                        <w:top w:val="none" w:sz="0" w:space="0" w:color="auto"/>
                        <w:left w:val="none" w:sz="0" w:space="0" w:color="auto"/>
                        <w:bottom w:val="none" w:sz="0" w:space="0" w:color="auto"/>
                        <w:right w:val="none" w:sz="0" w:space="0" w:color="auto"/>
                      </w:divBdr>
                      <w:divsChild>
                        <w:div w:id="1706709813">
                          <w:marLeft w:val="0"/>
                          <w:marRight w:val="0"/>
                          <w:marTop w:val="0"/>
                          <w:marBottom w:val="0"/>
                          <w:divBdr>
                            <w:top w:val="none" w:sz="0" w:space="0" w:color="auto"/>
                            <w:left w:val="none" w:sz="0" w:space="0" w:color="auto"/>
                            <w:bottom w:val="none" w:sz="0" w:space="0" w:color="auto"/>
                            <w:right w:val="none" w:sz="0" w:space="0" w:color="auto"/>
                          </w:divBdr>
                          <w:divsChild>
                            <w:div w:id="2091194709">
                              <w:marLeft w:val="0"/>
                              <w:marRight w:val="0"/>
                              <w:marTop w:val="0"/>
                              <w:marBottom w:val="0"/>
                              <w:divBdr>
                                <w:top w:val="none" w:sz="0" w:space="0" w:color="auto"/>
                                <w:left w:val="none" w:sz="0" w:space="0" w:color="auto"/>
                                <w:bottom w:val="none" w:sz="0" w:space="0" w:color="auto"/>
                                <w:right w:val="none" w:sz="0" w:space="0" w:color="auto"/>
                              </w:divBdr>
                              <w:divsChild>
                                <w:div w:id="31426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95560">
                          <w:marLeft w:val="0"/>
                          <w:marRight w:val="0"/>
                          <w:marTop w:val="0"/>
                          <w:marBottom w:val="0"/>
                          <w:divBdr>
                            <w:top w:val="none" w:sz="0" w:space="0" w:color="auto"/>
                            <w:left w:val="none" w:sz="0" w:space="0" w:color="auto"/>
                            <w:bottom w:val="none" w:sz="0" w:space="0" w:color="auto"/>
                            <w:right w:val="none" w:sz="0" w:space="0" w:color="auto"/>
                          </w:divBdr>
                          <w:divsChild>
                            <w:div w:id="861094026">
                              <w:marLeft w:val="0"/>
                              <w:marRight w:val="0"/>
                              <w:marTop w:val="0"/>
                              <w:marBottom w:val="0"/>
                              <w:divBdr>
                                <w:top w:val="none" w:sz="0" w:space="0" w:color="auto"/>
                                <w:left w:val="none" w:sz="0" w:space="0" w:color="auto"/>
                                <w:bottom w:val="none" w:sz="0" w:space="0" w:color="auto"/>
                                <w:right w:val="none" w:sz="0" w:space="0" w:color="auto"/>
                              </w:divBdr>
                              <w:divsChild>
                                <w:div w:id="379130933">
                                  <w:marLeft w:val="0"/>
                                  <w:marRight w:val="0"/>
                                  <w:marTop w:val="0"/>
                                  <w:marBottom w:val="0"/>
                                  <w:divBdr>
                                    <w:top w:val="none" w:sz="0" w:space="0" w:color="auto"/>
                                    <w:left w:val="none" w:sz="0" w:space="0" w:color="auto"/>
                                    <w:bottom w:val="none" w:sz="0" w:space="0" w:color="auto"/>
                                    <w:right w:val="none" w:sz="0" w:space="0" w:color="auto"/>
                                  </w:divBdr>
                                  <w:divsChild>
                                    <w:div w:id="122572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2039541">
              <w:marLeft w:val="0"/>
              <w:marRight w:val="0"/>
              <w:marTop w:val="0"/>
              <w:marBottom w:val="0"/>
              <w:divBdr>
                <w:top w:val="none" w:sz="0" w:space="0" w:color="auto"/>
                <w:left w:val="none" w:sz="0" w:space="0" w:color="auto"/>
                <w:bottom w:val="none" w:sz="0" w:space="0" w:color="auto"/>
                <w:right w:val="none" w:sz="0" w:space="0" w:color="auto"/>
              </w:divBdr>
              <w:divsChild>
                <w:div w:id="706225584">
                  <w:marLeft w:val="0"/>
                  <w:marRight w:val="0"/>
                  <w:marTop w:val="0"/>
                  <w:marBottom w:val="0"/>
                  <w:divBdr>
                    <w:top w:val="none" w:sz="0" w:space="0" w:color="auto"/>
                    <w:left w:val="none" w:sz="0" w:space="0" w:color="auto"/>
                    <w:bottom w:val="none" w:sz="0" w:space="0" w:color="auto"/>
                    <w:right w:val="none" w:sz="0" w:space="0" w:color="auto"/>
                  </w:divBdr>
                  <w:divsChild>
                    <w:div w:id="336613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1811144">
      <w:bodyDiv w:val="1"/>
      <w:marLeft w:val="0"/>
      <w:marRight w:val="0"/>
      <w:marTop w:val="0"/>
      <w:marBottom w:val="0"/>
      <w:divBdr>
        <w:top w:val="none" w:sz="0" w:space="0" w:color="auto"/>
        <w:left w:val="none" w:sz="0" w:space="0" w:color="auto"/>
        <w:bottom w:val="none" w:sz="0" w:space="0" w:color="auto"/>
        <w:right w:val="none" w:sz="0" w:space="0" w:color="auto"/>
      </w:divBdr>
    </w:div>
    <w:div w:id="984309896">
      <w:bodyDiv w:val="1"/>
      <w:marLeft w:val="0"/>
      <w:marRight w:val="0"/>
      <w:marTop w:val="0"/>
      <w:marBottom w:val="0"/>
      <w:divBdr>
        <w:top w:val="none" w:sz="0" w:space="0" w:color="auto"/>
        <w:left w:val="none" w:sz="0" w:space="0" w:color="auto"/>
        <w:bottom w:val="none" w:sz="0" w:space="0" w:color="auto"/>
        <w:right w:val="none" w:sz="0" w:space="0" w:color="auto"/>
      </w:divBdr>
      <w:divsChild>
        <w:div w:id="2020348834">
          <w:marLeft w:val="0"/>
          <w:marRight w:val="0"/>
          <w:marTop w:val="0"/>
          <w:marBottom w:val="0"/>
          <w:divBdr>
            <w:top w:val="none" w:sz="0" w:space="0" w:color="auto"/>
            <w:left w:val="none" w:sz="0" w:space="0" w:color="auto"/>
            <w:bottom w:val="none" w:sz="0" w:space="0" w:color="auto"/>
            <w:right w:val="none" w:sz="0" w:space="0" w:color="auto"/>
          </w:divBdr>
          <w:divsChild>
            <w:div w:id="95565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894287">
      <w:bodyDiv w:val="1"/>
      <w:marLeft w:val="0"/>
      <w:marRight w:val="0"/>
      <w:marTop w:val="0"/>
      <w:marBottom w:val="0"/>
      <w:divBdr>
        <w:top w:val="none" w:sz="0" w:space="0" w:color="auto"/>
        <w:left w:val="none" w:sz="0" w:space="0" w:color="auto"/>
        <w:bottom w:val="none" w:sz="0" w:space="0" w:color="auto"/>
        <w:right w:val="none" w:sz="0" w:space="0" w:color="auto"/>
      </w:divBdr>
    </w:div>
    <w:div w:id="1044872146">
      <w:bodyDiv w:val="1"/>
      <w:marLeft w:val="0"/>
      <w:marRight w:val="0"/>
      <w:marTop w:val="0"/>
      <w:marBottom w:val="0"/>
      <w:divBdr>
        <w:top w:val="none" w:sz="0" w:space="0" w:color="auto"/>
        <w:left w:val="none" w:sz="0" w:space="0" w:color="auto"/>
        <w:bottom w:val="none" w:sz="0" w:space="0" w:color="auto"/>
        <w:right w:val="none" w:sz="0" w:space="0" w:color="auto"/>
      </w:divBdr>
    </w:div>
    <w:div w:id="1067725318">
      <w:bodyDiv w:val="1"/>
      <w:marLeft w:val="0"/>
      <w:marRight w:val="0"/>
      <w:marTop w:val="0"/>
      <w:marBottom w:val="0"/>
      <w:divBdr>
        <w:top w:val="none" w:sz="0" w:space="0" w:color="auto"/>
        <w:left w:val="none" w:sz="0" w:space="0" w:color="auto"/>
        <w:bottom w:val="none" w:sz="0" w:space="0" w:color="auto"/>
        <w:right w:val="none" w:sz="0" w:space="0" w:color="auto"/>
      </w:divBdr>
    </w:div>
    <w:div w:id="1071271999">
      <w:bodyDiv w:val="1"/>
      <w:marLeft w:val="0"/>
      <w:marRight w:val="0"/>
      <w:marTop w:val="0"/>
      <w:marBottom w:val="0"/>
      <w:divBdr>
        <w:top w:val="none" w:sz="0" w:space="0" w:color="auto"/>
        <w:left w:val="none" w:sz="0" w:space="0" w:color="auto"/>
        <w:bottom w:val="none" w:sz="0" w:space="0" w:color="auto"/>
        <w:right w:val="none" w:sz="0" w:space="0" w:color="auto"/>
      </w:divBdr>
    </w:div>
    <w:div w:id="1140607535">
      <w:bodyDiv w:val="1"/>
      <w:marLeft w:val="0"/>
      <w:marRight w:val="0"/>
      <w:marTop w:val="0"/>
      <w:marBottom w:val="0"/>
      <w:divBdr>
        <w:top w:val="none" w:sz="0" w:space="0" w:color="auto"/>
        <w:left w:val="none" w:sz="0" w:space="0" w:color="auto"/>
        <w:bottom w:val="none" w:sz="0" w:space="0" w:color="auto"/>
        <w:right w:val="none" w:sz="0" w:space="0" w:color="auto"/>
      </w:divBdr>
    </w:div>
    <w:div w:id="1143235176">
      <w:bodyDiv w:val="1"/>
      <w:marLeft w:val="0"/>
      <w:marRight w:val="0"/>
      <w:marTop w:val="0"/>
      <w:marBottom w:val="0"/>
      <w:divBdr>
        <w:top w:val="none" w:sz="0" w:space="0" w:color="auto"/>
        <w:left w:val="none" w:sz="0" w:space="0" w:color="auto"/>
        <w:bottom w:val="none" w:sz="0" w:space="0" w:color="auto"/>
        <w:right w:val="none" w:sz="0" w:space="0" w:color="auto"/>
      </w:divBdr>
    </w:div>
    <w:div w:id="1181313203">
      <w:bodyDiv w:val="1"/>
      <w:marLeft w:val="0"/>
      <w:marRight w:val="0"/>
      <w:marTop w:val="0"/>
      <w:marBottom w:val="0"/>
      <w:divBdr>
        <w:top w:val="none" w:sz="0" w:space="0" w:color="auto"/>
        <w:left w:val="none" w:sz="0" w:space="0" w:color="auto"/>
        <w:bottom w:val="none" w:sz="0" w:space="0" w:color="auto"/>
        <w:right w:val="none" w:sz="0" w:space="0" w:color="auto"/>
      </w:divBdr>
    </w:div>
    <w:div w:id="1210146651">
      <w:bodyDiv w:val="1"/>
      <w:marLeft w:val="0"/>
      <w:marRight w:val="0"/>
      <w:marTop w:val="0"/>
      <w:marBottom w:val="0"/>
      <w:divBdr>
        <w:top w:val="none" w:sz="0" w:space="0" w:color="auto"/>
        <w:left w:val="none" w:sz="0" w:space="0" w:color="auto"/>
        <w:bottom w:val="none" w:sz="0" w:space="0" w:color="auto"/>
        <w:right w:val="none" w:sz="0" w:space="0" w:color="auto"/>
      </w:divBdr>
    </w:div>
    <w:div w:id="1216165143">
      <w:bodyDiv w:val="1"/>
      <w:marLeft w:val="0"/>
      <w:marRight w:val="0"/>
      <w:marTop w:val="0"/>
      <w:marBottom w:val="0"/>
      <w:divBdr>
        <w:top w:val="none" w:sz="0" w:space="0" w:color="auto"/>
        <w:left w:val="none" w:sz="0" w:space="0" w:color="auto"/>
        <w:bottom w:val="none" w:sz="0" w:space="0" w:color="auto"/>
        <w:right w:val="none" w:sz="0" w:space="0" w:color="auto"/>
      </w:divBdr>
    </w:div>
    <w:div w:id="1223296570">
      <w:bodyDiv w:val="1"/>
      <w:marLeft w:val="0"/>
      <w:marRight w:val="0"/>
      <w:marTop w:val="0"/>
      <w:marBottom w:val="0"/>
      <w:divBdr>
        <w:top w:val="none" w:sz="0" w:space="0" w:color="auto"/>
        <w:left w:val="none" w:sz="0" w:space="0" w:color="auto"/>
        <w:bottom w:val="none" w:sz="0" w:space="0" w:color="auto"/>
        <w:right w:val="none" w:sz="0" w:space="0" w:color="auto"/>
      </w:divBdr>
    </w:div>
    <w:div w:id="1251045540">
      <w:bodyDiv w:val="1"/>
      <w:marLeft w:val="0"/>
      <w:marRight w:val="0"/>
      <w:marTop w:val="0"/>
      <w:marBottom w:val="0"/>
      <w:divBdr>
        <w:top w:val="none" w:sz="0" w:space="0" w:color="auto"/>
        <w:left w:val="none" w:sz="0" w:space="0" w:color="auto"/>
        <w:bottom w:val="none" w:sz="0" w:space="0" w:color="auto"/>
        <w:right w:val="none" w:sz="0" w:space="0" w:color="auto"/>
      </w:divBdr>
    </w:div>
    <w:div w:id="1252852965">
      <w:bodyDiv w:val="1"/>
      <w:marLeft w:val="0"/>
      <w:marRight w:val="0"/>
      <w:marTop w:val="0"/>
      <w:marBottom w:val="0"/>
      <w:divBdr>
        <w:top w:val="none" w:sz="0" w:space="0" w:color="auto"/>
        <w:left w:val="none" w:sz="0" w:space="0" w:color="auto"/>
        <w:bottom w:val="none" w:sz="0" w:space="0" w:color="auto"/>
        <w:right w:val="none" w:sz="0" w:space="0" w:color="auto"/>
      </w:divBdr>
    </w:div>
    <w:div w:id="1283995465">
      <w:bodyDiv w:val="1"/>
      <w:marLeft w:val="0"/>
      <w:marRight w:val="0"/>
      <w:marTop w:val="0"/>
      <w:marBottom w:val="0"/>
      <w:divBdr>
        <w:top w:val="none" w:sz="0" w:space="0" w:color="auto"/>
        <w:left w:val="none" w:sz="0" w:space="0" w:color="auto"/>
        <w:bottom w:val="none" w:sz="0" w:space="0" w:color="auto"/>
        <w:right w:val="none" w:sz="0" w:space="0" w:color="auto"/>
      </w:divBdr>
    </w:div>
    <w:div w:id="1301765582">
      <w:bodyDiv w:val="1"/>
      <w:marLeft w:val="0"/>
      <w:marRight w:val="0"/>
      <w:marTop w:val="0"/>
      <w:marBottom w:val="0"/>
      <w:divBdr>
        <w:top w:val="none" w:sz="0" w:space="0" w:color="auto"/>
        <w:left w:val="none" w:sz="0" w:space="0" w:color="auto"/>
        <w:bottom w:val="none" w:sz="0" w:space="0" w:color="auto"/>
        <w:right w:val="none" w:sz="0" w:space="0" w:color="auto"/>
      </w:divBdr>
    </w:div>
    <w:div w:id="1330475781">
      <w:bodyDiv w:val="1"/>
      <w:marLeft w:val="0"/>
      <w:marRight w:val="0"/>
      <w:marTop w:val="0"/>
      <w:marBottom w:val="0"/>
      <w:divBdr>
        <w:top w:val="none" w:sz="0" w:space="0" w:color="auto"/>
        <w:left w:val="none" w:sz="0" w:space="0" w:color="auto"/>
        <w:bottom w:val="none" w:sz="0" w:space="0" w:color="auto"/>
        <w:right w:val="none" w:sz="0" w:space="0" w:color="auto"/>
      </w:divBdr>
    </w:div>
    <w:div w:id="1382359839">
      <w:bodyDiv w:val="1"/>
      <w:marLeft w:val="0"/>
      <w:marRight w:val="0"/>
      <w:marTop w:val="0"/>
      <w:marBottom w:val="0"/>
      <w:divBdr>
        <w:top w:val="none" w:sz="0" w:space="0" w:color="auto"/>
        <w:left w:val="none" w:sz="0" w:space="0" w:color="auto"/>
        <w:bottom w:val="none" w:sz="0" w:space="0" w:color="auto"/>
        <w:right w:val="none" w:sz="0" w:space="0" w:color="auto"/>
      </w:divBdr>
    </w:div>
    <w:div w:id="1382827772">
      <w:bodyDiv w:val="1"/>
      <w:marLeft w:val="0"/>
      <w:marRight w:val="0"/>
      <w:marTop w:val="0"/>
      <w:marBottom w:val="0"/>
      <w:divBdr>
        <w:top w:val="none" w:sz="0" w:space="0" w:color="auto"/>
        <w:left w:val="none" w:sz="0" w:space="0" w:color="auto"/>
        <w:bottom w:val="none" w:sz="0" w:space="0" w:color="auto"/>
        <w:right w:val="none" w:sz="0" w:space="0" w:color="auto"/>
      </w:divBdr>
    </w:div>
    <w:div w:id="1386949380">
      <w:bodyDiv w:val="1"/>
      <w:marLeft w:val="0"/>
      <w:marRight w:val="0"/>
      <w:marTop w:val="0"/>
      <w:marBottom w:val="0"/>
      <w:divBdr>
        <w:top w:val="none" w:sz="0" w:space="0" w:color="auto"/>
        <w:left w:val="none" w:sz="0" w:space="0" w:color="auto"/>
        <w:bottom w:val="none" w:sz="0" w:space="0" w:color="auto"/>
        <w:right w:val="none" w:sz="0" w:space="0" w:color="auto"/>
      </w:divBdr>
    </w:div>
    <w:div w:id="1423716814">
      <w:bodyDiv w:val="1"/>
      <w:marLeft w:val="0"/>
      <w:marRight w:val="0"/>
      <w:marTop w:val="0"/>
      <w:marBottom w:val="0"/>
      <w:divBdr>
        <w:top w:val="none" w:sz="0" w:space="0" w:color="auto"/>
        <w:left w:val="none" w:sz="0" w:space="0" w:color="auto"/>
        <w:bottom w:val="none" w:sz="0" w:space="0" w:color="auto"/>
        <w:right w:val="none" w:sz="0" w:space="0" w:color="auto"/>
      </w:divBdr>
    </w:div>
    <w:div w:id="1435176575">
      <w:bodyDiv w:val="1"/>
      <w:marLeft w:val="0"/>
      <w:marRight w:val="0"/>
      <w:marTop w:val="0"/>
      <w:marBottom w:val="0"/>
      <w:divBdr>
        <w:top w:val="none" w:sz="0" w:space="0" w:color="auto"/>
        <w:left w:val="none" w:sz="0" w:space="0" w:color="auto"/>
        <w:bottom w:val="none" w:sz="0" w:space="0" w:color="auto"/>
        <w:right w:val="none" w:sz="0" w:space="0" w:color="auto"/>
      </w:divBdr>
    </w:div>
    <w:div w:id="1498381603">
      <w:bodyDiv w:val="1"/>
      <w:marLeft w:val="0"/>
      <w:marRight w:val="0"/>
      <w:marTop w:val="0"/>
      <w:marBottom w:val="0"/>
      <w:divBdr>
        <w:top w:val="none" w:sz="0" w:space="0" w:color="auto"/>
        <w:left w:val="none" w:sz="0" w:space="0" w:color="auto"/>
        <w:bottom w:val="none" w:sz="0" w:space="0" w:color="auto"/>
        <w:right w:val="none" w:sz="0" w:space="0" w:color="auto"/>
      </w:divBdr>
    </w:div>
    <w:div w:id="1512573889">
      <w:bodyDiv w:val="1"/>
      <w:marLeft w:val="0"/>
      <w:marRight w:val="0"/>
      <w:marTop w:val="0"/>
      <w:marBottom w:val="0"/>
      <w:divBdr>
        <w:top w:val="none" w:sz="0" w:space="0" w:color="auto"/>
        <w:left w:val="none" w:sz="0" w:space="0" w:color="auto"/>
        <w:bottom w:val="none" w:sz="0" w:space="0" w:color="auto"/>
        <w:right w:val="none" w:sz="0" w:space="0" w:color="auto"/>
      </w:divBdr>
    </w:div>
    <w:div w:id="1530484898">
      <w:bodyDiv w:val="1"/>
      <w:marLeft w:val="0"/>
      <w:marRight w:val="0"/>
      <w:marTop w:val="0"/>
      <w:marBottom w:val="0"/>
      <w:divBdr>
        <w:top w:val="none" w:sz="0" w:space="0" w:color="auto"/>
        <w:left w:val="none" w:sz="0" w:space="0" w:color="auto"/>
        <w:bottom w:val="none" w:sz="0" w:space="0" w:color="auto"/>
        <w:right w:val="none" w:sz="0" w:space="0" w:color="auto"/>
      </w:divBdr>
    </w:div>
    <w:div w:id="1588078570">
      <w:bodyDiv w:val="1"/>
      <w:marLeft w:val="0"/>
      <w:marRight w:val="0"/>
      <w:marTop w:val="0"/>
      <w:marBottom w:val="0"/>
      <w:divBdr>
        <w:top w:val="none" w:sz="0" w:space="0" w:color="auto"/>
        <w:left w:val="none" w:sz="0" w:space="0" w:color="auto"/>
        <w:bottom w:val="none" w:sz="0" w:space="0" w:color="auto"/>
        <w:right w:val="none" w:sz="0" w:space="0" w:color="auto"/>
      </w:divBdr>
      <w:divsChild>
        <w:div w:id="824010141">
          <w:marLeft w:val="0"/>
          <w:marRight w:val="0"/>
          <w:marTop w:val="0"/>
          <w:marBottom w:val="0"/>
          <w:divBdr>
            <w:top w:val="none" w:sz="0" w:space="0" w:color="auto"/>
            <w:left w:val="none" w:sz="0" w:space="0" w:color="auto"/>
            <w:bottom w:val="none" w:sz="0" w:space="0" w:color="auto"/>
            <w:right w:val="none" w:sz="0" w:space="0" w:color="auto"/>
          </w:divBdr>
          <w:divsChild>
            <w:div w:id="187480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850012">
      <w:bodyDiv w:val="1"/>
      <w:marLeft w:val="0"/>
      <w:marRight w:val="0"/>
      <w:marTop w:val="0"/>
      <w:marBottom w:val="0"/>
      <w:divBdr>
        <w:top w:val="none" w:sz="0" w:space="0" w:color="auto"/>
        <w:left w:val="none" w:sz="0" w:space="0" w:color="auto"/>
        <w:bottom w:val="none" w:sz="0" w:space="0" w:color="auto"/>
        <w:right w:val="none" w:sz="0" w:space="0" w:color="auto"/>
      </w:divBdr>
    </w:div>
    <w:div w:id="1598948435">
      <w:bodyDiv w:val="1"/>
      <w:marLeft w:val="0"/>
      <w:marRight w:val="0"/>
      <w:marTop w:val="0"/>
      <w:marBottom w:val="0"/>
      <w:divBdr>
        <w:top w:val="none" w:sz="0" w:space="0" w:color="auto"/>
        <w:left w:val="none" w:sz="0" w:space="0" w:color="auto"/>
        <w:bottom w:val="none" w:sz="0" w:space="0" w:color="auto"/>
        <w:right w:val="none" w:sz="0" w:space="0" w:color="auto"/>
      </w:divBdr>
    </w:div>
    <w:div w:id="1599867387">
      <w:bodyDiv w:val="1"/>
      <w:marLeft w:val="0"/>
      <w:marRight w:val="0"/>
      <w:marTop w:val="0"/>
      <w:marBottom w:val="0"/>
      <w:divBdr>
        <w:top w:val="none" w:sz="0" w:space="0" w:color="auto"/>
        <w:left w:val="none" w:sz="0" w:space="0" w:color="auto"/>
        <w:bottom w:val="none" w:sz="0" w:space="0" w:color="auto"/>
        <w:right w:val="none" w:sz="0" w:space="0" w:color="auto"/>
      </w:divBdr>
    </w:div>
    <w:div w:id="1601570171">
      <w:bodyDiv w:val="1"/>
      <w:marLeft w:val="0"/>
      <w:marRight w:val="0"/>
      <w:marTop w:val="0"/>
      <w:marBottom w:val="0"/>
      <w:divBdr>
        <w:top w:val="none" w:sz="0" w:space="0" w:color="auto"/>
        <w:left w:val="none" w:sz="0" w:space="0" w:color="auto"/>
        <w:bottom w:val="none" w:sz="0" w:space="0" w:color="auto"/>
        <w:right w:val="none" w:sz="0" w:space="0" w:color="auto"/>
      </w:divBdr>
    </w:div>
    <w:div w:id="1612475586">
      <w:bodyDiv w:val="1"/>
      <w:marLeft w:val="0"/>
      <w:marRight w:val="0"/>
      <w:marTop w:val="0"/>
      <w:marBottom w:val="0"/>
      <w:divBdr>
        <w:top w:val="none" w:sz="0" w:space="0" w:color="auto"/>
        <w:left w:val="none" w:sz="0" w:space="0" w:color="auto"/>
        <w:bottom w:val="none" w:sz="0" w:space="0" w:color="auto"/>
        <w:right w:val="none" w:sz="0" w:space="0" w:color="auto"/>
      </w:divBdr>
    </w:div>
    <w:div w:id="1616792135">
      <w:bodyDiv w:val="1"/>
      <w:marLeft w:val="0"/>
      <w:marRight w:val="0"/>
      <w:marTop w:val="0"/>
      <w:marBottom w:val="0"/>
      <w:divBdr>
        <w:top w:val="none" w:sz="0" w:space="0" w:color="auto"/>
        <w:left w:val="none" w:sz="0" w:space="0" w:color="auto"/>
        <w:bottom w:val="none" w:sz="0" w:space="0" w:color="auto"/>
        <w:right w:val="none" w:sz="0" w:space="0" w:color="auto"/>
      </w:divBdr>
    </w:div>
    <w:div w:id="1622760492">
      <w:bodyDiv w:val="1"/>
      <w:marLeft w:val="0"/>
      <w:marRight w:val="0"/>
      <w:marTop w:val="0"/>
      <w:marBottom w:val="0"/>
      <w:divBdr>
        <w:top w:val="none" w:sz="0" w:space="0" w:color="auto"/>
        <w:left w:val="none" w:sz="0" w:space="0" w:color="auto"/>
        <w:bottom w:val="none" w:sz="0" w:space="0" w:color="auto"/>
        <w:right w:val="none" w:sz="0" w:space="0" w:color="auto"/>
      </w:divBdr>
    </w:div>
    <w:div w:id="1657610823">
      <w:bodyDiv w:val="1"/>
      <w:marLeft w:val="0"/>
      <w:marRight w:val="0"/>
      <w:marTop w:val="0"/>
      <w:marBottom w:val="0"/>
      <w:divBdr>
        <w:top w:val="none" w:sz="0" w:space="0" w:color="auto"/>
        <w:left w:val="none" w:sz="0" w:space="0" w:color="auto"/>
        <w:bottom w:val="none" w:sz="0" w:space="0" w:color="auto"/>
        <w:right w:val="none" w:sz="0" w:space="0" w:color="auto"/>
      </w:divBdr>
    </w:div>
    <w:div w:id="1659847998">
      <w:bodyDiv w:val="1"/>
      <w:marLeft w:val="0"/>
      <w:marRight w:val="0"/>
      <w:marTop w:val="0"/>
      <w:marBottom w:val="0"/>
      <w:divBdr>
        <w:top w:val="none" w:sz="0" w:space="0" w:color="auto"/>
        <w:left w:val="none" w:sz="0" w:space="0" w:color="auto"/>
        <w:bottom w:val="none" w:sz="0" w:space="0" w:color="auto"/>
        <w:right w:val="none" w:sz="0" w:space="0" w:color="auto"/>
      </w:divBdr>
    </w:div>
    <w:div w:id="1671103721">
      <w:bodyDiv w:val="1"/>
      <w:marLeft w:val="0"/>
      <w:marRight w:val="0"/>
      <w:marTop w:val="0"/>
      <w:marBottom w:val="0"/>
      <w:divBdr>
        <w:top w:val="none" w:sz="0" w:space="0" w:color="auto"/>
        <w:left w:val="none" w:sz="0" w:space="0" w:color="auto"/>
        <w:bottom w:val="none" w:sz="0" w:space="0" w:color="auto"/>
        <w:right w:val="none" w:sz="0" w:space="0" w:color="auto"/>
      </w:divBdr>
    </w:div>
    <w:div w:id="1702128380">
      <w:bodyDiv w:val="1"/>
      <w:marLeft w:val="0"/>
      <w:marRight w:val="0"/>
      <w:marTop w:val="0"/>
      <w:marBottom w:val="0"/>
      <w:divBdr>
        <w:top w:val="none" w:sz="0" w:space="0" w:color="auto"/>
        <w:left w:val="none" w:sz="0" w:space="0" w:color="auto"/>
        <w:bottom w:val="none" w:sz="0" w:space="0" w:color="auto"/>
        <w:right w:val="none" w:sz="0" w:space="0" w:color="auto"/>
      </w:divBdr>
    </w:div>
    <w:div w:id="1704359541">
      <w:bodyDiv w:val="1"/>
      <w:marLeft w:val="0"/>
      <w:marRight w:val="0"/>
      <w:marTop w:val="0"/>
      <w:marBottom w:val="0"/>
      <w:divBdr>
        <w:top w:val="none" w:sz="0" w:space="0" w:color="auto"/>
        <w:left w:val="none" w:sz="0" w:space="0" w:color="auto"/>
        <w:bottom w:val="none" w:sz="0" w:space="0" w:color="auto"/>
        <w:right w:val="none" w:sz="0" w:space="0" w:color="auto"/>
      </w:divBdr>
      <w:divsChild>
        <w:div w:id="266546485">
          <w:marLeft w:val="0"/>
          <w:marRight w:val="0"/>
          <w:marTop w:val="0"/>
          <w:marBottom w:val="0"/>
          <w:divBdr>
            <w:top w:val="none" w:sz="0" w:space="0" w:color="auto"/>
            <w:left w:val="none" w:sz="0" w:space="0" w:color="auto"/>
            <w:bottom w:val="none" w:sz="0" w:space="0" w:color="auto"/>
            <w:right w:val="none" w:sz="0" w:space="0" w:color="auto"/>
          </w:divBdr>
          <w:divsChild>
            <w:div w:id="1990089671">
              <w:marLeft w:val="0"/>
              <w:marRight w:val="0"/>
              <w:marTop w:val="0"/>
              <w:marBottom w:val="0"/>
              <w:divBdr>
                <w:top w:val="none" w:sz="0" w:space="0" w:color="auto"/>
                <w:left w:val="none" w:sz="0" w:space="0" w:color="auto"/>
                <w:bottom w:val="none" w:sz="0" w:space="0" w:color="auto"/>
                <w:right w:val="none" w:sz="0" w:space="0" w:color="auto"/>
              </w:divBdr>
              <w:divsChild>
                <w:div w:id="261188255">
                  <w:marLeft w:val="0"/>
                  <w:marRight w:val="0"/>
                  <w:marTop w:val="0"/>
                  <w:marBottom w:val="0"/>
                  <w:divBdr>
                    <w:top w:val="none" w:sz="0" w:space="0" w:color="auto"/>
                    <w:left w:val="none" w:sz="0" w:space="0" w:color="auto"/>
                    <w:bottom w:val="none" w:sz="0" w:space="0" w:color="auto"/>
                    <w:right w:val="none" w:sz="0" w:space="0" w:color="auto"/>
                  </w:divBdr>
                  <w:divsChild>
                    <w:div w:id="1531987169">
                      <w:marLeft w:val="0"/>
                      <w:marRight w:val="0"/>
                      <w:marTop w:val="0"/>
                      <w:marBottom w:val="0"/>
                      <w:divBdr>
                        <w:top w:val="none" w:sz="0" w:space="0" w:color="auto"/>
                        <w:left w:val="none" w:sz="0" w:space="0" w:color="auto"/>
                        <w:bottom w:val="none" w:sz="0" w:space="0" w:color="auto"/>
                        <w:right w:val="none" w:sz="0" w:space="0" w:color="auto"/>
                      </w:divBdr>
                      <w:divsChild>
                        <w:div w:id="1624312501">
                          <w:marLeft w:val="0"/>
                          <w:marRight w:val="0"/>
                          <w:marTop w:val="0"/>
                          <w:marBottom w:val="0"/>
                          <w:divBdr>
                            <w:top w:val="none" w:sz="0" w:space="0" w:color="auto"/>
                            <w:left w:val="none" w:sz="0" w:space="0" w:color="auto"/>
                            <w:bottom w:val="none" w:sz="0" w:space="0" w:color="auto"/>
                            <w:right w:val="none" w:sz="0" w:space="0" w:color="auto"/>
                          </w:divBdr>
                          <w:divsChild>
                            <w:div w:id="424769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0837319">
      <w:bodyDiv w:val="1"/>
      <w:marLeft w:val="0"/>
      <w:marRight w:val="0"/>
      <w:marTop w:val="0"/>
      <w:marBottom w:val="0"/>
      <w:divBdr>
        <w:top w:val="none" w:sz="0" w:space="0" w:color="auto"/>
        <w:left w:val="none" w:sz="0" w:space="0" w:color="auto"/>
        <w:bottom w:val="none" w:sz="0" w:space="0" w:color="auto"/>
        <w:right w:val="none" w:sz="0" w:space="0" w:color="auto"/>
      </w:divBdr>
    </w:div>
    <w:div w:id="1749883739">
      <w:bodyDiv w:val="1"/>
      <w:marLeft w:val="0"/>
      <w:marRight w:val="0"/>
      <w:marTop w:val="0"/>
      <w:marBottom w:val="0"/>
      <w:divBdr>
        <w:top w:val="none" w:sz="0" w:space="0" w:color="auto"/>
        <w:left w:val="none" w:sz="0" w:space="0" w:color="auto"/>
        <w:bottom w:val="none" w:sz="0" w:space="0" w:color="auto"/>
        <w:right w:val="none" w:sz="0" w:space="0" w:color="auto"/>
      </w:divBdr>
    </w:div>
    <w:div w:id="1762145380">
      <w:bodyDiv w:val="1"/>
      <w:marLeft w:val="0"/>
      <w:marRight w:val="0"/>
      <w:marTop w:val="0"/>
      <w:marBottom w:val="0"/>
      <w:divBdr>
        <w:top w:val="none" w:sz="0" w:space="0" w:color="auto"/>
        <w:left w:val="none" w:sz="0" w:space="0" w:color="auto"/>
        <w:bottom w:val="none" w:sz="0" w:space="0" w:color="auto"/>
        <w:right w:val="none" w:sz="0" w:space="0" w:color="auto"/>
      </w:divBdr>
    </w:div>
    <w:div w:id="1766878474">
      <w:bodyDiv w:val="1"/>
      <w:marLeft w:val="0"/>
      <w:marRight w:val="0"/>
      <w:marTop w:val="0"/>
      <w:marBottom w:val="0"/>
      <w:divBdr>
        <w:top w:val="none" w:sz="0" w:space="0" w:color="auto"/>
        <w:left w:val="none" w:sz="0" w:space="0" w:color="auto"/>
        <w:bottom w:val="none" w:sz="0" w:space="0" w:color="auto"/>
        <w:right w:val="none" w:sz="0" w:space="0" w:color="auto"/>
      </w:divBdr>
    </w:div>
    <w:div w:id="1769278495">
      <w:bodyDiv w:val="1"/>
      <w:marLeft w:val="0"/>
      <w:marRight w:val="0"/>
      <w:marTop w:val="0"/>
      <w:marBottom w:val="0"/>
      <w:divBdr>
        <w:top w:val="none" w:sz="0" w:space="0" w:color="auto"/>
        <w:left w:val="none" w:sz="0" w:space="0" w:color="auto"/>
        <w:bottom w:val="none" w:sz="0" w:space="0" w:color="auto"/>
        <w:right w:val="none" w:sz="0" w:space="0" w:color="auto"/>
      </w:divBdr>
    </w:div>
    <w:div w:id="1802650558">
      <w:bodyDiv w:val="1"/>
      <w:marLeft w:val="0"/>
      <w:marRight w:val="0"/>
      <w:marTop w:val="0"/>
      <w:marBottom w:val="0"/>
      <w:divBdr>
        <w:top w:val="none" w:sz="0" w:space="0" w:color="auto"/>
        <w:left w:val="none" w:sz="0" w:space="0" w:color="auto"/>
        <w:bottom w:val="none" w:sz="0" w:space="0" w:color="auto"/>
        <w:right w:val="none" w:sz="0" w:space="0" w:color="auto"/>
      </w:divBdr>
    </w:div>
    <w:div w:id="1809976692">
      <w:bodyDiv w:val="1"/>
      <w:marLeft w:val="0"/>
      <w:marRight w:val="0"/>
      <w:marTop w:val="0"/>
      <w:marBottom w:val="0"/>
      <w:divBdr>
        <w:top w:val="none" w:sz="0" w:space="0" w:color="auto"/>
        <w:left w:val="none" w:sz="0" w:space="0" w:color="auto"/>
        <w:bottom w:val="none" w:sz="0" w:space="0" w:color="auto"/>
        <w:right w:val="none" w:sz="0" w:space="0" w:color="auto"/>
      </w:divBdr>
    </w:div>
    <w:div w:id="1900020911">
      <w:bodyDiv w:val="1"/>
      <w:marLeft w:val="0"/>
      <w:marRight w:val="0"/>
      <w:marTop w:val="0"/>
      <w:marBottom w:val="0"/>
      <w:divBdr>
        <w:top w:val="none" w:sz="0" w:space="0" w:color="auto"/>
        <w:left w:val="none" w:sz="0" w:space="0" w:color="auto"/>
        <w:bottom w:val="none" w:sz="0" w:space="0" w:color="auto"/>
        <w:right w:val="none" w:sz="0" w:space="0" w:color="auto"/>
      </w:divBdr>
    </w:div>
    <w:div w:id="1905600122">
      <w:bodyDiv w:val="1"/>
      <w:marLeft w:val="0"/>
      <w:marRight w:val="0"/>
      <w:marTop w:val="0"/>
      <w:marBottom w:val="0"/>
      <w:divBdr>
        <w:top w:val="none" w:sz="0" w:space="0" w:color="auto"/>
        <w:left w:val="none" w:sz="0" w:space="0" w:color="auto"/>
        <w:bottom w:val="none" w:sz="0" w:space="0" w:color="auto"/>
        <w:right w:val="none" w:sz="0" w:space="0" w:color="auto"/>
      </w:divBdr>
    </w:div>
    <w:div w:id="1919514193">
      <w:bodyDiv w:val="1"/>
      <w:marLeft w:val="0"/>
      <w:marRight w:val="0"/>
      <w:marTop w:val="0"/>
      <w:marBottom w:val="0"/>
      <w:divBdr>
        <w:top w:val="none" w:sz="0" w:space="0" w:color="auto"/>
        <w:left w:val="none" w:sz="0" w:space="0" w:color="auto"/>
        <w:bottom w:val="none" w:sz="0" w:space="0" w:color="auto"/>
        <w:right w:val="none" w:sz="0" w:space="0" w:color="auto"/>
      </w:divBdr>
    </w:div>
    <w:div w:id="1922525985">
      <w:bodyDiv w:val="1"/>
      <w:marLeft w:val="0"/>
      <w:marRight w:val="0"/>
      <w:marTop w:val="0"/>
      <w:marBottom w:val="0"/>
      <w:divBdr>
        <w:top w:val="none" w:sz="0" w:space="0" w:color="auto"/>
        <w:left w:val="none" w:sz="0" w:space="0" w:color="auto"/>
        <w:bottom w:val="none" w:sz="0" w:space="0" w:color="auto"/>
        <w:right w:val="none" w:sz="0" w:space="0" w:color="auto"/>
      </w:divBdr>
    </w:div>
    <w:div w:id="1957909171">
      <w:bodyDiv w:val="1"/>
      <w:marLeft w:val="0"/>
      <w:marRight w:val="0"/>
      <w:marTop w:val="0"/>
      <w:marBottom w:val="0"/>
      <w:divBdr>
        <w:top w:val="none" w:sz="0" w:space="0" w:color="auto"/>
        <w:left w:val="none" w:sz="0" w:space="0" w:color="auto"/>
        <w:bottom w:val="none" w:sz="0" w:space="0" w:color="auto"/>
        <w:right w:val="none" w:sz="0" w:space="0" w:color="auto"/>
      </w:divBdr>
    </w:div>
    <w:div w:id="1959528301">
      <w:bodyDiv w:val="1"/>
      <w:marLeft w:val="0"/>
      <w:marRight w:val="0"/>
      <w:marTop w:val="0"/>
      <w:marBottom w:val="0"/>
      <w:divBdr>
        <w:top w:val="none" w:sz="0" w:space="0" w:color="auto"/>
        <w:left w:val="none" w:sz="0" w:space="0" w:color="auto"/>
        <w:bottom w:val="none" w:sz="0" w:space="0" w:color="auto"/>
        <w:right w:val="none" w:sz="0" w:space="0" w:color="auto"/>
      </w:divBdr>
    </w:div>
    <w:div w:id="1966961364">
      <w:bodyDiv w:val="1"/>
      <w:marLeft w:val="0"/>
      <w:marRight w:val="0"/>
      <w:marTop w:val="0"/>
      <w:marBottom w:val="0"/>
      <w:divBdr>
        <w:top w:val="none" w:sz="0" w:space="0" w:color="auto"/>
        <w:left w:val="none" w:sz="0" w:space="0" w:color="auto"/>
        <w:bottom w:val="none" w:sz="0" w:space="0" w:color="auto"/>
        <w:right w:val="none" w:sz="0" w:space="0" w:color="auto"/>
      </w:divBdr>
    </w:div>
    <w:div w:id="1995839011">
      <w:bodyDiv w:val="1"/>
      <w:marLeft w:val="0"/>
      <w:marRight w:val="0"/>
      <w:marTop w:val="0"/>
      <w:marBottom w:val="0"/>
      <w:divBdr>
        <w:top w:val="none" w:sz="0" w:space="0" w:color="auto"/>
        <w:left w:val="none" w:sz="0" w:space="0" w:color="auto"/>
        <w:bottom w:val="none" w:sz="0" w:space="0" w:color="auto"/>
        <w:right w:val="none" w:sz="0" w:space="0" w:color="auto"/>
      </w:divBdr>
    </w:div>
    <w:div w:id="2016958723">
      <w:bodyDiv w:val="1"/>
      <w:marLeft w:val="0"/>
      <w:marRight w:val="0"/>
      <w:marTop w:val="0"/>
      <w:marBottom w:val="0"/>
      <w:divBdr>
        <w:top w:val="none" w:sz="0" w:space="0" w:color="auto"/>
        <w:left w:val="none" w:sz="0" w:space="0" w:color="auto"/>
        <w:bottom w:val="none" w:sz="0" w:space="0" w:color="auto"/>
        <w:right w:val="none" w:sz="0" w:space="0" w:color="auto"/>
      </w:divBdr>
    </w:div>
    <w:div w:id="2040931729">
      <w:bodyDiv w:val="1"/>
      <w:marLeft w:val="0"/>
      <w:marRight w:val="0"/>
      <w:marTop w:val="0"/>
      <w:marBottom w:val="0"/>
      <w:divBdr>
        <w:top w:val="none" w:sz="0" w:space="0" w:color="auto"/>
        <w:left w:val="none" w:sz="0" w:space="0" w:color="auto"/>
        <w:bottom w:val="none" w:sz="0" w:space="0" w:color="auto"/>
        <w:right w:val="none" w:sz="0" w:space="0" w:color="auto"/>
      </w:divBdr>
    </w:div>
    <w:div w:id="2064861959">
      <w:bodyDiv w:val="1"/>
      <w:marLeft w:val="0"/>
      <w:marRight w:val="0"/>
      <w:marTop w:val="0"/>
      <w:marBottom w:val="0"/>
      <w:divBdr>
        <w:top w:val="none" w:sz="0" w:space="0" w:color="auto"/>
        <w:left w:val="none" w:sz="0" w:space="0" w:color="auto"/>
        <w:bottom w:val="none" w:sz="0" w:space="0" w:color="auto"/>
        <w:right w:val="none" w:sz="0" w:space="0" w:color="auto"/>
      </w:divBdr>
    </w:div>
    <w:div w:id="2076734916">
      <w:bodyDiv w:val="1"/>
      <w:marLeft w:val="0"/>
      <w:marRight w:val="0"/>
      <w:marTop w:val="0"/>
      <w:marBottom w:val="0"/>
      <w:divBdr>
        <w:top w:val="none" w:sz="0" w:space="0" w:color="auto"/>
        <w:left w:val="none" w:sz="0" w:space="0" w:color="auto"/>
        <w:bottom w:val="none" w:sz="0" w:space="0" w:color="auto"/>
        <w:right w:val="none" w:sz="0" w:space="0" w:color="auto"/>
      </w:divBdr>
      <w:divsChild>
        <w:div w:id="1844666251">
          <w:marLeft w:val="0"/>
          <w:marRight w:val="0"/>
          <w:marTop w:val="0"/>
          <w:marBottom w:val="0"/>
          <w:divBdr>
            <w:top w:val="none" w:sz="0" w:space="0" w:color="auto"/>
            <w:left w:val="none" w:sz="0" w:space="0" w:color="auto"/>
            <w:bottom w:val="none" w:sz="0" w:space="0" w:color="auto"/>
            <w:right w:val="none" w:sz="0" w:space="0" w:color="auto"/>
          </w:divBdr>
          <w:divsChild>
            <w:div w:id="202596725">
              <w:marLeft w:val="0"/>
              <w:marRight w:val="0"/>
              <w:marTop w:val="0"/>
              <w:marBottom w:val="0"/>
              <w:divBdr>
                <w:top w:val="none" w:sz="0" w:space="0" w:color="auto"/>
                <w:left w:val="none" w:sz="0" w:space="0" w:color="auto"/>
                <w:bottom w:val="none" w:sz="0" w:space="0" w:color="auto"/>
                <w:right w:val="none" w:sz="0" w:space="0" w:color="auto"/>
              </w:divBdr>
              <w:divsChild>
                <w:div w:id="1917670356">
                  <w:marLeft w:val="0"/>
                  <w:marRight w:val="0"/>
                  <w:marTop w:val="0"/>
                  <w:marBottom w:val="0"/>
                  <w:divBdr>
                    <w:top w:val="none" w:sz="0" w:space="0" w:color="auto"/>
                    <w:left w:val="none" w:sz="0" w:space="0" w:color="auto"/>
                    <w:bottom w:val="none" w:sz="0" w:space="0" w:color="auto"/>
                    <w:right w:val="none" w:sz="0" w:space="0" w:color="auto"/>
                  </w:divBdr>
                  <w:divsChild>
                    <w:div w:id="55469136">
                      <w:marLeft w:val="0"/>
                      <w:marRight w:val="0"/>
                      <w:marTop w:val="0"/>
                      <w:marBottom w:val="0"/>
                      <w:divBdr>
                        <w:top w:val="none" w:sz="0" w:space="0" w:color="auto"/>
                        <w:left w:val="none" w:sz="0" w:space="0" w:color="auto"/>
                        <w:bottom w:val="none" w:sz="0" w:space="0" w:color="auto"/>
                        <w:right w:val="none" w:sz="0" w:space="0" w:color="auto"/>
                      </w:divBdr>
                      <w:divsChild>
                        <w:div w:id="156656647">
                          <w:marLeft w:val="0"/>
                          <w:marRight w:val="0"/>
                          <w:marTop w:val="0"/>
                          <w:marBottom w:val="0"/>
                          <w:divBdr>
                            <w:top w:val="none" w:sz="0" w:space="0" w:color="auto"/>
                            <w:left w:val="none" w:sz="0" w:space="0" w:color="auto"/>
                            <w:bottom w:val="none" w:sz="0" w:space="0" w:color="auto"/>
                            <w:right w:val="none" w:sz="0" w:space="0" w:color="auto"/>
                          </w:divBdr>
                          <w:divsChild>
                            <w:div w:id="38823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9552634">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4063243">
      <w:bodyDiv w:val="1"/>
      <w:marLeft w:val="0"/>
      <w:marRight w:val="0"/>
      <w:marTop w:val="0"/>
      <w:marBottom w:val="0"/>
      <w:divBdr>
        <w:top w:val="none" w:sz="0" w:space="0" w:color="auto"/>
        <w:left w:val="none" w:sz="0" w:space="0" w:color="auto"/>
        <w:bottom w:val="none" w:sz="0" w:space="0" w:color="auto"/>
        <w:right w:val="none" w:sz="0" w:space="0" w:color="auto"/>
      </w:divBdr>
      <w:divsChild>
        <w:div w:id="556742770">
          <w:marLeft w:val="0"/>
          <w:marRight w:val="0"/>
          <w:marTop w:val="0"/>
          <w:marBottom w:val="0"/>
          <w:divBdr>
            <w:top w:val="none" w:sz="0" w:space="0" w:color="auto"/>
            <w:left w:val="none" w:sz="0" w:space="0" w:color="auto"/>
            <w:bottom w:val="none" w:sz="0" w:space="0" w:color="auto"/>
            <w:right w:val="none" w:sz="0" w:space="0" w:color="auto"/>
          </w:divBdr>
          <w:divsChild>
            <w:div w:id="345136320">
              <w:marLeft w:val="0"/>
              <w:marRight w:val="0"/>
              <w:marTop w:val="0"/>
              <w:marBottom w:val="0"/>
              <w:divBdr>
                <w:top w:val="none" w:sz="0" w:space="0" w:color="auto"/>
                <w:left w:val="none" w:sz="0" w:space="0" w:color="auto"/>
                <w:bottom w:val="none" w:sz="0" w:space="0" w:color="auto"/>
                <w:right w:val="none" w:sz="0" w:space="0" w:color="auto"/>
              </w:divBdr>
              <w:divsChild>
                <w:div w:id="1891381042">
                  <w:marLeft w:val="0"/>
                  <w:marRight w:val="0"/>
                  <w:marTop w:val="0"/>
                  <w:marBottom w:val="0"/>
                  <w:divBdr>
                    <w:top w:val="none" w:sz="0" w:space="0" w:color="auto"/>
                    <w:left w:val="none" w:sz="0" w:space="0" w:color="auto"/>
                    <w:bottom w:val="none" w:sz="0" w:space="0" w:color="auto"/>
                    <w:right w:val="none" w:sz="0" w:space="0" w:color="auto"/>
                  </w:divBdr>
                  <w:divsChild>
                    <w:div w:id="2022655818">
                      <w:marLeft w:val="0"/>
                      <w:marRight w:val="0"/>
                      <w:marTop w:val="0"/>
                      <w:marBottom w:val="0"/>
                      <w:divBdr>
                        <w:top w:val="none" w:sz="0" w:space="0" w:color="auto"/>
                        <w:left w:val="none" w:sz="0" w:space="0" w:color="auto"/>
                        <w:bottom w:val="none" w:sz="0" w:space="0" w:color="auto"/>
                        <w:right w:val="none" w:sz="0" w:space="0" w:color="auto"/>
                      </w:divBdr>
                      <w:divsChild>
                        <w:div w:id="1802574786">
                          <w:marLeft w:val="0"/>
                          <w:marRight w:val="0"/>
                          <w:marTop w:val="0"/>
                          <w:marBottom w:val="0"/>
                          <w:divBdr>
                            <w:top w:val="none" w:sz="0" w:space="0" w:color="auto"/>
                            <w:left w:val="none" w:sz="0" w:space="0" w:color="auto"/>
                            <w:bottom w:val="none" w:sz="0" w:space="0" w:color="auto"/>
                            <w:right w:val="none" w:sz="0" w:space="0" w:color="auto"/>
                          </w:divBdr>
                          <w:divsChild>
                            <w:div w:id="207882977">
                              <w:marLeft w:val="0"/>
                              <w:marRight w:val="0"/>
                              <w:marTop w:val="0"/>
                              <w:marBottom w:val="0"/>
                              <w:divBdr>
                                <w:top w:val="none" w:sz="0" w:space="0" w:color="auto"/>
                                <w:left w:val="none" w:sz="0" w:space="0" w:color="auto"/>
                                <w:bottom w:val="none" w:sz="0" w:space="0" w:color="auto"/>
                                <w:right w:val="none" w:sz="0" w:space="0" w:color="auto"/>
                              </w:divBdr>
                              <w:divsChild>
                                <w:div w:id="936450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694219">
                          <w:marLeft w:val="0"/>
                          <w:marRight w:val="0"/>
                          <w:marTop w:val="0"/>
                          <w:marBottom w:val="0"/>
                          <w:divBdr>
                            <w:top w:val="none" w:sz="0" w:space="0" w:color="auto"/>
                            <w:left w:val="none" w:sz="0" w:space="0" w:color="auto"/>
                            <w:bottom w:val="none" w:sz="0" w:space="0" w:color="auto"/>
                            <w:right w:val="none" w:sz="0" w:space="0" w:color="auto"/>
                          </w:divBdr>
                          <w:divsChild>
                            <w:div w:id="1370767100">
                              <w:marLeft w:val="0"/>
                              <w:marRight w:val="0"/>
                              <w:marTop w:val="0"/>
                              <w:marBottom w:val="0"/>
                              <w:divBdr>
                                <w:top w:val="none" w:sz="0" w:space="0" w:color="auto"/>
                                <w:left w:val="none" w:sz="0" w:space="0" w:color="auto"/>
                                <w:bottom w:val="none" w:sz="0" w:space="0" w:color="auto"/>
                                <w:right w:val="none" w:sz="0" w:space="0" w:color="auto"/>
                              </w:divBdr>
                              <w:divsChild>
                                <w:div w:id="1743021472">
                                  <w:marLeft w:val="0"/>
                                  <w:marRight w:val="0"/>
                                  <w:marTop w:val="0"/>
                                  <w:marBottom w:val="0"/>
                                  <w:divBdr>
                                    <w:top w:val="none" w:sz="0" w:space="0" w:color="auto"/>
                                    <w:left w:val="none" w:sz="0" w:space="0" w:color="auto"/>
                                    <w:bottom w:val="none" w:sz="0" w:space="0" w:color="auto"/>
                                    <w:right w:val="none" w:sz="0" w:space="0" w:color="auto"/>
                                  </w:divBdr>
                                  <w:divsChild>
                                    <w:div w:id="1857884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57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168762">
              <w:marLeft w:val="0"/>
              <w:marRight w:val="0"/>
              <w:marTop w:val="0"/>
              <w:marBottom w:val="0"/>
              <w:divBdr>
                <w:top w:val="none" w:sz="0" w:space="0" w:color="auto"/>
                <w:left w:val="none" w:sz="0" w:space="0" w:color="auto"/>
                <w:bottom w:val="none" w:sz="0" w:space="0" w:color="auto"/>
                <w:right w:val="none" w:sz="0" w:space="0" w:color="auto"/>
              </w:divBdr>
              <w:divsChild>
                <w:div w:id="2019693060">
                  <w:marLeft w:val="0"/>
                  <w:marRight w:val="0"/>
                  <w:marTop w:val="0"/>
                  <w:marBottom w:val="0"/>
                  <w:divBdr>
                    <w:top w:val="none" w:sz="0" w:space="0" w:color="auto"/>
                    <w:left w:val="none" w:sz="0" w:space="0" w:color="auto"/>
                    <w:bottom w:val="none" w:sz="0" w:space="0" w:color="auto"/>
                    <w:right w:val="none" w:sz="0" w:space="0" w:color="auto"/>
                  </w:divBdr>
                  <w:divsChild>
                    <w:div w:id="1464159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1584106">
      <w:bodyDiv w:val="1"/>
      <w:marLeft w:val="0"/>
      <w:marRight w:val="0"/>
      <w:marTop w:val="0"/>
      <w:marBottom w:val="0"/>
      <w:divBdr>
        <w:top w:val="none" w:sz="0" w:space="0" w:color="auto"/>
        <w:left w:val="none" w:sz="0" w:space="0" w:color="auto"/>
        <w:bottom w:val="none" w:sz="0" w:space="0" w:color="auto"/>
        <w:right w:val="none" w:sz="0" w:space="0" w:color="auto"/>
      </w:divBdr>
    </w:div>
    <w:div w:id="2119836483">
      <w:bodyDiv w:val="1"/>
      <w:marLeft w:val="0"/>
      <w:marRight w:val="0"/>
      <w:marTop w:val="0"/>
      <w:marBottom w:val="0"/>
      <w:divBdr>
        <w:top w:val="none" w:sz="0" w:space="0" w:color="auto"/>
        <w:left w:val="none" w:sz="0" w:space="0" w:color="auto"/>
        <w:bottom w:val="none" w:sz="0" w:space="0" w:color="auto"/>
        <w:right w:val="none" w:sz="0" w:space="0" w:color="auto"/>
      </w:divBdr>
    </w:div>
    <w:div w:id="2130081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microsoft.com/office/2011/relationships/commentsExtended" Target="commentsExtended.xml"/><Relationship Id="rId26" Type="http://schemas.openxmlformats.org/officeDocument/2006/relationships/hyperlink" Target="https://doi.org/10.1145/3726122.3726195" TargetMode="External"/><Relationship Id="rId3" Type="http://schemas.openxmlformats.org/officeDocument/2006/relationships/customXml" Target="../customXml/item3.xml"/><Relationship Id="rId21" Type="http://schemas.openxmlformats.org/officeDocument/2006/relationships/hyperlink" Target="https://doi.org/10.1038/s41598-025-25457-8"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comments" Target="comments.xml"/><Relationship Id="rId25" Type="http://schemas.openxmlformats.org/officeDocument/2006/relationships/hyperlink" Target="https://doi.org/10.3389/fbloc.2025.1667848" TargetMode="External"/><Relationship Id="rId2" Type="http://schemas.openxmlformats.org/officeDocument/2006/relationships/customXml" Target="../customXml/item2.xml"/><Relationship Id="rId16" Type="http://schemas.openxmlformats.org/officeDocument/2006/relationships/footer" Target="footer2.xml"/><Relationship Id="rId20" Type="http://schemas.microsoft.com/office/2018/08/relationships/commentsExtensible" Target="commentsExtensible.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1177/10245294241258255" TargetMode="Externa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doi.org/10.3389/fbloc.2025.1463633" TargetMode="External"/><Relationship Id="rId28" Type="http://schemas.openxmlformats.org/officeDocument/2006/relationships/hyperlink" Target="https://doi.org/10.1038/s41599-025-05473-9" TargetMode="External"/><Relationship Id="rId10" Type="http://schemas.openxmlformats.org/officeDocument/2006/relationships/endnotes" Target="endnotes.xml"/><Relationship Id="rId19" Type="http://schemas.microsoft.com/office/2016/09/relationships/commentsIds" Target="commentsIds.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doi.org/10.3389/fbloc.2025.1551970" TargetMode="External"/><Relationship Id="rId27" Type="http://schemas.openxmlformats.org/officeDocument/2006/relationships/hyperlink" Target="https://doi.org/10.33168/JSMS.2024.0516" TargetMode="External"/><Relationship Id="rId30"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61"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FE9A668-CCE8-48AB-B9DA-A8F86A3908CC}">
  <we:reference id="wa200010453" version="1.0.0.1" store="en-US" storeType="OMEX"/>
  <we:alternateReferences>
    <we:reference id="WA200010453" version="1.0.0.1" store="" storeType="OMEX"/>
  </we:alternateReferences>
  <we:properties>
    <we:property name="claude.fileId" value="&quot;a630c31b-89e5-48a8-a2df-cfb18ca24d61&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4b106c9-87e3-4fcd-b583-f769cefd044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CB68CE954168C47BAB44675E2961C29" ma:contentTypeVersion="18" ma:contentTypeDescription="Create a new document." ma:contentTypeScope="" ma:versionID="f40321997d1165aa0ec0bbea340b73e3">
  <xsd:schema xmlns:xsd="http://www.w3.org/2001/XMLSchema" xmlns:xs="http://www.w3.org/2001/XMLSchema" xmlns:p="http://schemas.microsoft.com/office/2006/metadata/properties" xmlns:ns3="c4b106c9-87e3-4fcd-b583-f769cefd0445" xmlns:ns4="6644ccbd-e963-4d07-926d-d8394ecf9693" targetNamespace="http://schemas.microsoft.com/office/2006/metadata/properties" ma:root="true" ma:fieldsID="c765b5e687282f431537d8014a507daa" ns3:_="" ns4:_="">
    <xsd:import namespace="c4b106c9-87e3-4fcd-b583-f769cefd0445"/>
    <xsd:import namespace="6644ccbd-e963-4d07-926d-d8394ecf969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ServiceLocation" minOccurs="0"/>
                <xsd:element ref="ns3:_activity"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b106c9-87e3-4fcd-b583-f769cefd04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644ccbd-e963-4d07-926d-d8394ecf969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C6F5C39-FB2A-4CEF-A3CD-97484E161995}">
  <ds:schemaRefs>
    <ds:schemaRef ds:uri="http://schemas.openxmlformats.org/officeDocument/2006/bibliography"/>
  </ds:schemaRefs>
</ds:datastoreItem>
</file>

<file path=customXml/itemProps2.xml><?xml version="1.0" encoding="utf-8"?>
<ds:datastoreItem xmlns:ds="http://schemas.openxmlformats.org/officeDocument/2006/customXml" ds:itemID="{6818BBA5-3CEA-4F86-8185-20072C1CA093}">
  <ds:schemaRefs>
    <ds:schemaRef ds:uri="http://schemas.microsoft.com/sharepoint/v3/contenttype/forms"/>
  </ds:schemaRefs>
</ds:datastoreItem>
</file>

<file path=customXml/itemProps3.xml><?xml version="1.0" encoding="utf-8"?>
<ds:datastoreItem xmlns:ds="http://schemas.openxmlformats.org/officeDocument/2006/customXml" ds:itemID="{DB37E97E-A9C8-4D68-BDC5-99D5114F1612}">
  <ds:schemaRefs>
    <ds:schemaRef ds:uri="http://schemas.microsoft.com/office/2006/metadata/properties"/>
    <ds:schemaRef ds:uri="http://schemas.microsoft.com/office/infopath/2007/PartnerControls"/>
    <ds:schemaRef ds:uri="c4b106c9-87e3-4fcd-b583-f769cefd0445"/>
  </ds:schemaRefs>
</ds:datastoreItem>
</file>

<file path=customXml/itemProps4.xml><?xml version="1.0" encoding="utf-8"?>
<ds:datastoreItem xmlns:ds="http://schemas.openxmlformats.org/officeDocument/2006/customXml" ds:itemID="{85F627E1-AFEA-4745-9947-3947D50358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b106c9-87e3-4fcd-b583-f769cefd0445"/>
    <ds:schemaRef ds:uri="6644ccbd-e963-4d07-926d-d8394ecf96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379ab6df-5e57-45e5-88c1-c1b425beebef}" enabled="1" method="Standard" siteId="{e96504a0-5c81-4d1b-87b9-6512a39894d2}" removed="0"/>
</clbl:labelList>
</file>

<file path=docProps/app.xml><?xml version="1.0" encoding="utf-8"?>
<Properties xmlns="http://schemas.openxmlformats.org/officeDocument/2006/extended-properties" xmlns:vt="http://schemas.openxmlformats.org/officeDocument/2006/docPropsVTypes">
  <Template>Normal.dotm</Template>
  <TotalTime>58</TotalTime>
  <Pages>1</Pages>
  <Words>27009</Words>
  <Characters>153954</Characters>
  <Application>Microsoft Office Word</Application>
  <DocSecurity>0</DocSecurity>
  <Lines>1282</Lines>
  <Paragraphs>361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180602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Faisal</dc:creator>
  <cp:lastModifiedBy>A</cp:lastModifiedBy>
  <cp:revision>7</cp:revision>
  <cp:lastPrinted>2025-12-29T16:09:00Z</cp:lastPrinted>
  <dcterms:created xsi:type="dcterms:W3CDTF">2026-08-20T06:52:00Z</dcterms:created>
  <dcterms:modified xsi:type="dcterms:W3CDTF">2026-09-16T02:42:00Z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0x010100CCB68CE954168C47BAB44675E2961C29</vt:lpwstr>
  </property>
</Properties>
</file>