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F2E30" w:rsidRDefault="009125CE">
      <w:pPr>
        <w:rPr>
          <w:rFonts w:ascii="Simplified Arabic" w:hAnsi="Simplified Arabic" w:cs="Simplified Arabic"/>
          <w:b/>
          <w:bCs/>
          <w:sz w:val="24"/>
          <w:szCs w:val="24"/>
          <w:lang w:bidi="ar-EG"/>
        </w:rPr>
      </w:pPr>
      <w:r w:rsidRPr="00AF2E30">
        <w:rPr>
          <w:rFonts w:ascii="Simplified Arabic" w:hAnsi="Simplified Arabic" w:cs="Simplified Arabic"/>
          <w:b/>
          <w:bCs/>
          <w:sz w:val="24"/>
          <w:szCs w:val="24"/>
          <w:rtl/>
          <w:lang w:bidi="ar-EG"/>
        </w:rPr>
        <w:t xml:space="preserve">جامعة </w:t>
      </w:r>
      <w:proofErr w:type="spellStart"/>
      <w:r w:rsidRPr="00AF2E30">
        <w:rPr>
          <w:rFonts w:ascii="Simplified Arabic" w:hAnsi="Simplified Arabic" w:cs="Simplified Arabic"/>
          <w:b/>
          <w:bCs/>
          <w:sz w:val="24"/>
          <w:szCs w:val="24"/>
          <w:rtl/>
          <w:lang w:bidi="ar-EG"/>
        </w:rPr>
        <w:t>ميدأوشن</w:t>
      </w:r>
      <w:proofErr w:type="spellEnd"/>
      <w:r w:rsidRPr="00AF2E30">
        <w:rPr>
          <w:rFonts w:ascii="Simplified Arabic" w:hAnsi="Simplified Arabic" w:cs="Simplified Arabic"/>
          <w:b/>
          <w:bCs/>
          <w:sz w:val="24"/>
          <w:szCs w:val="24"/>
          <w:rtl/>
          <w:lang w:bidi="ar-EG"/>
        </w:rPr>
        <w:t xml:space="preserve"> </w:t>
      </w:r>
    </w:p>
    <w:p w14:paraId="1E957002" w14:textId="04B27A9D" w:rsidR="00F546CE" w:rsidRPr="00AF2E30" w:rsidRDefault="009125CE">
      <w:pPr>
        <w:rPr>
          <w:rFonts w:ascii="Simplified Arabic" w:hAnsi="Simplified Arabic" w:cs="Simplified Arabic"/>
          <w:b/>
          <w:bCs/>
          <w:sz w:val="24"/>
          <w:szCs w:val="24"/>
          <w:rtl/>
          <w:lang w:bidi="ar-EG"/>
        </w:rPr>
      </w:pPr>
      <w:r w:rsidRPr="00AF2E30">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F2E30">
        <w:rPr>
          <w:rFonts w:ascii="Simplified Arabic" w:hAnsi="Simplified Arabic" w:cs="Simplified Arabic"/>
          <w:b/>
          <w:bCs/>
          <w:sz w:val="24"/>
          <w:szCs w:val="24"/>
          <w:lang w:bidi="ar-EG"/>
        </w:rPr>
        <w:t xml:space="preserve">    </w:t>
      </w:r>
      <w:r w:rsidRPr="00AF2E30">
        <w:rPr>
          <w:rFonts w:ascii="Simplified Arabic" w:hAnsi="Simplified Arabic" w:cs="Simplified Arabic"/>
          <w:b/>
          <w:bCs/>
          <w:sz w:val="24"/>
          <w:szCs w:val="24"/>
          <w:rtl/>
          <w:lang w:bidi="ar-EG"/>
        </w:rPr>
        <w:t xml:space="preserve">كلية الإدارة </w:t>
      </w:r>
    </w:p>
    <w:p w14:paraId="11A91486" w14:textId="33BA7307" w:rsidR="009125CE" w:rsidRPr="00AF2E30" w:rsidRDefault="00AF2E30">
      <w:pPr>
        <w:rPr>
          <w:rFonts w:ascii="Simplified Arabic" w:hAnsi="Simplified Arabic" w:cs="Simplified Arabic"/>
          <w:sz w:val="24"/>
          <w:szCs w:val="24"/>
          <w:rtl/>
          <w:lang w:bidi="ar-EG"/>
        </w:rPr>
      </w:pPr>
      <w:r w:rsidRPr="00AF2E30">
        <w:rPr>
          <w:rFonts w:ascii="Simplified Arabic" w:hAnsi="Simplified Arabic" w:cs="Simplified Arabic"/>
          <w:b/>
          <w:bCs/>
          <w:sz w:val="24"/>
          <w:szCs w:val="24"/>
          <w:rtl/>
          <w:lang w:bidi="ar-EG"/>
        </w:rPr>
        <w:t xml:space="preserve">قسم / تخصص </w:t>
      </w:r>
      <w:proofErr w:type="gramStart"/>
      <w:r w:rsidRPr="00AF2E30">
        <w:rPr>
          <w:rFonts w:ascii="Simplified Arabic" w:hAnsi="Simplified Arabic" w:cs="Simplified Arabic"/>
          <w:b/>
          <w:bCs/>
          <w:sz w:val="24"/>
          <w:szCs w:val="24"/>
          <w:rtl/>
          <w:lang w:bidi="ar-EG"/>
        </w:rPr>
        <w:t>ماجستير  إدارة</w:t>
      </w:r>
      <w:proofErr w:type="gramEnd"/>
      <w:r w:rsidRPr="00AF2E30">
        <w:rPr>
          <w:rFonts w:ascii="Simplified Arabic" w:hAnsi="Simplified Arabic" w:cs="Simplified Arabic"/>
          <w:b/>
          <w:bCs/>
          <w:sz w:val="24"/>
          <w:szCs w:val="24"/>
          <w:rtl/>
          <w:lang w:bidi="ar-EG"/>
        </w:rPr>
        <w:t xml:space="preserve"> المخاطر</w:t>
      </w:r>
    </w:p>
    <w:p w14:paraId="3A7BF367" w14:textId="77777777" w:rsidR="009125CE" w:rsidRPr="00AF2E30" w:rsidRDefault="009125CE" w:rsidP="009125CE">
      <w:pPr>
        <w:rPr>
          <w:rFonts w:ascii="Simplified Arabic" w:hAnsi="Simplified Arabic" w:cs="Simplified Arabic"/>
          <w:sz w:val="24"/>
          <w:szCs w:val="24"/>
          <w:rtl/>
          <w:lang w:bidi="ar-EG"/>
        </w:rPr>
      </w:pPr>
    </w:p>
    <w:p w14:paraId="5F6542BF" w14:textId="77777777" w:rsidR="009125CE" w:rsidRPr="00AF2E30" w:rsidRDefault="009125CE" w:rsidP="009125CE">
      <w:pPr>
        <w:rPr>
          <w:rFonts w:ascii="Simplified Arabic" w:hAnsi="Simplified Arabic" w:cs="Simplified Arabic"/>
          <w:sz w:val="24"/>
          <w:szCs w:val="24"/>
          <w:rtl/>
          <w:lang w:bidi="ar-EG"/>
        </w:rPr>
      </w:pPr>
    </w:p>
    <w:p w14:paraId="43F414A4" w14:textId="1F7AE2F5" w:rsidR="00AF2E30" w:rsidRPr="00AF2E30" w:rsidRDefault="009125CE" w:rsidP="00AF2E30">
      <w:pPr>
        <w:jc w:val="center"/>
        <w:rPr>
          <w:rFonts w:ascii="Simplified Arabic" w:hAnsi="Simplified Arabic" w:cs="Simplified Arabic"/>
          <w:b/>
          <w:bCs/>
          <w:sz w:val="24"/>
          <w:szCs w:val="24"/>
          <w:rtl/>
          <w:lang w:bidi="ar-EG"/>
        </w:rPr>
      </w:pPr>
      <w:r w:rsidRPr="00AF2E30">
        <w:rPr>
          <w:rFonts w:ascii="Simplified Arabic" w:hAnsi="Simplified Arabic" w:cs="Simplified Arabic"/>
          <w:b/>
          <w:bCs/>
          <w:sz w:val="24"/>
          <w:szCs w:val="24"/>
          <w:rtl/>
          <w:lang w:bidi="ar-EG"/>
        </w:rPr>
        <w:t xml:space="preserve">العنوان باللغة العربية </w:t>
      </w:r>
    </w:p>
    <w:p w14:paraId="05C8B697" w14:textId="77777777" w:rsidR="00AF2E30" w:rsidRPr="00AF2E30" w:rsidRDefault="00AF2E30" w:rsidP="00AF2E30">
      <w:pPr>
        <w:jc w:val="center"/>
        <w:rPr>
          <w:rFonts w:ascii="Simplified Arabic" w:hAnsi="Simplified Arabic" w:cs="Simplified Arabic"/>
          <w:sz w:val="28"/>
          <w:szCs w:val="28"/>
          <w:lang w:bidi="ar-EG"/>
        </w:rPr>
      </w:pPr>
    </w:p>
    <w:p w14:paraId="00117EA0" w14:textId="77777777" w:rsidR="00AF2E30" w:rsidRPr="00AF2E30" w:rsidRDefault="00AF2E30" w:rsidP="00AF2E30">
      <w:pPr>
        <w:jc w:val="center"/>
        <w:rPr>
          <w:rFonts w:ascii="Simplified Arabic" w:hAnsi="Simplified Arabic" w:cs="Simplified Arabic"/>
          <w:b/>
          <w:bCs/>
          <w:sz w:val="28"/>
          <w:szCs w:val="28"/>
          <w:rtl/>
          <w:lang w:bidi="ar-EG"/>
        </w:rPr>
      </w:pPr>
      <w:r w:rsidRPr="00AF2E30">
        <w:rPr>
          <w:rFonts w:ascii="Simplified Arabic" w:hAnsi="Simplified Arabic" w:cs="Simplified Arabic"/>
          <w:b/>
          <w:bCs/>
          <w:sz w:val="28"/>
          <w:szCs w:val="28"/>
          <w:rtl/>
          <w:lang w:bidi="ar-EG"/>
        </w:rPr>
        <w:t>عنوان البحث</w:t>
      </w:r>
    </w:p>
    <w:p w14:paraId="3A336358" w14:textId="77777777" w:rsidR="00AF2E30" w:rsidRPr="00AF2E30" w:rsidRDefault="00AF2E30" w:rsidP="00AF2E30">
      <w:pPr>
        <w:jc w:val="center"/>
        <w:rPr>
          <w:rFonts w:ascii="Simplified Arabic" w:hAnsi="Simplified Arabic" w:cs="Simplified Arabic"/>
          <w:b/>
          <w:bCs/>
          <w:color w:val="385623" w:themeColor="accent6" w:themeShade="80"/>
          <w:sz w:val="28"/>
          <w:szCs w:val="28"/>
          <w:rtl/>
        </w:rPr>
      </w:pPr>
      <w:r w:rsidRPr="00AF2E30">
        <w:rPr>
          <w:rFonts w:ascii="Simplified Arabic" w:hAnsi="Simplified Arabic" w:cs="Simplified Arabic"/>
          <w:b/>
          <w:bCs/>
          <w:color w:val="385623" w:themeColor="accent6" w:themeShade="80"/>
          <w:sz w:val="28"/>
          <w:szCs w:val="28"/>
          <w:rtl/>
        </w:rPr>
        <w:t>تحليل جاهزية النظام الصحي السعودي للتعامل مع المخاطر الإشعاعية والنووية.</w:t>
      </w:r>
    </w:p>
    <w:p w14:paraId="6076E8AE" w14:textId="77777777" w:rsidR="00AF2E30" w:rsidRPr="00AF2E30" w:rsidRDefault="00AF2E30" w:rsidP="00AF2E30">
      <w:pPr>
        <w:jc w:val="center"/>
        <w:rPr>
          <w:rFonts w:ascii="Simplified Arabic" w:hAnsi="Simplified Arabic" w:cs="Simplified Arabic"/>
          <w:b/>
          <w:bCs/>
          <w:sz w:val="28"/>
          <w:szCs w:val="28"/>
          <w:rtl/>
          <w:lang w:bidi="ar-EG"/>
        </w:rPr>
      </w:pPr>
    </w:p>
    <w:p w14:paraId="4CC94E27" w14:textId="77777777" w:rsidR="00AF2E30" w:rsidRPr="00AF2E30" w:rsidRDefault="00AF2E30" w:rsidP="00AF2E30">
      <w:pPr>
        <w:jc w:val="center"/>
        <w:rPr>
          <w:rFonts w:ascii="Simplified Arabic" w:hAnsi="Simplified Arabic" w:cs="Simplified Arabic"/>
          <w:b/>
          <w:bCs/>
          <w:sz w:val="28"/>
          <w:szCs w:val="28"/>
          <w:rtl/>
          <w:lang w:bidi="ar-EG"/>
        </w:rPr>
      </w:pPr>
      <w:r w:rsidRPr="00AF2E30">
        <w:rPr>
          <w:rFonts w:ascii="Simplified Arabic" w:hAnsi="Simplified Arabic" w:cs="Simplified Arabic"/>
          <w:b/>
          <w:bCs/>
          <w:sz w:val="28"/>
          <w:szCs w:val="28"/>
          <w:rtl/>
          <w:lang w:bidi="ar-EG"/>
        </w:rPr>
        <w:t>إعداد الطالب/</w:t>
      </w:r>
    </w:p>
    <w:p w14:paraId="61C7FA12" w14:textId="77777777" w:rsidR="00AF2E30" w:rsidRPr="00AF2E30" w:rsidRDefault="00AF2E30" w:rsidP="00AF2E30">
      <w:pPr>
        <w:jc w:val="center"/>
        <w:rPr>
          <w:rFonts w:ascii="Simplified Arabic" w:hAnsi="Simplified Arabic" w:cs="Simplified Arabic"/>
          <w:b/>
          <w:bCs/>
          <w:sz w:val="28"/>
          <w:szCs w:val="28"/>
          <w:rtl/>
          <w:lang w:bidi="ar-EG"/>
        </w:rPr>
      </w:pPr>
      <w:r w:rsidRPr="00AF2E30">
        <w:rPr>
          <w:rFonts w:ascii="Simplified Arabic" w:hAnsi="Simplified Arabic" w:cs="Simplified Arabic"/>
          <w:b/>
          <w:bCs/>
          <w:sz w:val="28"/>
          <w:szCs w:val="28"/>
          <w:rtl/>
          <w:lang w:bidi="ar-EG"/>
        </w:rPr>
        <w:t xml:space="preserve">نبأ علي أحمد المغسل </w:t>
      </w:r>
    </w:p>
    <w:p w14:paraId="4FD15E74" w14:textId="77777777" w:rsidR="00AF2E30" w:rsidRPr="00AF2E30" w:rsidRDefault="00AF2E30" w:rsidP="00AF2E30">
      <w:pPr>
        <w:jc w:val="center"/>
        <w:rPr>
          <w:rFonts w:ascii="Simplified Arabic" w:hAnsi="Simplified Arabic" w:cs="Simplified Arabic"/>
          <w:b/>
          <w:bCs/>
          <w:sz w:val="28"/>
          <w:szCs w:val="28"/>
          <w:lang w:bidi="ar-EG"/>
        </w:rPr>
      </w:pPr>
      <w:r w:rsidRPr="00AF2E30">
        <w:rPr>
          <w:rFonts w:ascii="Simplified Arabic" w:hAnsi="Simplified Arabic" w:cs="Simplified Arabic"/>
          <w:b/>
          <w:bCs/>
          <w:sz w:val="28"/>
          <w:szCs w:val="28"/>
          <w:rtl/>
          <w:lang w:bidi="ar-EG"/>
        </w:rPr>
        <w:t xml:space="preserve">الرقم الجامعي </w:t>
      </w:r>
      <w:r w:rsidRPr="00AF2E30">
        <w:rPr>
          <w:rFonts w:ascii="Simplified Arabic" w:hAnsi="Simplified Arabic" w:cs="Simplified Arabic"/>
          <w:b/>
          <w:bCs/>
          <w:sz w:val="28"/>
          <w:szCs w:val="28"/>
          <w:rtl/>
        </w:rPr>
        <w:t>/</w:t>
      </w:r>
      <w:r w:rsidRPr="00AF2E30">
        <w:rPr>
          <w:rFonts w:ascii="Simplified Arabic" w:hAnsi="Simplified Arabic" w:cs="Simplified Arabic"/>
          <w:b/>
          <w:bCs/>
          <w:sz w:val="28"/>
          <w:szCs w:val="28"/>
          <w:lang w:bidi="ar-EG"/>
        </w:rPr>
        <w:t xml:space="preserve">251003236 </w:t>
      </w:r>
    </w:p>
    <w:p w14:paraId="2E2160C8" w14:textId="77777777" w:rsidR="00AF2E30" w:rsidRPr="00AF2E30" w:rsidRDefault="00AF2E30" w:rsidP="00AF2E30">
      <w:pPr>
        <w:jc w:val="center"/>
        <w:rPr>
          <w:rFonts w:ascii="Simplified Arabic" w:hAnsi="Simplified Arabic" w:cs="Simplified Arabic"/>
          <w:b/>
          <w:bCs/>
          <w:sz w:val="28"/>
          <w:szCs w:val="28"/>
          <w:rtl/>
          <w:lang w:bidi="ar-EG"/>
        </w:rPr>
      </w:pPr>
    </w:p>
    <w:p w14:paraId="518AADED" w14:textId="77777777" w:rsidR="00AF2E30" w:rsidRPr="00AF2E30" w:rsidRDefault="00AF2E30" w:rsidP="00AF2E30">
      <w:pPr>
        <w:jc w:val="center"/>
        <w:rPr>
          <w:rFonts w:ascii="Simplified Arabic" w:hAnsi="Simplified Arabic" w:cs="Simplified Arabic"/>
          <w:b/>
          <w:bCs/>
          <w:sz w:val="28"/>
          <w:szCs w:val="28"/>
          <w:rtl/>
          <w:lang w:bidi="ar-EG"/>
        </w:rPr>
      </w:pPr>
      <w:r w:rsidRPr="00AF2E30">
        <w:rPr>
          <w:rFonts w:ascii="Simplified Arabic" w:hAnsi="Simplified Arabic" w:cs="Simplified Arabic"/>
          <w:b/>
          <w:bCs/>
          <w:sz w:val="28"/>
          <w:szCs w:val="28"/>
          <w:rtl/>
          <w:lang w:bidi="ar-EG"/>
        </w:rPr>
        <w:t>إشراف/</w:t>
      </w:r>
    </w:p>
    <w:p w14:paraId="503F2BB2" w14:textId="77777777" w:rsidR="00AF2E30" w:rsidRPr="00AF2E30" w:rsidRDefault="00AF2E30" w:rsidP="00AF2E30">
      <w:pPr>
        <w:jc w:val="center"/>
        <w:rPr>
          <w:rFonts w:ascii="Simplified Arabic" w:hAnsi="Simplified Arabic" w:cs="Simplified Arabic"/>
          <w:b/>
          <w:bCs/>
          <w:sz w:val="28"/>
          <w:szCs w:val="28"/>
          <w:rtl/>
          <w:lang w:bidi="ar-EG"/>
        </w:rPr>
      </w:pPr>
      <w:proofErr w:type="spellStart"/>
      <w:proofErr w:type="gramStart"/>
      <w:r w:rsidRPr="00AF2E30">
        <w:rPr>
          <w:rFonts w:ascii="Simplified Arabic" w:hAnsi="Simplified Arabic" w:cs="Simplified Arabic"/>
          <w:b/>
          <w:bCs/>
          <w:sz w:val="28"/>
          <w:szCs w:val="28"/>
          <w:rtl/>
          <w:lang w:bidi="ar-EG"/>
        </w:rPr>
        <w:t>د.الفيصل</w:t>
      </w:r>
      <w:proofErr w:type="spellEnd"/>
      <w:proofErr w:type="gramEnd"/>
      <w:r w:rsidRPr="00AF2E30">
        <w:rPr>
          <w:rFonts w:ascii="Simplified Arabic" w:hAnsi="Simplified Arabic" w:cs="Simplified Arabic"/>
          <w:b/>
          <w:bCs/>
          <w:sz w:val="28"/>
          <w:szCs w:val="28"/>
          <w:rtl/>
          <w:lang w:bidi="ar-EG"/>
        </w:rPr>
        <w:t xml:space="preserve"> عبد الحميد</w:t>
      </w:r>
    </w:p>
    <w:p w14:paraId="227C3A43" w14:textId="77777777" w:rsidR="00AF2E30" w:rsidRPr="00AF2E30" w:rsidRDefault="00AF2E30" w:rsidP="00AF2E30">
      <w:pPr>
        <w:jc w:val="center"/>
        <w:rPr>
          <w:rFonts w:ascii="Simplified Arabic" w:hAnsi="Simplified Arabic" w:cs="Simplified Arabic"/>
          <w:b/>
          <w:bCs/>
          <w:sz w:val="28"/>
          <w:szCs w:val="28"/>
          <w:rtl/>
          <w:lang w:bidi="ar-EG"/>
        </w:rPr>
      </w:pPr>
      <w:proofErr w:type="spellStart"/>
      <w:proofErr w:type="gramStart"/>
      <w:r w:rsidRPr="00AF2E30">
        <w:rPr>
          <w:rFonts w:ascii="Simplified Arabic" w:hAnsi="Simplified Arabic" w:cs="Simplified Arabic"/>
          <w:b/>
          <w:bCs/>
          <w:sz w:val="28"/>
          <w:szCs w:val="28"/>
          <w:rtl/>
          <w:lang w:bidi="ar-EG"/>
        </w:rPr>
        <w:t>د.فايز</w:t>
      </w:r>
      <w:proofErr w:type="spellEnd"/>
      <w:proofErr w:type="gramEnd"/>
      <w:r w:rsidRPr="00AF2E30">
        <w:rPr>
          <w:rFonts w:ascii="Simplified Arabic" w:hAnsi="Simplified Arabic" w:cs="Simplified Arabic"/>
          <w:b/>
          <w:bCs/>
          <w:sz w:val="28"/>
          <w:szCs w:val="28"/>
          <w:rtl/>
          <w:lang w:bidi="ar-EG"/>
        </w:rPr>
        <w:t xml:space="preserve"> جراد</w:t>
      </w:r>
    </w:p>
    <w:p w14:paraId="12D3D3B7" w14:textId="77777777" w:rsidR="00AF2E30" w:rsidRPr="00AF2E30" w:rsidRDefault="00AF2E30" w:rsidP="00AF2E30">
      <w:pPr>
        <w:jc w:val="center"/>
        <w:rPr>
          <w:rFonts w:ascii="Simplified Arabic" w:hAnsi="Simplified Arabic" w:cs="Simplified Arabic"/>
          <w:b/>
          <w:bCs/>
          <w:sz w:val="28"/>
          <w:szCs w:val="28"/>
          <w:rtl/>
          <w:lang w:bidi="ar-EG"/>
        </w:rPr>
      </w:pPr>
    </w:p>
    <w:p w14:paraId="636DCFDF" w14:textId="77777777" w:rsidR="00AF2E30" w:rsidRPr="00AF2E30" w:rsidRDefault="00AF2E30" w:rsidP="00AF2E30">
      <w:pPr>
        <w:jc w:val="center"/>
        <w:rPr>
          <w:rFonts w:ascii="Simplified Arabic" w:hAnsi="Simplified Arabic" w:cs="Simplified Arabic"/>
          <w:b/>
          <w:bCs/>
          <w:sz w:val="28"/>
          <w:szCs w:val="28"/>
          <w:rtl/>
          <w:lang w:bidi="ar-EG"/>
        </w:rPr>
      </w:pPr>
    </w:p>
    <w:p w14:paraId="06CC874A" w14:textId="77777777" w:rsidR="00AF2E30" w:rsidRPr="00AF2E30" w:rsidRDefault="00AF2E30" w:rsidP="00AF2E30">
      <w:pPr>
        <w:jc w:val="center"/>
        <w:rPr>
          <w:rFonts w:ascii="Simplified Arabic" w:hAnsi="Simplified Arabic" w:cs="Simplified Arabic"/>
          <w:b/>
          <w:bCs/>
          <w:sz w:val="28"/>
          <w:szCs w:val="28"/>
          <w:rtl/>
          <w:lang w:bidi="ar-EG"/>
        </w:rPr>
      </w:pPr>
      <w:r w:rsidRPr="00AF2E30">
        <w:rPr>
          <w:rFonts w:ascii="Simplified Arabic" w:hAnsi="Simplified Arabic" w:cs="Simplified Arabic"/>
          <w:b/>
          <w:bCs/>
          <w:sz w:val="28"/>
          <w:szCs w:val="28"/>
          <w:rtl/>
          <w:lang w:bidi="ar-EG"/>
        </w:rPr>
        <w:t>العام الدراسي:</w:t>
      </w:r>
    </w:p>
    <w:p w14:paraId="6F6EDD39" w14:textId="77777777" w:rsidR="00AF2E30" w:rsidRPr="00AF2E30" w:rsidRDefault="00AF2E30" w:rsidP="00AF2E30">
      <w:pPr>
        <w:jc w:val="center"/>
        <w:rPr>
          <w:rFonts w:ascii="Simplified Arabic" w:hAnsi="Simplified Arabic" w:cs="Simplified Arabic"/>
          <w:b/>
          <w:bCs/>
          <w:sz w:val="28"/>
          <w:szCs w:val="28"/>
          <w:rtl/>
          <w:lang w:bidi="ar-EG"/>
        </w:rPr>
      </w:pPr>
      <w:r w:rsidRPr="00AF2E30">
        <w:rPr>
          <w:rFonts w:ascii="Simplified Arabic" w:hAnsi="Simplified Arabic" w:cs="Simplified Arabic"/>
          <w:b/>
          <w:bCs/>
          <w:sz w:val="28"/>
          <w:szCs w:val="28"/>
          <w:rtl/>
          <w:lang w:bidi="ar-EG"/>
        </w:rPr>
        <w:t>2025</w:t>
      </w:r>
    </w:p>
    <w:p w14:paraId="71099ADB" w14:textId="77777777" w:rsidR="009125CE" w:rsidRPr="00AF2E30" w:rsidRDefault="009125CE" w:rsidP="009125CE">
      <w:pPr>
        <w:jc w:val="center"/>
        <w:rPr>
          <w:rFonts w:ascii="Simplified Arabic" w:hAnsi="Simplified Arabic" w:cs="Simplified Arabic"/>
          <w:b/>
          <w:bCs/>
          <w:sz w:val="24"/>
          <w:szCs w:val="24"/>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tbl>
      <w:tblPr>
        <w:tblStyle w:val="5-5"/>
        <w:bidiVisual/>
        <w:tblW w:w="0" w:type="auto"/>
        <w:tblInd w:w="973" w:type="dxa"/>
        <w:tblLook w:val="04A0" w:firstRow="1" w:lastRow="0" w:firstColumn="1" w:lastColumn="0" w:noHBand="0" w:noVBand="1"/>
      </w:tblPr>
      <w:tblGrid>
        <w:gridCol w:w="890"/>
        <w:gridCol w:w="6520"/>
      </w:tblGrid>
      <w:tr w:rsidR="00A24C70" w:rsidRPr="00DB3CB7" w14:paraId="7376FBD4" w14:textId="77777777" w:rsidTr="00A24C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7F67FD7E" w14:textId="480ED0F6" w:rsidR="00A24C70" w:rsidRPr="00DB3CB7" w:rsidRDefault="00A24C70" w:rsidP="009125CE">
            <w:pPr>
              <w:rPr>
                <w:rFonts w:ascii="Sakkal Majalla" w:hAnsi="Sakkal Majalla" w:cs="Sakkal Majalla"/>
                <w:rtl/>
                <w:lang w:bidi="ar-EG"/>
              </w:rPr>
            </w:pPr>
            <w:r w:rsidRPr="00DB3CB7">
              <w:rPr>
                <w:rFonts w:ascii="Sakkal Majalla" w:hAnsi="Sakkal Majalla" w:cs="Sakkal Majalla" w:hint="cs"/>
                <w:rtl/>
                <w:lang w:bidi="ar-EG"/>
              </w:rPr>
              <w:t xml:space="preserve">رقم </w:t>
            </w:r>
          </w:p>
        </w:tc>
        <w:tc>
          <w:tcPr>
            <w:tcW w:w="6520" w:type="dxa"/>
            <w:vAlign w:val="center"/>
          </w:tcPr>
          <w:p w14:paraId="36FFBD32" w14:textId="497ED7C7" w:rsidR="00A24C70" w:rsidRPr="00A24C70" w:rsidRDefault="00A24C70" w:rsidP="00A24C7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المحتوى</w:t>
            </w:r>
          </w:p>
        </w:tc>
      </w:tr>
      <w:tr w:rsidR="00A24C70" w:rsidRPr="00DB3CB7" w14:paraId="6F0D04AF"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44A1134A" w14:textId="6C54A022" w:rsidR="00A24C70" w:rsidRPr="00DB3CB7" w:rsidRDefault="00A24C70" w:rsidP="009125CE">
            <w:pPr>
              <w:rPr>
                <w:rFonts w:ascii="Sakkal Majalla" w:hAnsi="Sakkal Majalla" w:cs="Sakkal Majalla"/>
                <w:u w:val="single"/>
                <w:rtl/>
                <w:lang w:bidi="ar-EG"/>
              </w:rPr>
            </w:pPr>
            <w:r w:rsidRPr="00DB3CB7">
              <w:rPr>
                <w:rFonts w:ascii="Sakkal Majalla" w:hAnsi="Sakkal Majalla" w:cs="Sakkal Majalla" w:hint="cs"/>
                <w:u w:val="single"/>
                <w:rtl/>
                <w:lang w:bidi="ar-EG"/>
              </w:rPr>
              <w:t>1</w:t>
            </w:r>
          </w:p>
        </w:tc>
        <w:tc>
          <w:tcPr>
            <w:tcW w:w="6520" w:type="dxa"/>
            <w:vAlign w:val="center"/>
          </w:tcPr>
          <w:p w14:paraId="36A7FC76" w14:textId="58962FBC"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المستخلص</w:t>
            </w:r>
          </w:p>
        </w:tc>
      </w:tr>
      <w:tr w:rsidR="00A24C70" w:rsidRPr="00DB3CB7" w14:paraId="5E9937D1"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629B792F" w14:textId="22C4D893" w:rsidR="00A24C70" w:rsidRPr="00DB3CB7" w:rsidRDefault="00A24C70" w:rsidP="009125CE">
            <w:pPr>
              <w:rPr>
                <w:rFonts w:ascii="Sakkal Majalla" w:hAnsi="Sakkal Majalla" w:cs="Sakkal Majalla" w:hint="cs"/>
                <w:u w:val="single"/>
                <w:rtl/>
                <w:lang w:bidi="ar-EG"/>
              </w:rPr>
            </w:pPr>
            <w:r w:rsidRPr="00DB3CB7">
              <w:rPr>
                <w:rFonts w:ascii="Sakkal Majalla" w:hAnsi="Sakkal Majalla" w:cs="Sakkal Majalla"/>
                <w:u w:val="single"/>
                <w:lang w:bidi="ar-EG"/>
              </w:rPr>
              <w:t>2</w:t>
            </w:r>
          </w:p>
        </w:tc>
        <w:tc>
          <w:tcPr>
            <w:tcW w:w="6520" w:type="dxa"/>
            <w:vAlign w:val="center"/>
          </w:tcPr>
          <w:p w14:paraId="0184F112" w14:textId="49D24599"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A24C70">
              <w:rPr>
                <w:rFonts w:ascii="Simplified Arabic" w:hAnsi="Simplified Arabic" w:cs="Simplified Arabic"/>
                <w:lang w:bidi="ar-EG"/>
              </w:rPr>
              <w:t>Abstract</w:t>
            </w:r>
          </w:p>
        </w:tc>
      </w:tr>
      <w:tr w:rsidR="00A24C70" w:rsidRPr="00DB3CB7" w14:paraId="26D6A3CC"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7A0550DE" w14:textId="74B538A5" w:rsidR="00A24C70" w:rsidRPr="00DB3CB7" w:rsidRDefault="00A24C70" w:rsidP="009125CE">
            <w:pPr>
              <w:rPr>
                <w:rFonts w:ascii="Sakkal Majalla" w:hAnsi="Sakkal Majalla" w:cs="Sakkal Majalla"/>
                <w:u w:val="single"/>
                <w:rtl/>
                <w:lang w:bidi="ar-EG"/>
              </w:rPr>
            </w:pPr>
            <w:r w:rsidRPr="00DB3CB7">
              <w:rPr>
                <w:rFonts w:ascii="Sakkal Majalla" w:hAnsi="Sakkal Majalla" w:cs="Sakkal Majalla"/>
                <w:u w:val="single"/>
                <w:lang w:bidi="ar-EG"/>
              </w:rPr>
              <w:t>3</w:t>
            </w:r>
          </w:p>
        </w:tc>
        <w:tc>
          <w:tcPr>
            <w:tcW w:w="6520" w:type="dxa"/>
            <w:vAlign w:val="center"/>
          </w:tcPr>
          <w:p w14:paraId="6179A0E3" w14:textId="14B216BE"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 xml:space="preserve">الفصل </w:t>
            </w:r>
            <w:proofErr w:type="gramStart"/>
            <w:r w:rsidRPr="00A24C70">
              <w:rPr>
                <w:rFonts w:ascii="Simplified Arabic" w:hAnsi="Simplified Arabic" w:cs="Simplified Arabic"/>
                <w:rtl/>
                <w:lang w:bidi="ar-EG"/>
              </w:rPr>
              <w:t>الأول :</w:t>
            </w:r>
            <w:proofErr w:type="gramEnd"/>
            <w:r w:rsidRPr="00A24C70">
              <w:rPr>
                <w:rFonts w:ascii="Simplified Arabic" w:hAnsi="Simplified Arabic" w:cs="Simplified Arabic"/>
                <w:rtl/>
                <w:lang w:bidi="ar-EG"/>
              </w:rPr>
              <w:t xml:space="preserve"> المقدمة</w:t>
            </w:r>
          </w:p>
        </w:tc>
      </w:tr>
      <w:tr w:rsidR="00A24C70" w:rsidRPr="00DB3CB7" w14:paraId="7CCDDDB1"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440238ED" w14:textId="26E1017B" w:rsidR="00A24C70" w:rsidRPr="00DB3CB7" w:rsidRDefault="00A24C70" w:rsidP="009125CE">
            <w:pPr>
              <w:rPr>
                <w:rFonts w:ascii="Sakkal Majalla" w:hAnsi="Sakkal Majalla" w:cs="Sakkal Majalla"/>
                <w:u w:val="single"/>
                <w:rtl/>
                <w:lang w:bidi="ar-EG"/>
              </w:rPr>
            </w:pPr>
            <w:r w:rsidRPr="00DB3CB7">
              <w:rPr>
                <w:rFonts w:ascii="Sakkal Majalla" w:hAnsi="Sakkal Majalla" w:cs="Sakkal Majalla"/>
                <w:u w:val="single"/>
                <w:lang w:bidi="ar-EG"/>
              </w:rPr>
              <w:t>3-1</w:t>
            </w:r>
          </w:p>
        </w:tc>
        <w:tc>
          <w:tcPr>
            <w:tcW w:w="6520" w:type="dxa"/>
            <w:vAlign w:val="center"/>
          </w:tcPr>
          <w:p w14:paraId="13569F81" w14:textId="0F1F2987"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مقدمة</w:t>
            </w:r>
          </w:p>
        </w:tc>
      </w:tr>
      <w:tr w:rsidR="00A24C70" w:rsidRPr="00DB3CB7" w14:paraId="444E8809"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77D50A51" w14:textId="119F737C" w:rsidR="00A24C70" w:rsidRPr="00DB3CB7" w:rsidRDefault="00A24C70" w:rsidP="009125CE">
            <w:pPr>
              <w:rPr>
                <w:rFonts w:ascii="Sakkal Majalla" w:hAnsi="Sakkal Majalla" w:cs="Sakkal Majalla"/>
                <w:u w:val="single"/>
                <w:rtl/>
                <w:lang w:bidi="ar-EG"/>
              </w:rPr>
            </w:pPr>
            <w:r w:rsidRPr="00DB3CB7">
              <w:rPr>
                <w:rFonts w:ascii="Sakkal Majalla" w:hAnsi="Sakkal Majalla" w:cs="Sakkal Majalla"/>
                <w:u w:val="single"/>
                <w:lang w:bidi="ar-EG"/>
              </w:rPr>
              <w:t>3-2</w:t>
            </w:r>
          </w:p>
        </w:tc>
        <w:tc>
          <w:tcPr>
            <w:tcW w:w="6520" w:type="dxa"/>
            <w:vAlign w:val="center"/>
          </w:tcPr>
          <w:p w14:paraId="00BED919" w14:textId="3988E3DB"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مشكلة الدراسة</w:t>
            </w:r>
          </w:p>
        </w:tc>
      </w:tr>
      <w:tr w:rsidR="00A24C70" w:rsidRPr="00DB3CB7" w14:paraId="520F04FA"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02D7A68C" w14:textId="34AB5BF6" w:rsidR="00A24C70" w:rsidRPr="00DB3CB7" w:rsidRDefault="00A24C70" w:rsidP="009125CE">
            <w:pPr>
              <w:rPr>
                <w:rFonts w:ascii="Sakkal Majalla" w:hAnsi="Sakkal Majalla" w:cs="Sakkal Majalla"/>
                <w:u w:val="single"/>
                <w:rtl/>
                <w:lang w:bidi="ar-EG"/>
              </w:rPr>
            </w:pPr>
            <w:r w:rsidRPr="00DB3CB7">
              <w:rPr>
                <w:rFonts w:ascii="Sakkal Majalla" w:hAnsi="Sakkal Majalla" w:cs="Sakkal Majalla"/>
                <w:u w:val="single"/>
                <w:lang w:bidi="ar-EG"/>
              </w:rPr>
              <w:t>3-3</w:t>
            </w:r>
          </w:p>
        </w:tc>
        <w:tc>
          <w:tcPr>
            <w:tcW w:w="6520" w:type="dxa"/>
            <w:vAlign w:val="center"/>
          </w:tcPr>
          <w:p w14:paraId="13C5A078" w14:textId="539A0ACB"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أهمية الدراسة</w:t>
            </w:r>
          </w:p>
        </w:tc>
      </w:tr>
      <w:tr w:rsidR="00A24C70" w:rsidRPr="00DB3CB7" w14:paraId="30D59C83"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25221005" w14:textId="73BF0EB2" w:rsidR="00A24C70" w:rsidRPr="00DB3CB7" w:rsidRDefault="00A24C70" w:rsidP="009125CE">
            <w:pPr>
              <w:rPr>
                <w:rFonts w:ascii="Sakkal Majalla" w:hAnsi="Sakkal Majalla" w:cs="Sakkal Majalla"/>
                <w:u w:val="single"/>
                <w:rtl/>
                <w:lang w:bidi="ar-EG"/>
              </w:rPr>
            </w:pPr>
            <w:r w:rsidRPr="00DB3CB7">
              <w:rPr>
                <w:rFonts w:ascii="Sakkal Majalla" w:hAnsi="Sakkal Majalla" w:cs="Sakkal Majalla"/>
                <w:u w:val="single"/>
                <w:lang w:bidi="ar-EG"/>
              </w:rPr>
              <w:t>3-4</w:t>
            </w:r>
          </w:p>
        </w:tc>
        <w:tc>
          <w:tcPr>
            <w:tcW w:w="6520" w:type="dxa"/>
            <w:vAlign w:val="center"/>
          </w:tcPr>
          <w:p w14:paraId="26CD46E4" w14:textId="579CFD77"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أهداف الدراسة</w:t>
            </w:r>
          </w:p>
        </w:tc>
      </w:tr>
      <w:tr w:rsidR="00A24C70" w:rsidRPr="00DB3CB7" w14:paraId="48FC0F1E"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0A6691FD" w14:textId="50266BF6" w:rsidR="00A24C70" w:rsidRPr="00DB3CB7" w:rsidRDefault="00A24C70" w:rsidP="009125CE">
            <w:pPr>
              <w:rPr>
                <w:rFonts w:ascii="Sakkal Majalla" w:hAnsi="Sakkal Majalla" w:cs="Sakkal Majalla"/>
                <w:u w:val="single"/>
                <w:rtl/>
                <w:lang w:bidi="ar-EG"/>
              </w:rPr>
            </w:pPr>
            <w:r w:rsidRPr="00DB3CB7">
              <w:rPr>
                <w:rFonts w:ascii="Sakkal Majalla" w:hAnsi="Sakkal Majalla" w:cs="Sakkal Majalla"/>
                <w:u w:val="single"/>
                <w:lang w:bidi="ar-EG"/>
              </w:rPr>
              <w:t>3-5</w:t>
            </w:r>
          </w:p>
        </w:tc>
        <w:tc>
          <w:tcPr>
            <w:tcW w:w="6520" w:type="dxa"/>
            <w:vAlign w:val="center"/>
          </w:tcPr>
          <w:p w14:paraId="1BFB43DF" w14:textId="3CB49167"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proofErr w:type="spellStart"/>
            <w:r w:rsidRPr="00A24C70">
              <w:rPr>
                <w:rFonts w:ascii="Simplified Arabic" w:hAnsi="Simplified Arabic" w:cs="Simplified Arabic"/>
                <w:rtl/>
                <w:lang w:bidi="ar-EG"/>
              </w:rPr>
              <w:t>تساؤولات</w:t>
            </w:r>
            <w:proofErr w:type="spellEnd"/>
            <w:r w:rsidRPr="00A24C70">
              <w:rPr>
                <w:rFonts w:ascii="Simplified Arabic" w:hAnsi="Simplified Arabic" w:cs="Simplified Arabic"/>
                <w:rtl/>
                <w:lang w:bidi="ar-EG"/>
              </w:rPr>
              <w:t xml:space="preserve"> الدراسة</w:t>
            </w:r>
          </w:p>
        </w:tc>
      </w:tr>
      <w:tr w:rsidR="00A24C70" w:rsidRPr="00DB3CB7" w14:paraId="63CAF1A7"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492F6E7A" w14:textId="4CDFADB7" w:rsidR="00A24C70" w:rsidRPr="00DB3CB7" w:rsidRDefault="00A24C70" w:rsidP="009125CE">
            <w:pPr>
              <w:rPr>
                <w:rFonts w:ascii="Sakkal Majalla" w:hAnsi="Sakkal Majalla" w:cs="Sakkal Majalla"/>
                <w:u w:val="single"/>
                <w:rtl/>
                <w:lang w:bidi="ar-EG"/>
              </w:rPr>
            </w:pPr>
            <w:r w:rsidRPr="00DB3CB7">
              <w:rPr>
                <w:rFonts w:ascii="Sakkal Majalla" w:hAnsi="Sakkal Majalla" w:cs="Sakkal Majalla"/>
                <w:u w:val="single"/>
                <w:lang w:bidi="ar-EG"/>
              </w:rPr>
              <w:t>3-6</w:t>
            </w:r>
          </w:p>
        </w:tc>
        <w:tc>
          <w:tcPr>
            <w:tcW w:w="6520" w:type="dxa"/>
            <w:vAlign w:val="center"/>
          </w:tcPr>
          <w:p w14:paraId="3BAE1038" w14:textId="763AE7B8"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فروض الدراسة</w:t>
            </w:r>
          </w:p>
        </w:tc>
      </w:tr>
      <w:tr w:rsidR="00A24C70" w:rsidRPr="00DB3CB7" w14:paraId="2799A5D3"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362D03C0" w14:textId="0142397B" w:rsidR="00A24C70" w:rsidRPr="00DB3CB7" w:rsidRDefault="00A24C70" w:rsidP="009125CE">
            <w:pPr>
              <w:rPr>
                <w:rFonts w:ascii="Sakkal Majalla" w:hAnsi="Sakkal Majalla" w:cs="Sakkal Majalla"/>
                <w:u w:val="single"/>
                <w:rtl/>
                <w:lang w:bidi="ar-EG"/>
              </w:rPr>
            </w:pPr>
            <w:r w:rsidRPr="00DB3CB7">
              <w:rPr>
                <w:rFonts w:ascii="Sakkal Majalla" w:hAnsi="Sakkal Majalla" w:cs="Sakkal Majalla"/>
                <w:u w:val="single"/>
                <w:lang w:bidi="ar-EG"/>
              </w:rPr>
              <w:t>3-7</w:t>
            </w:r>
          </w:p>
        </w:tc>
        <w:tc>
          <w:tcPr>
            <w:tcW w:w="6520" w:type="dxa"/>
            <w:vAlign w:val="center"/>
          </w:tcPr>
          <w:p w14:paraId="77F59FCF" w14:textId="4CD86CBD"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النظرية العلمية المتبعة لإعداد البحث</w:t>
            </w:r>
          </w:p>
        </w:tc>
      </w:tr>
      <w:tr w:rsidR="00A24C70" w:rsidRPr="00DB3CB7" w14:paraId="0F5BADCE"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1C3D0CC7" w14:textId="64A3D5A9" w:rsidR="00A24C70" w:rsidRPr="00DB3CB7" w:rsidRDefault="00A24C70" w:rsidP="009125CE">
            <w:pPr>
              <w:rPr>
                <w:rFonts w:ascii="Sakkal Majalla" w:hAnsi="Sakkal Majalla" w:cs="Sakkal Majalla"/>
                <w:u w:val="single"/>
                <w:rtl/>
                <w:lang w:bidi="ar-EG"/>
              </w:rPr>
            </w:pPr>
            <w:r w:rsidRPr="00DB3CB7">
              <w:rPr>
                <w:rFonts w:ascii="Sakkal Majalla" w:hAnsi="Sakkal Majalla" w:cs="Sakkal Majalla"/>
                <w:u w:val="single"/>
                <w:lang w:bidi="ar-EG"/>
              </w:rPr>
              <w:t>4</w:t>
            </w:r>
          </w:p>
        </w:tc>
        <w:tc>
          <w:tcPr>
            <w:tcW w:w="6520" w:type="dxa"/>
            <w:vAlign w:val="center"/>
          </w:tcPr>
          <w:p w14:paraId="6D1FEDFB" w14:textId="25D061E8"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 xml:space="preserve">الفصل </w:t>
            </w:r>
            <w:proofErr w:type="gramStart"/>
            <w:r w:rsidRPr="00A24C70">
              <w:rPr>
                <w:rFonts w:ascii="Simplified Arabic" w:hAnsi="Simplified Arabic" w:cs="Simplified Arabic"/>
                <w:rtl/>
                <w:lang w:bidi="ar-EG"/>
              </w:rPr>
              <w:t>الثاني :</w:t>
            </w:r>
            <w:proofErr w:type="gramEnd"/>
            <w:r w:rsidRPr="00A24C70">
              <w:rPr>
                <w:rFonts w:ascii="Simplified Arabic" w:hAnsi="Simplified Arabic" w:cs="Simplified Arabic"/>
                <w:rtl/>
                <w:lang w:bidi="ar-EG"/>
              </w:rPr>
              <w:t xml:space="preserve"> الدراسات السابقة </w:t>
            </w:r>
            <w:proofErr w:type="gramStart"/>
            <w:r w:rsidRPr="00A24C70">
              <w:rPr>
                <w:rFonts w:ascii="Simplified Arabic" w:hAnsi="Simplified Arabic" w:cs="Simplified Arabic"/>
                <w:rtl/>
                <w:lang w:bidi="ar-EG"/>
              </w:rPr>
              <w:t>و الإطار</w:t>
            </w:r>
            <w:proofErr w:type="gramEnd"/>
            <w:r w:rsidRPr="00A24C70">
              <w:rPr>
                <w:rFonts w:ascii="Simplified Arabic" w:hAnsi="Simplified Arabic" w:cs="Simplified Arabic"/>
                <w:rtl/>
                <w:lang w:bidi="ar-EG"/>
              </w:rPr>
              <w:t xml:space="preserve"> النظري</w:t>
            </w:r>
          </w:p>
        </w:tc>
      </w:tr>
      <w:tr w:rsidR="00A24C70" w:rsidRPr="00DB3CB7" w14:paraId="640E084E"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6ADCA53B" w14:textId="6EC4A1B2" w:rsidR="00A24C70" w:rsidRPr="00DB3CB7" w:rsidRDefault="00A24C70" w:rsidP="009125CE">
            <w:pPr>
              <w:rPr>
                <w:rFonts w:ascii="Sakkal Majalla" w:hAnsi="Sakkal Majalla" w:cs="Sakkal Majalla"/>
                <w:u w:val="single"/>
                <w:rtl/>
                <w:lang w:bidi="ar-EG"/>
              </w:rPr>
            </w:pPr>
            <w:r>
              <w:rPr>
                <w:rFonts w:ascii="Sakkal Majalla" w:hAnsi="Sakkal Majalla" w:cs="Sakkal Majalla" w:hint="cs"/>
                <w:u w:val="single"/>
                <w:rtl/>
                <w:lang w:bidi="ar-EG"/>
              </w:rPr>
              <w:t>1-4</w:t>
            </w:r>
          </w:p>
        </w:tc>
        <w:tc>
          <w:tcPr>
            <w:tcW w:w="6520" w:type="dxa"/>
            <w:vAlign w:val="center"/>
          </w:tcPr>
          <w:p w14:paraId="2DBBB24F" w14:textId="4648D38D"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A24C70">
              <w:rPr>
                <w:rFonts w:ascii="Simplified Arabic" w:hAnsi="Simplified Arabic" w:cs="Simplified Arabic"/>
                <w:rtl/>
              </w:rPr>
              <w:t>مقدمة</w:t>
            </w:r>
          </w:p>
        </w:tc>
      </w:tr>
      <w:tr w:rsidR="00A24C70" w:rsidRPr="00DB3CB7" w14:paraId="43FE4498"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591BA51E" w14:textId="4EF61F7B" w:rsidR="00A24C70" w:rsidRPr="00DB3CB7" w:rsidRDefault="00A24C70" w:rsidP="009125CE">
            <w:pPr>
              <w:rPr>
                <w:rFonts w:ascii="Sakkal Majalla" w:hAnsi="Sakkal Majalla" w:cs="Sakkal Majalla"/>
                <w:u w:val="single"/>
                <w:rtl/>
                <w:lang w:bidi="ar-EG"/>
              </w:rPr>
            </w:pPr>
            <w:r>
              <w:rPr>
                <w:rFonts w:ascii="Sakkal Majalla" w:hAnsi="Sakkal Majalla" w:cs="Sakkal Majalla" w:hint="cs"/>
                <w:u w:val="single"/>
                <w:rtl/>
                <w:lang w:bidi="ar-EG"/>
              </w:rPr>
              <w:t>2-4</w:t>
            </w:r>
          </w:p>
        </w:tc>
        <w:tc>
          <w:tcPr>
            <w:tcW w:w="6520" w:type="dxa"/>
            <w:vAlign w:val="center"/>
          </w:tcPr>
          <w:p w14:paraId="149A44B8" w14:textId="72E8B2FE"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الدراسات العالمية</w:t>
            </w:r>
          </w:p>
        </w:tc>
      </w:tr>
      <w:tr w:rsidR="00A24C70" w:rsidRPr="00DB3CB7" w14:paraId="7ABE8A6A"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462921C2" w14:textId="52475D3C" w:rsidR="00A24C70" w:rsidRPr="00DB3CB7" w:rsidRDefault="00A24C70" w:rsidP="009125CE">
            <w:pPr>
              <w:rPr>
                <w:rFonts w:ascii="Sakkal Majalla" w:hAnsi="Sakkal Majalla" w:cs="Sakkal Majalla"/>
                <w:u w:val="single"/>
                <w:rtl/>
                <w:lang w:bidi="ar-EG"/>
              </w:rPr>
            </w:pPr>
            <w:r>
              <w:rPr>
                <w:rFonts w:ascii="Sakkal Majalla" w:hAnsi="Sakkal Majalla" w:cs="Sakkal Majalla" w:hint="cs"/>
                <w:u w:val="single"/>
                <w:rtl/>
                <w:lang w:bidi="ar-EG"/>
              </w:rPr>
              <w:t>3-4</w:t>
            </w:r>
          </w:p>
        </w:tc>
        <w:tc>
          <w:tcPr>
            <w:tcW w:w="6520" w:type="dxa"/>
            <w:vAlign w:val="center"/>
          </w:tcPr>
          <w:p w14:paraId="3300F9CD" w14:textId="25E20FC5"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 xml:space="preserve">الدراسات الإقليمية </w:t>
            </w:r>
            <w:proofErr w:type="gramStart"/>
            <w:r w:rsidRPr="00A24C70">
              <w:rPr>
                <w:rFonts w:ascii="Simplified Arabic" w:hAnsi="Simplified Arabic" w:cs="Simplified Arabic"/>
                <w:rtl/>
                <w:lang w:bidi="ar-EG"/>
              </w:rPr>
              <w:t>و العربية</w:t>
            </w:r>
            <w:proofErr w:type="gramEnd"/>
          </w:p>
        </w:tc>
      </w:tr>
      <w:tr w:rsidR="00A24C70" w:rsidRPr="00DB3CB7" w14:paraId="03DAC910"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6D68A301" w14:textId="09D88F7C" w:rsidR="00A24C70" w:rsidRPr="00DB3CB7" w:rsidRDefault="00A24C70" w:rsidP="009125CE">
            <w:pPr>
              <w:rPr>
                <w:rFonts w:ascii="Sakkal Majalla" w:hAnsi="Sakkal Majalla" w:cs="Sakkal Majalla"/>
                <w:u w:val="single"/>
                <w:rtl/>
                <w:lang w:bidi="ar-EG"/>
              </w:rPr>
            </w:pPr>
            <w:r>
              <w:rPr>
                <w:rFonts w:ascii="Sakkal Majalla" w:hAnsi="Sakkal Majalla" w:cs="Sakkal Majalla" w:hint="cs"/>
                <w:u w:val="single"/>
                <w:rtl/>
                <w:lang w:bidi="ar-EG"/>
              </w:rPr>
              <w:t>4-4</w:t>
            </w:r>
          </w:p>
        </w:tc>
        <w:tc>
          <w:tcPr>
            <w:tcW w:w="6520" w:type="dxa"/>
            <w:vAlign w:val="center"/>
          </w:tcPr>
          <w:p w14:paraId="62425506" w14:textId="6427B441"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الدراسات السعودية</w:t>
            </w:r>
          </w:p>
        </w:tc>
      </w:tr>
      <w:tr w:rsidR="00A24C70" w:rsidRPr="00DB3CB7" w14:paraId="38CCA2D1"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51D76C72" w14:textId="143CD42B" w:rsidR="00A24C70" w:rsidRPr="00DB3CB7" w:rsidRDefault="00A24C70" w:rsidP="009125CE">
            <w:pPr>
              <w:rPr>
                <w:rFonts w:ascii="Sakkal Majalla" w:hAnsi="Sakkal Majalla" w:cs="Sakkal Majalla"/>
                <w:u w:val="single"/>
                <w:rtl/>
                <w:lang w:bidi="ar-EG"/>
              </w:rPr>
            </w:pPr>
            <w:r>
              <w:rPr>
                <w:rFonts w:ascii="Sakkal Majalla" w:hAnsi="Sakkal Majalla" w:cs="Sakkal Majalla" w:hint="cs"/>
                <w:u w:val="single"/>
                <w:rtl/>
                <w:lang w:bidi="ar-EG"/>
              </w:rPr>
              <w:t>5-4</w:t>
            </w:r>
          </w:p>
        </w:tc>
        <w:tc>
          <w:tcPr>
            <w:tcW w:w="6520" w:type="dxa"/>
            <w:vAlign w:val="center"/>
          </w:tcPr>
          <w:p w14:paraId="50682C00" w14:textId="623B16B9"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التجليل النقدي للدراسات السابقة</w:t>
            </w:r>
          </w:p>
        </w:tc>
      </w:tr>
      <w:tr w:rsidR="00A24C70" w:rsidRPr="00DB3CB7" w14:paraId="6C2910CB"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33D91F09" w14:textId="7CA42E57" w:rsidR="00A24C70" w:rsidRPr="00DB3CB7" w:rsidRDefault="00A24C70" w:rsidP="009125CE">
            <w:pPr>
              <w:rPr>
                <w:rFonts w:ascii="Sakkal Majalla" w:hAnsi="Sakkal Majalla" w:cs="Sakkal Majalla"/>
                <w:u w:val="single"/>
                <w:rtl/>
                <w:lang w:bidi="ar-EG"/>
              </w:rPr>
            </w:pPr>
            <w:r>
              <w:rPr>
                <w:rFonts w:ascii="Sakkal Majalla" w:hAnsi="Sakkal Majalla" w:cs="Sakkal Majalla" w:hint="cs"/>
                <w:u w:val="single"/>
                <w:rtl/>
                <w:lang w:bidi="ar-EG"/>
              </w:rPr>
              <w:t>5</w:t>
            </w:r>
          </w:p>
        </w:tc>
        <w:tc>
          <w:tcPr>
            <w:tcW w:w="6520" w:type="dxa"/>
            <w:vAlign w:val="center"/>
          </w:tcPr>
          <w:p w14:paraId="2B88736A" w14:textId="0FE3B3BE"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 xml:space="preserve">الفصل </w:t>
            </w:r>
            <w:proofErr w:type="gramStart"/>
            <w:r w:rsidRPr="00A24C70">
              <w:rPr>
                <w:rFonts w:ascii="Simplified Arabic" w:hAnsi="Simplified Arabic" w:cs="Simplified Arabic"/>
                <w:rtl/>
                <w:lang w:bidi="ar-EG"/>
              </w:rPr>
              <w:t>الثالث :</w:t>
            </w:r>
            <w:proofErr w:type="gramEnd"/>
            <w:r w:rsidRPr="00A24C70">
              <w:rPr>
                <w:rFonts w:ascii="Simplified Arabic" w:hAnsi="Simplified Arabic" w:cs="Simplified Arabic"/>
                <w:rtl/>
                <w:lang w:bidi="ar-EG"/>
              </w:rPr>
              <w:t xml:space="preserve"> منهجية الدراسة</w:t>
            </w:r>
          </w:p>
        </w:tc>
      </w:tr>
      <w:tr w:rsidR="00A24C70" w:rsidRPr="00DB3CB7" w14:paraId="55CCB69A"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29C12B4B" w14:textId="77F67F47" w:rsidR="00A24C70" w:rsidRPr="00DB3CB7" w:rsidRDefault="00A24C70" w:rsidP="009125CE">
            <w:pPr>
              <w:rPr>
                <w:rFonts w:ascii="Sakkal Majalla" w:hAnsi="Sakkal Majalla" w:cs="Sakkal Majalla"/>
                <w:u w:val="single"/>
                <w:rtl/>
                <w:lang w:bidi="ar-EG"/>
              </w:rPr>
            </w:pPr>
            <w:r>
              <w:rPr>
                <w:rFonts w:ascii="Sakkal Majalla" w:hAnsi="Sakkal Majalla" w:cs="Sakkal Majalla" w:hint="cs"/>
                <w:u w:val="single"/>
                <w:rtl/>
                <w:lang w:bidi="ar-EG"/>
              </w:rPr>
              <w:t>1-5</w:t>
            </w:r>
          </w:p>
        </w:tc>
        <w:tc>
          <w:tcPr>
            <w:tcW w:w="6520" w:type="dxa"/>
            <w:vAlign w:val="center"/>
          </w:tcPr>
          <w:p w14:paraId="72A69A5C" w14:textId="2D732F28"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مقدمة</w:t>
            </w:r>
          </w:p>
        </w:tc>
      </w:tr>
      <w:tr w:rsidR="00A24C70" w:rsidRPr="00DB3CB7" w14:paraId="167B85AC"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12C94773" w14:textId="26EBC65F" w:rsidR="00A24C70" w:rsidRPr="00DB3CB7" w:rsidRDefault="00A24C70" w:rsidP="009125CE">
            <w:pPr>
              <w:rPr>
                <w:rFonts w:ascii="Sakkal Majalla" w:hAnsi="Sakkal Majalla" w:cs="Sakkal Majalla"/>
                <w:u w:val="single"/>
                <w:rtl/>
                <w:lang w:bidi="ar-EG"/>
              </w:rPr>
            </w:pPr>
            <w:r>
              <w:rPr>
                <w:rFonts w:ascii="Sakkal Majalla" w:hAnsi="Sakkal Majalla" w:cs="Sakkal Majalla" w:hint="cs"/>
                <w:u w:val="single"/>
                <w:rtl/>
                <w:lang w:bidi="ar-EG"/>
              </w:rPr>
              <w:t>5-2</w:t>
            </w:r>
          </w:p>
        </w:tc>
        <w:tc>
          <w:tcPr>
            <w:tcW w:w="6520" w:type="dxa"/>
            <w:vAlign w:val="center"/>
          </w:tcPr>
          <w:p w14:paraId="4EC6D108" w14:textId="36E4CEAC"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 xml:space="preserve">المنهجية </w:t>
            </w:r>
            <w:proofErr w:type="gramStart"/>
            <w:r w:rsidRPr="00A24C70">
              <w:rPr>
                <w:rFonts w:ascii="Simplified Arabic" w:hAnsi="Simplified Arabic" w:cs="Simplified Arabic"/>
                <w:rtl/>
                <w:lang w:bidi="ar-EG"/>
              </w:rPr>
              <w:t>و طرق</w:t>
            </w:r>
            <w:proofErr w:type="gramEnd"/>
            <w:r w:rsidRPr="00A24C70">
              <w:rPr>
                <w:rFonts w:ascii="Simplified Arabic" w:hAnsi="Simplified Arabic" w:cs="Simplified Arabic"/>
                <w:rtl/>
                <w:lang w:bidi="ar-EG"/>
              </w:rPr>
              <w:t xml:space="preserve"> البحث</w:t>
            </w:r>
          </w:p>
        </w:tc>
      </w:tr>
      <w:tr w:rsidR="00A24C70" w:rsidRPr="00DB3CB7" w14:paraId="634BAEF0"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0CF9378D" w14:textId="7F3AFE87" w:rsidR="00A24C70" w:rsidRPr="00DB3CB7" w:rsidRDefault="00A24C70" w:rsidP="009125CE">
            <w:pPr>
              <w:rPr>
                <w:rFonts w:ascii="Sakkal Majalla" w:hAnsi="Sakkal Majalla" w:cs="Sakkal Majalla"/>
                <w:u w:val="single"/>
                <w:rtl/>
                <w:lang w:bidi="ar-EG"/>
              </w:rPr>
            </w:pPr>
            <w:r>
              <w:rPr>
                <w:rFonts w:ascii="Sakkal Majalla" w:hAnsi="Sakkal Majalla" w:cs="Sakkal Majalla" w:hint="cs"/>
                <w:u w:val="single"/>
                <w:rtl/>
                <w:lang w:bidi="ar-EG"/>
              </w:rPr>
              <w:t>5-3</w:t>
            </w:r>
          </w:p>
        </w:tc>
        <w:tc>
          <w:tcPr>
            <w:tcW w:w="6520" w:type="dxa"/>
            <w:vAlign w:val="center"/>
          </w:tcPr>
          <w:p w14:paraId="4FD4DC5C" w14:textId="02D97EB8"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مجتمع الدراسة</w:t>
            </w:r>
          </w:p>
        </w:tc>
      </w:tr>
      <w:tr w:rsidR="00A24C70" w:rsidRPr="00DB3CB7" w14:paraId="1AF1D735"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2D0E9AD5"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24569C3F" w14:textId="1C531CEE"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عينة الدراسة</w:t>
            </w:r>
          </w:p>
        </w:tc>
      </w:tr>
      <w:tr w:rsidR="00A24C70" w:rsidRPr="00DB3CB7" w14:paraId="3586DC55"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32CC8195"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6A9412AF" w14:textId="6CDF1156"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أدوات جمع البيانات</w:t>
            </w:r>
          </w:p>
        </w:tc>
      </w:tr>
      <w:tr w:rsidR="00A24C70" w:rsidRPr="00DB3CB7" w14:paraId="7A4E84F0"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3562EA73"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2EC90EB4" w14:textId="44A90ECC"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أساليب تحليل البيانات</w:t>
            </w:r>
          </w:p>
        </w:tc>
      </w:tr>
      <w:tr w:rsidR="00A24C70" w:rsidRPr="00DB3CB7" w14:paraId="68026377"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0BF66E98"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07FD7C76" w14:textId="24A990F0"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حدود الدراسة</w:t>
            </w:r>
          </w:p>
        </w:tc>
      </w:tr>
      <w:tr w:rsidR="00A24C70" w:rsidRPr="00DB3CB7" w14:paraId="0CBA723C"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3F5781E1"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1B1E66F0" w14:textId="70008983"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 xml:space="preserve">الفصل </w:t>
            </w:r>
            <w:proofErr w:type="gramStart"/>
            <w:r w:rsidRPr="00A24C70">
              <w:rPr>
                <w:rFonts w:ascii="Simplified Arabic" w:hAnsi="Simplified Arabic" w:cs="Simplified Arabic"/>
                <w:rtl/>
                <w:lang w:bidi="ar-EG"/>
              </w:rPr>
              <w:t>الرابع :</w:t>
            </w:r>
            <w:proofErr w:type="gramEnd"/>
            <w:r w:rsidRPr="00A24C70">
              <w:rPr>
                <w:rFonts w:ascii="Simplified Arabic" w:hAnsi="Simplified Arabic" w:cs="Simplified Arabic"/>
                <w:rtl/>
                <w:lang w:bidi="ar-EG"/>
              </w:rPr>
              <w:t xml:space="preserve"> النتائج </w:t>
            </w:r>
            <w:proofErr w:type="gramStart"/>
            <w:r w:rsidRPr="00A24C70">
              <w:rPr>
                <w:rFonts w:ascii="Simplified Arabic" w:hAnsi="Simplified Arabic" w:cs="Simplified Arabic"/>
                <w:rtl/>
                <w:lang w:bidi="ar-EG"/>
              </w:rPr>
              <w:t>و التوصيات</w:t>
            </w:r>
            <w:proofErr w:type="gramEnd"/>
          </w:p>
        </w:tc>
      </w:tr>
      <w:tr w:rsidR="00A24C70" w:rsidRPr="00DB3CB7" w14:paraId="527F7A9A"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678FD525"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13F0DCC3" w14:textId="1829FF16"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مقدمة</w:t>
            </w:r>
          </w:p>
        </w:tc>
      </w:tr>
      <w:tr w:rsidR="00A24C70" w:rsidRPr="00DB3CB7" w14:paraId="093B2F35"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475969D3"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4C3D9240" w14:textId="1E2BB5CD"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تحليل البيانات</w:t>
            </w:r>
          </w:p>
        </w:tc>
      </w:tr>
      <w:tr w:rsidR="00A24C70" w:rsidRPr="00DB3CB7" w14:paraId="66EBFC0A"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4D678295"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17097FA6" w14:textId="0DEA45E7"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النتائج</w:t>
            </w:r>
          </w:p>
        </w:tc>
      </w:tr>
      <w:tr w:rsidR="00A24C70" w:rsidRPr="00DB3CB7" w14:paraId="7069BF00"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21ACE046"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0024B074" w14:textId="6F886CE2"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التوصيات</w:t>
            </w:r>
          </w:p>
        </w:tc>
      </w:tr>
      <w:tr w:rsidR="00A24C70" w:rsidRPr="00DB3CB7" w14:paraId="01569874"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6AC45D47"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0A3B6E1F" w14:textId="5FC5FC42"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المراجع</w:t>
            </w:r>
          </w:p>
        </w:tc>
      </w:tr>
      <w:tr w:rsidR="00A24C70" w:rsidRPr="00DB3CB7" w14:paraId="168F278D" w14:textId="77777777" w:rsidTr="00A24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6165438B"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04DD19CB" w14:textId="496B4804" w:rsidR="00A24C70" w:rsidRPr="00A24C70" w:rsidRDefault="00A24C70" w:rsidP="00A24C7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الملاحق</w:t>
            </w:r>
          </w:p>
        </w:tc>
      </w:tr>
      <w:tr w:rsidR="00A24C70" w:rsidRPr="00DB3CB7" w14:paraId="6B185DBB" w14:textId="77777777" w:rsidTr="00A24C70">
        <w:tc>
          <w:tcPr>
            <w:cnfStyle w:val="001000000000" w:firstRow="0" w:lastRow="0" w:firstColumn="1" w:lastColumn="0" w:oddVBand="0" w:evenVBand="0" w:oddHBand="0" w:evenHBand="0" w:firstRowFirstColumn="0" w:firstRowLastColumn="0" w:lastRowFirstColumn="0" w:lastRowLastColumn="0"/>
            <w:tcW w:w="890" w:type="dxa"/>
          </w:tcPr>
          <w:p w14:paraId="488D57E3" w14:textId="77777777" w:rsidR="00A24C70" w:rsidRPr="00DB3CB7" w:rsidRDefault="00A24C70" w:rsidP="009125CE">
            <w:pPr>
              <w:rPr>
                <w:rFonts w:ascii="Sakkal Majalla" w:hAnsi="Sakkal Majalla" w:cs="Sakkal Majalla"/>
                <w:u w:val="single"/>
                <w:rtl/>
                <w:lang w:bidi="ar-EG"/>
              </w:rPr>
            </w:pPr>
          </w:p>
        </w:tc>
        <w:tc>
          <w:tcPr>
            <w:tcW w:w="6520" w:type="dxa"/>
            <w:vAlign w:val="center"/>
          </w:tcPr>
          <w:p w14:paraId="71716F56" w14:textId="112CCDE1" w:rsidR="00A24C70" w:rsidRPr="00A24C70" w:rsidRDefault="00A24C70" w:rsidP="00A24C7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A24C70">
              <w:rPr>
                <w:rFonts w:ascii="Simplified Arabic" w:hAnsi="Simplified Arabic" w:cs="Simplified Arabic"/>
                <w:rtl/>
                <w:lang w:bidi="ar-EG"/>
              </w:rPr>
              <w:t xml:space="preserve">ملحق </w:t>
            </w:r>
            <w:proofErr w:type="spellStart"/>
            <w:r w:rsidRPr="00A24C70">
              <w:rPr>
                <w:rFonts w:ascii="Simplified Arabic" w:hAnsi="Simplified Arabic" w:cs="Simplified Arabic"/>
                <w:rtl/>
                <w:lang w:bidi="ar-EG"/>
              </w:rPr>
              <w:t>الائستبانة</w:t>
            </w:r>
            <w:proofErr w:type="spellEnd"/>
          </w:p>
        </w:tc>
      </w:tr>
    </w:tbl>
    <w:p w14:paraId="37503B94"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tbl>
      <w:tblPr>
        <w:tblStyle w:val="4-5"/>
        <w:bidiVisual/>
        <w:tblW w:w="0" w:type="auto"/>
        <w:tblLook w:val="04A0" w:firstRow="1" w:lastRow="0" w:firstColumn="1" w:lastColumn="0" w:noHBand="0" w:noVBand="1"/>
      </w:tblPr>
      <w:tblGrid>
        <w:gridCol w:w="1160"/>
        <w:gridCol w:w="3840"/>
        <w:gridCol w:w="709"/>
        <w:gridCol w:w="3113"/>
      </w:tblGrid>
      <w:tr w:rsidR="00B007FF" w14:paraId="3C73250C" w14:textId="77777777" w:rsidTr="00B00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0" w:type="dxa"/>
          </w:tcPr>
          <w:p w14:paraId="0DA8923A" w14:textId="77BFFB2F" w:rsidR="00B007FF" w:rsidRPr="00F22C33" w:rsidRDefault="00B007FF" w:rsidP="009125CE">
            <w:pPr>
              <w:rPr>
                <w:rFonts w:ascii="Simplified Arabic" w:hAnsi="Simplified Arabic" w:cs="Simplified Arabic"/>
                <w:sz w:val="24"/>
                <w:szCs w:val="24"/>
                <w:rtl/>
                <w:lang w:bidi="ar-EG"/>
              </w:rPr>
            </w:pPr>
            <w:r w:rsidRPr="00F22C33">
              <w:rPr>
                <w:rFonts w:ascii="Simplified Arabic" w:hAnsi="Simplified Arabic" w:cs="Simplified Arabic"/>
                <w:sz w:val="24"/>
                <w:szCs w:val="24"/>
                <w:rtl/>
                <w:lang w:bidi="ar-EG"/>
              </w:rPr>
              <w:t xml:space="preserve">أسم الجدول  </w:t>
            </w:r>
            <w:r>
              <w:rPr>
                <w:rFonts w:ascii="Simplified Arabic" w:hAnsi="Simplified Arabic" w:cs="Simplified Arabic" w:hint="cs"/>
                <w:sz w:val="24"/>
                <w:szCs w:val="24"/>
                <w:rtl/>
                <w:lang w:bidi="ar-EG"/>
              </w:rPr>
              <w:t xml:space="preserve">                        </w:t>
            </w:r>
          </w:p>
        </w:tc>
        <w:tc>
          <w:tcPr>
            <w:tcW w:w="3840" w:type="dxa"/>
            <w:vAlign w:val="center"/>
          </w:tcPr>
          <w:p w14:paraId="784FC13F" w14:textId="77777777" w:rsidR="00B007FF" w:rsidRPr="00F22C33" w:rsidRDefault="00B007FF" w:rsidP="00B007F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
        </w:tc>
        <w:tc>
          <w:tcPr>
            <w:tcW w:w="3822" w:type="dxa"/>
            <w:gridSpan w:val="2"/>
            <w:vAlign w:val="center"/>
          </w:tcPr>
          <w:p w14:paraId="16FE7FA2" w14:textId="69DA5730" w:rsidR="00B007FF" w:rsidRPr="00F22C33" w:rsidRDefault="00B007FF" w:rsidP="00B007F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F22C33">
              <w:rPr>
                <w:rFonts w:ascii="Simplified Arabic" w:hAnsi="Simplified Arabic" w:cs="Simplified Arabic"/>
                <w:sz w:val="24"/>
                <w:szCs w:val="24"/>
                <w:rtl/>
                <w:lang w:bidi="ar-EG"/>
              </w:rPr>
              <w:t>رقم الصفحة</w:t>
            </w:r>
          </w:p>
        </w:tc>
      </w:tr>
      <w:tr w:rsidR="00B007FF" w14:paraId="6346B320" w14:textId="77777777" w:rsidTr="00B00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0" w:type="dxa"/>
          </w:tcPr>
          <w:p w14:paraId="286103DE" w14:textId="63639F47" w:rsidR="00B007FF" w:rsidRPr="00F22C33" w:rsidRDefault="00B007FF" w:rsidP="00B007FF">
            <w:pPr>
              <w:rPr>
                <w:rFonts w:ascii="Simplified Arabic" w:hAnsi="Simplified Arabic" w:cs="Simplified Arabic"/>
                <w:sz w:val="24"/>
                <w:szCs w:val="24"/>
                <w:rtl/>
                <w:lang w:bidi="ar-EG"/>
              </w:rPr>
            </w:pPr>
            <w:r w:rsidRPr="00F22C33">
              <w:rPr>
                <w:rFonts w:ascii="Simplified Arabic" w:hAnsi="Simplified Arabic" w:cs="Simplified Arabic"/>
                <w:sz w:val="24"/>
                <w:szCs w:val="24"/>
                <w:rtl/>
                <w:lang w:bidi="ar-EG"/>
              </w:rPr>
              <w:t xml:space="preserve">جدول (1) </w:t>
            </w:r>
          </w:p>
        </w:tc>
        <w:tc>
          <w:tcPr>
            <w:tcW w:w="4549" w:type="dxa"/>
            <w:gridSpan w:val="2"/>
          </w:tcPr>
          <w:p w14:paraId="285D5049" w14:textId="7C17D0C4" w:rsidR="00B007FF" w:rsidRPr="00F22C33" w:rsidRDefault="00B007FF" w:rsidP="00B007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roofErr w:type="gramStart"/>
            <w:r w:rsidRPr="00F22C33">
              <w:rPr>
                <w:rFonts w:ascii="Simplified Arabic" w:hAnsi="Simplified Arabic" w:cs="Simplified Arabic"/>
                <w:sz w:val="24"/>
                <w:szCs w:val="24"/>
                <w:rtl/>
                <w:lang w:bidi="ar-EG"/>
              </w:rPr>
              <w:t>توزيع  أفراد</w:t>
            </w:r>
            <w:proofErr w:type="gramEnd"/>
            <w:r w:rsidRPr="00F22C33">
              <w:rPr>
                <w:rFonts w:ascii="Simplified Arabic" w:hAnsi="Simplified Arabic" w:cs="Simplified Arabic"/>
                <w:sz w:val="24"/>
                <w:szCs w:val="24"/>
                <w:rtl/>
                <w:lang w:bidi="ar-EG"/>
              </w:rPr>
              <w:t xml:space="preserve"> عينة الدراسة حسب الجنس </w:t>
            </w:r>
          </w:p>
        </w:tc>
        <w:tc>
          <w:tcPr>
            <w:tcW w:w="3113" w:type="dxa"/>
          </w:tcPr>
          <w:p w14:paraId="2CDE3291" w14:textId="3E0E7539" w:rsidR="00B007FF" w:rsidRPr="00F22C33" w:rsidRDefault="00B007FF" w:rsidP="00B007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
        </w:tc>
      </w:tr>
      <w:tr w:rsidR="00B007FF" w14:paraId="4CE2755B" w14:textId="77777777" w:rsidTr="00B007FF">
        <w:tc>
          <w:tcPr>
            <w:cnfStyle w:val="001000000000" w:firstRow="0" w:lastRow="0" w:firstColumn="1" w:lastColumn="0" w:oddVBand="0" w:evenVBand="0" w:oddHBand="0" w:evenHBand="0" w:firstRowFirstColumn="0" w:firstRowLastColumn="0" w:lastRowFirstColumn="0" w:lastRowLastColumn="0"/>
            <w:tcW w:w="1160" w:type="dxa"/>
          </w:tcPr>
          <w:p w14:paraId="2A52B349" w14:textId="73388CC1" w:rsidR="00B007FF" w:rsidRPr="00F22C33" w:rsidRDefault="00B007FF" w:rsidP="00B007FF">
            <w:pPr>
              <w:rPr>
                <w:rFonts w:ascii="Simplified Arabic" w:hAnsi="Simplified Arabic" w:cs="Simplified Arabic"/>
                <w:sz w:val="24"/>
                <w:szCs w:val="24"/>
                <w:rtl/>
                <w:lang w:bidi="ar-EG"/>
              </w:rPr>
            </w:pPr>
            <w:r w:rsidRPr="00F22C33">
              <w:rPr>
                <w:rFonts w:ascii="Simplified Arabic" w:hAnsi="Simplified Arabic" w:cs="Simplified Arabic"/>
                <w:sz w:val="24"/>
                <w:szCs w:val="24"/>
                <w:rtl/>
                <w:lang w:bidi="ar-EG"/>
              </w:rPr>
              <w:t>جدول (2)</w:t>
            </w:r>
          </w:p>
        </w:tc>
        <w:tc>
          <w:tcPr>
            <w:tcW w:w="4549" w:type="dxa"/>
            <w:gridSpan w:val="2"/>
          </w:tcPr>
          <w:p w14:paraId="3C09BB65" w14:textId="38B0E404" w:rsidR="00B007FF" w:rsidRPr="00F22C33" w:rsidRDefault="00B007FF" w:rsidP="00B007F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roofErr w:type="gramStart"/>
            <w:r w:rsidRPr="00F22C33">
              <w:rPr>
                <w:rFonts w:ascii="Simplified Arabic" w:hAnsi="Simplified Arabic" w:cs="Simplified Arabic"/>
                <w:sz w:val="24"/>
                <w:szCs w:val="24"/>
                <w:rtl/>
                <w:lang w:bidi="ar-EG"/>
              </w:rPr>
              <w:t>توزيع  أفراد</w:t>
            </w:r>
            <w:proofErr w:type="gramEnd"/>
            <w:r w:rsidRPr="00F22C33">
              <w:rPr>
                <w:rFonts w:ascii="Simplified Arabic" w:hAnsi="Simplified Arabic" w:cs="Simplified Arabic"/>
                <w:sz w:val="24"/>
                <w:szCs w:val="24"/>
                <w:rtl/>
                <w:lang w:bidi="ar-EG"/>
              </w:rPr>
              <w:t xml:space="preserve"> عينة الدراسة حسب الفئة الوظيفية </w:t>
            </w:r>
          </w:p>
        </w:tc>
        <w:tc>
          <w:tcPr>
            <w:tcW w:w="3113" w:type="dxa"/>
          </w:tcPr>
          <w:p w14:paraId="41B4B722" w14:textId="4BB3E698" w:rsidR="00B007FF" w:rsidRPr="00F22C33" w:rsidRDefault="00B007FF" w:rsidP="00B007F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
        </w:tc>
      </w:tr>
      <w:tr w:rsidR="00B007FF" w14:paraId="6EC8CBA8" w14:textId="77777777" w:rsidTr="00B00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0" w:type="dxa"/>
          </w:tcPr>
          <w:p w14:paraId="26BD1461" w14:textId="26D9984A" w:rsidR="00B007FF" w:rsidRPr="00F22C33" w:rsidRDefault="00B007FF" w:rsidP="00B007FF">
            <w:pP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جدول (3)</w:t>
            </w:r>
          </w:p>
        </w:tc>
        <w:tc>
          <w:tcPr>
            <w:tcW w:w="4549" w:type="dxa"/>
            <w:gridSpan w:val="2"/>
          </w:tcPr>
          <w:p w14:paraId="703636CE" w14:textId="75284E2F" w:rsidR="00B007FF" w:rsidRPr="00F22C33" w:rsidRDefault="00B007FF" w:rsidP="00B007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roofErr w:type="gramStart"/>
            <w:r w:rsidRPr="00F22C33">
              <w:rPr>
                <w:rFonts w:ascii="Simplified Arabic" w:hAnsi="Simplified Arabic" w:cs="Simplified Arabic"/>
                <w:sz w:val="24"/>
                <w:szCs w:val="24"/>
                <w:rtl/>
                <w:lang w:bidi="ar-EG"/>
              </w:rPr>
              <w:t>توزيع  أفراد</w:t>
            </w:r>
            <w:proofErr w:type="gramEnd"/>
            <w:r w:rsidRPr="00F22C33">
              <w:rPr>
                <w:rFonts w:ascii="Simplified Arabic" w:hAnsi="Simplified Arabic" w:cs="Simplified Arabic"/>
                <w:sz w:val="24"/>
                <w:szCs w:val="24"/>
                <w:rtl/>
                <w:lang w:bidi="ar-EG"/>
              </w:rPr>
              <w:t xml:space="preserve"> عينة الدراسة حسب </w:t>
            </w:r>
            <w:r>
              <w:rPr>
                <w:rFonts w:ascii="Simplified Arabic" w:hAnsi="Simplified Arabic" w:cs="Simplified Arabic" w:hint="cs"/>
                <w:sz w:val="24"/>
                <w:szCs w:val="24"/>
                <w:rtl/>
                <w:lang w:bidi="ar-EG"/>
              </w:rPr>
              <w:t>سنوات الخبرة</w:t>
            </w:r>
          </w:p>
        </w:tc>
        <w:tc>
          <w:tcPr>
            <w:tcW w:w="3113" w:type="dxa"/>
          </w:tcPr>
          <w:p w14:paraId="3EC38B6E" w14:textId="4FA23BB8" w:rsidR="00B007FF" w:rsidRPr="00F22C33" w:rsidRDefault="00B007FF" w:rsidP="00B007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
        </w:tc>
      </w:tr>
      <w:tr w:rsidR="00B007FF" w14:paraId="0D32E78F" w14:textId="77777777" w:rsidTr="00B007FF">
        <w:tc>
          <w:tcPr>
            <w:cnfStyle w:val="001000000000" w:firstRow="0" w:lastRow="0" w:firstColumn="1" w:lastColumn="0" w:oddVBand="0" w:evenVBand="0" w:oddHBand="0" w:evenHBand="0" w:firstRowFirstColumn="0" w:firstRowLastColumn="0" w:lastRowFirstColumn="0" w:lastRowLastColumn="0"/>
            <w:tcW w:w="1160" w:type="dxa"/>
          </w:tcPr>
          <w:p w14:paraId="43DD1B2F" w14:textId="0B68547B" w:rsidR="00B007FF" w:rsidRDefault="00B007FF" w:rsidP="00B007FF">
            <w:pPr>
              <w:rPr>
                <w:rFonts w:ascii="Simplified Arabic" w:hAnsi="Simplified Arabic" w:cs="Simplified Arabic" w:hint="cs"/>
                <w:sz w:val="24"/>
                <w:szCs w:val="24"/>
                <w:rtl/>
                <w:lang w:bidi="ar-EG"/>
              </w:rPr>
            </w:pPr>
            <w:r>
              <w:rPr>
                <w:rFonts w:ascii="Simplified Arabic" w:hAnsi="Simplified Arabic" w:cs="Simplified Arabic" w:hint="cs"/>
                <w:sz w:val="24"/>
                <w:szCs w:val="24"/>
                <w:rtl/>
                <w:lang w:bidi="ar-EG"/>
              </w:rPr>
              <w:t>جدول (4)</w:t>
            </w:r>
          </w:p>
        </w:tc>
        <w:tc>
          <w:tcPr>
            <w:tcW w:w="4549" w:type="dxa"/>
            <w:gridSpan w:val="2"/>
          </w:tcPr>
          <w:p w14:paraId="64A11BBE" w14:textId="264C4E06" w:rsidR="00B007FF" w:rsidRPr="00F22C33" w:rsidRDefault="00B007FF" w:rsidP="00B007F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roofErr w:type="gramStart"/>
            <w:r w:rsidRPr="00F22C33">
              <w:rPr>
                <w:rFonts w:ascii="Simplified Arabic" w:hAnsi="Simplified Arabic" w:cs="Simplified Arabic"/>
                <w:sz w:val="24"/>
                <w:szCs w:val="24"/>
                <w:rtl/>
                <w:lang w:bidi="ar-EG"/>
              </w:rPr>
              <w:t>توزيع  أفراد</w:t>
            </w:r>
            <w:proofErr w:type="gramEnd"/>
            <w:r w:rsidRPr="00F22C33">
              <w:rPr>
                <w:rFonts w:ascii="Simplified Arabic" w:hAnsi="Simplified Arabic" w:cs="Simplified Arabic"/>
                <w:sz w:val="24"/>
                <w:szCs w:val="24"/>
                <w:rtl/>
                <w:lang w:bidi="ar-EG"/>
              </w:rPr>
              <w:t xml:space="preserve"> عينة الدراسة حسب </w:t>
            </w:r>
            <w:r>
              <w:rPr>
                <w:rFonts w:ascii="Simplified Arabic" w:hAnsi="Simplified Arabic" w:cs="Simplified Arabic" w:hint="cs"/>
                <w:sz w:val="24"/>
                <w:szCs w:val="24"/>
                <w:rtl/>
                <w:lang w:bidi="ar-EG"/>
              </w:rPr>
              <w:t>نوع المنشأة الصحية</w:t>
            </w:r>
          </w:p>
        </w:tc>
        <w:tc>
          <w:tcPr>
            <w:tcW w:w="3113" w:type="dxa"/>
          </w:tcPr>
          <w:p w14:paraId="1468A29C" w14:textId="1DD9EE44" w:rsidR="00B007FF" w:rsidRPr="00F22C33" w:rsidRDefault="00B007FF" w:rsidP="00B007F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
        </w:tc>
      </w:tr>
      <w:tr w:rsidR="00B007FF" w14:paraId="0B59C050" w14:textId="77777777" w:rsidTr="00B00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0" w:type="dxa"/>
          </w:tcPr>
          <w:p w14:paraId="51500093" w14:textId="3A9190D5" w:rsidR="00B007FF" w:rsidRDefault="00B007FF" w:rsidP="00B007FF">
            <w:pPr>
              <w:rPr>
                <w:rFonts w:ascii="Simplified Arabic" w:hAnsi="Simplified Arabic" w:cs="Simplified Arabic" w:hint="cs"/>
                <w:sz w:val="24"/>
                <w:szCs w:val="24"/>
                <w:rtl/>
                <w:lang w:bidi="ar-EG"/>
              </w:rPr>
            </w:pPr>
            <w:r>
              <w:rPr>
                <w:rFonts w:ascii="Simplified Arabic" w:hAnsi="Simplified Arabic" w:cs="Simplified Arabic" w:hint="cs"/>
                <w:sz w:val="24"/>
                <w:szCs w:val="24"/>
                <w:rtl/>
                <w:lang w:bidi="ar-EG"/>
              </w:rPr>
              <w:t>جدول (5)</w:t>
            </w:r>
          </w:p>
        </w:tc>
        <w:tc>
          <w:tcPr>
            <w:tcW w:w="4549" w:type="dxa"/>
            <w:gridSpan w:val="2"/>
          </w:tcPr>
          <w:p w14:paraId="38E2F23E" w14:textId="5859F3DA" w:rsidR="00B007FF" w:rsidRPr="00F22C33" w:rsidRDefault="00B007FF" w:rsidP="00B007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roofErr w:type="gramStart"/>
            <w:r w:rsidRPr="00F22C33">
              <w:rPr>
                <w:rFonts w:ascii="Simplified Arabic" w:hAnsi="Simplified Arabic" w:cs="Simplified Arabic"/>
                <w:sz w:val="24"/>
                <w:szCs w:val="24"/>
                <w:rtl/>
                <w:lang w:bidi="ar-EG"/>
              </w:rPr>
              <w:t>توزيع  أفراد</w:t>
            </w:r>
            <w:proofErr w:type="gramEnd"/>
            <w:r w:rsidRPr="00F22C33">
              <w:rPr>
                <w:rFonts w:ascii="Simplified Arabic" w:hAnsi="Simplified Arabic" w:cs="Simplified Arabic"/>
                <w:sz w:val="24"/>
                <w:szCs w:val="24"/>
                <w:rtl/>
                <w:lang w:bidi="ar-EG"/>
              </w:rPr>
              <w:t xml:space="preserve"> عينة الدراسة حسب </w:t>
            </w:r>
            <w:r>
              <w:rPr>
                <w:rFonts w:ascii="Simplified Arabic" w:hAnsi="Simplified Arabic" w:cs="Simplified Arabic" w:hint="cs"/>
                <w:sz w:val="24"/>
                <w:szCs w:val="24"/>
                <w:rtl/>
                <w:lang w:bidi="ar-EG"/>
              </w:rPr>
              <w:t>المنطقة الصحية</w:t>
            </w:r>
          </w:p>
        </w:tc>
        <w:tc>
          <w:tcPr>
            <w:tcW w:w="3113" w:type="dxa"/>
          </w:tcPr>
          <w:p w14:paraId="0532DD20" w14:textId="4C967A2C" w:rsidR="00B007FF" w:rsidRPr="00F22C33" w:rsidRDefault="00B007FF" w:rsidP="00B007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
        </w:tc>
      </w:tr>
      <w:tr w:rsidR="00B007FF" w14:paraId="008E1ED0" w14:textId="77777777" w:rsidTr="00B007FF">
        <w:tc>
          <w:tcPr>
            <w:cnfStyle w:val="001000000000" w:firstRow="0" w:lastRow="0" w:firstColumn="1" w:lastColumn="0" w:oddVBand="0" w:evenVBand="0" w:oddHBand="0" w:evenHBand="0" w:firstRowFirstColumn="0" w:firstRowLastColumn="0" w:lastRowFirstColumn="0" w:lastRowLastColumn="0"/>
            <w:tcW w:w="1160" w:type="dxa"/>
          </w:tcPr>
          <w:p w14:paraId="01AFDF06" w14:textId="73154E42" w:rsidR="00B007FF" w:rsidRDefault="00B007FF" w:rsidP="00B007FF">
            <w:pPr>
              <w:rPr>
                <w:rFonts w:ascii="Simplified Arabic" w:hAnsi="Simplified Arabic" w:cs="Simplified Arabic" w:hint="cs"/>
                <w:sz w:val="24"/>
                <w:szCs w:val="24"/>
                <w:rtl/>
                <w:lang w:bidi="ar-EG"/>
              </w:rPr>
            </w:pPr>
            <w:r>
              <w:rPr>
                <w:rFonts w:ascii="Simplified Arabic" w:hAnsi="Simplified Arabic" w:cs="Simplified Arabic" w:hint="cs"/>
                <w:sz w:val="24"/>
                <w:szCs w:val="24"/>
                <w:rtl/>
                <w:lang w:bidi="ar-EG"/>
              </w:rPr>
              <w:t>جدول (6)</w:t>
            </w:r>
          </w:p>
        </w:tc>
        <w:tc>
          <w:tcPr>
            <w:tcW w:w="4549" w:type="dxa"/>
            <w:gridSpan w:val="2"/>
          </w:tcPr>
          <w:p w14:paraId="0199C8FA" w14:textId="0DECCA77" w:rsidR="00B007FF" w:rsidRDefault="00B007FF" w:rsidP="00B007F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4"/>
                <w:szCs w:val="24"/>
                <w:rtl/>
                <w:lang w:bidi="ar-EG"/>
              </w:rPr>
            </w:pPr>
            <w:r>
              <w:rPr>
                <w:rFonts w:ascii="Simplified Arabic" w:hAnsi="Simplified Arabic" w:cs="Simplified Arabic" w:hint="cs"/>
                <w:sz w:val="24"/>
                <w:szCs w:val="24"/>
                <w:rtl/>
                <w:lang w:bidi="ar-EG"/>
              </w:rPr>
              <w:t xml:space="preserve">وجود خطة طوارئ إشعاعية محدثة </w:t>
            </w:r>
            <w:proofErr w:type="gramStart"/>
            <w:r>
              <w:rPr>
                <w:rFonts w:ascii="Simplified Arabic" w:hAnsi="Simplified Arabic" w:cs="Simplified Arabic" w:hint="cs"/>
                <w:sz w:val="24"/>
                <w:szCs w:val="24"/>
                <w:rtl/>
                <w:lang w:bidi="ar-EG"/>
              </w:rPr>
              <w:t>و مكتوبة</w:t>
            </w:r>
            <w:proofErr w:type="gramEnd"/>
          </w:p>
        </w:tc>
        <w:tc>
          <w:tcPr>
            <w:tcW w:w="3113" w:type="dxa"/>
          </w:tcPr>
          <w:p w14:paraId="530BA38C" w14:textId="43D9D129" w:rsidR="00B007FF" w:rsidRPr="00F22C33" w:rsidRDefault="00B007FF" w:rsidP="00B007F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
        </w:tc>
      </w:tr>
      <w:tr w:rsidR="00B007FF" w14:paraId="10F2726B" w14:textId="77777777" w:rsidTr="00B00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0" w:type="dxa"/>
          </w:tcPr>
          <w:p w14:paraId="621539B3" w14:textId="4CC6960C" w:rsidR="00B007FF" w:rsidRDefault="00B007FF" w:rsidP="00B007FF">
            <w:pPr>
              <w:rPr>
                <w:rFonts w:ascii="Simplified Arabic" w:hAnsi="Simplified Arabic" w:cs="Simplified Arabic" w:hint="cs"/>
                <w:sz w:val="24"/>
                <w:szCs w:val="24"/>
                <w:rtl/>
                <w:lang w:bidi="ar-EG"/>
              </w:rPr>
            </w:pPr>
            <w:r>
              <w:rPr>
                <w:rFonts w:ascii="Simplified Arabic" w:hAnsi="Simplified Arabic" w:cs="Simplified Arabic" w:hint="cs"/>
                <w:sz w:val="24"/>
                <w:szCs w:val="24"/>
                <w:rtl/>
                <w:lang w:bidi="ar-EG"/>
              </w:rPr>
              <w:t>جدول (7)</w:t>
            </w:r>
          </w:p>
        </w:tc>
        <w:tc>
          <w:tcPr>
            <w:tcW w:w="4549" w:type="dxa"/>
            <w:gridSpan w:val="2"/>
          </w:tcPr>
          <w:p w14:paraId="70BA01DE" w14:textId="501FE9A8" w:rsidR="00B007FF" w:rsidRDefault="00B007FF" w:rsidP="00B007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4"/>
                <w:szCs w:val="24"/>
                <w:rtl/>
                <w:lang w:bidi="ar-EG"/>
              </w:rPr>
            </w:pPr>
            <w:r>
              <w:rPr>
                <w:rFonts w:ascii="Simplified Arabic" w:hAnsi="Simplified Arabic" w:cs="Simplified Arabic" w:hint="cs"/>
                <w:sz w:val="24"/>
                <w:szCs w:val="24"/>
                <w:rtl/>
                <w:lang w:bidi="ar-EG"/>
              </w:rPr>
              <w:t xml:space="preserve">وجود بروتوكولات فرز إشعاعية </w:t>
            </w:r>
          </w:p>
        </w:tc>
        <w:tc>
          <w:tcPr>
            <w:tcW w:w="3113" w:type="dxa"/>
          </w:tcPr>
          <w:p w14:paraId="63536264" w14:textId="1639F04F" w:rsidR="00B007FF" w:rsidRPr="00F22C33" w:rsidRDefault="00B007FF" w:rsidP="00B007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
        </w:tc>
      </w:tr>
      <w:tr w:rsidR="00B007FF" w14:paraId="3C633815" w14:textId="77777777" w:rsidTr="00B007FF">
        <w:tc>
          <w:tcPr>
            <w:cnfStyle w:val="001000000000" w:firstRow="0" w:lastRow="0" w:firstColumn="1" w:lastColumn="0" w:oddVBand="0" w:evenVBand="0" w:oddHBand="0" w:evenHBand="0" w:firstRowFirstColumn="0" w:firstRowLastColumn="0" w:lastRowFirstColumn="0" w:lastRowLastColumn="0"/>
            <w:tcW w:w="1160" w:type="dxa"/>
          </w:tcPr>
          <w:p w14:paraId="6CED6A85" w14:textId="1E945D9D" w:rsidR="00B007FF" w:rsidRDefault="00B007FF" w:rsidP="00B007FF">
            <w:pPr>
              <w:rPr>
                <w:rFonts w:ascii="Simplified Arabic" w:hAnsi="Simplified Arabic" w:cs="Simplified Arabic" w:hint="cs"/>
                <w:sz w:val="24"/>
                <w:szCs w:val="24"/>
                <w:rtl/>
                <w:lang w:bidi="ar-EG"/>
              </w:rPr>
            </w:pPr>
            <w:r>
              <w:rPr>
                <w:rFonts w:ascii="Simplified Arabic" w:hAnsi="Simplified Arabic" w:cs="Simplified Arabic" w:hint="cs"/>
                <w:sz w:val="24"/>
                <w:szCs w:val="24"/>
                <w:rtl/>
                <w:lang w:bidi="ar-EG"/>
              </w:rPr>
              <w:t>جدول (8)</w:t>
            </w:r>
          </w:p>
        </w:tc>
        <w:tc>
          <w:tcPr>
            <w:tcW w:w="4549" w:type="dxa"/>
            <w:gridSpan w:val="2"/>
          </w:tcPr>
          <w:p w14:paraId="699E8148" w14:textId="7353B53C" w:rsidR="00B007FF" w:rsidRDefault="00B007FF" w:rsidP="00B007F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4"/>
                <w:szCs w:val="24"/>
                <w:rtl/>
                <w:lang w:bidi="ar-EG"/>
              </w:rPr>
            </w:pPr>
            <w:r>
              <w:rPr>
                <w:rFonts w:ascii="Simplified Arabic" w:hAnsi="Simplified Arabic" w:cs="Simplified Arabic" w:hint="cs"/>
                <w:sz w:val="24"/>
                <w:szCs w:val="24"/>
                <w:rtl/>
                <w:lang w:bidi="ar-EG"/>
              </w:rPr>
              <w:t xml:space="preserve">جدول محاور التجهيزات الفنية </w:t>
            </w:r>
          </w:p>
        </w:tc>
        <w:tc>
          <w:tcPr>
            <w:tcW w:w="3113" w:type="dxa"/>
          </w:tcPr>
          <w:p w14:paraId="6B1C6BDF" w14:textId="47C4B514" w:rsidR="00B007FF" w:rsidRPr="00F22C33" w:rsidRDefault="00B007FF" w:rsidP="00B007F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
        </w:tc>
      </w:tr>
    </w:tbl>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1EF69791" w14:textId="77777777" w:rsidR="00D52480" w:rsidRDefault="00D52480" w:rsidP="009125CE">
      <w:pPr>
        <w:rPr>
          <w:rFonts w:ascii="Sakkal Majalla" w:hAnsi="Sakkal Majalla" w:cs="Sakkal Majalla"/>
          <w:sz w:val="28"/>
          <w:szCs w:val="28"/>
          <w:u w:val="single"/>
          <w:rtl/>
          <w:lang w:bidi="ar-EG"/>
        </w:rPr>
      </w:pPr>
    </w:p>
    <w:tbl>
      <w:tblPr>
        <w:tblStyle w:val="4-5"/>
        <w:bidiVisual/>
        <w:tblW w:w="0" w:type="auto"/>
        <w:tblLook w:val="04A0" w:firstRow="1" w:lastRow="0" w:firstColumn="1" w:lastColumn="0" w:noHBand="0" w:noVBand="1"/>
      </w:tblPr>
      <w:tblGrid>
        <w:gridCol w:w="1160"/>
        <w:gridCol w:w="3840"/>
        <w:gridCol w:w="709"/>
        <w:gridCol w:w="3113"/>
      </w:tblGrid>
      <w:tr w:rsidR="00B007FF" w14:paraId="66426CF7" w14:textId="77777777" w:rsidTr="000131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0" w:type="dxa"/>
          </w:tcPr>
          <w:p w14:paraId="20770DC6" w14:textId="77777777" w:rsidR="00B007FF" w:rsidRPr="00F22C33" w:rsidRDefault="00B007FF" w:rsidP="00013106">
            <w:pPr>
              <w:rPr>
                <w:rFonts w:ascii="Simplified Arabic" w:hAnsi="Simplified Arabic" w:cs="Simplified Arabic"/>
                <w:sz w:val="24"/>
                <w:szCs w:val="24"/>
                <w:rtl/>
                <w:lang w:bidi="ar-EG"/>
              </w:rPr>
            </w:pPr>
            <w:r w:rsidRPr="00F22C33">
              <w:rPr>
                <w:rFonts w:ascii="Simplified Arabic" w:hAnsi="Simplified Arabic" w:cs="Simplified Arabic"/>
                <w:sz w:val="24"/>
                <w:szCs w:val="24"/>
                <w:rtl/>
                <w:lang w:bidi="ar-EG"/>
              </w:rPr>
              <w:t xml:space="preserve">أسم الجدول  </w:t>
            </w:r>
            <w:r>
              <w:rPr>
                <w:rFonts w:ascii="Simplified Arabic" w:hAnsi="Simplified Arabic" w:cs="Simplified Arabic" w:hint="cs"/>
                <w:sz w:val="24"/>
                <w:szCs w:val="24"/>
                <w:rtl/>
                <w:lang w:bidi="ar-EG"/>
              </w:rPr>
              <w:t xml:space="preserve">                        </w:t>
            </w:r>
          </w:p>
        </w:tc>
        <w:tc>
          <w:tcPr>
            <w:tcW w:w="3840" w:type="dxa"/>
            <w:vAlign w:val="center"/>
          </w:tcPr>
          <w:p w14:paraId="12583901" w14:textId="77777777" w:rsidR="00B007FF" w:rsidRPr="00F22C33" w:rsidRDefault="00B007FF" w:rsidP="0001310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
        </w:tc>
        <w:tc>
          <w:tcPr>
            <w:tcW w:w="3822" w:type="dxa"/>
            <w:gridSpan w:val="2"/>
            <w:vAlign w:val="center"/>
          </w:tcPr>
          <w:p w14:paraId="5D8F8732" w14:textId="77777777" w:rsidR="00B007FF" w:rsidRPr="00F22C33" w:rsidRDefault="00B007FF" w:rsidP="0001310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F22C33">
              <w:rPr>
                <w:rFonts w:ascii="Simplified Arabic" w:hAnsi="Simplified Arabic" w:cs="Simplified Arabic"/>
                <w:sz w:val="24"/>
                <w:szCs w:val="24"/>
                <w:rtl/>
                <w:lang w:bidi="ar-EG"/>
              </w:rPr>
              <w:t>رقم الصفحة</w:t>
            </w:r>
          </w:p>
        </w:tc>
      </w:tr>
      <w:tr w:rsidR="00B007FF" w14:paraId="3C8C6D97" w14:textId="77777777" w:rsidTr="00013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0" w:type="dxa"/>
          </w:tcPr>
          <w:p w14:paraId="1D5B3DD6" w14:textId="77777777" w:rsidR="00B007FF" w:rsidRPr="00F22C33" w:rsidRDefault="00B007FF" w:rsidP="00013106">
            <w:pPr>
              <w:rPr>
                <w:rFonts w:ascii="Simplified Arabic" w:hAnsi="Simplified Arabic" w:cs="Simplified Arabic"/>
                <w:sz w:val="24"/>
                <w:szCs w:val="24"/>
                <w:rtl/>
                <w:lang w:bidi="ar-EG"/>
              </w:rPr>
            </w:pPr>
            <w:r w:rsidRPr="00F22C33">
              <w:rPr>
                <w:rFonts w:ascii="Simplified Arabic" w:hAnsi="Simplified Arabic" w:cs="Simplified Arabic"/>
                <w:sz w:val="24"/>
                <w:szCs w:val="24"/>
                <w:rtl/>
                <w:lang w:bidi="ar-EG"/>
              </w:rPr>
              <w:t xml:space="preserve">جدول (1) </w:t>
            </w:r>
          </w:p>
        </w:tc>
        <w:tc>
          <w:tcPr>
            <w:tcW w:w="4549" w:type="dxa"/>
            <w:gridSpan w:val="2"/>
          </w:tcPr>
          <w:p w14:paraId="5060091E" w14:textId="77777777" w:rsidR="00B007FF" w:rsidRPr="00F22C33" w:rsidRDefault="00B007FF" w:rsidP="0001310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roofErr w:type="gramStart"/>
            <w:r w:rsidRPr="00F22C33">
              <w:rPr>
                <w:rFonts w:ascii="Simplified Arabic" w:hAnsi="Simplified Arabic" w:cs="Simplified Arabic"/>
                <w:sz w:val="24"/>
                <w:szCs w:val="24"/>
                <w:rtl/>
                <w:lang w:bidi="ar-EG"/>
              </w:rPr>
              <w:t>توزيع  أفراد</w:t>
            </w:r>
            <w:proofErr w:type="gramEnd"/>
            <w:r w:rsidRPr="00F22C33">
              <w:rPr>
                <w:rFonts w:ascii="Simplified Arabic" w:hAnsi="Simplified Arabic" w:cs="Simplified Arabic"/>
                <w:sz w:val="24"/>
                <w:szCs w:val="24"/>
                <w:rtl/>
                <w:lang w:bidi="ar-EG"/>
              </w:rPr>
              <w:t xml:space="preserve"> عينة الدراسة حسب الجنس </w:t>
            </w:r>
          </w:p>
        </w:tc>
        <w:tc>
          <w:tcPr>
            <w:tcW w:w="3113" w:type="dxa"/>
          </w:tcPr>
          <w:p w14:paraId="0F4A9D97" w14:textId="77777777" w:rsidR="00B007FF" w:rsidRPr="00F22C33" w:rsidRDefault="00B007FF" w:rsidP="0001310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
        </w:tc>
      </w:tr>
      <w:tr w:rsidR="00B007FF" w14:paraId="73F602E7" w14:textId="77777777" w:rsidTr="00013106">
        <w:tc>
          <w:tcPr>
            <w:cnfStyle w:val="001000000000" w:firstRow="0" w:lastRow="0" w:firstColumn="1" w:lastColumn="0" w:oddVBand="0" w:evenVBand="0" w:oddHBand="0" w:evenHBand="0" w:firstRowFirstColumn="0" w:firstRowLastColumn="0" w:lastRowFirstColumn="0" w:lastRowLastColumn="0"/>
            <w:tcW w:w="1160" w:type="dxa"/>
          </w:tcPr>
          <w:p w14:paraId="72551B7C" w14:textId="77777777" w:rsidR="00B007FF" w:rsidRPr="00F22C33" w:rsidRDefault="00B007FF" w:rsidP="00013106">
            <w:pPr>
              <w:rPr>
                <w:rFonts w:ascii="Simplified Arabic" w:hAnsi="Simplified Arabic" w:cs="Simplified Arabic"/>
                <w:sz w:val="24"/>
                <w:szCs w:val="24"/>
                <w:rtl/>
                <w:lang w:bidi="ar-EG"/>
              </w:rPr>
            </w:pPr>
            <w:r w:rsidRPr="00F22C33">
              <w:rPr>
                <w:rFonts w:ascii="Simplified Arabic" w:hAnsi="Simplified Arabic" w:cs="Simplified Arabic"/>
                <w:sz w:val="24"/>
                <w:szCs w:val="24"/>
                <w:rtl/>
                <w:lang w:bidi="ar-EG"/>
              </w:rPr>
              <w:t>جدول (2)</w:t>
            </w:r>
          </w:p>
        </w:tc>
        <w:tc>
          <w:tcPr>
            <w:tcW w:w="4549" w:type="dxa"/>
            <w:gridSpan w:val="2"/>
          </w:tcPr>
          <w:p w14:paraId="460C57E3" w14:textId="77777777" w:rsidR="00B007FF" w:rsidRPr="00F22C33" w:rsidRDefault="00B007FF" w:rsidP="0001310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roofErr w:type="gramStart"/>
            <w:r w:rsidRPr="00F22C33">
              <w:rPr>
                <w:rFonts w:ascii="Simplified Arabic" w:hAnsi="Simplified Arabic" w:cs="Simplified Arabic"/>
                <w:sz w:val="24"/>
                <w:szCs w:val="24"/>
                <w:rtl/>
                <w:lang w:bidi="ar-EG"/>
              </w:rPr>
              <w:t>توزيع  أفراد</w:t>
            </w:r>
            <w:proofErr w:type="gramEnd"/>
            <w:r w:rsidRPr="00F22C33">
              <w:rPr>
                <w:rFonts w:ascii="Simplified Arabic" w:hAnsi="Simplified Arabic" w:cs="Simplified Arabic"/>
                <w:sz w:val="24"/>
                <w:szCs w:val="24"/>
                <w:rtl/>
                <w:lang w:bidi="ar-EG"/>
              </w:rPr>
              <w:t xml:space="preserve"> عينة الدراسة حسب الفئة الوظيفية </w:t>
            </w:r>
          </w:p>
        </w:tc>
        <w:tc>
          <w:tcPr>
            <w:tcW w:w="3113" w:type="dxa"/>
          </w:tcPr>
          <w:p w14:paraId="62947269" w14:textId="77777777" w:rsidR="00B007FF" w:rsidRPr="00F22C33" w:rsidRDefault="00B007FF" w:rsidP="0001310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
        </w:tc>
      </w:tr>
      <w:tr w:rsidR="00B007FF" w14:paraId="546FE8B6" w14:textId="77777777" w:rsidTr="00013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0" w:type="dxa"/>
          </w:tcPr>
          <w:p w14:paraId="3FDA532D" w14:textId="77777777" w:rsidR="00B007FF" w:rsidRPr="00F22C33" w:rsidRDefault="00B007FF" w:rsidP="00013106">
            <w:pP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جدول (3)</w:t>
            </w:r>
          </w:p>
        </w:tc>
        <w:tc>
          <w:tcPr>
            <w:tcW w:w="4549" w:type="dxa"/>
            <w:gridSpan w:val="2"/>
          </w:tcPr>
          <w:p w14:paraId="35B5B78C" w14:textId="77777777" w:rsidR="00B007FF" w:rsidRPr="00F22C33" w:rsidRDefault="00B007FF" w:rsidP="0001310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roofErr w:type="gramStart"/>
            <w:r w:rsidRPr="00F22C33">
              <w:rPr>
                <w:rFonts w:ascii="Simplified Arabic" w:hAnsi="Simplified Arabic" w:cs="Simplified Arabic"/>
                <w:sz w:val="24"/>
                <w:szCs w:val="24"/>
                <w:rtl/>
                <w:lang w:bidi="ar-EG"/>
              </w:rPr>
              <w:t>توزيع  أفراد</w:t>
            </w:r>
            <w:proofErr w:type="gramEnd"/>
            <w:r w:rsidRPr="00F22C33">
              <w:rPr>
                <w:rFonts w:ascii="Simplified Arabic" w:hAnsi="Simplified Arabic" w:cs="Simplified Arabic"/>
                <w:sz w:val="24"/>
                <w:szCs w:val="24"/>
                <w:rtl/>
                <w:lang w:bidi="ar-EG"/>
              </w:rPr>
              <w:t xml:space="preserve"> عينة الدراسة حسب </w:t>
            </w:r>
            <w:r>
              <w:rPr>
                <w:rFonts w:ascii="Simplified Arabic" w:hAnsi="Simplified Arabic" w:cs="Simplified Arabic" w:hint="cs"/>
                <w:sz w:val="24"/>
                <w:szCs w:val="24"/>
                <w:rtl/>
                <w:lang w:bidi="ar-EG"/>
              </w:rPr>
              <w:t>سنوات الخبرة</w:t>
            </w:r>
          </w:p>
        </w:tc>
        <w:tc>
          <w:tcPr>
            <w:tcW w:w="3113" w:type="dxa"/>
          </w:tcPr>
          <w:p w14:paraId="174F334E" w14:textId="77777777" w:rsidR="00B007FF" w:rsidRPr="00F22C33" w:rsidRDefault="00B007FF" w:rsidP="0001310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
        </w:tc>
      </w:tr>
      <w:tr w:rsidR="00B007FF" w14:paraId="1F95242E" w14:textId="77777777" w:rsidTr="00013106">
        <w:tc>
          <w:tcPr>
            <w:cnfStyle w:val="001000000000" w:firstRow="0" w:lastRow="0" w:firstColumn="1" w:lastColumn="0" w:oddVBand="0" w:evenVBand="0" w:oddHBand="0" w:evenHBand="0" w:firstRowFirstColumn="0" w:firstRowLastColumn="0" w:lastRowFirstColumn="0" w:lastRowLastColumn="0"/>
            <w:tcW w:w="1160" w:type="dxa"/>
          </w:tcPr>
          <w:p w14:paraId="643F82DB" w14:textId="77777777" w:rsidR="00B007FF" w:rsidRDefault="00B007FF" w:rsidP="00013106">
            <w:pPr>
              <w:rPr>
                <w:rFonts w:ascii="Simplified Arabic" w:hAnsi="Simplified Arabic" w:cs="Simplified Arabic" w:hint="cs"/>
                <w:sz w:val="24"/>
                <w:szCs w:val="24"/>
                <w:rtl/>
                <w:lang w:bidi="ar-EG"/>
              </w:rPr>
            </w:pPr>
            <w:r>
              <w:rPr>
                <w:rFonts w:ascii="Simplified Arabic" w:hAnsi="Simplified Arabic" w:cs="Simplified Arabic" w:hint="cs"/>
                <w:sz w:val="24"/>
                <w:szCs w:val="24"/>
                <w:rtl/>
                <w:lang w:bidi="ar-EG"/>
              </w:rPr>
              <w:t>جدول (4)</w:t>
            </w:r>
          </w:p>
        </w:tc>
        <w:tc>
          <w:tcPr>
            <w:tcW w:w="4549" w:type="dxa"/>
            <w:gridSpan w:val="2"/>
          </w:tcPr>
          <w:p w14:paraId="738BE53F" w14:textId="77777777" w:rsidR="00B007FF" w:rsidRPr="00F22C33" w:rsidRDefault="00B007FF" w:rsidP="0001310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roofErr w:type="gramStart"/>
            <w:r w:rsidRPr="00F22C33">
              <w:rPr>
                <w:rFonts w:ascii="Simplified Arabic" w:hAnsi="Simplified Arabic" w:cs="Simplified Arabic"/>
                <w:sz w:val="24"/>
                <w:szCs w:val="24"/>
                <w:rtl/>
                <w:lang w:bidi="ar-EG"/>
              </w:rPr>
              <w:t>توزيع  أفراد</w:t>
            </w:r>
            <w:proofErr w:type="gramEnd"/>
            <w:r w:rsidRPr="00F22C33">
              <w:rPr>
                <w:rFonts w:ascii="Simplified Arabic" w:hAnsi="Simplified Arabic" w:cs="Simplified Arabic"/>
                <w:sz w:val="24"/>
                <w:szCs w:val="24"/>
                <w:rtl/>
                <w:lang w:bidi="ar-EG"/>
              </w:rPr>
              <w:t xml:space="preserve"> عينة الدراسة حسب </w:t>
            </w:r>
            <w:r>
              <w:rPr>
                <w:rFonts w:ascii="Simplified Arabic" w:hAnsi="Simplified Arabic" w:cs="Simplified Arabic" w:hint="cs"/>
                <w:sz w:val="24"/>
                <w:szCs w:val="24"/>
                <w:rtl/>
                <w:lang w:bidi="ar-EG"/>
              </w:rPr>
              <w:t>نوع المنشأة الصحية</w:t>
            </w:r>
          </w:p>
        </w:tc>
        <w:tc>
          <w:tcPr>
            <w:tcW w:w="3113" w:type="dxa"/>
          </w:tcPr>
          <w:p w14:paraId="58E68BFC" w14:textId="77777777" w:rsidR="00B007FF" w:rsidRPr="00F22C33" w:rsidRDefault="00B007FF" w:rsidP="0001310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
        </w:tc>
      </w:tr>
      <w:tr w:rsidR="00B007FF" w14:paraId="1EB3CEE6" w14:textId="77777777" w:rsidTr="00013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0" w:type="dxa"/>
          </w:tcPr>
          <w:p w14:paraId="3799C630" w14:textId="77777777" w:rsidR="00B007FF" w:rsidRDefault="00B007FF" w:rsidP="00013106">
            <w:pPr>
              <w:rPr>
                <w:rFonts w:ascii="Simplified Arabic" w:hAnsi="Simplified Arabic" w:cs="Simplified Arabic" w:hint="cs"/>
                <w:sz w:val="24"/>
                <w:szCs w:val="24"/>
                <w:rtl/>
                <w:lang w:bidi="ar-EG"/>
              </w:rPr>
            </w:pPr>
            <w:r>
              <w:rPr>
                <w:rFonts w:ascii="Simplified Arabic" w:hAnsi="Simplified Arabic" w:cs="Simplified Arabic" w:hint="cs"/>
                <w:sz w:val="24"/>
                <w:szCs w:val="24"/>
                <w:rtl/>
                <w:lang w:bidi="ar-EG"/>
              </w:rPr>
              <w:t>جدول (5)</w:t>
            </w:r>
          </w:p>
        </w:tc>
        <w:tc>
          <w:tcPr>
            <w:tcW w:w="4549" w:type="dxa"/>
            <w:gridSpan w:val="2"/>
          </w:tcPr>
          <w:p w14:paraId="2154F23C" w14:textId="77777777" w:rsidR="00B007FF" w:rsidRPr="00F22C33" w:rsidRDefault="00B007FF" w:rsidP="0001310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roofErr w:type="gramStart"/>
            <w:r w:rsidRPr="00F22C33">
              <w:rPr>
                <w:rFonts w:ascii="Simplified Arabic" w:hAnsi="Simplified Arabic" w:cs="Simplified Arabic"/>
                <w:sz w:val="24"/>
                <w:szCs w:val="24"/>
                <w:rtl/>
                <w:lang w:bidi="ar-EG"/>
              </w:rPr>
              <w:t>توزيع  أفراد</w:t>
            </w:r>
            <w:proofErr w:type="gramEnd"/>
            <w:r w:rsidRPr="00F22C33">
              <w:rPr>
                <w:rFonts w:ascii="Simplified Arabic" w:hAnsi="Simplified Arabic" w:cs="Simplified Arabic"/>
                <w:sz w:val="24"/>
                <w:szCs w:val="24"/>
                <w:rtl/>
                <w:lang w:bidi="ar-EG"/>
              </w:rPr>
              <w:t xml:space="preserve"> عينة الدراسة حسب </w:t>
            </w:r>
            <w:r>
              <w:rPr>
                <w:rFonts w:ascii="Simplified Arabic" w:hAnsi="Simplified Arabic" w:cs="Simplified Arabic" w:hint="cs"/>
                <w:sz w:val="24"/>
                <w:szCs w:val="24"/>
                <w:rtl/>
                <w:lang w:bidi="ar-EG"/>
              </w:rPr>
              <w:t>المنطقة الصحية</w:t>
            </w:r>
          </w:p>
        </w:tc>
        <w:tc>
          <w:tcPr>
            <w:tcW w:w="3113" w:type="dxa"/>
          </w:tcPr>
          <w:p w14:paraId="52DDB69F" w14:textId="77777777" w:rsidR="00B007FF" w:rsidRPr="00F22C33" w:rsidRDefault="00B007FF" w:rsidP="0001310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p>
        </w:tc>
      </w:tr>
    </w:tbl>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FB7D83A" w14:textId="77777777" w:rsidR="00B007FF" w:rsidRPr="001810D8" w:rsidRDefault="00B007FF" w:rsidP="00B007FF">
      <w:pPr>
        <w:rPr>
          <w:rFonts w:ascii="Simplified Arabic" w:hAnsi="Simplified Arabic" w:cs="Simplified Arabic"/>
          <w:sz w:val="28"/>
          <w:szCs w:val="28"/>
          <w:rtl/>
        </w:rPr>
      </w:pPr>
    </w:p>
    <w:p w14:paraId="7C9B0F9A" w14:textId="4AEF387C" w:rsidR="009125CE" w:rsidRPr="001810D8" w:rsidRDefault="00B007FF" w:rsidP="00B007FF">
      <w:pPr>
        <w:rPr>
          <w:rFonts w:ascii="Simplified Arabic" w:hAnsi="Simplified Arabic" w:cs="Simplified Arabic"/>
          <w:sz w:val="28"/>
          <w:szCs w:val="28"/>
        </w:rPr>
      </w:pPr>
      <w:r w:rsidRPr="001810D8">
        <w:rPr>
          <w:rFonts w:ascii="Simplified Arabic" w:hAnsi="Simplified Arabic" w:cs="Simplified Arabic"/>
          <w:sz w:val="28"/>
          <w:szCs w:val="28"/>
          <w:rtl/>
        </w:rPr>
        <w:t>تُعدّ المخاطر الإشعاعية والنووية من أكثر أنواع الطوارئ الصحية خطورة وتعقيدًا نظرًا لتأثيراتها الواسعة على صحة الإنسان، والبنية التحتية الصحية، والبيئة، وقدرتها على إحداث إصابات جماعية تتطلب استجابة عالية التخصص. ومع توسّع استخدام المواد المشعة في التطبيقات الطبية والصناعية داخل المملكة العربية السعودية، إلى جانب التهديدات الإقليمية المحتملة، تبرز الحاجة الملحّة إلى تقييم مستوى جاهزية النظام الصحي السعودي لمواجهة هذه الحوادث بكفاءة وفاعلية. تهدف هذه الدراسة إلى تحليل مستوى الجاهزية المؤسسية والتشغيلية للنظام الصحي السعودي للتعامل مع الحوادث الإشعاعية والنووية، من خلال تقييم توافر الخطط والبروتوكولات، والبنية التحتية، والتجهيزات الفنية، ومستوى تدريب الكوادر الصحية، وآليات التنسيق بين الجهات المعنية.</w:t>
      </w:r>
    </w:p>
    <w:p w14:paraId="52341758" w14:textId="77777777" w:rsidR="009125CE" w:rsidRPr="001810D8" w:rsidRDefault="009125CE" w:rsidP="009125CE">
      <w:pPr>
        <w:rPr>
          <w:rFonts w:ascii="Simplified Arabic" w:hAnsi="Simplified Arabic" w:cs="Simplified Arabic"/>
          <w:sz w:val="28"/>
          <w:szCs w:val="28"/>
        </w:rPr>
      </w:pPr>
    </w:p>
    <w:p w14:paraId="7C92AB71" w14:textId="3567B59D" w:rsidR="009125CE" w:rsidRPr="001810D8" w:rsidRDefault="00B007FF" w:rsidP="009125CE">
      <w:pPr>
        <w:rPr>
          <w:rFonts w:ascii="Simplified Arabic" w:hAnsi="Simplified Arabic" w:cs="Simplified Arabic"/>
          <w:sz w:val="28"/>
          <w:szCs w:val="28"/>
          <w:rtl/>
        </w:rPr>
      </w:pPr>
      <w:r w:rsidRPr="001810D8">
        <w:rPr>
          <w:rFonts w:ascii="Simplified Arabic" w:hAnsi="Simplified Arabic" w:cs="Simplified Arabic"/>
          <w:sz w:val="28"/>
          <w:szCs w:val="28"/>
          <w:rtl/>
        </w:rPr>
        <w:t>اعتمدت الدراسة المنهج الوصفي التحليلي، واستخدمت استبانة ميدانية، ومقابلات شبه منظمة، بالإضافة إلى تحليل وثائقي لخطط الطوارئ الوطنية والمعايير الدولية ذات الصلة</w:t>
      </w:r>
      <w:r w:rsidRPr="001810D8">
        <w:rPr>
          <w:rFonts w:ascii="Simplified Arabic" w:hAnsi="Simplified Arabic" w:cs="Simplified Arabic" w:hint="cs"/>
          <w:sz w:val="28"/>
          <w:szCs w:val="28"/>
          <w:rtl/>
        </w:rPr>
        <w:t xml:space="preserve"> </w:t>
      </w:r>
    </w:p>
    <w:p w14:paraId="648304C6" w14:textId="77777777" w:rsidR="00B007FF" w:rsidRPr="001810D8" w:rsidRDefault="00B007FF" w:rsidP="009125CE">
      <w:pPr>
        <w:rPr>
          <w:rFonts w:ascii="Simplified Arabic" w:hAnsi="Simplified Arabic" w:cs="Simplified Arabic"/>
          <w:sz w:val="28"/>
          <w:szCs w:val="28"/>
          <w:rtl/>
        </w:rPr>
      </w:pPr>
    </w:p>
    <w:p w14:paraId="6D06EB63" w14:textId="0CD10B21" w:rsidR="00B007FF" w:rsidRPr="001810D8" w:rsidRDefault="00B007FF" w:rsidP="009125CE">
      <w:pPr>
        <w:rPr>
          <w:rFonts w:ascii="Simplified Arabic" w:hAnsi="Simplified Arabic" w:cs="Simplified Arabic"/>
          <w:sz w:val="28"/>
          <w:szCs w:val="28"/>
        </w:rPr>
      </w:pPr>
      <w:r w:rsidRPr="001810D8">
        <w:rPr>
          <w:rFonts w:ascii="Simplified Arabic" w:hAnsi="Simplified Arabic" w:cs="Simplified Arabic"/>
          <w:sz w:val="28"/>
          <w:szCs w:val="28"/>
          <w:rtl/>
        </w:rPr>
        <w:t>تقترح الدراسة مجموعة من التوصيات الاستراتيجية، من أبرزها تطوير خطة وطنية موحّدة للطوارئ الإشعاعية، وتعزيز برامج التدريب والمحاكاة، وتوفير تجهيزات متخصصة، وتفعيل آليات تنسيق مشتركة بين الجهات ذات العلاقة.</w:t>
      </w:r>
    </w:p>
    <w:p w14:paraId="122E0CEB" w14:textId="77777777" w:rsidR="009125CE" w:rsidRPr="001810D8" w:rsidRDefault="009125CE" w:rsidP="009125CE">
      <w:pPr>
        <w:rPr>
          <w:rFonts w:ascii="Sakkal Majalla" w:hAnsi="Sakkal Majalla" w:cs="Sakkal Majalla"/>
          <w:sz w:val="32"/>
          <w:szCs w:val="32"/>
          <w:u w:val="single"/>
        </w:rPr>
      </w:pPr>
    </w:p>
    <w:p w14:paraId="5334CEE8" w14:textId="77777777" w:rsidR="009125CE" w:rsidRPr="001810D8" w:rsidRDefault="009125CE" w:rsidP="009125CE">
      <w:pPr>
        <w:rPr>
          <w:rFonts w:ascii="Sakkal Majalla" w:hAnsi="Sakkal Majalla" w:cs="Sakkal Majalla"/>
          <w:sz w:val="32"/>
          <w:szCs w:val="32"/>
          <w:u w:val="single"/>
        </w:rPr>
      </w:pPr>
    </w:p>
    <w:p w14:paraId="0FA577B4" w14:textId="77777777" w:rsidR="009125CE" w:rsidRPr="001810D8" w:rsidRDefault="009125CE" w:rsidP="009125CE">
      <w:pPr>
        <w:rPr>
          <w:rFonts w:ascii="Sakkal Majalla" w:hAnsi="Sakkal Majalla" w:cs="Sakkal Majalla"/>
          <w:sz w:val="32"/>
          <w:szCs w:val="32"/>
          <w:u w:val="single"/>
        </w:rPr>
      </w:pPr>
    </w:p>
    <w:p w14:paraId="18A28D47" w14:textId="77777777" w:rsidR="009125CE" w:rsidRPr="001810D8" w:rsidRDefault="009125CE" w:rsidP="009125CE">
      <w:pPr>
        <w:rPr>
          <w:rFonts w:ascii="Sakkal Majalla" w:hAnsi="Sakkal Majalla" w:cs="Sakkal Majalla"/>
          <w:sz w:val="32"/>
          <w:szCs w:val="32"/>
          <w:u w:val="single"/>
        </w:rPr>
      </w:pPr>
    </w:p>
    <w:p w14:paraId="7826C25D" w14:textId="77777777" w:rsidR="009125CE" w:rsidRPr="001810D8" w:rsidRDefault="009125CE" w:rsidP="009125CE">
      <w:pPr>
        <w:rPr>
          <w:rFonts w:ascii="Sakkal Majalla" w:hAnsi="Sakkal Majalla" w:cs="Sakkal Majalla"/>
          <w:sz w:val="32"/>
          <w:szCs w:val="32"/>
          <w:u w:val="single"/>
        </w:rPr>
      </w:pPr>
    </w:p>
    <w:p w14:paraId="21B1282E" w14:textId="77777777" w:rsidR="009125CE" w:rsidRPr="001810D8" w:rsidRDefault="009125CE" w:rsidP="009125CE">
      <w:pPr>
        <w:rPr>
          <w:rFonts w:ascii="Sakkal Majalla" w:hAnsi="Sakkal Majalla" w:cs="Sakkal Majalla"/>
          <w:sz w:val="32"/>
          <w:szCs w:val="32"/>
          <w:u w:val="single"/>
        </w:rPr>
      </w:pPr>
    </w:p>
    <w:p w14:paraId="710C527B" w14:textId="77777777" w:rsidR="009125CE" w:rsidRPr="001810D8" w:rsidRDefault="009125CE" w:rsidP="009125CE">
      <w:pPr>
        <w:rPr>
          <w:rFonts w:ascii="Sakkal Majalla" w:hAnsi="Sakkal Majalla" w:cs="Sakkal Majalla"/>
          <w:sz w:val="32"/>
          <w:szCs w:val="32"/>
          <w:u w:val="single"/>
        </w:rPr>
      </w:pPr>
    </w:p>
    <w:p w14:paraId="25C5D503" w14:textId="77777777" w:rsidR="009125CE" w:rsidRPr="001810D8" w:rsidRDefault="009125CE" w:rsidP="009125CE">
      <w:pPr>
        <w:rPr>
          <w:rFonts w:ascii="Sakkal Majalla" w:hAnsi="Sakkal Majalla" w:cs="Sakkal Majalla"/>
          <w:sz w:val="32"/>
          <w:szCs w:val="32"/>
          <w:u w:val="single"/>
        </w:rPr>
      </w:pPr>
    </w:p>
    <w:p w14:paraId="1C492465" w14:textId="77777777" w:rsidR="009125CE" w:rsidRDefault="009125CE" w:rsidP="009125CE">
      <w:pPr>
        <w:rPr>
          <w:rFonts w:ascii="Sakkal Majalla" w:hAnsi="Sakkal Majalla" w:cs="Sakkal Majalla"/>
          <w:sz w:val="32"/>
          <w:szCs w:val="32"/>
          <w:u w:val="single"/>
          <w:rtl/>
        </w:rPr>
      </w:pPr>
    </w:p>
    <w:p w14:paraId="06A7BC5E" w14:textId="77777777" w:rsidR="001810D8" w:rsidRDefault="001810D8" w:rsidP="009125CE">
      <w:pPr>
        <w:rPr>
          <w:rFonts w:ascii="Sakkal Majalla" w:hAnsi="Sakkal Majalla" w:cs="Sakkal Majalla"/>
          <w:sz w:val="32"/>
          <w:szCs w:val="32"/>
          <w:u w:val="single"/>
          <w:rtl/>
        </w:rPr>
      </w:pPr>
    </w:p>
    <w:p w14:paraId="3FE9DBAB" w14:textId="77777777" w:rsidR="001810D8" w:rsidRDefault="001810D8" w:rsidP="009125CE">
      <w:pPr>
        <w:rPr>
          <w:rFonts w:ascii="Sakkal Majalla" w:hAnsi="Sakkal Majalla" w:cs="Sakkal Majalla"/>
          <w:sz w:val="32"/>
          <w:szCs w:val="32"/>
          <w:u w:val="single"/>
          <w:rtl/>
        </w:rPr>
      </w:pPr>
    </w:p>
    <w:p w14:paraId="6A678047" w14:textId="77777777" w:rsidR="001810D8" w:rsidRDefault="001810D8"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6477BC17" w14:textId="77777777" w:rsidR="001810D8" w:rsidRDefault="001810D8" w:rsidP="009125CE">
      <w:pPr>
        <w:rPr>
          <w:rFonts w:ascii="Sakkal Majalla" w:hAnsi="Sakkal Majalla" w:cs="Sakkal Majalla"/>
          <w:sz w:val="28"/>
          <w:szCs w:val="28"/>
          <w:u w:val="single"/>
          <w:rtl/>
        </w:rPr>
      </w:pPr>
    </w:p>
    <w:p w14:paraId="69D3E847" w14:textId="77777777" w:rsidR="001810D8" w:rsidRDefault="001810D8" w:rsidP="009125CE">
      <w:pPr>
        <w:rPr>
          <w:rFonts w:ascii="Sakkal Majalla" w:hAnsi="Sakkal Majalla" w:cs="Sakkal Majalla"/>
          <w:sz w:val="28"/>
          <w:szCs w:val="28"/>
          <w:u w:val="single"/>
          <w:rtl/>
        </w:rPr>
      </w:pPr>
    </w:p>
    <w:p w14:paraId="155CB60E" w14:textId="77777777" w:rsidR="001810D8" w:rsidRDefault="001810D8" w:rsidP="009125CE">
      <w:pPr>
        <w:rPr>
          <w:rFonts w:ascii="Sakkal Majalla" w:hAnsi="Sakkal Majalla" w:cs="Sakkal Majalla"/>
          <w:sz w:val="28"/>
          <w:szCs w:val="28"/>
          <w:u w:val="single"/>
          <w:rtl/>
        </w:rPr>
      </w:pPr>
    </w:p>
    <w:p w14:paraId="254C63F8" w14:textId="77777777" w:rsidR="001810D8" w:rsidRDefault="001810D8" w:rsidP="009125CE">
      <w:pPr>
        <w:rPr>
          <w:rFonts w:ascii="Sakkal Majalla" w:hAnsi="Sakkal Majalla" w:cs="Sakkal Majalla"/>
          <w:sz w:val="28"/>
          <w:szCs w:val="28"/>
          <w:u w:val="single"/>
          <w:rtl/>
        </w:rPr>
      </w:pPr>
    </w:p>
    <w:p w14:paraId="70E066F5" w14:textId="77777777" w:rsidR="001810D8" w:rsidRDefault="001810D8"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4DB923D" w14:textId="77777777" w:rsidR="009125CE" w:rsidRPr="00DD53BE" w:rsidRDefault="009125CE" w:rsidP="00DD53BE">
      <w:pPr>
        <w:jc w:val="center"/>
        <w:rPr>
          <w:rFonts w:ascii="Simplified Arabic" w:hAnsi="Simplified Arabic" w:cs="Simplified Arabic"/>
          <w:sz w:val="28"/>
          <w:szCs w:val="28"/>
          <w:rtl/>
        </w:rPr>
      </w:pPr>
    </w:p>
    <w:p w14:paraId="6848DD08" w14:textId="77777777" w:rsidR="00DD53BE" w:rsidRPr="00DD53BE" w:rsidRDefault="00DD53BE" w:rsidP="00DD53BE">
      <w:pPr>
        <w:jc w:val="center"/>
        <w:rPr>
          <w:rFonts w:ascii="Simplified Arabic" w:hAnsi="Simplified Arabic" w:cs="Simplified Arabic"/>
          <w:sz w:val="28"/>
          <w:szCs w:val="28"/>
          <w:rtl/>
        </w:rPr>
      </w:pPr>
      <w:r w:rsidRPr="00DD53BE">
        <w:rPr>
          <w:rFonts w:ascii="Simplified Arabic" w:hAnsi="Simplified Arabic" w:cs="Simplified Arabic"/>
          <w:sz w:val="28"/>
          <w:szCs w:val="28"/>
          <w:rtl/>
        </w:rPr>
        <w:t>تُعدّ المخاطر الإشعاعية والنووية من أخطر أنواع الطوارئ التي قد تواجه الأنظمة الصحية، نظرًا لطبيعتها المعقدة وقدرتها على إحداث تأثيرات واسعة النطاق تشمل الأفراد والبيئة والبنية التحتية الصحية. ومع التوسع المتزايد في استخدام المواد المشعة داخل المنشآت الصحية والصناعية في المملكة العربية السعودية، يتزايد احتمال التعرض لحوادث إشعاعية أو نووية سواء بصورة عرضية أو نتيجة عوامل خارجية. ويُعدّ التعامل مع هذا النوع من الحوادث تحديًا كبيرًا يتطلب جاهزية عالية، تشمل توافر الخطط والبروتوكولات الواضحة، والتجهيزات الفنية المتخصصة، وبناء القدرات البشرية المؤهلة للاستجابة، إضافة إلى التنسيق بين الجهات ذات العلاقة مثل وزارة الصحة، هيئة الرقابة النووية والإشعاعية، الدفاع المدني، والهلال الأحمر.</w:t>
      </w:r>
    </w:p>
    <w:p w14:paraId="4E546914" w14:textId="77777777" w:rsidR="00DD53BE" w:rsidRPr="00DD53BE" w:rsidRDefault="00DD53BE" w:rsidP="00DD53BE">
      <w:pPr>
        <w:jc w:val="center"/>
        <w:rPr>
          <w:rFonts w:ascii="Simplified Arabic" w:hAnsi="Simplified Arabic" w:cs="Simplified Arabic"/>
          <w:sz w:val="28"/>
          <w:szCs w:val="28"/>
          <w:rtl/>
        </w:rPr>
      </w:pPr>
    </w:p>
    <w:p w14:paraId="4F2CF6D3" w14:textId="174FF0B2" w:rsidR="009125CE" w:rsidRPr="00DD53BE" w:rsidRDefault="00DD53BE" w:rsidP="00DD53BE">
      <w:pPr>
        <w:jc w:val="center"/>
        <w:rPr>
          <w:rFonts w:ascii="Simplified Arabic" w:hAnsi="Simplified Arabic" w:cs="Simplified Arabic"/>
          <w:sz w:val="28"/>
          <w:szCs w:val="28"/>
          <w:rtl/>
        </w:rPr>
      </w:pPr>
      <w:r w:rsidRPr="00DD53BE">
        <w:rPr>
          <w:rFonts w:ascii="Simplified Arabic" w:hAnsi="Simplified Arabic" w:cs="Simplified Arabic"/>
          <w:sz w:val="28"/>
          <w:szCs w:val="28"/>
          <w:rtl/>
        </w:rPr>
        <w:t>وفي ظل ما تشهده المملكة من تطور في منظومة الطوارئ الصحية ضمن أهداف رؤية 2030، تبرز الحاجة الملحة إلى تقييم جاهزية النظام الصحي للتعامل مع الحوادث الإشعاعية والنووية، نظرًا لندرة الدراسات المحلية المتعمقة في هذا المجال، ولأن الاستجابة غير الفعالة لمثل هذه الحوادث قد تؤدي إلى خسائر بشرية وبيئية وصحية كبيرة. ومن هذا المنطلق، تأتي هذه الدراسة لتسليط الضوء على مستوى الجاهزية الحالية، وتحديد أوجه القصور، وتقديم رؤية علمية عملية للاستعداد والتعامل بكفاءة مع الحوادث الإشعاعية والنووية في المملكة العربية السعودية</w:t>
      </w:r>
    </w:p>
    <w:p w14:paraId="7D9A480F" w14:textId="77777777" w:rsidR="009125CE" w:rsidRPr="00DD53BE" w:rsidRDefault="009125CE" w:rsidP="00DD53BE">
      <w:pPr>
        <w:jc w:val="center"/>
        <w:rPr>
          <w:rFonts w:ascii="Simplified Arabic" w:hAnsi="Simplified Arabic" w:cs="Simplified Arabic"/>
          <w:sz w:val="28"/>
          <w:szCs w:val="28"/>
          <w:rtl/>
        </w:rPr>
      </w:pPr>
    </w:p>
    <w:p w14:paraId="6E1B1D05" w14:textId="77777777" w:rsidR="009125CE" w:rsidRPr="00DD53BE" w:rsidRDefault="009125CE" w:rsidP="00DD53BE">
      <w:pPr>
        <w:jc w:val="center"/>
        <w:rPr>
          <w:rFonts w:ascii="Simplified Arabic" w:hAnsi="Simplified Arabic" w:cs="Simplified Arabic"/>
          <w:sz w:val="28"/>
          <w:szCs w:val="28"/>
          <w:rtl/>
        </w:rPr>
      </w:pPr>
    </w:p>
    <w:p w14:paraId="11061B9C" w14:textId="77777777" w:rsidR="009125CE" w:rsidRPr="00DD53BE" w:rsidRDefault="009125CE" w:rsidP="00DD53BE">
      <w:pPr>
        <w:jc w:val="center"/>
        <w:rPr>
          <w:rFonts w:ascii="Simplified Arabic" w:hAnsi="Simplified Arabic" w:cs="Simplified Arabic"/>
          <w:sz w:val="28"/>
          <w:szCs w:val="28"/>
          <w:rtl/>
        </w:rPr>
      </w:pPr>
    </w:p>
    <w:p w14:paraId="55D4A681" w14:textId="77777777" w:rsidR="009125CE" w:rsidRPr="00DD53BE" w:rsidRDefault="009125CE" w:rsidP="00DD53BE">
      <w:pPr>
        <w:jc w:val="center"/>
        <w:rPr>
          <w:rFonts w:ascii="Simplified Arabic" w:hAnsi="Simplified Arabic" w:cs="Simplified Arabic"/>
          <w:sz w:val="28"/>
          <w:szCs w:val="28"/>
          <w:rtl/>
        </w:rPr>
      </w:pPr>
    </w:p>
    <w:p w14:paraId="7911387B" w14:textId="77777777" w:rsidR="009125CE" w:rsidRPr="00DD53BE" w:rsidRDefault="009125CE" w:rsidP="00DD53BE">
      <w:pPr>
        <w:jc w:val="center"/>
        <w:rPr>
          <w:rFonts w:ascii="Simplified Arabic" w:hAnsi="Simplified Arabic" w:cs="Simplified Arabic"/>
          <w:sz w:val="28"/>
          <w:szCs w:val="28"/>
          <w:rtl/>
        </w:rPr>
      </w:pPr>
    </w:p>
    <w:p w14:paraId="2DC4D909" w14:textId="77777777" w:rsidR="009125CE" w:rsidRPr="00DD53BE" w:rsidRDefault="009125CE" w:rsidP="00DD53BE">
      <w:pPr>
        <w:jc w:val="center"/>
        <w:rPr>
          <w:rFonts w:ascii="Simplified Arabic" w:hAnsi="Simplified Arabic" w:cs="Simplified Arabic"/>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5A652F1C" w14:textId="77777777" w:rsidR="00DD53BE" w:rsidRPr="00DD53BE" w:rsidRDefault="00DD53BE" w:rsidP="00DD53BE">
      <w:pPr>
        <w:rPr>
          <w:rFonts w:ascii="Simplified Arabic" w:hAnsi="Simplified Arabic" w:cs="Simplified Arabic"/>
          <w:sz w:val="24"/>
          <w:szCs w:val="24"/>
          <w:lang w:bidi="ar-EG"/>
        </w:rPr>
      </w:pPr>
      <w:r w:rsidRPr="00DD53BE">
        <w:rPr>
          <w:rFonts w:ascii="Simplified Arabic" w:hAnsi="Simplified Arabic" w:cs="Simplified Arabic"/>
          <w:sz w:val="24"/>
          <w:szCs w:val="24"/>
          <w:rtl/>
          <w:lang w:bidi="ar-EG"/>
        </w:rPr>
        <w:t>رغم التقدم الذي أحرزته المملكة العربية السعودية في تعزيز قدرات منظومتها الصحية على مواجهة الكوارث التقليدية، مثل الأوبئة والكوارث الطبيعية، إلا أن الاستعداد الفعلي للتعامل مع المخاطر الإشعاعية والنووية لا يزال محدودًا وغير مفعّل بالشكل الكافي في كثير من منشآت الرعاية الصحية. وتزداد خطورة هذا النقص مع التوسع المستمر في استخدامات المواد المشعة في المجالات الطبية والصناعية، إلى جانب التهديدات الإقليمية المتزايدة التي تلوّح باستخدام الأسلحة غير التقليدية، بما فيها الأسلحة النووية أو الإشعاعية كسيناريوهات حربية أو إرهابية محتملة.</w:t>
      </w:r>
    </w:p>
    <w:p w14:paraId="76CD22C1" w14:textId="77777777" w:rsidR="00DD53BE" w:rsidRPr="00DD53BE" w:rsidRDefault="00DD53BE" w:rsidP="00DD53BE">
      <w:pPr>
        <w:rPr>
          <w:rFonts w:ascii="Simplified Arabic" w:hAnsi="Simplified Arabic" w:cs="Simplified Arabic"/>
          <w:sz w:val="24"/>
          <w:szCs w:val="24"/>
          <w:lang w:bidi="ar-EG"/>
        </w:rPr>
      </w:pPr>
      <w:r w:rsidRPr="00DD53BE">
        <w:rPr>
          <w:rFonts w:ascii="Simplified Arabic" w:hAnsi="Simplified Arabic" w:cs="Simplified Arabic"/>
          <w:sz w:val="24"/>
          <w:szCs w:val="24"/>
          <w:rtl/>
          <w:lang w:bidi="ar-EG"/>
        </w:rPr>
        <w:t>إن الحوادث الإشعاعية والنووية – سواء كانت عرضية أو متعمدة – تتطلب استعدادًا خاصًا من النظام الصحي، نظرًا لطبيعة الإصابات المعقدة التي تنتج عنها، والتي تختلف كليًا عن الإصابات التقليدية من حيث طريقة التشخيص، ونوعية العلاجات، والبروتوكولات الوقائية، وآليات التطهير، والتعامل مع التلوث الإشعاعي، والعزل، والفرز الطبي، إضافة إلى جوانب الحماية الشخصية للكوادر الصحية. كما أن القدرة على الاستجابة لمثل هذه الحوادث ترتبط بشكل مباشر بوجود بروتوكولات واضحة، وتجهيزات طبية متخصصة، وتدريبات ميدانية عملية، وتنسيق عالي المستوى بين الجهات الصحية والأمنية والبيئية.</w:t>
      </w:r>
    </w:p>
    <w:p w14:paraId="36BB414C" w14:textId="77777777" w:rsidR="00DD53BE" w:rsidRPr="00DD53BE" w:rsidRDefault="00DD53BE" w:rsidP="00DD53BE">
      <w:pPr>
        <w:rPr>
          <w:rFonts w:ascii="Simplified Arabic" w:hAnsi="Simplified Arabic" w:cs="Simplified Arabic"/>
          <w:sz w:val="24"/>
          <w:szCs w:val="24"/>
          <w:lang w:bidi="ar-EG"/>
        </w:rPr>
      </w:pPr>
      <w:r w:rsidRPr="00DD53BE">
        <w:rPr>
          <w:rFonts w:ascii="Simplified Arabic" w:hAnsi="Simplified Arabic" w:cs="Simplified Arabic"/>
          <w:sz w:val="24"/>
          <w:szCs w:val="24"/>
          <w:rtl/>
          <w:lang w:bidi="ar-EG"/>
        </w:rPr>
        <w:t xml:space="preserve">وعند مراجعة الخطط الوطنية للطوارئ الصحية، نجد أنها لا تزال تركز بشكل رئيس على سيناريوهات الأوبئة (مثل كورونا)، أو الكوارث الطبيعية (كالسيول والزلازل)، بينما لم تحظَ المخاطر الإشعاعية والنووية بنفس القدر من التخطيط والتمرين والتجهيز، مما يجعل هناك فجوة حرجة في الجاهزية المؤسسية تجاه هذه النوعية من التهديدات. </w:t>
      </w:r>
    </w:p>
    <w:p w14:paraId="48C4CBC3" w14:textId="77777777" w:rsidR="00DD53BE" w:rsidRPr="00DD53BE" w:rsidRDefault="00DD53BE" w:rsidP="00DD53BE">
      <w:pPr>
        <w:rPr>
          <w:rFonts w:ascii="Simplified Arabic" w:hAnsi="Simplified Arabic" w:cs="Simplified Arabic"/>
          <w:sz w:val="24"/>
          <w:szCs w:val="24"/>
          <w:lang w:bidi="ar-EG"/>
        </w:rPr>
      </w:pPr>
      <w:r w:rsidRPr="00DD53BE">
        <w:rPr>
          <w:rFonts w:ascii="Simplified Arabic" w:hAnsi="Simplified Arabic" w:cs="Simplified Arabic"/>
          <w:sz w:val="24"/>
          <w:szCs w:val="24"/>
          <w:rtl/>
          <w:lang w:bidi="ar-EG"/>
        </w:rPr>
        <w:t>كما أن الدراسات الوطنية المنشورة حول جاهزية المنشآت الصحية السعودية لهذا النوع من المخاطر محدودة جدًا، مما ينعكس سلبًا على فرص تحسين السياسات، وتطوير الاستراتيجيات، وبناء قدرات الكوادر الصحية، وبالتالي فإن غياب التقييم العلمي الدقيق لجاهزية النظام الصحي السعودي لمواجهة الحوادث الإشعاعية والنووية يمثل بحد ذاته عائقًا أمام التطوير الفعال، ويهدد بضعف الأداء في حال وقوع حادث فعلي.</w:t>
      </w:r>
    </w:p>
    <w:p w14:paraId="40C9D8CC" w14:textId="77777777" w:rsidR="00DD53BE" w:rsidRPr="00DD53BE" w:rsidRDefault="00DD53BE" w:rsidP="00DD53BE">
      <w:pPr>
        <w:rPr>
          <w:rFonts w:ascii="Simplified Arabic" w:hAnsi="Simplified Arabic" w:cs="Simplified Arabic"/>
          <w:sz w:val="24"/>
          <w:szCs w:val="24"/>
          <w:lang w:bidi="ar-EG"/>
        </w:rPr>
      </w:pPr>
      <w:r w:rsidRPr="00DD53BE">
        <w:rPr>
          <w:rFonts w:ascii="Simplified Arabic" w:hAnsi="Simplified Arabic" w:cs="Simplified Arabic"/>
          <w:sz w:val="24"/>
          <w:szCs w:val="24"/>
          <w:rtl/>
          <w:lang w:bidi="ar-EG"/>
        </w:rPr>
        <w:t>من هنا، تتمثل مشكلة الدراسة في وجود قصور واضح في تقييم وتحليل مستوى الجاهزية المؤسسية للنظام الصحي السعودي في مواجهة المخاطر الإشعاعية والنووية، الأمر الذي يتطلب دراسة علمية شاملة وميدانية لتحديد مستوى الجاهزية الفعلي، ورصد نقاط الضعف والفرص، واقتراح إطار تطويري عملي يسهم في تعزيز الاستعداد الوطني، وتقوية التنسيق بين مختلف الجهات المعنية في حالات الطوارئ الإشعاعية</w:t>
      </w:r>
    </w:p>
    <w:p w14:paraId="1A8EE599" w14:textId="77777777" w:rsidR="00DD53BE" w:rsidRPr="00DD53BE" w:rsidRDefault="00DD53BE" w:rsidP="00DD53BE">
      <w:pPr>
        <w:rPr>
          <w:rFonts w:ascii="Simplified Arabic" w:hAnsi="Simplified Arabic" w:cs="Simplified Arabic"/>
          <w:sz w:val="24"/>
          <w:szCs w:val="24"/>
          <w:rtl/>
          <w:lang w:bidi="ar-EG"/>
        </w:rPr>
      </w:pPr>
      <w:r w:rsidRPr="00DD53BE">
        <w:rPr>
          <w:rFonts w:ascii="Simplified Arabic" w:hAnsi="Simplified Arabic" w:cs="Simplified Arabic"/>
          <w:sz w:val="24"/>
          <w:szCs w:val="24"/>
          <w:rtl/>
          <w:lang w:bidi="ar-EG"/>
        </w:rPr>
        <w:t>تهدف هذه الدراسة إلى سد هذه الفجوة من خلال تحليل معمّق لواقع الجاهزية داخل منشآت وزارة الصحة، وتحديد نقاط الضعف، واستكشاف العوامل المؤثرة في الاستجابة الإشعاعية، بما يساعد في تطوير خطة وطنية فعّالة لإدارة هذا النوع من الحوادث</w:t>
      </w:r>
    </w:p>
    <w:p w14:paraId="770AF01A" w14:textId="77777777" w:rsidR="00DD53BE" w:rsidRDefault="00DD53BE" w:rsidP="00DD53BE">
      <w:pPr>
        <w:rPr>
          <w:rFonts w:ascii="Sakkal Majalla" w:hAnsi="Sakkal Majalla" w:cs="Sakkal Majalla"/>
          <w:sz w:val="28"/>
          <w:szCs w:val="28"/>
          <w:u w:val="single"/>
          <w:lang w:bidi="ar-EG"/>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6851AB7D" w14:textId="77777777" w:rsidR="00DD53BE" w:rsidRPr="00DD53BE" w:rsidRDefault="00DD53BE" w:rsidP="00DD53BE">
      <w:pPr>
        <w:rPr>
          <w:rFonts w:ascii="Simplified Arabic" w:hAnsi="Simplified Arabic" w:cs="Simplified Arabic"/>
          <w:sz w:val="24"/>
          <w:szCs w:val="24"/>
          <w:rtl/>
        </w:rPr>
      </w:pPr>
      <w:r w:rsidRPr="00DD53BE">
        <w:rPr>
          <w:rFonts w:ascii="Simplified Arabic" w:hAnsi="Simplified Arabic" w:cs="Simplified Arabic"/>
          <w:sz w:val="24"/>
          <w:szCs w:val="24"/>
          <w:rtl/>
        </w:rPr>
        <w:t>تنبع أهمية هذه الدراسة من كونها تتناول أحد أكثر أنواع المخاطر حساسية وتعقيدًا، وهي المخاطر الإشعاعية والنووية، والتي تشكّل تهديدًا وجوديًا للنظام الصحي والمجتمع على حد سواء. فعلى الرغم من تزايد الاهتمام العالمي بتأمين الأنظمة الصحية ضد هذا النوع من المخاطر.</w:t>
      </w:r>
    </w:p>
    <w:p w14:paraId="202CD0F3" w14:textId="77777777" w:rsidR="00DD53BE" w:rsidRPr="00DD53BE" w:rsidRDefault="00DD53BE" w:rsidP="00DD53BE">
      <w:pPr>
        <w:rPr>
          <w:rFonts w:ascii="Simplified Arabic" w:hAnsi="Simplified Arabic" w:cs="Simplified Arabic"/>
          <w:sz w:val="24"/>
          <w:szCs w:val="24"/>
          <w:rtl/>
        </w:rPr>
      </w:pPr>
    </w:p>
    <w:p w14:paraId="7258BB63" w14:textId="77777777" w:rsidR="00DD53BE" w:rsidRPr="00DD53BE" w:rsidRDefault="00DD53BE" w:rsidP="00DD53BE">
      <w:pPr>
        <w:rPr>
          <w:rFonts w:ascii="Simplified Arabic" w:hAnsi="Simplified Arabic" w:cs="Simplified Arabic"/>
          <w:sz w:val="24"/>
          <w:szCs w:val="24"/>
          <w:rtl/>
        </w:rPr>
      </w:pPr>
      <w:r w:rsidRPr="00DD53BE">
        <w:rPr>
          <w:rFonts w:ascii="Simplified Arabic" w:hAnsi="Simplified Arabic" w:cs="Simplified Arabic"/>
          <w:sz w:val="24"/>
          <w:szCs w:val="24"/>
          <w:rtl/>
        </w:rPr>
        <w:t>كما أن أهمية الدراسة تتضاعف في ظل التوسع الصناعي والطبي المتسارع في المملكة العربية السعودية، والذي يترافق مع تزايد استخدام المصادر المشعة في المستشفيات والمراكز الطبية، مما يعزز من احتمالية حدوث حوادث إشعاعية عرضية. إلى جانب ذلك، فإن التوترات الإقليمية والتهديدات الاستراتيجية التي تحيط بالمملكة قد تضعها في دائرة التعرّض لمخاطر نووية أو إشعاعية في حال نشوب نزاعات عسكرية أو هجمات إرهابية تستهدف البنية التحتية الحيوية. وبالتالي، فإن بناء قدرات النظام الصحي على الاستجابة لهذه السيناريوهات لا يُعد خيارًا، بل ضرورة وطنية استراتيجية.</w:t>
      </w:r>
    </w:p>
    <w:p w14:paraId="5119BF3F" w14:textId="77777777" w:rsidR="00DD53BE" w:rsidRPr="00DD53BE" w:rsidRDefault="00DD53BE" w:rsidP="00DD53BE">
      <w:pPr>
        <w:rPr>
          <w:rFonts w:ascii="Simplified Arabic" w:hAnsi="Simplified Arabic" w:cs="Simplified Arabic"/>
          <w:sz w:val="24"/>
          <w:szCs w:val="24"/>
          <w:rtl/>
        </w:rPr>
      </w:pPr>
    </w:p>
    <w:p w14:paraId="63CABE82" w14:textId="77777777" w:rsidR="00DD53BE" w:rsidRPr="00DD53BE" w:rsidRDefault="00DD53BE" w:rsidP="00DD53BE">
      <w:pPr>
        <w:rPr>
          <w:rFonts w:ascii="Simplified Arabic" w:hAnsi="Simplified Arabic" w:cs="Simplified Arabic"/>
          <w:sz w:val="24"/>
          <w:szCs w:val="24"/>
          <w:rtl/>
        </w:rPr>
      </w:pPr>
      <w:r w:rsidRPr="00DD53BE">
        <w:rPr>
          <w:rFonts w:ascii="Simplified Arabic" w:hAnsi="Simplified Arabic" w:cs="Simplified Arabic"/>
          <w:sz w:val="24"/>
          <w:szCs w:val="24"/>
          <w:rtl/>
        </w:rPr>
        <w:t>وتكمن أهمية هذه الدراسة أيضًا في أنها لا تكتفي بوصف الواقع أو رصد الجاهزية الحالية، بل تسعى إلى تقديم تحليل معمّق لأوجه القصور والنجاح، والخروج بتوصيات عملية قابلة للتنفيذ من قبل صناع القرار، وواضعي السياسات، والممارسين في الميدان. كما تقدم الدراسة نموذجًا علميًا يمكن البناء عليه مستقبلاً في تطوير أطر التقييم والجاهزية المؤسسية على مستوى المملكة ودول الخليج والمنطقة العربية.</w:t>
      </w:r>
    </w:p>
    <w:p w14:paraId="73FB6D45" w14:textId="77777777" w:rsidR="00DD53BE" w:rsidRPr="00DD53BE" w:rsidRDefault="00DD53BE" w:rsidP="00DD53BE">
      <w:pPr>
        <w:rPr>
          <w:rFonts w:ascii="Simplified Arabic" w:hAnsi="Simplified Arabic" w:cs="Simplified Arabic"/>
          <w:sz w:val="24"/>
          <w:szCs w:val="24"/>
          <w:rtl/>
        </w:rPr>
      </w:pPr>
    </w:p>
    <w:p w14:paraId="0F9BED6D" w14:textId="77777777" w:rsidR="00DD53BE" w:rsidRPr="00DD53BE" w:rsidRDefault="00DD53BE" w:rsidP="00DD53BE">
      <w:pPr>
        <w:rPr>
          <w:rFonts w:ascii="Simplified Arabic" w:hAnsi="Simplified Arabic" w:cs="Simplified Arabic"/>
          <w:sz w:val="24"/>
          <w:szCs w:val="24"/>
          <w:rtl/>
        </w:rPr>
      </w:pPr>
      <w:r w:rsidRPr="00DD53BE">
        <w:rPr>
          <w:rFonts w:ascii="Simplified Arabic" w:hAnsi="Simplified Arabic" w:cs="Simplified Arabic"/>
          <w:sz w:val="24"/>
          <w:szCs w:val="24"/>
          <w:rtl/>
        </w:rPr>
        <w:t xml:space="preserve">وإضافة إلى ذلك، تسهم هذه الدراسة في رفع مستوى الوعي المهني والمؤسسي تجاه طبيعة المخاطر الإشعاعية والنووية، من خلال تسليط الضوء على متطلبات الاستجابة الفعّالة، وحاجة المنشآت الصحية إلى بناء قدرات متخصصة، وتوفير معدات حماية، وتدريب فرق الطوارئ على بروتوكولات الاستجابة في هذا النوع من الحوادث. وهي بهذا تواكب التوجهات العالمية في تعزيز الأمن الصحي، وتحقيق أهداف رؤية المملكة 2030 في بناء نظام صحي مرن، ومستعد لكافة أنواع </w:t>
      </w:r>
      <w:proofErr w:type="gramStart"/>
      <w:r w:rsidRPr="00DD53BE">
        <w:rPr>
          <w:rFonts w:ascii="Simplified Arabic" w:hAnsi="Simplified Arabic" w:cs="Simplified Arabic"/>
          <w:sz w:val="24"/>
          <w:szCs w:val="24"/>
          <w:rtl/>
        </w:rPr>
        <w:t>الطوارئ .</w:t>
      </w:r>
      <w:proofErr w:type="gramEnd"/>
    </w:p>
    <w:p w14:paraId="6BF01DBA" w14:textId="77777777" w:rsidR="00DD53BE" w:rsidRPr="00DD53BE" w:rsidRDefault="00DD53BE" w:rsidP="00DD53BE">
      <w:pPr>
        <w:rPr>
          <w:rFonts w:ascii="Simplified Arabic" w:hAnsi="Simplified Arabic" w:cs="Simplified Arabic"/>
          <w:sz w:val="24"/>
          <w:szCs w:val="24"/>
          <w:u w:val="single"/>
          <w:rtl/>
        </w:rPr>
      </w:pPr>
    </w:p>
    <w:p w14:paraId="55B17FC5" w14:textId="77777777" w:rsidR="00F925D0" w:rsidRPr="00DD53BE" w:rsidRDefault="00F925D0" w:rsidP="00D22171">
      <w:pPr>
        <w:rPr>
          <w:rFonts w:ascii="Simplified Arabic" w:hAnsi="Simplified Arabic" w:cs="Simplified Arabic"/>
          <w:sz w:val="24"/>
          <w:szCs w:val="24"/>
          <w:u w:val="single"/>
          <w:rtl/>
        </w:rPr>
      </w:pPr>
    </w:p>
    <w:p w14:paraId="579DE2BF" w14:textId="77777777" w:rsidR="00F925D0" w:rsidRDefault="00F925D0" w:rsidP="00D22171">
      <w:pPr>
        <w:rPr>
          <w:rFonts w:ascii="Simplified Arabic" w:hAnsi="Simplified Arabic" w:cs="Simplified Arabic"/>
          <w:sz w:val="24"/>
          <w:szCs w:val="24"/>
          <w:u w:val="single"/>
          <w:rtl/>
        </w:rPr>
      </w:pPr>
    </w:p>
    <w:p w14:paraId="74E45F39" w14:textId="77777777" w:rsidR="00DD53BE" w:rsidRDefault="00DD53BE" w:rsidP="00D22171">
      <w:pPr>
        <w:rPr>
          <w:rFonts w:ascii="Simplified Arabic" w:hAnsi="Simplified Arabic" w:cs="Simplified Arabic"/>
          <w:sz w:val="24"/>
          <w:szCs w:val="24"/>
          <w:u w:val="single"/>
          <w:rtl/>
        </w:rPr>
      </w:pPr>
    </w:p>
    <w:p w14:paraId="63869CB4" w14:textId="77777777" w:rsidR="00DD53BE" w:rsidRDefault="00DD53BE" w:rsidP="00D22171">
      <w:pPr>
        <w:rPr>
          <w:rFonts w:ascii="Simplified Arabic" w:hAnsi="Simplified Arabic" w:cs="Simplified Arabic"/>
          <w:sz w:val="24"/>
          <w:szCs w:val="24"/>
          <w:u w:val="single"/>
          <w:rtl/>
        </w:rPr>
      </w:pPr>
    </w:p>
    <w:p w14:paraId="507E9545" w14:textId="77777777" w:rsidR="00DD53BE" w:rsidRPr="00DD53BE" w:rsidRDefault="00DD53BE" w:rsidP="00D22171">
      <w:pPr>
        <w:rPr>
          <w:rFonts w:ascii="Simplified Arabic" w:hAnsi="Simplified Arabic" w:cs="Simplified Arabic"/>
          <w:sz w:val="24"/>
          <w:szCs w:val="24"/>
          <w:u w:val="single"/>
          <w:rtl/>
        </w:rPr>
      </w:pPr>
    </w:p>
    <w:p w14:paraId="0D1AC2D8" w14:textId="157F81A9" w:rsidR="00D22171" w:rsidRPr="00DD53BE" w:rsidRDefault="00D22171" w:rsidP="00D22171">
      <w:pPr>
        <w:rPr>
          <w:rFonts w:ascii="Simplified Arabic" w:hAnsi="Simplified Arabic" w:cs="Simplified Arabic"/>
          <w:sz w:val="24"/>
          <w:szCs w:val="24"/>
          <w:u w:val="single"/>
          <w:rtl/>
        </w:rPr>
      </w:pPr>
      <w:r w:rsidRPr="00DD53BE">
        <w:rPr>
          <w:rFonts w:ascii="Simplified Arabic" w:hAnsi="Simplified Arabic" w:cs="Simplified Arabic"/>
          <w:sz w:val="24"/>
          <w:szCs w:val="24"/>
          <w:u w:val="single"/>
          <w:rtl/>
        </w:rPr>
        <w:t xml:space="preserve">-أهداف الدراسة. </w:t>
      </w:r>
    </w:p>
    <w:p w14:paraId="0D6E4784" w14:textId="77777777" w:rsidR="00DD53BE" w:rsidRPr="00DD53BE" w:rsidRDefault="00DD53BE" w:rsidP="00DD53BE">
      <w:pPr>
        <w:rPr>
          <w:rFonts w:ascii="Simplified Arabic" w:hAnsi="Simplified Arabic" w:cs="Simplified Arabic"/>
          <w:sz w:val="24"/>
          <w:szCs w:val="24"/>
          <w:rtl/>
        </w:rPr>
      </w:pPr>
      <w:r w:rsidRPr="00DD53BE">
        <w:rPr>
          <w:rFonts w:ascii="Simplified Arabic" w:hAnsi="Simplified Arabic" w:cs="Simplified Arabic"/>
          <w:sz w:val="24"/>
          <w:szCs w:val="24"/>
          <w:rtl/>
        </w:rPr>
        <w:t>تهدف هذه الدراسة إلى تقديم تحليل علمي وعملي لمستوى جاهزية النظام الصحي في المملكة العربية السعودية للتعامل مع المخاطر الإشعاعية والنووية، باعتبارها من أخطر التهديدات التي قد تواجه البنية التحتية الصحية وسلامة السكان في حال وقوعها. وتنقسم أهداف الدراسة إلى أهداف رئيسية وأهداف فرعية، على النحو التالي:</w:t>
      </w:r>
    </w:p>
    <w:p w14:paraId="5ABA5ACF" w14:textId="77777777" w:rsidR="00DD53BE" w:rsidRPr="00DD53BE" w:rsidRDefault="00DD53BE" w:rsidP="00DD53BE">
      <w:pPr>
        <w:rPr>
          <w:rFonts w:ascii="Simplified Arabic" w:hAnsi="Simplified Arabic" w:cs="Simplified Arabic"/>
          <w:b/>
          <w:bCs/>
          <w:sz w:val="24"/>
          <w:szCs w:val="24"/>
          <w:rtl/>
        </w:rPr>
      </w:pPr>
      <w:r w:rsidRPr="00DD53BE">
        <w:rPr>
          <w:rFonts w:ascii="Simplified Arabic" w:hAnsi="Simplified Arabic" w:cs="Simplified Arabic"/>
          <w:b/>
          <w:bCs/>
          <w:sz w:val="24"/>
          <w:szCs w:val="24"/>
          <w:rtl/>
        </w:rPr>
        <w:t>أولًا: الهدف الرئيسي</w:t>
      </w:r>
    </w:p>
    <w:p w14:paraId="3A3A9875" w14:textId="77777777" w:rsidR="00DD53BE" w:rsidRPr="00DD53BE" w:rsidRDefault="00DD53BE" w:rsidP="00DD53BE">
      <w:pPr>
        <w:pStyle w:val="a6"/>
        <w:numPr>
          <w:ilvl w:val="0"/>
          <w:numId w:val="1"/>
        </w:numPr>
        <w:rPr>
          <w:rFonts w:ascii="Simplified Arabic" w:hAnsi="Simplified Arabic" w:cs="Simplified Arabic"/>
          <w:sz w:val="24"/>
          <w:szCs w:val="24"/>
          <w:rtl/>
        </w:rPr>
      </w:pPr>
      <w:r w:rsidRPr="00DD53BE">
        <w:rPr>
          <w:rFonts w:ascii="Simplified Arabic" w:hAnsi="Simplified Arabic" w:cs="Simplified Arabic"/>
          <w:sz w:val="24"/>
          <w:szCs w:val="24"/>
          <w:rtl/>
        </w:rPr>
        <w:t>تحليل واقع جاهزية النظام الصحي السعودي، ومنشآته، وقدراته المؤسسية، للتعامل مع الحوادث الإشعاعية والنووية، وتقديم توصيات استراتيجية لتعزيز الجاهزية المؤسسية والطوارئ الصحية على المستوى الوطني.</w:t>
      </w:r>
    </w:p>
    <w:p w14:paraId="74F79180" w14:textId="77777777" w:rsidR="00DD53BE" w:rsidRPr="00DD53BE" w:rsidRDefault="00DD53BE" w:rsidP="00DD53BE">
      <w:pPr>
        <w:rPr>
          <w:rFonts w:ascii="Simplified Arabic" w:hAnsi="Simplified Arabic" w:cs="Simplified Arabic"/>
          <w:b/>
          <w:bCs/>
          <w:sz w:val="24"/>
          <w:szCs w:val="24"/>
          <w:rtl/>
        </w:rPr>
      </w:pPr>
      <w:r w:rsidRPr="00DD53BE">
        <w:rPr>
          <w:rFonts w:ascii="Simplified Arabic" w:hAnsi="Simplified Arabic" w:cs="Simplified Arabic"/>
          <w:b/>
          <w:bCs/>
          <w:sz w:val="24"/>
          <w:szCs w:val="24"/>
          <w:rtl/>
        </w:rPr>
        <w:t>ثانيًا: الأهداف الفرعية</w:t>
      </w:r>
    </w:p>
    <w:p w14:paraId="5895C2E6" w14:textId="77777777" w:rsidR="00DD53BE" w:rsidRPr="00DD53BE" w:rsidRDefault="00DD53BE" w:rsidP="00DD53BE">
      <w:pPr>
        <w:pStyle w:val="a6"/>
        <w:numPr>
          <w:ilvl w:val="0"/>
          <w:numId w:val="2"/>
        </w:numPr>
        <w:rPr>
          <w:rFonts w:ascii="Simplified Arabic" w:hAnsi="Simplified Arabic" w:cs="Simplified Arabic"/>
          <w:b/>
          <w:bCs/>
          <w:sz w:val="24"/>
          <w:szCs w:val="24"/>
          <w:rtl/>
        </w:rPr>
      </w:pPr>
      <w:r w:rsidRPr="00DD53BE">
        <w:rPr>
          <w:rFonts w:ascii="Simplified Arabic" w:hAnsi="Simplified Arabic" w:cs="Simplified Arabic"/>
          <w:sz w:val="24"/>
          <w:szCs w:val="24"/>
          <w:rtl/>
        </w:rPr>
        <w:t>تقييم مستوى التخطيط المؤسسي داخل وزارة الصحة والجهات المعنية فيما يتعلق بالحوادث الإشعاعية والنووية، وتحليل مدى وضوح وتكامل الخطط الوطنية الحالية للطوارئ في هذا المجال.</w:t>
      </w:r>
    </w:p>
    <w:p w14:paraId="0462E4E0" w14:textId="77777777" w:rsidR="00DD53BE" w:rsidRPr="00DD53BE" w:rsidRDefault="00DD53BE" w:rsidP="00DD53BE">
      <w:pPr>
        <w:pStyle w:val="a6"/>
        <w:numPr>
          <w:ilvl w:val="0"/>
          <w:numId w:val="2"/>
        </w:numPr>
        <w:rPr>
          <w:rFonts w:ascii="Simplified Arabic" w:hAnsi="Simplified Arabic" w:cs="Simplified Arabic"/>
          <w:sz w:val="24"/>
          <w:szCs w:val="24"/>
          <w:rtl/>
        </w:rPr>
      </w:pPr>
      <w:r w:rsidRPr="00DD53BE">
        <w:rPr>
          <w:rFonts w:ascii="Simplified Arabic" w:hAnsi="Simplified Arabic" w:cs="Simplified Arabic"/>
          <w:sz w:val="24"/>
          <w:szCs w:val="24"/>
          <w:rtl/>
        </w:rPr>
        <w:t>قياس جاهزية المنشآت الصحية (من حيث البنية التحتية، والمعدات، والكوادر) للاستجابة الفعالة في حال وقوع حادث إشعاعي أو نووي، ومدى توافر الإمكانات التشخيصية والعلاجية اللازمة.</w:t>
      </w:r>
    </w:p>
    <w:p w14:paraId="60F30764" w14:textId="77777777" w:rsidR="00DD53BE" w:rsidRPr="00DD53BE" w:rsidRDefault="00DD53BE" w:rsidP="00DD53BE">
      <w:pPr>
        <w:pStyle w:val="a6"/>
        <w:numPr>
          <w:ilvl w:val="0"/>
          <w:numId w:val="2"/>
        </w:numPr>
        <w:rPr>
          <w:rFonts w:ascii="Simplified Arabic" w:hAnsi="Simplified Arabic" w:cs="Simplified Arabic"/>
          <w:sz w:val="24"/>
          <w:szCs w:val="24"/>
          <w:rtl/>
        </w:rPr>
      </w:pPr>
      <w:r w:rsidRPr="00DD53BE">
        <w:rPr>
          <w:rFonts w:ascii="Simplified Arabic" w:hAnsi="Simplified Arabic" w:cs="Simplified Arabic"/>
          <w:sz w:val="24"/>
          <w:szCs w:val="24"/>
          <w:rtl/>
        </w:rPr>
        <w:t>تحليل كفاءة التدريب والتأهيل المهني للكوادر الطبية والإدارية، ومدى إلمامهم ببروتوكولات التعامل مع الحوادث الإشعاعية والنووية، واستعدادهم الميداني لمباشرة المهام تحت ظروف معقدة.</w:t>
      </w:r>
    </w:p>
    <w:p w14:paraId="666F7300" w14:textId="77777777" w:rsidR="00DD53BE" w:rsidRPr="00DD53BE" w:rsidRDefault="00DD53BE" w:rsidP="00DD53BE">
      <w:pPr>
        <w:pStyle w:val="a6"/>
        <w:numPr>
          <w:ilvl w:val="0"/>
          <w:numId w:val="2"/>
        </w:numPr>
        <w:rPr>
          <w:rFonts w:ascii="Simplified Arabic" w:hAnsi="Simplified Arabic" w:cs="Simplified Arabic"/>
          <w:sz w:val="24"/>
          <w:szCs w:val="24"/>
          <w:rtl/>
        </w:rPr>
      </w:pPr>
      <w:r w:rsidRPr="00DD53BE">
        <w:rPr>
          <w:rFonts w:ascii="Simplified Arabic" w:hAnsi="Simplified Arabic" w:cs="Simplified Arabic"/>
          <w:sz w:val="24"/>
          <w:szCs w:val="24"/>
          <w:rtl/>
        </w:rPr>
        <w:t>رصد مستوى التنسيق والتكامل المؤسسي بين وزارة الصحة والجهات الأخرى ذات العلاقة (مثل هيئة الرقابة النووية، الدفاع المدني، هيئة الهلال الأحمر، وزارة الداخلية)، وتحليل آليات الاتصال في حالات الطوارئ.</w:t>
      </w:r>
    </w:p>
    <w:p w14:paraId="5C9BA183" w14:textId="77777777" w:rsidR="00DD53BE" w:rsidRPr="00DD53BE" w:rsidRDefault="00DD53BE" w:rsidP="00DD53BE">
      <w:pPr>
        <w:pStyle w:val="a6"/>
        <w:numPr>
          <w:ilvl w:val="0"/>
          <w:numId w:val="2"/>
        </w:numPr>
        <w:rPr>
          <w:rFonts w:ascii="Simplified Arabic" w:hAnsi="Simplified Arabic" w:cs="Simplified Arabic"/>
          <w:sz w:val="24"/>
          <w:szCs w:val="24"/>
          <w:rtl/>
        </w:rPr>
      </w:pPr>
      <w:r w:rsidRPr="00DD53BE">
        <w:rPr>
          <w:rFonts w:ascii="Simplified Arabic" w:hAnsi="Simplified Arabic" w:cs="Simplified Arabic"/>
          <w:sz w:val="24"/>
          <w:szCs w:val="24"/>
          <w:rtl/>
        </w:rPr>
        <w:t>تحديد أوجه القصور والتحديات التنظيمية والتشغيلية التي قد تعيق فعالية الاستجابة الطبية والصحية أثناء الحوادث الإشعاعية، سواء على مستوى التخطيط، أو الموارد، أو التنسيق.</w:t>
      </w:r>
    </w:p>
    <w:p w14:paraId="5990089D" w14:textId="77777777" w:rsidR="00DD53BE" w:rsidRPr="00DD53BE" w:rsidRDefault="00DD53BE" w:rsidP="00DD53BE">
      <w:pPr>
        <w:rPr>
          <w:rFonts w:ascii="Simplified Arabic" w:hAnsi="Simplified Arabic" w:cs="Simplified Arabic"/>
          <w:sz w:val="24"/>
          <w:szCs w:val="24"/>
          <w:rtl/>
        </w:rPr>
      </w:pPr>
    </w:p>
    <w:p w14:paraId="0C550E26" w14:textId="77777777" w:rsidR="00DD53BE" w:rsidRDefault="00DD53BE" w:rsidP="00DD53BE">
      <w:pPr>
        <w:rPr>
          <w:rFonts w:ascii="Sakkal Majalla" w:hAnsi="Sakkal Majalla" w:cs="Sakkal Majalla"/>
          <w:sz w:val="28"/>
          <w:szCs w:val="28"/>
          <w:u w:val="single"/>
          <w:rtl/>
        </w:rPr>
      </w:pPr>
    </w:p>
    <w:p w14:paraId="360C91AF" w14:textId="77777777" w:rsidR="00DD53BE" w:rsidRDefault="00DD53BE" w:rsidP="00DD53BE">
      <w:pPr>
        <w:rPr>
          <w:rFonts w:ascii="Sakkal Majalla" w:hAnsi="Sakkal Majalla" w:cs="Sakkal Majalla"/>
          <w:sz w:val="28"/>
          <w:szCs w:val="28"/>
          <w:u w:val="single"/>
          <w:rtl/>
        </w:rPr>
      </w:pPr>
    </w:p>
    <w:p w14:paraId="1B3DC42A" w14:textId="77777777" w:rsidR="00DD53BE" w:rsidRDefault="00DD53BE" w:rsidP="00DD53BE">
      <w:pPr>
        <w:rPr>
          <w:rFonts w:ascii="Sakkal Majalla" w:hAnsi="Sakkal Majalla" w:cs="Sakkal Majalla"/>
          <w:sz w:val="28"/>
          <w:szCs w:val="28"/>
          <w:u w:val="single"/>
          <w:rtl/>
        </w:rPr>
      </w:pPr>
    </w:p>
    <w:p w14:paraId="2B9B2DB7" w14:textId="77777777" w:rsidR="00DD53BE" w:rsidRDefault="00DD53BE" w:rsidP="00DD53BE">
      <w:pPr>
        <w:rPr>
          <w:rFonts w:ascii="Sakkal Majalla" w:hAnsi="Sakkal Majalla" w:cs="Sakkal Majalla"/>
          <w:sz w:val="28"/>
          <w:szCs w:val="28"/>
          <w:u w:val="single"/>
          <w:rtl/>
        </w:rPr>
      </w:pPr>
    </w:p>
    <w:p w14:paraId="7B3590A1" w14:textId="77777777" w:rsidR="00DD53BE" w:rsidRDefault="00DD53BE" w:rsidP="00DD53BE">
      <w:pPr>
        <w:rPr>
          <w:rFonts w:ascii="Sakkal Majalla" w:hAnsi="Sakkal Majalla" w:cs="Sakkal Majalla"/>
          <w:sz w:val="28"/>
          <w:szCs w:val="28"/>
          <w:u w:val="single"/>
          <w:rtl/>
        </w:rPr>
      </w:pPr>
    </w:p>
    <w:p w14:paraId="50FA77CF" w14:textId="77777777" w:rsidR="00DD53BE" w:rsidRDefault="00DD53BE" w:rsidP="00DD53BE">
      <w:pPr>
        <w:rPr>
          <w:rFonts w:ascii="Sakkal Majalla" w:hAnsi="Sakkal Majalla" w:cs="Sakkal Majalla"/>
          <w:sz w:val="28"/>
          <w:szCs w:val="28"/>
          <w:u w:val="single"/>
          <w:rtl/>
        </w:rPr>
      </w:pPr>
    </w:p>
    <w:p w14:paraId="1A48E59B"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5A70C00D" w14:textId="77777777" w:rsidR="00DD53BE" w:rsidRPr="000D30DE" w:rsidRDefault="00DD53BE" w:rsidP="00DD53BE">
      <w:pPr>
        <w:rPr>
          <w:rFonts w:ascii="Simplified Arabic" w:hAnsi="Simplified Arabic" w:cs="Simplified Arabic"/>
          <w:b/>
          <w:bCs/>
          <w:sz w:val="24"/>
          <w:szCs w:val="24"/>
          <w:rtl/>
        </w:rPr>
      </w:pPr>
      <w:r w:rsidRPr="000D30DE">
        <w:rPr>
          <w:rFonts w:ascii="Simplified Arabic" w:hAnsi="Simplified Arabic" w:cs="Simplified Arabic"/>
          <w:b/>
          <w:bCs/>
          <w:sz w:val="24"/>
          <w:szCs w:val="24"/>
          <w:rtl/>
        </w:rPr>
        <w:t>أولًا: التساؤل الرئيسي</w:t>
      </w:r>
    </w:p>
    <w:p w14:paraId="3284A211"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ما مدى جاهزية النظام الصحي في المملكة العربية السعودية، بمستوياته المختلفة، للاستجابة الفعالة لحالات الطوارئ الناتجة عن الحوادث الإشعاعية والنووية؟</w:t>
      </w:r>
    </w:p>
    <w:p w14:paraId="254A3CDF" w14:textId="77777777" w:rsidR="00DD53BE" w:rsidRPr="000D30DE" w:rsidRDefault="00DD53BE" w:rsidP="00DD53BE">
      <w:pPr>
        <w:rPr>
          <w:rFonts w:ascii="Simplified Arabic" w:hAnsi="Simplified Arabic" w:cs="Simplified Arabic"/>
          <w:sz w:val="24"/>
          <w:szCs w:val="24"/>
          <w:rtl/>
        </w:rPr>
      </w:pPr>
    </w:p>
    <w:p w14:paraId="2C0DF08F" w14:textId="77777777" w:rsidR="00DD53BE" w:rsidRPr="000D30DE" w:rsidRDefault="00DD53BE" w:rsidP="00DD53BE">
      <w:pPr>
        <w:rPr>
          <w:rFonts w:ascii="Simplified Arabic" w:hAnsi="Simplified Arabic" w:cs="Simplified Arabic"/>
          <w:b/>
          <w:bCs/>
          <w:sz w:val="24"/>
          <w:szCs w:val="24"/>
          <w:rtl/>
        </w:rPr>
      </w:pPr>
      <w:r w:rsidRPr="000D30DE">
        <w:rPr>
          <w:rFonts w:ascii="Simplified Arabic" w:hAnsi="Simplified Arabic" w:cs="Simplified Arabic"/>
          <w:b/>
          <w:bCs/>
          <w:sz w:val="24"/>
          <w:szCs w:val="24"/>
          <w:rtl/>
        </w:rPr>
        <w:t>ثانيًا: التساؤلات الفرعية</w:t>
      </w:r>
    </w:p>
    <w:p w14:paraId="2DD2649C"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1.ما مدى تكامل ووضوح خطط الطوارئ الصحية المعتمدة في المملكة للتعامل مع المخاطر الإشعاعية والنووية؟ وهل تتماشى مع المعايير الدولية في هذا المجال؟</w:t>
      </w:r>
    </w:p>
    <w:p w14:paraId="7B6A7329"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2.ما مدى توافر التجهيزات الطبية والفنية المناسبة في المنشآت الصحية، للتعامل مع الإصابات الناتجة عن التعرض الإشعاعي أو النووي؟</w:t>
      </w:r>
    </w:p>
    <w:p w14:paraId="3DD0D877"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3.هل تحظى الكوادر الصحية بالتدريب والتأهيل الكافي للتعامل مع الحوادث الإشعاعية؟ وما مدى وعيهم بمتطلبات الاستجابة الآمنة؟</w:t>
      </w:r>
    </w:p>
    <w:p w14:paraId="100D2EB7"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4.ما طبيعة ومستوى التنسيق بين وزارة الصحة والجهات الوطنية الأخرى ذات العلاقة في حالات الطوارئ الإشعاعية والنووية؟</w:t>
      </w:r>
    </w:p>
    <w:p w14:paraId="64C5E205"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5.ما أبرز أوجه القصور أو الفجوات التنظيمية والتشغيلية التي قد تُضعف جاهزية النظام الصحي السعودي للاستجابة لمثل هذه الحوادث؟</w:t>
      </w:r>
    </w:p>
    <w:p w14:paraId="167CB4DB"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 xml:space="preserve">6.ما أبرز المقترحات التي يمكن أن تساهم في تطوير خطة وطنية متكاملة لرفع كفاءة الاستجابة الصحية للمخاطر الإشعاعية </w:t>
      </w:r>
      <w:proofErr w:type="gramStart"/>
      <w:r w:rsidRPr="000D30DE">
        <w:rPr>
          <w:rFonts w:ascii="Simplified Arabic" w:hAnsi="Simplified Arabic" w:cs="Simplified Arabic"/>
          <w:sz w:val="24"/>
          <w:szCs w:val="24"/>
          <w:rtl/>
        </w:rPr>
        <w:t>والنووية؟*</w:t>
      </w:r>
      <w:proofErr w:type="gramEnd"/>
    </w:p>
    <w:p w14:paraId="01E6437E" w14:textId="77777777" w:rsidR="00F925D0" w:rsidRPr="000D30DE" w:rsidRDefault="00F925D0" w:rsidP="00D22171">
      <w:pPr>
        <w:rPr>
          <w:rFonts w:ascii="Simplified Arabic" w:hAnsi="Simplified Arabic" w:cs="Simplified Arabic"/>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0EB36B35" w14:textId="77777777" w:rsidR="00DD53BE" w:rsidRPr="000D30DE" w:rsidRDefault="00DD53BE" w:rsidP="00DD53BE">
      <w:pPr>
        <w:rPr>
          <w:rFonts w:ascii="Simplified Arabic" w:hAnsi="Simplified Arabic" w:cs="Simplified Arabic"/>
          <w:b/>
          <w:bCs/>
          <w:sz w:val="32"/>
          <w:szCs w:val="32"/>
          <w:rtl/>
        </w:rPr>
      </w:pPr>
      <w:r w:rsidRPr="000D30DE">
        <w:rPr>
          <w:rFonts w:ascii="Simplified Arabic" w:hAnsi="Simplified Arabic" w:cs="Simplified Arabic"/>
          <w:b/>
          <w:bCs/>
          <w:sz w:val="32"/>
          <w:szCs w:val="32"/>
          <w:rtl/>
        </w:rPr>
        <w:t>الفرضية الرئيسة:</w:t>
      </w:r>
    </w:p>
    <w:p w14:paraId="1424830F" w14:textId="77777777" w:rsidR="00DD53BE" w:rsidRPr="000D30DE" w:rsidRDefault="00DD53BE" w:rsidP="00DD53BE">
      <w:pPr>
        <w:pStyle w:val="a6"/>
        <w:numPr>
          <w:ilvl w:val="0"/>
          <w:numId w:val="3"/>
        </w:numPr>
        <w:rPr>
          <w:rFonts w:ascii="Simplified Arabic" w:hAnsi="Simplified Arabic" w:cs="Simplified Arabic"/>
          <w:sz w:val="24"/>
          <w:szCs w:val="24"/>
          <w:rtl/>
        </w:rPr>
      </w:pPr>
      <w:r w:rsidRPr="000D30DE">
        <w:rPr>
          <w:rFonts w:ascii="Simplified Arabic" w:hAnsi="Simplified Arabic" w:cs="Simplified Arabic"/>
          <w:sz w:val="24"/>
          <w:szCs w:val="24"/>
          <w:rtl/>
        </w:rPr>
        <w:t>توجد فروق ذات دلالة إحصائية في مستوى جاهزية النظام الصحي السعودي للتعامل مع الحوادث الإشعاعية والنووية، تعود إلى عوامل تتعلق بالبنية التحتية، والخطط التنظيمية، والتدريب، والتنسيق المؤسسي.</w:t>
      </w:r>
    </w:p>
    <w:p w14:paraId="57C48FC5" w14:textId="77777777" w:rsidR="00DD53BE" w:rsidRPr="000D30DE" w:rsidRDefault="00DD53BE" w:rsidP="00DD53BE">
      <w:pPr>
        <w:rPr>
          <w:rFonts w:ascii="Simplified Arabic" w:hAnsi="Simplified Arabic" w:cs="Simplified Arabic"/>
          <w:sz w:val="32"/>
          <w:szCs w:val="32"/>
          <w:rtl/>
        </w:rPr>
      </w:pPr>
    </w:p>
    <w:p w14:paraId="2ACC50AF" w14:textId="77777777" w:rsidR="00DD53BE" w:rsidRPr="000D30DE" w:rsidRDefault="00DD53BE" w:rsidP="00DD53BE">
      <w:pPr>
        <w:pStyle w:val="a6"/>
        <w:numPr>
          <w:ilvl w:val="0"/>
          <w:numId w:val="3"/>
        </w:numPr>
        <w:rPr>
          <w:rFonts w:ascii="Simplified Arabic" w:hAnsi="Simplified Arabic" w:cs="Simplified Arabic"/>
          <w:b/>
          <w:bCs/>
          <w:sz w:val="32"/>
          <w:szCs w:val="32"/>
          <w:rtl/>
        </w:rPr>
      </w:pPr>
      <w:r w:rsidRPr="000D30DE">
        <w:rPr>
          <w:rFonts w:ascii="Simplified Arabic" w:hAnsi="Simplified Arabic" w:cs="Simplified Arabic"/>
          <w:b/>
          <w:bCs/>
          <w:sz w:val="32"/>
          <w:szCs w:val="32"/>
          <w:rtl/>
        </w:rPr>
        <w:t>الفرضيات الفرعية:</w:t>
      </w:r>
    </w:p>
    <w:p w14:paraId="7B40146D"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1.</w:t>
      </w:r>
      <w:r w:rsidRPr="000D30DE">
        <w:rPr>
          <w:rFonts w:ascii="Simplified Arabic" w:hAnsi="Simplified Arabic" w:cs="Simplified Arabic"/>
          <w:sz w:val="24"/>
          <w:szCs w:val="24"/>
          <w:rtl/>
        </w:rPr>
        <w:tab/>
        <w:t>توجد علاقة طردية ذات دلالة إحصائية بين وضوح خطط الطوارئ الصحية وبين كفاءة الاستجابة للحوادث الإشعاعية والنووية في المنشآت الصحية.</w:t>
      </w:r>
    </w:p>
    <w:p w14:paraId="645C850B"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2.</w:t>
      </w:r>
      <w:r w:rsidRPr="000D30DE">
        <w:rPr>
          <w:rFonts w:ascii="Simplified Arabic" w:hAnsi="Simplified Arabic" w:cs="Simplified Arabic"/>
          <w:sz w:val="24"/>
          <w:szCs w:val="24"/>
          <w:rtl/>
        </w:rPr>
        <w:tab/>
        <w:t>يؤثر مستوى تدريب الكوادر الصحية بشكل مباشر على فاعلية الاستجابة الطبية والإدارية في حال وقوع حادث إشعاعي أو نووي.</w:t>
      </w:r>
    </w:p>
    <w:p w14:paraId="4C68E31E"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3.</w:t>
      </w:r>
      <w:r w:rsidRPr="000D30DE">
        <w:rPr>
          <w:rFonts w:ascii="Simplified Arabic" w:hAnsi="Simplified Arabic" w:cs="Simplified Arabic"/>
          <w:sz w:val="24"/>
          <w:szCs w:val="24"/>
          <w:rtl/>
        </w:rPr>
        <w:tab/>
        <w:t>توجد فروق ذات دلالة إحصائية بين مستوى جاهزية المنشآت الصحية المركزية والمنشآت الطرفية في التعامل مع الحوادث الإشعاعية.</w:t>
      </w:r>
    </w:p>
    <w:p w14:paraId="6EDDD3DB"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4.</w:t>
      </w:r>
      <w:r w:rsidRPr="000D30DE">
        <w:rPr>
          <w:rFonts w:ascii="Simplified Arabic" w:hAnsi="Simplified Arabic" w:cs="Simplified Arabic"/>
          <w:sz w:val="24"/>
          <w:szCs w:val="24"/>
          <w:rtl/>
        </w:rPr>
        <w:tab/>
        <w:t>يُعد ضعف التنسيق بين الجهات الصحية والأمنية والبيئية عاملاً جوهريًا في انخفاض مستوى الجاهزية الوطنية للحوادث الإشعاعية والنووية.</w:t>
      </w:r>
    </w:p>
    <w:p w14:paraId="4F157038" w14:textId="77777777" w:rsidR="00DD53BE" w:rsidRPr="000D30DE" w:rsidRDefault="00DD53BE" w:rsidP="00DD53BE">
      <w:pPr>
        <w:rPr>
          <w:rFonts w:ascii="Simplified Arabic" w:hAnsi="Simplified Arabic" w:cs="Simplified Arabic"/>
          <w:sz w:val="24"/>
          <w:szCs w:val="24"/>
          <w:rtl/>
        </w:rPr>
      </w:pPr>
      <w:r w:rsidRPr="000D30DE">
        <w:rPr>
          <w:rFonts w:ascii="Simplified Arabic" w:hAnsi="Simplified Arabic" w:cs="Simplified Arabic"/>
          <w:sz w:val="24"/>
          <w:szCs w:val="24"/>
          <w:rtl/>
        </w:rPr>
        <w:tab/>
        <w:t>5.</w:t>
      </w:r>
      <w:r w:rsidRPr="000D30DE">
        <w:rPr>
          <w:rFonts w:ascii="Simplified Arabic" w:hAnsi="Simplified Arabic" w:cs="Simplified Arabic"/>
          <w:sz w:val="24"/>
          <w:szCs w:val="24"/>
          <w:rtl/>
        </w:rPr>
        <w:tab/>
        <w:t>يساهم توافر التجهيزات الطبية المتخصصة في رفع كفاءة التعامل مع الحوادث الإشعاعية، مقارنة بالمنشآت غير المجهزة</w:t>
      </w:r>
    </w:p>
    <w:p w14:paraId="047EF155" w14:textId="77777777" w:rsidR="00DD53BE" w:rsidRDefault="00DD53BE" w:rsidP="00DD53BE">
      <w:pPr>
        <w:rPr>
          <w:rFonts w:ascii="Sakkal Majalla" w:hAnsi="Sakkal Majalla" w:cs="Sakkal Majalla"/>
          <w:sz w:val="28"/>
          <w:szCs w:val="28"/>
          <w:u w:val="single"/>
          <w:rtl/>
        </w:rPr>
      </w:pPr>
    </w:p>
    <w:p w14:paraId="14FD0D51" w14:textId="77777777" w:rsidR="00DD53BE" w:rsidRDefault="00DD53BE" w:rsidP="00DD53BE">
      <w:pPr>
        <w:rPr>
          <w:rFonts w:ascii="Sakkal Majalla" w:hAnsi="Sakkal Majalla" w:cs="Sakkal Majalla"/>
          <w:sz w:val="28"/>
          <w:szCs w:val="28"/>
          <w:u w:val="single"/>
          <w:rtl/>
        </w:rPr>
      </w:pPr>
    </w:p>
    <w:p w14:paraId="4AF4A22F" w14:textId="77777777" w:rsidR="00DD53BE" w:rsidRDefault="00DD53BE" w:rsidP="00DD53BE">
      <w:pPr>
        <w:rPr>
          <w:rFonts w:ascii="Sakkal Majalla" w:hAnsi="Sakkal Majalla" w:cs="Sakkal Majalla"/>
          <w:sz w:val="28"/>
          <w:szCs w:val="28"/>
          <w:u w:val="single"/>
          <w:rtl/>
        </w:rPr>
      </w:pPr>
    </w:p>
    <w:p w14:paraId="25FEC309" w14:textId="77777777" w:rsidR="00DD53BE" w:rsidRDefault="00DD53BE" w:rsidP="00DD53BE">
      <w:pPr>
        <w:rPr>
          <w:rFonts w:ascii="Sakkal Majalla" w:hAnsi="Sakkal Majalla" w:cs="Sakkal Majalla"/>
          <w:sz w:val="28"/>
          <w:szCs w:val="28"/>
          <w:u w:val="single"/>
          <w:rtl/>
        </w:rPr>
      </w:pPr>
    </w:p>
    <w:p w14:paraId="398D0191" w14:textId="77777777" w:rsidR="00DD53BE" w:rsidRDefault="00DD53BE" w:rsidP="00DD53BE">
      <w:pPr>
        <w:rPr>
          <w:rFonts w:ascii="Sakkal Majalla" w:hAnsi="Sakkal Majalla" w:cs="Sakkal Majalla"/>
          <w:sz w:val="28"/>
          <w:szCs w:val="28"/>
          <w:u w:val="single"/>
          <w:rtl/>
        </w:rPr>
      </w:pPr>
    </w:p>
    <w:p w14:paraId="7181F496" w14:textId="77777777" w:rsidR="00DD53BE" w:rsidRDefault="00DD53BE" w:rsidP="00DD53BE">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3934C8BA" w14:textId="402BA14E"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ا</w:t>
      </w:r>
      <w:r w:rsidRPr="000D30DE">
        <w:rPr>
          <w:rFonts w:ascii="Simplified Arabic" w:hAnsi="Simplified Arabic" w:cs="Simplified Arabic"/>
          <w:sz w:val="24"/>
          <w:szCs w:val="24"/>
          <w:rtl/>
        </w:rPr>
        <w:t>عتمد هذا البحث على مجموعة من الأطر العلمية والنظرية المعتمدة في مجال إدارة المخاطر والطوارئ الصحية، وذلك لكون الحوادث الإشعاعية والنووية من المخاطر منخفضة الاحتمالية مرتفعة التأثير، التي تتطلب نماذج تحليلية دقيقة لتقييم الجاهزية وقياس القدرة التشغيلية للمؤسسات الصحية.</w:t>
      </w:r>
    </w:p>
    <w:p w14:paraId="1DF570A3" w14:textId="64D800BB"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أولًا: نظرية إدارة المخاطر (</w:t>
      </w:r>
      <w:r w:rsidRPr="000D30DE">
        <w:rPr>
          <w:rFonts w:ascii="Simplified Arabic" w:hAnsi="Simplified Arabic" w:cs="Simplified Arabic"/>
          <w:sz w:val="24"/>
          <w:szCs w:val="24"/>
        </w:rPr>
        <w:t>Risk Management Theory</w:t>
      </w:r>
      <w:r w:rsidRPr="000D30DE">
        <w:rPr>
          <w:rFonts w:ascii="Simplified Arabic" w:hAnsi="Simplified Arabic" w:cs="Simplified Arabic"/>
          <w:sz w:val="24"/>
          <w:szCs w:val="24"/>
          <w:rtl/>
        </w:rPr>
        <w:t>)</w:t>
      </w:r>
    </w:p>
    <w:p w14:paraId="6BEEF03C"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تُعد هذه النظرية الإطار الأساسي الذي يقوم عليه هذا البحث، كونها تعتمد على خطوات منهجية تشمل:</w:t>
      </w:r>
    </w:p>
    <w:p w14:paraId="48831187"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1.</w:t>
      </w:r>
      <w:r w:rsidRPr="000D30DE">
        <w:rPr>
          <w:rFonts w:ascii="Simplified Arabic" w:hAnsi="Simplified Arabic" w:cs="Simplified Arabic"/>
          <w:sz w:val="24"/>
          <w:szCs w:val="24"/>
          <w:rtl/>
        </w:rPr>
        <w:tab/>
        <w:t>تحديد المخاطر المرتبطة بالحوادث الإشعاعية والنووية.</w:t>
      </w:r>
    </w:p>
    <w:p w14:paraId="674438E3"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2.</w:t>
      </w:r>
      <w:r w:rsidRPr="000D30DE">
        <w:rPr>
          <w:rFonts w:ascii="Simplified Arabic" w:hAnsi="Simplified Arabic" w:cs="Simplified Arabic"/>
          <w:sz w:val="24"/>
          <w:szCs w:val="24"/>
          <w:rtl/>
        </w:rPr>
        <w:tab/>
        <w:t>تحليل وتقييم احتمالية وقوعها وتأثيرها على النظام الصحي.</w:t>
      </w:r>
    </w:p>
    <w:p w14:paraId="3F475C4B"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3.</w:t>
      </w:r>
      <w:r w:rsidRPr="000D30DE">
        <w:rPr>
          <w:rFonts w:ascii="Simplified Arabic" w:hAnsi="Simplified Arabic" w:cs="Simplified Arabic"/>
          <w:sz w:val="24"/>
          <w:szCs w:val="24"/>
          <w:rtl/>
        </w:rPr>
        <w:tab/>
        <w:t>تطوير استراتيجيات الاستجابة وإجراءات الحد من المخاطر.</w:t>
      </w:r>
    </w:p>
    <w:p w14:paraId="2FAC7E71"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4.</w:t>
      </w:r>
      <w:r w:rsidRPr="000D30DE">
        <w:rPr>
          <w:rFonts w:ascii="Simplified Arabic" w:hAnsi="Simplified Arabic" w:cs="Simplified Arabic"/>
          <w:sz w:val="24"/>
          <w:szCs w:val="24"/>
          <w:rtl/>
        </w:rPr>
        <w:tab/>
        <w:t>المتابعة والتحسين المستمر للجاهزية المؤسسية.</w:t>
      </w:r>
    </w:p>
    <w:p w14:paraId="276B11EE" w14:textId="4DA0E624"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وتناسب هذه النظرية طبيعة المخاطر الإشعاعية نظرًا لتعدد أبعادها وارتباطها بجهات عدة.</w:t>
      </w:r>
    </w:p>
    <w:p w14:paraId="57B504C8" w14:textId="30A9D59C"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ثانيًا: نموذج الجاهزية المؤسسية للطوارئ (</w:t>
      </w:r>
      <w:r w:rsidRPr="000D30DE">
        <w:rPr>
          <w:rFonts w:ascii="Simplified Arabic" w:hAnsi="Simplified Arabic" w:cs="Simplified Arabic"/>
          <w:sz w:val="24"/>
          <w:szCs w:val="24"/>
        </w:rPr>
        <w:t>Emergency Preparedness Model</w:t>
      </w:r>
      <w:r w:rsidRPr="000D30DE">
        <w:rPr>
          <w:rFonts w:ascii="Simplified Arabic" w:hAnsi="Simplified Arabic" w:cs="Simplified Arabic"/>
          <w:sz w:val="24"/>
          <w:szCs w:val="24"/>
          <w:rtl/>
        </w:rPr>
        <w:t>)</w:t>
      </w:r>
    </w:p>
    <w:p w14:paraId="5685442C"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استند البحث إلى نموذج الجاهزية الذي يحدد أربعة محاور رئيسية لقياس الاستعداد المؤسسي، وهي:</w:t>
      </w:r>
    </w:p>
    <w:p w14:paraId="51952BD1"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الخطة: وجود خطط وبروتوكولات واضحة للاستجابة الإشعاعية.</w:t>
      </w:r>
    </w:p>
    <w:p w14:paraId="62BED6FA"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البنية التحتية: توفر التجهيزات الفنية واللوجستية اللازمة.</w:t>
      </w:r>
    </w:p>
    <w:p w14:paraId="4E4A1DCB"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التدريب: مستوى تأهيل الكوادر الصحية بالمفاهيم الإشعاعية.</w:t>
      </w:r>
    </w:p>
    <w:p w14:paraId="0C65E0F2"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التنسيق المؤسسي: فاعلية التعاون بين الجهات الصحية والأمنية والرقابية.</w:t>
      </w:r>
    </w:p>
    <w:p w14:paraId="5495D5DC" w14:textId="7E74960A"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ويمثل هذا النموذج الأساس الذي بُنيت عليه محاور الاستبانة وتحليل النتائج.</w:t>
      </w:r>
    </w:p>
    <w:p w14:paraId="3B3E6E90" w14:textId="59ACEBB4"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ثالثًا: نظرية الصمود المؤسسي (</w:t>
      </w:r>
      <w:r w:rsidRPr="000D30DE">
        <w:rPr>
          <w:rFonts w:ascii="Simplified Arabic" w:hAnsi="Simplified Arabic" w:cs="Simplified Arabic"/>
          <w:sz w:val="24"/>
          <w:szCs w:val="24"/>
        </w:rPr>
        <w:t>Organizational Resilience Theory</w:t>
      </w:r>
      <w:r w:rsidRPr="000D30DE">
        <w:rPr>
          <w:rFonts w:ascii="Simplified Arabic" w:hAnsi="Simplified Arabic" w:cs="Simplified Arabic"/>
          <w:sz w:val="24"/>
          <w:szCs w:val="24"/>
          <w:rtl/>
        </w:rPr>
        <w:t>)</w:t>
      </w:r>
    </w:p>
    <w:p w14:paraId="652465F3"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تُعد هذه النظرية مكملة لنظرية إدارة المخاطر، وتركّز على قدرة المنشآت الصحية على الاستمرار في أداء وظائفها خلال الحوادث والاستشفاء السريع بعدها، من خلال:</w:t>
      </w:r>
    </w:p>
    <w:p w14:paraId="4067FABC"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 xml:space="preserve">بناء قدرات </w:t>
      </w:r>
      <w:proofErr w:type="spellStart"/>
      <w:r w:rsidRPr="000D30DE">
        <w:rPr>
          <w:rFonts w:ascii="Simplified Arabic" w:hAnsi="Simplified Arabic" w:cs="Simplified Arabic"/>
          <w:sz w:val="24"/>
          <w:szCs w:val="24"/>
          <w:rtl/>
        </w:rPr>
        <w:t>استجابية</w:t>
      </w:r>
      <w:proofErr w:type="spellEnd"/>
      <w:r w:rsidRPr="000D30DE">
        <w:rPr>
          <w:rFonts w:ascii="Simplified Arabic" w:hAnsi="Simplified Arabic" w:cs="Simplified Arabic"/>
          <w:sz w:val="24"/>
          <w:szCs w:val="24"/>
          <w:rtl/>
        </w:rPr>
        <w:t xml:space="preserve"> عالية.</w:t>
      </w:r>
    </w:p>
    <w:p w14:paraId="700AE7DE"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المرونة والتكيف مع الظروف الحرجة.</w:t>
      </w:r>
    </w:p>
    <w:p w14:paraId="6D6E2D3A"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lastRenderedPageBreak/>
        <w:tab/>
        <w:t>•</w:t>
      </w:r>
      <w:r w:rsidRPr="000D30DE">
        <w:rPr>
          <w:rFonts w:ascii="Simplified Arabic" w:hAnsi="Simplified Arabic" w:cs="Simplified Arabic"/>
          <w:sz w:val="24"/>
          <w:szCs w:val="24"/>
          <w:rtl/>
        </w:rPr>
        <w:tab/>
        <w:t>تطوير خطط بديلة لضمان استمرارية العمل.</w:t>
      </w:r>
    </w:p>
    <w:p w14:paraId="36C9F465" w14:textId="77777777" w:rsidR="000D30DE" w:rsidRPr="000D30DE" w:rsidRDefault="000D30DE" w:rsidP="000D30DE">
      <w:pPr>
        <w:rPr>
          <w:rFonts w:ascii="Simplified Arabic" w:hAnsi="Simplified Arabic" w:cs="Simplified Arabic"/>
          <w:sz w:val="24"/>
          <w:szCs w:val="24"/>
          <w:rtl/>
        </w:rPr>
      </w:pPr>
    </w:p>
    <w:p w14:paraId="43F863A2" w14:textId="59DB2BC9"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رابعًا: إطار اللوائح الصحية الدولية (</w:t>
      </w:r>
      <w:r w:rsidRPr="000D30DE">
        <w:rPr>
          <w:rFonts w:ascii="Simplified Arabic" w:hAnsi="Simplified Arabic" w:cs="Simplified Arabic"/>
          <w:sz w:val="24"/>
          <w:szCs w:val="24"/>
        </w:rPr>
        <w:t>IHR 2005</w:t>
      </w:r>
      <w:r w:rsidRPr="000D30DE">
        <w:rPr>
          <w:rFonts w:ascii="Simplified Arabic" w:hAnsi="Simplified Arabic" w:cs="Simplified Arabic"/>
          <w:sz w:val="24"/>
          <w:szCs w:val="24"/>
          <w:rtl/>
        </w:rPr>
        <w:t>)</w:t>
      </w:r>
    </w:p>
    <w:p w14:paraId="2B130DCD"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اعتمد البحث على متطلبات اللوائح الصحية الدولية باعتبارها المرجع العالمي لتقييم جاهزية الأنظمة الصحية للطوارئ، وتشمل:</w:t>
      </w:r>
    </w:p>
    <w:p w14:paraId="1505440C"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نظام الإنذار المبكر.</w:t>
      </w:r>
    </w:p>
    <w:p w14:paraId="06103A48"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القدرات الأساسية للاستجابة.</w:t>
      </w:r>
    </w:p>
    <w:p w14:paraId="37989F4B"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التنسيق الوطني متعدد القطاعات.</w:t>
      </w:r>
    </w:p>
    <w:p w14:paraId="7A026037" w14:textId="482B9E3A"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إدارة المخاطر عالية الخطورة مثل الإشعاع والنووي.</w:t>
      </w:r>
    </w:p>
    <w:p w14:paraId="3D346AF5" w14:textId="4832144B" w:rsidR="00F925D0"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وبناءً على هذه النظريات والأطر العلمية، تم تصميم أدوات الدراسة وتحليل البيانات وتفسير نتائج الجاهزية الصحية بشكل منهجي وموثوق</w:t>
      </w:r>
    </w:p>
    <w:p w14:paraId="2AAD8009" w14:textId="77777777" w:rsidR="00F925D0" w:rsidRPr="000D30DE" w:rsidRDefault="00F925D0" w:rsidP="00D22171">
      <w:pPr>
        <w:rPr>
          <w:rFonts w:ascii="Simplified Arabic" w:hAnsi="Simplified Arabic" w:cs="Simplified Arabic"/>
          <w:sz w:val="24"/>
          <w:szCs w:val="24"/>
          <w:u w:val="single"/>
          <w:rtl/>
        </w:rPr>
      </w:pPr>
    </w:p>
    <w:p w14:paraId="216E8E69" w14:textId="77777777" w:rsidR="00F925D0" w:rsidRPr="000D30DE" w:rsidRDefault="00F925D0" w:rsidP="00D22171">
      <w:pPr>
        <w:rPr>
          <w:rFonts w:ascii="Simplified Arabic" w:hAnsi="Simplified Arabic" w:cs="Simplified Arabic"/>
          <w:sz w:val="24"/>
          <w:szCs w:val="24"/>
          <w:u w:val="single"/>
          <w:rtl/>
        </w:rPr>
      </w:pPr>
    </w:p>
    <w:p w14:paraId="00A17364" w14:textId="77777777" w:rsidR="00F925D0" w:rsidRPr="000D30DE" w:rsidRDefault="00F925D0" w:rsidP="00D22171">
      <w:pPr>
        <w:rPr>
          <w:rFonts w:ascii="Simplified Arabic" w:hAnsi="Simplified Arabic" w:cs="Simplified Arabic"/>
          <w:sz w:val="24"/>
          <w:szCs w:val="24"/>
          <w:u w:val="single"/>
          <w:rtl/>
        </w:rPr>
      </w:pPr>
    </w:p>
    <w:p w14:paraId="0D2976A9" w14:textId="77777777" w:rsidR="00F925D0" w:rsidRPr="000D30DE" w:rsidRDefault="00F925D0" w:rsidP="00D22171">
      <w:pPr>
        <w:rPr>
          <w:rFonts w:ascii="Simplified Arabic" w:hAnsi="Simplified Arabic" w:cs="Simplified Arabic"/>
          <w:sz w:val="24"/>
          <w:szCs w:val="24"/>
          <w:u w:val="single"/>
          <w:rtl/>
        </w:rPr>
      </w:pPr>
    </w:p>
    <w:p w14:paraId="18DE8D11" w14:textId="77777777" w:rsidR="00F925D0" w:rsidRPr="000D30DE" w:rsidRDefault="00F925D0" w:rsidP="00D22171">
      <w:pPr>
        <w:rPr>
          <w:rFonts w:ascii="Simplified Arabic" w:hAnsi="Simplified Arabic" w:cs="Simplified Arabic"/>
          <w:sz w:val="24"/>
          <w:szCs w:val="24"/>
          <w:u w:val="single"/>
          <w:rtl/>
        </w:rPr>
      </w:pPr>
    </w:p>
    <w:p w14:paraId="3AC2B1A2" w14:textId="77777777" w:rsidR="00F925D0" w:rsidRPr="000D30DE" w:rsidRDefault="00F925D0" w:rsidP="00D22171">
      <w:pPr>
        <w:rPr>
          <w:rFonts w:ascii="Simplified Arabic" w:hAnsi="Simplified Arabic" w:cs="Simplified Arabic"/>
          <w:sz w:val="24"/>
          <w:szCs w:val="24"/>
          <w:u w:val="single"/>
          <w:rtl/>
        </w:rPr>
      </w:pPr>
    </w:p>
    <w:p w14:paraId="6949ECD5" w14:textId="77777777" w:rsidR="00F925D0" w:rsidRPr="000D30DE" w:rsidRDefault="00F925D0" w:rsidP="00D22171">
      <w:pPr>
        <w:rPr>
          <w:rFonts w:ascii="Simplified Arabic" w:hAnsi="Simplified Arabic" w:cs="Simplified Arabic"/>
          <w:sz w:val="24"/>
          <w:szCs w:val="24"/>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65B15D50" w14:textId="77777777" w:rsidR="000D30DE" w:rsidRDefault="000D30DE" w:rsidP="00D22171">
      <w:pPr>
        <w:rPr>
          <w:rFonts w:ascii="Sakkal Majalla" w:hAnsi="Sakkal Majalla" w:cs="Sakkal Majalla"/>
          <w:sz w:val="28"/>
          <w:szCs w:val="28"/>
          <w:u w:val="single"/>
          <w:rtl/>
        </w:rPr>
      </w:pPr>
    </w:p>
    <w:p w14:paraId="52EC4FAC" w14:textId="77777777" w:rsidR="000D30DE" w:rsidRDefault="000D30DE" w:rsidP="00D22171">
      <w:pPr>
        <w:rPr>
          <w:rFonts w:ascii="Sakkal Majalla" w:hAnsi="Sakkal Majalla" w:cs="Sakkal Majalla"/>
          <w:sz w:val="28"/>
          <w:szCs w:val="28"/>
          <w:u w:val="single"/>
          <w:rtl/>
        </w:rPr>
      </w:pPr>
    </w:p>
    <w:p w14:paraId="36A769DC" w14:textId="77777777" w:rsidR="000D30DE" w:rsidRDefault="000D30DE" w:rsidP="00D22171">
      <w:pPr>
        <w:rPr>
          <w:rFonts w:ascii="Sakkal Majalla" w:hAnsi="Sakkal Majalla" w:cs="Sakkal Majalla"/>
          <w:sz w:val="28"/>
          <w:szCs w:val="28"/>
          <w:u w:val="single"/>
          <w:rtl/>
        </w:rPr>
      </w:pPr>
    </w:p>
    <w:p w14:paraId="1FEB329A" w14:textId="77777777" w:rsidR="000D30DE" w:rsidRDefault="000D30DE"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51CEBCE6" w14:textId="77777777" w:rsidR="00F925D0" w:rsidRPr="000D30DE" w:rsidRDefault="00F925D0" w:rsidP="000D30DE">
      <w:pPr>
        <w:jc w:val="center"/>
        <w:rPr>
          <w:rFonts w:ascii="Simplified Arabic" w:hAnsi="Simplified Arabic" w:cs="Simplified Arabic"/>
          <w:sz w:val="32"/>
          <w:szCs w:val="32"/>
          <w:rtl/>
        </w:rPr>
      </w:pPr>
    </w:p>
    <w:p w14:paraId="24CE5691" w14:textId="77777777" w:rsidR="00F925D0" w:rsidRPr="000D30DE" w:rsidRDefault="00F925D0" w:rsidP="000D30DE">
      <w:pPr>
        <w:jc w:val="center"/>
        <w:rPr>
          <w:rFonts w:ascii="Simplified Arabic" w:hAnsi="Simplified Arabic" w:cs="Simplified Arabic"/>
          <w:sz w:val="32"/>
          <w:szCs w:val="32"/>
          <w:rtl/>
        </w:rPr>
      </w:pPr>
    </w:p>
    <w:p w14:paraId="7CC94A67" w14:textId="30E62CD7" w:rsidR="00F925D0" w:rsidRPr="000D30DE" w:rsidRDefault="000D30DE" w:rsidP="000D30DE">
      <w:pPr>
        <w:jc w:val="center"/>
        <w:rPr>
          <w:rFonts w:ascii="Simplified Arabic" w:hAnsi="Simplified Arabic" w:cs="Simplified Arabic"/>
          <w:sz w:val="32"/>
          <w:szCs w:val="32"/>
          <w:rtl/>
        </w:rPr>
      </w:pPr>
      <w:r w:rsidRPr="000D30DE">
        <w:rPr>
          <w:rFonts w:ascii="Simplified Arabic" w:hAnsi="Simplified Arabic" w:cs="Simplified Arabic"/>
          <w:sz w:val="32"/>
          <w:szCs w:val="32"/>
          <w:rtl/>
        </w:rPr>
        <w:t>يهدف هذا الفصل إلى استعراض أبرز الدراسات التي تناولت جاهزية الأنظمة الصحية للتعامل مع الحوادث الإشعاعية والنووية، وذلك لتكوين خلفية علمية داعمة للدراسة الحالية. ويُسهم تحليل الدراسات السابقة في فهم الجهود البحثية المحلية والعالمية، وتحديد الفجوات المعرفية، واستخلاص الركائز النظرية التي بُني عليها هذا البحث. ونظرًا لمحدودية الدراسات المحلية في هذا المجال، يكتسب هذا العرض أهمية خاصة في توضيح الحاجة إلى تقييم الجاهزية داخل النظام الصحي السعودي بشكل علمي ومنهجي</w:t>
      </w: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303CF27F" w14:textId="77777777" w:rsidR="000D30DE" w:rsidRDefault="000D30DE"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6A821761" w14:textId="77777777" w:rsidR="000D30DE" w:rsidRPr="000D30DE" w:rsidRDefault="000D30DE" w:rsidP="000D30DE">
      <w:pPr>
        <w:rPr>
          <w:rFonts w:ascii="Simplified Arabic" w:hAnsi="Simplified Arabic" w:cs="Simplified Arabic"/>
          <w:b/>
          <w:bCs/>
          <w:sz w:val="24"/>
          <w:szCs w:val="24"/>
          <w:rtl/>
        </w:rPr>
      </w:pPr>
      <w:r w:rsidRPr="000D30DE">
        <w:rPr>
          <w:rFonts w:ascii="Simplified Arabic" w:hAnsi="Simplified Arabic" w:cs="Simplified Arabic"/>
          <w:b/>
          <w:bCs/>
          <w:sz w:val="24"/>
          <w:szCs w:val="24"/>
          <w:rtl/>
        </w:rPr>
        <w:t>أولا: الدراسات العالمية</w:t>
      </w:r>
    </w:p>
    <w:p w14:paraId="1BC7D9F4"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1.</w:t>
      </w:r>
      <w:r w:rsidRPr="000D30DE">
        <w:rPr>
          <w:rFonts w:ascii="Simplified Arabic" w:hAnsi="Simplified Arabic" w:cs="Simplified Arabic"/>
          <w:sz w:val="24"/>
          <w:szCs w:val="24"/>
          <w:rtl/>
        </w:rPr>
        <w:tab/>
        <w:t>دراسة منظمة الصحة العالمية (</w:t>
      </w:r>
      <w:r w:rsidRPr="000D30DE">
        <w:rPr>
          <w:rFonts w:ascii="Simplified Arabic" w:hAnsi="Simplified Arabic" w:cs="Simplified Arabic"/>
          <w:sz w:val="24"/>
          <w:szCs w:val="24"/>
        </w:rPr>
        <w:t>WHO, 2017</w:t>
      </w:r>
      <w:r w:rsidRPr="000D30DE">
        <w:rPr>
          <w:rFonts w:ascii="Simplified Arabic" w:hAnsi="Simplified Arabic" w:cs="Simplified Arabic"/>
          <w:sz w:val="24"/>
          <w:szCs w:val="24"/>
          <w:rtl/>
        </w:rPr>
        <w:t>):</w:t>
      </w:r>
    </w:p>
    <w:p w14:paraId="5D0126D4"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 أجرت المنظمة تقييمًا لمستوى جاهزية الأنظمة الصحية في عدة دول للتعامل مع الطوارئ النووية والإشعاعية، وخلصت إلى أن النقص في التدريب، وعدم وضوح الأدوار بين الجهات، يمثلان تحديين كبيرين حتى في الدول المتقدمة. وأوصت الدراسة بتطوير خطط وطنية متعددة القطاعات، وتكثيف التمارين الميدانية.</w:t>
      </w:r>
    </w:p>
    <w:p w14:paraId="103B6DE8"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2.</w:t>
      </w:r>
      <w:r w:rsidRPr="000D30DE">
        <w:rPr>
          <w:rFonts w:ascii="Simplified Arabic" w:hAnsi="Simplified Arabic" w:cs="Simplified Arabic"/>
          <w:sz w:val="24"/>
          <w:szCs w:val="24"/>
          <w:rtl/>
        </w:rPr>
        <w:tab/>
        <w:t>دراسة الوكالة الدولية للطاقة الذرية (</w:t>
      </w:r>
      <w:r w:rsidRPr="000D30DE">
        <w:rPr>
          <w:rFonts w:ascii="Simplified Arabic" w:hAnsi="Simplified Arabic" w:cs="Simplified Arabic"/>
          <w:sz w:val="24"/>
          <w:szCs w:val="24"/>
        </w:rPr>
        <w:t>IAEA, 2019</w:t>
      </w:r>
      <w:r w:rsidRPr="000D30DE">
        <w:rPr>
          <w:rFonts w:ascii="Simplified Arabic" w:hAnsi="Simplified Arabic" w:cs="Simplified Arabic"/>
          <w:sz w:val="24"/>
          <w:szCs w:val="24"/>
          <w:rtl/>
        </w:rPr>
        <w:t>):</w:t>
      </w:r>
    </w:p>
    <w:p w14:paraId="52F41D6B"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 ركزت الدراسة على أهمية الجاهزية الصحية في الدول النامية، وبيّنت أن معظم الدول تفتقر إلى أنظمة فرز طبي متخصصة، وأدوات قياس التلوث الإشعاعي. كما أكدت أن المستشفيات غالبًا لا تمتلك وحدات تطهير مجهّزة أو بروتوكولات علاج لحوادث إشعاعية حادة.</w:t>
      </w:r>
    </w:p>
    <w:p w14:paraId="7A197E4A"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3.</w:t>
      </w:r>
      <w:r w:rsidRPr="000D30DE">
        <w:rPr>
          <w:rFonts w:ascii="Simplified Arabic" w:hAnsi="Simplified Arabic" w:cs="Simplified Arabic"/>
          <w:sz w:val="24"/>
          <w:szCs w:val="24"/>
          <w:rtl/>
        </w:rPr>
        <w:tab/>
        <w:t xml:space="preserve">دراسة </w:t>
      </w:r>
      <w:r w:rsidRPr="000D30DE">
        <w:rPr>
          <w:rFonts w:ascii="Simplified Arabic" w:hAnsi="Simplified Arabic" w:cs="Simplified Arabic"/>
          <w:sz w:val="24"/>
          <w:szCs w:val="24"/>
        </w:rPr>
        <w:t>Rubin et al</w:t>
      </w:r>
      <w:r w:rsidRPr="000D30DE">
        <w:rPr>
          <w:rFonts w:ascii="Simplified Arabic" w:hAnsi="Simplified Arabic" w:cs="Simplified Arabic"/>
          <w:sz w:val="24"/>
          <w:szCs w:val="24"/>
          <w:rtl/>
        </w:rPr>
        <w:t>. (2013) – الولايات المتحدة:</w:t>
      </w:r>
    </w:p>
    <w:p w14:paraId="3F0ED6B7"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 استعرضت الدراسة جاهزية مستشفيات الطوارئ في عدد من الولايات الأمريكية، ووجدت أن المعرفة العامة بالإجراءات الطبية المرتبطة بالإشعاع كانت ضعيفة لدى الطواقم الطبية، بالرغم من توفر الخطط. وقد أوصت بإدماج مناهج متخصصة في التعليم الطبي المستمر</w:t>
      </w:r>
    </w:p>
    <w:p w14:paraId="375011CF" w14:textId="77777777" w:rsidR="000D30DE" w:rsidRPr="000D30DE" w:rsidRDefault="000D30DE" w:rsidP="000D30DE">
      <w:pPr>
        <w:rPr>
          <w:rFonts w:ascii="Simplified Arabic" w:hAnsi="Simplified Arabic" w:cs="Simplified Arabic"/>
          <w:b/>
          <w:bCs/>
          <w:sz w:val="24"/>
          <w:szCs w:val="24"/>
          <w:rtl/>
        </w:rPr>
      </w:pPr>
      <w:r w:rsidRPr="000D30DE">
        <w:rPr>
          <w:rFonts w:ascii="Simplified Arabic" w:hAnsi="Simplified Arabic" w:cs="Simplified Arabic"/>
          <w:b/>
          <w:bCs/>
          <w:sz w:val="24"/>
          <w:szCs w:val="24"/>
          <w:rtl/>
        </w:rPr>
        <w:t>ثانياً: الدراسات الإقليمية والعربية</w:t>
      </w:r>
    </w:p>
    <w:p w14:paraId="15C7F82F" w14:textId="77777777" w:rsidR="000D30DE" w:rsidRPr="000D30DE" w:rsidRDefault="000D30DE" w:rsidP="000D30DE">
      <w:pPr>
        <w:pStyle w:val="a6"/>
        <w:numPr>
          <w:ilvl w:val="0"/>
          <w:numId w:val="4"/>
        </w:numPr>
        <w:rPr>
          <w:rFonts w:ascii="Simplified Arabic" w:hAnsi="Simplified Arabic" w:cs="Simplified Arabic"/>
          <w:sz w:val="24"/>
          <w:szCs w:val="24"/>
          <w:rtl/>
        </w:rPr>
      </w:pPr>
      <w:r w:rsidRPr="000D30DE">
        <w:rPr>
          <w:rFonts w:ascii="Simplified Arabic" w:hAnsi="Simplified Arabic" w:cs="Simplified Arabic"/>
          <w:sz w:val="24"/>
          <w:szCs w:val="24"/>
          <w:rtl/>
        </w:rPr>
        <w:t>دراسة الزعبي (2020) – الأردن:</w:t>
      </w:r>
    </w:p>
    <w:p w14:paraId="3388EF94"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 حللت جاهزية المستشفيات الأردنية للتعامل مع الحوادث الإشعاعية، وأظهرت أن أغلب المؤسسات الصحية تفتقر إلى معدات قياس إشعاعية، وأن العاملين يجهلون مبادئ الحماية من الإشعاع. وقدّمت الدراسة نموذجًا أوليًا لخطة استجابة وطنية.</w:t>
      </w:r>
    </w:p>
    <w:p w14:paraId="275BC5B4" w14:textId="77777777" w:rsidR="000D30DE" w:rsidRPr="000D30DE" w:rsidRDefault="000D30DE" w:rsidP="000D30DE">
      <w:pPr>
        <w:pStyle w:val="a6"/>
        <w:numPr>
          <w:ilvl w:val="0"/>
          <w:numId w:val="4"/>
        </w:numPr>
        <w:rPr>
          <w:rFonts w:ascii="Simplified Arabic" w:hAnsi="Simplified Arabic" w:cs="Simplified Arabic"/>
          <w:sz w:val="24"/>
          <w:szCs w:val="24"/>
          <w:rtl/>
        </w:rPr>
      </w:pPr>
      <w:r w:rsidRPr="000D30DE">
        <w:rPr>
          <w:rFonts w:ascii="Simplified Arabic" w:hAnsi="Simplified Arabic" w:cs="Simplified Arabic"/>
          <w:sz w:val="24"/>
          <w:szCs w:val="24"/>
          <w:rtl/>
        </w:rPr>
        <w:t>دراسة عبد الله وآخرون (2021) – الإمارات:</w:t>
      </w:r>
    </w:p>
    <w:p w14:paraId="26DB6C5E" w14:textId="08805F79"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 تناولت الدراسة مدى تكامل الخطط الوطنية في الإمارات مع بروتوكولات الاستجابة النووية، ووجدت أن هناك فجوة في التنسيق بين الجهات الصحية والجهات الأمنية، واقترحت تأسيس مركز وطني مشترك لإدارة المخاطر الإشعاعية</w:t>
      </w:r>
    </w:p>
    <w:p w14:paraId="4AD91F79" w14:textId="77777777" w:rsidR="000D30DE" w:rsidRPr="000D30DE" w:rsidRDefault="000D30DE" w:rsidP="000D30DE">
      <w:pPr>
        <w:rPr>
          <w:rFonts w:ascii="Simplified Arabic" w:hAnsi="Simplified Arabic" w:cs="Simplified Arabic"/>
          <w:b/>
          <w:bCs/>
          <w:sz w:val="24"/>
          <w:szCs w:val="24"/>
          <w:rtl/>
        </w:rPr>
      </w:pPr>
      <w:r w:rsidRPr="000D30DE">
        <w:rPr>
          <w:rFonts w:ascii="Simplified Arabic" w:hAnsi="Simplified Arabic" w:cs="Simplified Arabic"/>
          <w:b/>
          <w:bCs/>
          <w:sz w:val="24"/>
          <w:szCs w:val="24"/>
          <w:rtl/>
        </w:rPr>
        <w:t xml:space="preserve">ثالثاً: الدراسات </w:t>
      </w:r>
      <w:proofErr w:type="gramStart"/>
      <w:r w:rsidRPr="000D30DE">
        <w:rPr>
          <w:rFonts w:ascii="Simplified Arabic" w:hAnsi="Simplified Arabic" w:cs="Simplified Arabic"/>
          <w:b/>
          <w:bCs/>
          <w:sz w:val="24"/>
          <w:szCs w:val="24"/>
          <w:rtl/>
        </w:rPr>
        <w:t>السعودية :</w:t>
      </w:r>
      <w:proofErr w:type="gramEnd"/>
    </w:p>
    <w:p w14:paraId="0699502F"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1.</w:t>
      </w:r>
      <w:r w:rsidRPr="000D30DE">
        <w:rPr>
          <w:rFonts w:ascii="Simplified Arabic" w:hAnsi="Simplified Arabic" w:cs="Simplified Arabic"/>
          <w:sz w:val="24"/>
          <w:szCs w:val="24"/>
          <w:rtl/>
        </w:rPr>
        <w:tab/>
        <w:t>دراسة العمري وآخرون (2022):</w:t>
      </w:r>
    </w:p>
    <w:p w14:paraId="42A5CBC7"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lastRenderedPageBreak/>
        <w:t> هدفت إلى تقييم جاهزية أقسام الطوارئ في عدد من المستشفيات السعودية لمواجهة الكوارث، وتضمنت جزئيًا تقييم الاستجابة لحوادث إشعاعية. وأظهرت الدراسة ضعف المعرفة بالإجراءات الإشعاعية لدى الطاقم الطبي، ونقصًا في التدريب العملي والتجهيزات الخاصة.</w:t>
      </w:r>
    </w:p>
    <w:p w14:paraId="6D876DAD"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2.</w:t>
      </w:r>
      <w:r w:rsidRPr="000D30DE">
        <w:rPr>
          <w:rFonts w:ascii="Simplified Arabic" w:hAnsi="Simplified Arabic" w:cs="Simplified Arabic"/>
          <w:sz w:val="24"/>
          <w:szCs w:val="24"/>
          <w:rtl/>
        </w:rPr>
        <w:tab/>
        <w:t>دراسة مركز طب الحشود بوزارة الصحة (2019):</w:t>
      </w:r>
    </w:p>
    <w:p w14:paraId="7F87849F"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 استعرضت الدراسة المخاطر المرتبطة بالتجمعات البشرية الكبرى، ومنها المخاطر الإشعاعية في موسم الحج، وأوصت بإنشاء مسارات تطهير إشعاعي متنقلة، وتدريب الطواقم الميدانية على التعامل مع حوادث التلوث الإشعاعي المحتمل.</w:t>
      </w:r>
    </w:p>
    <w:p w14:paraId="0CF7D4DB"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3.</w:t>
      </w:r>
      <w:r w:rsidRPr="000D30DE">
        <w:rPr>
          <w:rFonts w:ascii="Simplified Arabic" w:hAnsi="Simplified Arabic" w:cs="Simplified Arabic"/>
          <w:sz w:val="24"/>
          <w:szCs w:val="24"/>
          <w:rtl/>
        </w:rPr>
        <w:tab/>
        <w:t>تقرير هيئة الرقابة النووية والإشعاعية (2021):</w:t>
      </w:r>
    </w:p>
    <w:p w14:paraId="1AAD8A3C" w14:textId="77777777" w:rsidR="000D30DE" w:rsidRPr="00251845" w:rsidRDefault="000D30DE" w:rsidP="000D30DE">
      <w:pPr>
        <w:rPr>
          <w:rFonts w:ascii="Sakkal Majalla" w:hAnsi="Sakkal Majalla" w:cs="Sakkal Majalla"/>
          <w:sz w:val="28"/>
          <w:szCs w:val="28"/>
          <w:rtl/>
        </w:rPr>
      </w:pPr>
      <w:r w:rsidRPr="000D30DE">
        <w:rPr>
          <w:rFonts w:ascii="Simplified Arabic" w:hAnsi="Simplified Arabic" w:cs="Simplified Arabic"/>
          <w:sz w:val="24"/>
          <w:szCs w:val="24"/>
          <w:rtl/>
        </w:rPr>
        <w:t> تقرير غير بحثي لكنه رسمي، استعرض</w:t>
      </w:r>
      <w:r w:rsidRPr="000D30DE">
        <w:rPr>
          <w:rFonts w:ascii="Sakkal Majalla" w:hAnsi="Sakkal Majalla" w:cs="Sakkal Majalla"/>
          <w:sz w:val="24"/>
          <w:szCs w:val="24"/>
          <w:rtl/>
        </w:rPr>
        <w:t xml:space="preserve"> </w:t>
      </w:r>
      <w:r w:rsidRPr="00251845">
        <w:rPr>
          <w:rFonts w:ascii="Sakkal Majalla" w:hAnsi="Sakkal Majalla" w:cs="Sakkal Majalla"/>
          <w:sz w:val="28"/>
          <w:szCs w:val="28"/>
          <w:rtl/>
        </w:rPr>
        <w:t>مدى الجاهزية التنظيمية في المملكة في حال وقوع طارئ نووي، وأشار إلى التنسيق الجيد بين الهيئة والجهات الأمنية، لكنه لم يُفصّل في الجاهزية الصحية، مما يُبرز ثغرة في ربط الجوانب التنظيمية بالاستجابة الطبية</w:t>
      </w:r>
    </w:p>
    <w:p w14:paraId="0E9CEDE0" w14:textId="77777777" w:rsidR="000D30DE" w:rsidRDefault="000D30DE" w:rsidP="000D30DE">
      <w:pPr>
        <w:rPr>
          <w:rFonts w:ascii="Sakkal Majalla" w:hAnsi="Sakkal Majalla" w:cs="Sakkal Majalla"/>
          <w:sz w:val="28"/>
          <w:szCs w:val="28"/>
          <w:u w:val="single"/>
          <w:rtl/>
        </w:rPr>
      </w:pPr>
    </w:p>
    <w:p w14:paraId="355E6831" w14:textId="77777777" w:rsidR="000D30DE" w:rsidRDefault="000D30DE" w:rsidP="000D30DE">
      <w:pPr>
        <w:rPr>
          <w:rFonts w:ascii="Sakkal Majalla" w:hAnsi="Sakkal Majalla" w:cs="Sakkal Majalla"/>
          <w:sz w:val="28"/>
          <w:szCs w:val="28"/>
          <w:u w:val="single"/>
          <w:rtl/>
        </w:rPr>
      </w:pPr>
    </w:p>
    <w:p w14:paraId="01CFF406" w14:textId="77777777" w:rsidR="000D30DE" w:rsidRDefault="000D30DE" w:rsidP="000D30DE">
      <w:pPr>
        <w:rPr>
          <w:rFonts w:ascii="Sakkal Majalla" w:hAnsi="Sakkal Majalla" w:cs="Sakkal Majalla"/>
          <w:sz w:val="28"/>
          <w:szCs w:val="28"/>
          <w:u w:val="single"/>
          <w:rtl/>
        </w:rPr>
      </w:pPr>
    </w:p>
    <w:p w14:paraId="21D143F4" w14:textId="77777777" w:rsidR="000D30DE" w:rsidRDefault="000D30DE" w:rsidP="000D30DE">
      <w:pPr>
        <w:rPr>
          <w:rFonts w:ascii="Sakkal Majalla" w:hAnsi="Sakkal Majalla" w:cs="Sakkal Majalla"/>
          <w:sz w:val="28"/>
          <w:szCs w:val="28"/>
          <w:u w:val="single"/>
          <w:rtl/>
        </w:rPr>
      </w:pPr>
    </w:p>
    <w:p w14:paraId="74289CD7" w14:textId="77777777" w:rsidR="000D30DE" w:rsidRDefault="000D30DE" w:rsidP="000D30DE">
      <w:pPr>
        <w:rPr>
          <w:rFonts w:ascii="Sakkal Majalla" w:hAnsi="Sakkal Majalla" w:cs="Sakkal Majalla"/>
          <w:sz w:val="28"/>
          <w:szCs w:val="28"/>
          <w:u w:val="single"/>
          <w:rtl/>
        </w:rPr>
      </w:pPr>
    </w:p>
    <w:p w14:paraId="5515D399" w14:textId="77777777" w:rsidR="000D30DE" w:rsidRDefault="000D30DE" w:rsidP="000D30DE">
      <w:pPr>
        <w:rPr>
          <w:rFonts w:ascii="Sakkal Majalla" w:hAnsi="Sakkal Majalla" w:cs="Sakkal Majalla"/>
          <w:sz w:val="28"/>
          <w:szCs w:val="28"/>
          <w:u w:val="single"/>
          <w:rtl/>
        </w:rPr>
      </w:pPr>
    </w:p>
    <w:p w14:paraId="41637936" w14:textId="77777777" w:rsidR="000D30DE" w:rsidRDefault="000D30DE" w:rsidP="000D30DE">
      <w:pPr>
        <w:rPr>
          <w:rFonts w:ascii="Sakkal Majalla" w:hAnsi="Sakkal Majalla" w:cs="Sakkal Majalla"/>
          <w:sz w:val="28"/>
          <w:szCs w:val="28"/>
          <w:u w:val="single"/>
          <w:rtl/>
        </w:rPr>
      </w:pPr>
    </w:p>
    <w:p w14:paraId="202DE449" w14:textId="77777777" w:rsidR="000D30DE" w:rsidRDefault="000D30DE" w:rsidP="000D30DE">
      <w:pPr>
        <w:rPr>
          <w:rFonts w:ascii="Sakkal Majalla" w:hAnsi="Sakkal Majalla" w:cs="Sakkal Majalla"/>
          <w:sz w:val="28"/>
          <w:szCs w:val="28"/>
          <w:u w:val="single"/>
          <w:rtl/>
        </w:rPr>
      </w:pPr>
    </w:p>
    <w:p w14:paraId="1B9B8BEE" w14:textId="77777777" w:rsidR="000D30DE" w:rsidRDefault="000D30DE" w:rsidP="000D30DE">
      <w:pPr>
        <w:rPr>
          <w:rFonts w:ascii="Sakkal Majalla" w:hAnsi="Sakkal Majalla" w:cs="Sakkal Majalla"/>
          <w:sz w:val="28"/>
          <w:szCs w:val="28"/>
          <w:u w:val="single"/>
          <w:rtl/>
        </w:rPr>
      </w:pPr>
    </w:p>
    <w:p w14:paraId="3953E0E9" w14:textId="77777777" w:rsidR="000D30DE" w:rsidRDefault="000D30DE" w:rsidP="000D30DE">
      <w:pPr>
        <w:rPr>
          <w:rFonts w:ascii="Sakkal Majalla" w:hAnsi="Sakkal Majalla" w:cs="Sakkal Majalla"/>
          <w:sz w:val="28"/>
          <w:szCs w:val="28"/>
          <w:u w:val="single"/>
          <w:rtl/>
        </w:rPr>
      </w:pPr>
    </w:p>
    <w:p w14:paraId="61E80E01" w14:textId="77777777" w:rsidR="000D30DE" w:rsidRDefault="000D30DE" w:rsidP="000D30DE">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0F840080" w14:textId="188F1015"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يعتمد هذا البحث على مجموعة من المفاهيم والنظريات العلمية التي تُشكّل الأساس المنهجي لفهم وتحليل جاهزية النظام الصحي للتعامل مع الحوادث الإشعاعية والنووية. ويُعد الإطار النظري ضرورة لتفسير المتغيرات الأساسية في الدراسة وتوجيه عملية التحليل والاستنتاج.</w:t>
      </w:r>
    </w:p>
    <w:p w14:paraId="5685C653" w14:textId="23E7EC06" w:rsidR="000D30DE" w:rsidRPr="000D30DE" w:rsidRDefault="000D30DE" w:rsidP="000D30DE">
      <w:pPr>
        <w:rPr>
          <w:rFonts w:ascii="Simplified Arabic" w:hAnsi="Simplified Arabic" w:cs="Simplified Arabic"/>
          <w:sz w:val="28"/>
          <w:szCs w:val="28"/>
          <w:rtl/>
        </w:rPr>
      </w:pPr>
      <w:r w:rsidRPr="000D30DE">
        <w:rPr>
          <w:rFonts w:ascii="Simplified Arabic" w:hAnsi="Simplified Arabic" w:cs="Simplified Arabic"/>
          <w:sz w:val="28"/>
          <w:szCs w:val="28"/>
          <w:rtl/>
        </w:rPr>
        <w:t>أولًا: مفهوم الجاهزية للطوارئ الصحية</w:t>
      </w:r>
    </w:p>
    <w:p w14:paraId="2101765A" w14:textId="64D5077D"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تشير الجاهزية إلى قدرة النظام الصحي على الاستجابة بفاعلية للحوادث الطارئة وفق خطط وإجراءات منظمة تشمل التخطيط، والتجهيز، والتدريب، والتنسيق. وتمثل الجاهزية الإشعاعية مستوى أكثر تخصصًا، يتطلب توفر البنية التحتية المناسبة، والمعرفة الإشعاعية، والقدرات الفنية للتعامل مع التلوث الإشعاعي والإصابات الناتجة عنه.</w:t>
      </w:r>
    </w:p>
    <w:p w14:paraId="61E8BDE7" w14:textId="627CB267" w:rsidR="000D30DE" w:rsidRPr="000D30DE" w:rsidRDefault="000D30DE" w:rsidP="000D30DE">
      <w:pPr>
        <w:rPr>
          <w:rFonts w:ascii="Simplified Arabic" w:hAnsi="Simplified Arabic" w:cs="Simplified Arabic"/>
          <w:sz w:val="28"/>
          <w:szCs w:val="28"/>
          <w:rtl/>
        </w:rPr>
      </w:pPr>
      <w:r w:rsidRPr="000D30DE">
        <w:rPr>
          <w:rFonts w:ascii="Simplified Arabic" w:hAnsi="Simplified Arabic" w:cs="Simplified Arabic"/>
          <w:sz w:val="28"/>
          <w:szCs w:val="28"/>
          <w:rtl/>
        </w:rPr>
        <w:t>ثانيًا: مفهوم الحوادث الإشعاعية والنووية</w:t>
      </w:r>
    </w:p>
    <w:p w14:paraId="3D0FA762" w14:textId="01A6439E"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الحوادث الإشعاعية هي حوادث تتضمن تسرّب مواد مشعة أو تعرض أفراد لجرعات غير آمنة من الإشعاع، بينما تشمل الحوادث النووية تفاعلات نووية كبيرة قد تنتج عنها تأثيرات مدمرة واسعة النطاق. وتتميز هذه الحوادث بكونها منخفضة الاحتمالية عالية التأثير، ما يجعل إدارتها من أصعب أنواع الطوارئ الصحية.</w:t>
      </w:r>
    </w:p>
    <w:p w14:paraId="21299A52" w14:textId="5B8D2531" w:rsidR="000D30DE" w:rsidRPr="000D30DE" w:rsidRDefault="000D30DE" w:rsidP="000D30DE">
      <w:pPr>
        <w:rPr>
          <w:rFonts w:ascii="Simplified Arabic" w:hAnsi="Simplified Arabic" w:cs="Simplified Arabic"/>
          <w:sz w:val="28"/>
          <w:szCs w:val="28"/>
          <w:rtl/>
        </w:rPr>
      </w:pPr>
      <w:r w:rsidRPr="000D30DE">
        <w:rPr>
          <w:rFonts w:ascii="Simplified Arabic" w:hAnsi="Simplified Arabic" w:cs="Simplified Arabic"/>
          <w:sz w:val="28"/>
          <w:szCs w:val="28"/>
          <w:rtl/>
        </w:rPr>
        <w:t>ثالثًا: نظرية إدارة المخاطر (</w:t>
      </w:r>
      <w:r w:rsidRPr="000D30DE">
        <w:rPr>
          <w:rFonts w:ascii="Simplified Arabic" w:hAnsi="Simplified Arabic" w:cs="Simplified Arabic"/>
          <w:sz w:val="28"/>
          <w:szCs w:val="28"/>
        </w:rPr>
        <w:t>Risk Management Theory</w:t>
      </w:r>
      <w:r w:rsidRPr="000D30DE">
        <w:rPr>
          <w:rFonts w:ascii="Simplified Arabic" w:hAnsi="Simplified Arabic" w:cs="Simplified Arabic"/>
          <w:sz w:val="28"/>
          <w:szCs w:val="28"/>
          <w:rtl/>
        </w:rPr>
        <w:t>)</w:t>
      </w:r>
    </w:p>
    <w:p w14:paraId="541212DB"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تُعد إدارة المخاطر إطارًا رئيسيًا يعتمد عليه هذا البحث، وتشمل خطوات:</w:t>
      </w:r>
    </w:p>
    <w:p w14:paraId="546A37F2"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1.</w:t>
      </w:r>
      <w:r w:rsidRPr="000D30DE">
        <w:rPr>
          <w:rFonts w:ascii="Simplified Arabic" w:hAnsi="Simplified Arabic" w:cs="Simplified Arabic"/>
          <w:sz w:val="24"/>
          <w:szCs w:val="24"/>
          <w:rtl/>
        </w:rPr>
        <w:tab/>
        <w:t>تحديد المخاطر المحتملة.</w:t>
      </w:r>
    </w:p>
    <w:p w14:paraId="09F11755"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2.</w:t>
      </w:r>
      <w:r w:rsidRPr="000D30DE">
        <w:rPr>
          <w:rFonts w:ascii="Simplified Arabic" w:hAnsi="Simplified Arabic" w:cs="Simplified Arabic"/>
          <w:sz w:val="24"/>
          <w:szCs w:val="24"/>
          <w:rtl/>
        </w:rPr>
        <w:tab/>
        <w:t>تقييم احتمالية حدوثها وتأثيرها على الأفراد والمنشآت.</w:t>
      </w:r>
    </w:p>
    <w:p w14:paraId="0118D83F"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3.</w:t>
      </w:r>
      <w:r w:rsidRPr="000D30DE">
        <w:rPr>
          <w:rFonts w:ascii="Simplified Arabic" w:hAnsi="Simplified Arabic" w:cs="Simplified Arabic"/>
          <w:sz w:val="24"/>
          <w:szCs w:val="24"/>
          <w:rtl/>
        </w:rPr>
        <w:tab/>
        <w:t xml:space="preserve">وضع الخطط والإجراءات الوقائية </w:t>
      </w:r>
      <w:proofErr w:type="spellStart"/>
      <w:r w:rsidRPr="000D30DE">
        <w:rPr>
          <w:rFonts w:ascii="Simplified Arabic" w:hAnsi="Simplified Arabic" w:cs="Simplified Arabic"/>
          <w:sz w:val="24"/>
          <w:szCs w:val="24"/>
          <w:rtl/>
        </w:rPr>
        <w:t>والاستجابية</w:t>
      </w:r>
      <w:proofErr w:type="spellEnd"/>
      <w:r w:rsidRPr="000D30DE">
        <w:rPr>
          <w:rFonts w:ascii="Simplified Arabic" w:hAnsi="Simplified Arabic" w:cs="Simplified Arabic"/>
          <w:sz w:val="24"/>
          <w:szCs w:val="24"/>
          <w:rtl/>
        </w:rPr>
        <w:t>.</w:t>
      </w:r>
    </w:p>
    <w:p w14:paraId="312C9D7D"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4.</w:t>
      </w:r>
      <w:r w:rsidRPr="000D30DE">
        <w:rPr>
          <w:rFonts w:ascii="Simplified Arabic" w:hAnsi="Simplified Arabic" w:cs="Simplified Arabic"/>
          <w:sz w:val="24"/>
          <w:szCs w:val="24"/>
          <w:rtl/>
        </w:rPr>
        <w:tab/>
        <w:t>المتابعة والتقييم والتحسين المستمر.</w:t>
      </w:r>
    </w:p>
    <w:p w14:paraId="51CF3AC1" w14:textId="50D8C063"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وتناسب هذه النظرية طبيعة الحوادث الإشعاعية لتعدد مستويات المخاطر المرتبطة بها.</w:t>
      </w:r>
    </w:p>
    <w:p w14:paraId="2D6E7E6A" w14:textId="26596BE9" w:rsidR="000D30DE" w:rsidRPr="000D30DE" w:rsidRDefault="000D30DE" w:rsidP="000D30DE">
      <w:pPr>
        <w:rPr>
          <w:rFonts w:ascii="Simplified Arabic" w:hAnsi="Simplified Arabic" w:cs="Simplified Arabic"/>
          <w:sz w:val="28"/>
          <w:szCs w:val="28"/>
          <w:rtl/>
        </w:rPr>
      </w:pPr>
      <w:r w:rsidRPr="000D30DE">
        <w:rPr>
          <w:rFonts w:ascii="Simplified Arabic" w:hAnsi="Simplified Arabic" w:cs="Simplified Arabic"/>
          <w:sz w:val="28"/>
          <w:szCs w:val="28"/>
          <w:rtl/>
        </w:rPr>
        <w:t>رابعًا: نموذج الجاهزية المؤسسية للطوارئ</w:t>
      </w:r>
    </w:p>
    <w:p w14:paraId="02F475C3"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 xml:space="preserve">يعتمد النموذج على </w:t>
      </w:r>
      <w:proofErr w:type="gramStart"/>
      <w:r w:rsidRPr="000D30DE">
        <w:rPr>
          <w:rFonts w:ascii="Simplified Arabic" w:hAnsi="Simplified Arabic" w:cs="Simplified Arabic"/>
          <w:sz w:val="24"/>
          <w:szCs w:val="24"/>
          <w:rtl/>
        </w:rPr>
        <w:t>أربعة</w:t>
      </w:r>
      <w:proofErr w:type="gramEnd"/>
      <w:r w:rsidRPr="000D30DE">
        <w:rPr>
          <w:rFonts w:ascii="Simplified Arabic" w:hAnsi="Simplified Arabic" w:cs="Simplified Arabic"/>
          <w:sz w:val="24"/>
          <w:szCs w:val="24"/>
          <w:rtl/>
        </w:rPr>
        <w:t xml:space="preserve"> مكونات رئيسية:</w:t>
      </w:r>
    </w:p>
    <w:p w14:paraId="775677BA"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الخطة: وجود خطط مكتوبة وواضحة للاستجابة الإشعاعية.</w:t>
      </w:r>
    </w:p>
    <w:p w14:paraId="4B3C1C20"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lastRenderedPageBreak/>
        <w:tab/>
        <w:t>•</w:t>
      </w:r>
      <w:r w:rsidRPr="000D30DE">
        <w:rPr>
          <w:rFonts w:ascii="Simplified Arabic" w:hAnsi="Simplified Arabic" w:cs="Simplified Arabic"/>
          <w:sz w:val="24"/>
          <w:szCs w:val="24"/>
          <w:rtl/>
        </w:rPr>
        <w:tab/>
        <w:t>البنية التحتية: توفر أجهزة القياس الإشعاعي، وحدات التطهير، ومسارات الفرز.</w:t>
      </w:r>
    </w:p>
    <w:p w14:paraId="5C0FC446"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التدريب: مستوى المعرفة والتطبيق العملي لدى الكوادر الصحية.</w:t>
      </w:r>
    </w:p>
    <w:p w14:paraId="63E9AAA9"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التنسيق المؤسسي: فاعلية التعاون بين الجهات الصحية والأمنية والرقابية.</w:t>
      </w:r>
    </w:p>
    <w:p w14:paraId="72BF273C" w14:textId="4F8D8A3B"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وقد بُنيت أداة البحث (الاستبانة) على هذا النموذج.</w:t>
      </w:r>
    </w:p>
    <w:p w14:paraId="056844B8" w14:textId="03FCE94E" w:rsidR="000D30DE" w:rsidRPr="000D30DE" w:rsidRDefault="000D30DE" w:rsidP="000D30DE">
      <w:pPr>
        <w:rPr>
          <w:rFonts w:ascii="Simplified Arabic" w:hAnsi="Simplified Arabic" w:cs="Simplified Arabic"/>
          <w:sz w:val="28"/>
          <w:szCs w:val="28"/>
          <w:rtl/>
        </w:rPr>
      </w:pPr>
      <w:r w:rsidRPr="000D30DE">
        <w:rPr>
          <w:rFonts w:ascii="Simplified Arabic" w:hAnsi="Simplified Arabic" w:cs="Simplified Arabic"/>
          <w:sz w:val="28"/>
          <w:szCs w:val="28"/>
          <w:rtl/>
        </w:rPr>
        <w:t>خامسًا: نظرية الصمود المؤسسي (</w:t>
      </w:r>
      <w:r w:rsidRPr="000D30DE">
        <w:rPr>
          <w:rFonts w:ascii="Simplified Arabic" w:hAnsi="Simplified Arabic" w:cs="Simplified Arabic"/>
          <w:sz w:val="28"/>
          <w:szCs w:val="28"/>
        </w:rPr>
        <w:t>Organizational Resilience</w:t>
      </w:r>
      <w:r w:rsidRPr="000D30DE">
        <w:rPr>
          <w:rFonts w:ascii="Simplified Arabic" w:hAnsi="Simplified Arabic" w:cs="Simplified Arabic"/>
          <w:sz w:val="28"/>
          <w:szCs w:val="28"/>
          <w:rtl/>
        </w:rPr>
        <w:t>)</w:t>
      </w:r>
    </w:p>
    <w:p w14:paraId="0C20F18E"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تسلّط النظرية الضوء على قدرة المنشآت الصحية على تحمل الصدمات، والتكيف مع الظروف الطارئة، واستعادة قدرتها التشغيلية بسرعة بعد الحوادث. ويتطلب الصمود المؤسسي توفر:</w:t>
      </w:r>
    </w:p>
    <w:p w14:paraId="66DF9C97"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مرونة تشغيلية</w:t>
      </w:r>
    </w:p>
    <w:p w14:paraId="2B873C0D"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قدرات بشرية مؤهلة</w:t>
      </w:r>
    </w:p>
    <w:p w14:paraId="67B53B78" w14:textId="53354B55"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خطط بديلة لاستمرارية العمل</w:t>
      </w:r>
    </w:p>
    <w:p w14:paraId="4A9207EC" w14:textId="3E97CB4E" w:rsidR="000D30DE" w:rsidRPr="000D30DE" w:rsidRDefault="000D30DE" w:rsidP="000D30DE">
      <w:pPr>
        <w:rPr>
          <w:rFonts w:ascii="Simplified Arabic" w:hAnsi="Simplified Arabic" w:cs="Simplified Arabic"/>
          <w:sz w:val="28"/>
          <w:szCs w:val="28"/>
          <w:rtl/>
        </w:rPr>
      </w:pPr>
      <w:r w:rsidRPr="000D30DE">
        <w:rPr>
          <w:rFonts w:ascii="Simplified Arabic" w:hAnsi="Simplified Arabic" w:cs="Simplified Arabic"/>
          <w:sz w:val="28"/>
          <w:szCs w:val="28"/>
          <w:rtl/>
        </w:rPr>
        <w:t>سادسًا: اللوائح الصحية الدولية (</w:t>
      </w:r>
      <w:r w:rsidRPr="000D30DE">
        <w:rPr>
          <w:rFonts w:ascii="Simplified Arabic" w:hAnsi="Simplified Arabic" w:cs="Simplified Arabic"/>
          <w:sz w:val="28"/>
          <w:szCs w:val="28"/>
        </w:rPr>
        <w:t>IHR 2005</w:t>
      </w:r>
      <w:r w:rsidRPr="000D30DE">
        <w:rPr>
          <w:rFonts w:ascii="Simplified Arabic" w:hAnsi="Simplified Arabic" w:cs="Simplified Arabic"/>
          <w:sz w:val="28"/>
          <w:szCs w:val="28"/>
          <w:rtl/>
        </w:rPr>
        <w:t>)</w:t>
      </w:r>
    </w:p>
    <w:p w14:paraId="5F46CFE9"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تُعد اللوائح الصحية الدولية إطارًا عالميًا لتقييم قدرات الدول في مواجهة الطوارئ، وتشمل المتطلبات الأساسية التالية:</w:t>
      </w:r>
    </w:p>
    <w:p w14:paraId="3AA2FC0E"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نظام إنذار مبكر فعال</w:t>
      </w:r>
    </w:p>
    <w:p w14:paraId="19AC79D5"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قدرات الكشف والتقييم والإبلاغ</w:t>
      </w:r>
    </w:p>
    <w:p w14:paraId="08CAA491"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جاهزية المنشآت الصحية</w:t>
      </w:r>
    </w:p>
    <w:p w14:paraId="61180D64" w14:textId="77777777" w:rsidR="000D30DE"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ab/>
        <w:t>•</w:t>
      </w:r>
      <w:r w:rsidRPr="000D30DE">
        <w:rPr>
          <w:rFonts w:ascii="Simplified Arabic" w:hAnsi="Simplified Arabic" w:cs="Simplified Arabic"/>
          <w:sz w:val="24"/>
          <w:szCs w:val="24"/>
          <w:rtl/>
        </w:rPr>
        <w:tab/>
        <w:t>التنسيق بين مختلف القطاعات</w:t>
      </w:r>
    </w:p>
    <w:p w14:paraId="35AAB320" w14:textId="72C69070" w:rsidR="00F925D0" w:rsidRPr="000D30DE" w:rsidRDefault="000D30DE" w:rsidP="000D30DE">
      <w:pPr>
        <w:rPr>
          <w:rFonts w:ascii="Simplified Arabic" w:hAnsi="Simplified Arabic" w:cs="Simplified Arabic"/>
          <w:sz w:val="24"/>
          <w:szCs w:val="24"/>
          <w:rtl/>
        </w:rPr>
      </w:pPr>
      <w:r w:rsidRPr="000D30DE">
        <w:rPr>
          <w:rFonts w:ascii="Simplified Arabic" w:hAnsi="Simplified Arabic" w:cs="Simplified Arabic"/>
          <w:sz w:val="24"/>
          <w:szCs w:val="24"/>
          <w:rtl/>
        </w:rPr>
        <w:t>ويتم استخدام هذا الإطار لقياس مدى توافق الجاهزية الصحية في المملكة مع المعايير الدولية.</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sz w:val="28"/>
          <w:szCs w:val="28"/>
          <w:u w:val="single"/>
          <w:rtl/>
        </w:rPr>
      </w:pPr>
    </w:p>
    <w:p w14:paraId="3FE0B38A" w14:textId="77777777" w:rsidR="000D30DE" w:rsidRDefault="000D30DE" w:rsidP="00F925D0">
      <w:pPr>
        <w:jc w:val="center"/>
        <w:rPr>
          <w:rFonts w:ascii="Sakkal Majalla" w:hAnsi="Sakkal Majalla" w:cs="Sakkal Majalla"/>
          <w:sz w:val="28"/>
          <w:szCs w:val="28"/>
          <w:u w:val="single"/>
          <w:rtl/>
        </w:rPr>
      </w:pPr>
    </w:p>
    <w:p w14:paraId="0AF1E1A1" w14:textId="77777777" w:rsidR="000D30DE" w:rsidRDefault="000D30DE" w:rsidP="00F925D0">
      <w:pPr>
        <w:jc w:val="center"/>
        <w:rPr>
          <w:rFonts w:ascii="Sakkal Majalla" w:hAnsi="Sakkal Majalla" w:cs="Sakkal Majalla"/>
          <w:sz w:val="28"/>
          <w:szCs w:val="28"/>
          <w:u w:val="single"/>
          <w:rtl/>
        </w:rPr>
      </w:pPr>
    </w:p>
    <w:p w14:paraId="7AA011BE" w14:textId="77777777" w:rsidR="000D30DE" w:rsidRDefault="000D30DE" w:rsidP="00F925D0">
      <w:pPr>
        <w:jc w:val="center"/>
        <w:rPr>
          <w:rFonts w:ascii="Sakkal Majalla" w:hAnsi="Sakkal Majalla" w:cs="Sakkal Majalla"/>
          <w:sz w:val="28"/>
          <w:szCs w:val="28"/>
          <w:u w:val="single"/>
          <w:rtl/>
        </w:rPr>
      </w:pPr>
    </w:p>
    <w:p w14:paraId="42686710" w14:textId="77777777" w:rsidR="000D30DE" w:rsidRDefault="000D30DE"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6E133CFC" w14:textId="77777777" w:rsidR="009F010B" w:rsidRDefault="009F010B"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5515D945" w14:textId="77777777" w:rsidR="00A629D6" w:rsidRPr="00A629D6" w:rsidRDefault="00A629D6" w:rsidP="00A629D6">
      <w:pPr>
        <w:rPr>
          <w:rFonts w:ascii="Simplified Arabic" w:hAnsi="Simplified Arabic" w:cs="Simplified Arabic"/>
          <w:sz w:val="28"/>
          <w:szCs w:val="28"/>
          <w:rtl/>
        </w:rPr>
      </w:pPr>
      <w:r w:rsidRPr="00A629D6">
        <w:rPr>
          <w:rFonts w:ascii="Simplified Arabic" w:hAnsi="Simplified Arabic" w:cs="Simplified Arabic"/>
          <w:sz w:val="28"/>
          <w:szCs w:val="28"/>
          <w:rtl/>
        </w:rPr>
        <w:t>تُعد منهجية الدراسة حجر الأساس الذي يُبنى عليه البحث العلمي، إذ تُحدد الأسلوب العلمي المتّبع في جمع البيانات وتحليلها وصولًا إلى نتائج دقيقة وموثوقة. ونظرًا لطبيعة موضوع الدراسة الذي يتناول تحليل جاهزية النظام الصحي السعودي للتعامل مع الحوادث الإشعاعية والنووية، فقد كان من الضروري اعتماد منهجية تجمع بين الأساليب الكمية والنوعية، بما يتيح فهمًا شاملًا لمستوى الجاهزية من جوانبها المختلفة، سواء على مستوى الخطط والتنظيم أو التجهيزات الفنية أو الكوادر البشرية أو مستوى التنسيق المؤسسي.</w:t>
      </w:r>
    </w:p>
    <w:p w14:paraId="423D2214" w14:textId="77777777" w:rsidR="00A629D6" w:rsidRPr="00A629D6" w:rsidRDefault="00A629D6" w:rsidP="00A629D6">
      <w:pPr>
        <w:rPr>
          <w:rFonts w:ascii="Simplified Arabic" w:hAnsi="Simplified Arabic" w:cs="Simplified Arabic"/>
          <w:sz w:val="28"/>
          <w:szCs w:val="28"/>
          <w:rtl/>
        </w:rPr>
      </w:pPr>
    </w:p>
    <w:p w14:paraId="6CCE77E6" w14:textId="3E513654" w:rsidR="00BC094B" w:rsidRPr="00A629D6" w:rsidRDefault="00A629D6" w:rsidP="00A629D6">
      <w:pPr>
        <w:rPr>
          <w:rFonts w:ascii="Simplified Arabic" w:hAnsi="Simplified Arabic" w:cs="Simplified Arabic"/>
          <w:sz w:val="28"/>
          <w:szCs w:val="28"/>
          <w:rtl/>
        </w:rPr>
      </w:pPr>
      <w:r w:rsidRPr="00A629D6">
        <w:rPr>
          <w:rFonts w:ascii="Simplified Arabic" w:hAnsi="Simplified Arabic" w:cs="Simplified Arabic"/>
          <w:sz w:val="28"/>
          <w:szCs w:val="28"/>
          <w:rtl/>
        </w:rPr>
        <w:t>وترتكز هذه المنهجية على استخدام استبانة ميدانية صُممت وفق نموذج الجاهزية المؤسسية للطوارئ، إضافة إلى تحليل وثائقي للخطط الوطنية والمعايير الدولية، ومقابلات شبه منظمة مع ممثلين من الجهات الصحية ذات العلاقة. ويهدف هذا التكامل المنهجي إلى توفير صورة دقيقة وموضوعية عن واقع الجاهزية الصحية، وتحديد الفجوات والتحديات التي قد تعيق الاستجابة للحوادث الإشعاعية والنووية في المملكة العربية السعودية</w:t>
      </w: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70EFC514" w14:textId="77777777" w:rsidR="00BC094B" w:rsidRPr="00A629D6" w:rsidRDefault="00BC094B" w:rsidP="00D22171">
      <w:pPr>
        <w:rPr>
          <w:rFonts w:ascii="Simplified Arabic" w:hAnsi="Simplified Arabic" w:cs="Simplified Arabic"/>
          <w:sz w:val="24"/>
          <w:szCs w:val="24"/>
          <w:rtl/>
        </w:rPr>
      </w:pPr>
    </w:p>
    <w:p w14:paraId="7C6019A3" w14:textId="4838F490"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اعتمدت هذه الدراسة على المنهج الوصفي التحليلي كمنهج رئيسي، نظرًا لملاءمته لطبيعة موضوع الجاهزية الصحية ولقدرته على وصف الواقع كما هو، وتحليل مكوناته، واستخلاص العلاقات بين عناصره. ويسمح هذا المنهج بدراسة مستوى الجاهزية المؤسسية والتشغيلية للنظام الصحي السعودي في التعامل مع الحوادث الإشعاعية والنووية من خلال تحليل البيانات الميدانية والنظرية بشكل منهجي ومتعمق.</w:t>
      </w:r>
    </w:p>
    <w:p w14:paraId="44790F50" w14:textId="4C0B2555"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ولجمع البيانات، استخدمت الدراسة ثلاث أدوات رئيسية:</w:t>
      </w:r>
    </w:p>
    <w:p w14:paraId="734D5284"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1. الاستبانة الميدانية</w:t>
      </w:r>
    </w:p>
    <w:p w14:paraId="786385B7" w14:textId="77777777" w:rsidR="00A629D6" w:rsidRPr="00A629D6" w:rsidRDefault="00A629D6" w:rsidP="00A629D6">
      <w:pPr>
        <w:rPr>
          <w:rFonts w:ascii="Simplified Arabic" w:hAnsi="Simplified Arabic" w:cs="Simplified Arabic"/>
          <w:sz w:val="24"/>
          <w:szCs w:val="24"/>
          <w:rtl/>
        </w:rPr>
      </w:pPr>
    </w:p>
    <w:p w14:paraId="1D0DAFC0"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وهي أداة كمية صُممت وفق نموذج الجاهزية المؤسسية للطوارئ، وشملت عدة محاور رئيسية:</w:t>
      </w:r>
    </w:p>
    <w:p w14:paraId="311C0C60"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الخطط والبروتوكولات الإشعاعية</w:t>
      </w:r>
    </w:p>
    <w:p w14:paraId="1C139E7C"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التجهيزات الفنية والبنية التحتية</w:t>
      </w:r>
    </w:p>
    <w:p w14:paraId="37B3CC32"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تدريب وتأهيل الكوادر الصحية</w:t>
      </w:r>
    </w:p>
    <w:p w14:paraId="07AD6924"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آليات التنسيق بين الجهات</w:t>
      </w:r>
    </w:p>
    <w:p w14:paraId="07866484" w14:textId="0F084246"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وقد وُزعت الاستبانة على عينة من العاملين في القطاعات الصحية المختلفة لقياس إدراكهم لمستوى الجاهزية المؤسسية.</w:t>
      </w:r>
    </w:p>
    <w:p w14:paraId="06226E04" w14:textId="4B6F7C81"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2. المقابلات شبه المنظمة</w:t>
      </w:r>
    </w:p>
    <w:p w14:paraId="33C855F3" w14:textId="62A412BB"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وهي أداة نوعية هدفت إلى الحصول على تفسيرات عميقة حول واقع الجاهزية والتحديات المرتبطة بالحوادث الإشعاعية. شملت المقابلات عددًا من المختصين في مجالات الطوارئ، والصحة العامة، والسلامة الإشعاعية، مما أتاح فهمًا أوضح للعوامل المؤثرة على الاستعداد المؤسسي.</w:t>
      </w:r>
    </w:p>
    <w:p w14:paraId="42BC685E" w14:textId="4AE33000"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3. التحليل الوثائقي</w:t>
      </w:r>
    </w:p>
    <w:p w14:paraId="78450253" w14:textId="50FCC03B" w:rsidR="00BC094B"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lastRenderedPageBreak/>
        <w:t>تم تحليل مجموعة من الوثائق والأدلة الرسمية، أبرزها خطط الطوارئ الصحية، وأدلة الإجراءات الإشعاعية، ومعايير الوكالة الدولية للطاقة الذرية (</w:t>
      </w:r>
      <w:r w:rsidRPr="00A629D6">
        <w:rPr>
          <w:rFonts w:ascii="Simplified Arabic" w:hAnsi="Simplified Arabic" w:cs="Simplified Arabic"/>
          <w:sz w:val="24"/>
          <w:szCs w:val="24"/>
        </w:rPr>
        <w:t>IAEA</w:t>
      </w:r>
      <w:r w:rsidRPr="00A629D6">
        <w:rPr>
          <w:rFonts w:ascii="Simplified Arabic" w:hAnsi="Simplified Arabic" w:cs="Simplified Arabic"/>
          <w:sz w:val="24"/>
          <w:szCs w:val="24"/>
          <w:rtl/>
        </w:rPr>
        <w:t>)، واللوائح الصحية الدولية (</w:t>
      </w:r>
      <w:r w:rsidRPr="00A629D6">
        <w:rPr>
          <w:rFonts w:ascii="Simplified Arabic" w:hAnsi="Simplified Arabic" w:cs="Simplified Arabic"/>
          <w:sz w:val="24"/>
          <w:szCs w:val="24"/>
        </w:rPr>
        <w:t>IHR 2005</w:t>
      </w:r>
      <w:r w:rsidRPr="00A629D6">
        <w:rPr>
          <w:rFonts w:ascii="Simplified Arabic" w:hAnsi="Simplified Arabic" w:cs="Simplified Arabic"/>
          <w:sz w:val="24"/>
          <w:szCs w:val="24"/>
          <w:rtl/>
        </w:rPr>
        <w:t>). ساعد هذا التحليل في مقارنة الوضع الحالي بالمعايير الدولية المعتمدة.</w:t>
      </w:r>
    </w:p>
    <w:p w14:paraId="18029DD9"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5B7CB86E" w14:textId="77777777" w:rsidR="00A629D6" w:rsidRPr="00A629D6" w:rsidRDefault="00A629D6" w:rsidP="00A629D6">
      <w:pPr>
        <w:rPr>
          <w:rFonts w:ascii="Simplified Arabic" w:hAnsi="Simplified Arabic" w:cs="Simplified Arabic"/>
          <w:sz w:val="28"/>
          <w:szCs w:val="28"/>
          <w:rtl/>
        </w:rPr>
      </w:pPr>
      <w:r w:rsidRPr="00A629D6">
        <w:rPr>
          <w:rFonts w:ascii="Simplified Arabic" w:hAnsi="Simplified Arabic" w:cs="Simplified Arabic"/>
          <w:sz w:val="28"/>
          <w:szCs w:val="28"/>
          <w:rtl/>
        </w:rPr>
        <w:t>يتمثل مجتمع البحث في جميع العاملين في القطاع الصحي داخل المملكة العربية السعودية ممّن لهم علاقة مباشرة أو غير مباشرة بالاستجابة للحوادث الإشعاعية والنووية. ويشمل ذلك الكوادر الصحية والفنية والإدارية في المستشفيات الحكومية والخاصة، والمنشآت التخصصية، والمراكز الصحية، بالإضافة إلى العاملين في مجالات الطوارئ والكوارث، والصحة العامة، والسلامة الإشعاعية، وهيئة الرقابة النووية والإشعاعية، والدفاع المدني، والجهات الداعمة الأخرى.</w:t>
      </w:r>
    </w:p>
    <w:p w14:paraId="5ABC42EE" w14:textId="77777777" w:rsidR="00A629D6" w:rsidRPr="00A629D6" w:rsidRDefault="00A629D6" w:rsidP="00A629D6">
      <w:pPr>
        <w:rPr>
          <w:rFonts w:ascii="Simplified Arabic" w:hAnsi="Simplified Arabic" w:cs="Simplified Arabic"/>
          <w:sz w:val="28"/>
          <w:szCs w:val="28"/>
          <w:rtl/>
        </w:rPr>
      </w:pPr>
    </w:p>
    <w:p w14:paraId="03607EAE" w14:textId="77777777" w:rsidR="00A629D6" w:rsidRPr="00A629D6" w:rsidRDefault="00A629D6" w:rsidP="00A629D6">
      <w:pPr>
        <w:rPr>
          <w:rFonts w:ascii="Simplified Arabic" w:hAnsi="Simplified Arabic" w:cs="Simplified Arabic"/>
          <w:sz w:val="28"/>
          <w:szCs w:val="28"/>
          <w:rtl/>
        </w:rPr>
      </w:pPr>
      <w:r w:rsidRPr="00A629D6">
        <w:rPr>
          <w:rFonts w:ascii="Simplified Arabic" w:hAnsi="Simplified Arabic" w:cs="Simplified Arabic"/>
          <w:sz w:val="28"/>
          <w:szCs w:val="28"/>
          <w:rtl/>
        </w:rPr>
        <w:t xml:space="preserve">ويمتاز هذا المجتمع بتعدد فئاته واختلاف مستويات خبراته، مما يسهم في تقديم صورة شاملة حول مستوى الجاهزية المؤسسية من مختلف الزوايا المهنية. كما أن تنوع الخلفيات الوظيفية للأفراد المشاركين—من أطباء، وممرضين، </w:t>
      </w:r>
      <w:proofErr w:type="spellStart"/>
      <w:r w:rsidRPr="00A629D6">
        <w:rPr>
          <w:rFonts w:ascii="Simplified Arabic" w:hAnsi="Simplified Arabic" w:cs="Simplified Arabic"/>
          <w:sz w:val="28"/>
          <w:szCs w:val="28"/>
          <w:rtl/>
        </w:rPr>
        <w:t>وأخصائيي</w:t>
      </w:r>
      <w:proofErr w:type="spellEnd"/>
      <w:r w:rsidRPr="00A629D6">
        <w:rPr>
          <w:rFonts w:ascii="Simplified Arabic" w:hAnsi="Simplified Arabic" w:cs="Simplified Arabic"/>
          <w:sz w:val="28"/>
          <w:szCs w:val="28"/>
          <w:rtl/>
        </w:rPr>
        <w:t xml:space="preserve"> السلامة الإشعاعية، وإداريين، ومختصين في الطوارئ—يساعد في تقييم الجوانب الفنية والتنظيمية والتشغيلية للاستجابة الإشعاعية بشكل أكثر دقة وعمقًا.</w:t>
      </w:r>
    </w:p>
    <w:p w14:paraId="27E88100" w14:textId="77777777" w:rsidR="00A629D6" w:rsidRPr="00A629D6" w:rsidRDefault="00A629D6" w:rsidP="00A629D6">
      <w:pPr>
        <w:rPr>
          <w:rFonts w:ascii="Simplified Arabic" w:hAnsi="Simplified Arabic" w:cs="Simplified Arabic"/>
          <w:sz w:val="28"/>
          <w:szCs w:val="28"/>
          <w:rtl/>
        </w:rPr>
      </w:pPr>
    </w:p>
    <w:p w14:paraId="66C2F675" w14:textId="1DA9A1C9" w:rsidR="00BC094B" w:rsidRPr="00A629D6" w:rsidRDefault="00A629D6" w:rsidP="00A629D6">
      <w:pPr>
        <w:rPr>
          <w:rFonts w:ascii="Simplified Arabic" w:hAnsi="Simplified Arabic" w:cs="Simplified Arabic"/>
          <w:sz w:val="28"/>
          <w:szCs w:val="28"/>
          <w:rtl/>
        </w:rPr>
      </w:pPr>
      <w:r w:rsidRPr="00A629D6">
        <w:rPr>
          <w:rFonts w:ascii="Simplified Arabic" w:hAnsi="Simplified Arabic" w:cs="Simplified Arabic"/>
          <w:sz w:val="28"/>
          <w:szCs w:val="28"/>
          <w:rtl/>
        </w:rPr>
        <w:t>وقد تم اختيار هذا المجتمع نظرًا لكونه الفئة الأكثر ارتباطًا بإدارة الحوادث الإشعاعية، سواء من ناحية التخطيط أو التنفيذ أو التنسيق، مما يجعله المصدر الأنسب للحصول على بيانات واقعية وموثوقة تعكس مستوى الجاهزية الفعلية داخل النظام الصحي السعودي</w:t>
      </w: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09FAA3A3" w14:textId="38D3E911" w:rsidR="00A629D6" w:rsidRPr="00A629D6" w:rsidRDefault="00A629D6" w:rsidP="00A629D6">
      <w:pPr>
        <w:rPr>
          <w:rFonts w:ascii="Simplified Arabic" w:hAnsi="Simplified Arabic" w:cs="Simplified Arabic"/>
          <w:sz w:val="24"/>
          <w:szCs w:val="24"/>
          <w:rtl/>
        </w:rPr>
      </w:pPr>
      <w:r w:rsidRPr="00A629D6">
        <w:rPr>
          <w:rFonts w:ascii="Sakkal Majalla" w:hAnsi="Sakkal Majalla" w:cs="Sakkal Majalla"/>
          <w:sz w:val="28"/>
          <w:szCs w:val="28"/>
          <w:u w:val="single"/>
          <w:rtl/>
        </w:rPr>
        <w:t>1</w:t>
      </w:r>
      <w:r w:rsidRPr="00A629D6">
        <w:rPr>
          <w:rFonts w:ascii="Simplified Arabic" w:hAnsi="Simplified Arabic" w:cs="Simplified Arabic"/>
          <w:sz w:val="24"/>
          <w:szCs w:val="24"/>
          <w:rtl/>
        </w:rPr>
        <w:t>. الحدود الموضوعية</w:t>
      </w:r>
    </w:p>
    <w:p w14:paraId="6F6463FA"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اقتصر البحث على تحليل جاهزية النظام الصحي السعودي للاستجابة للحوادث الإشعاعية والنووية، وذلك من خلال تقييم أربعة محاور رئيسية هي:</w:t>
      </w:r>
    </w:p>
    <w:p w14:paraId="795C5DC3"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الخطط والبروتوكولات الإشعاعية</w:t>
      </w:r>
    </w:p>
    <w:p w14:paraId="6785EA10"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التجهيزات الفنية والبنية التحتية</w:t>
      </w:r>
    </w:p>
    <w:p w14:paraId="17715B21"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تدريب وتأهيل الكوادر الصحية</w:t>
      </w:r>
    </w:p>
    <w:p w14:paraId="72C1C95E"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التنسيق المؤسسي بين الجهات ذات العلاقة</w:t>
      </w:r>
    </w:p>
    <w:p w14:paraId="18AD80E1" w14:textId="03B3721A"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ولم يتطرق البحث إلى الجوانب البيئية أو العسكرية أو السياسية للحوادث الإشعاعية.</w:t>
      </w:r>
    </w:p>
    <w:p w14:paraId="5A05A6B0" w14:textId="51A979A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2. الحدود المكانية</w:t>
      </w:r>
    </w:p>
    <w:p w14:paraId="036F9A55" w14:textId="204D5458"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شملت الدراسة المنشآت الصحية في مناطق مختلفة من المملكة العربية السعودية، سواء الحكومية أو الخاصة أو التخصصية، مما يعكس تنوعًا جغرافيًا يساهم في الحصول على نتائج أكثر شمولية. ومع ذلك، لم يشمل البحث منشآت صحية خارج المملكة.</w:t>
      </w:r>
    </w:p>
    <w:p w14:paraId="38D3DD03" w14:textId="34A10519"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3. الحدود الزمانية</w:t>
      </w:r>
    </w:p>
    <w:p w14:paraId="55610B07" w14:textId="1A1A72D1"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تم تنفيذ الدراسة خلال عام 2024، واعتمد جمع البيانات وتحليلها على الوضع الراهن للجاهزية الصحية في هذه الفترة، مما يعني أن النتائج تعكس مستوى الجاهزية خلال الإطار الزمني المحدد فقط.</w:t>
      </w:r>
    </w:p>
    <w:p w14:paraId="6251F5A2" w14:textId="6DACD2A8"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4. الحدود البشرية</w:t>
      </w:r>
    </w:p>
    <w:p w14:paraId="7D493FA9"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اقتصرت العينة على العاملين في القطاع الصحي ممن لهم علاقة بإدارة أو تنفيذ أو دعم الاستجابة للحوادث الإشعاعية، بما في ذلك:</w:t>
      </w:r>
    </w:p>
    <w:p w14:paraId="7E1C213D"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الأطباء</w:t>
      </w:r>
    </w:p>
    <w:p w14:paraId="18342244"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lastRenderedPageBreak/>
        <w:tab/>
        <w:t>•</w:t>
      </w:r>
      <w:r w:rsidRPr="00A629D6">
        <w:rPr>
          <w:rFonts w:ascii="Simplified Arabic" w:hAnsi="Simplified Arabic" w:cs="Simplified Arabic"/>
          <w:sz w:val="24"/>
          <w:szCs w:val="24"/>
          <w:rtl/>
        </w:rPr>
        <w:tab/>
        <w:t>الممرضون</w:t>
      </w:r>
    </w:p>
    <w:p w14:paraId="23133CFB"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مختصو السلامة الإشعاعية</w:t>
      </w:r>
    </w:p>
    <w:p w14:paraId="34173E74"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إدارات الطوارئ والكوارث</w:t>
      </w:r>
    </w:p>
    <w:p w14:paraId="7AC3B6BD" w14:textId="77777777" w:rsidR="00A629D6"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ab/>
        <w:t>•</w:t>
      </w:r>
      <w:r w:rsidRPr="00A629D6">
        <w:rPr>
          <w:rFonts w:ascii="Simplified Arabic" w:hAnsi="Simplified Arabic" w:cs="Simplified Arabic"/>
          <w:sz w:val="24"/>
          <w:szCs w:val="24"/>
          <w:rtl/>
        </w:rPr>
        <w:tab/>
        <w:t>القيادات الصحية</w:t>
      </w:r>
    </w:p>
    <w:p w14:paraId="61AA19B7" w14:textId="41465F41" w:rsidR="00BC094B" w:rsidRPr="00A629D6" w:rsidRDefault="00A629D6" w:rsidP="00A629D6">
      <w:pPr>
        <w:rPr>
          <w:rFonts w:ascii="Simplified Arabic" w:hAnsi="Simplified Arabic" w:cs="Simplified Arabic"/>
          <w:sz w:val="24"/>
          <w:szCs w:val="24"/>
          <w:rtl/>
        </w:rPr>
      </w:pPr>
      <w:r w:rsidRPr="00A629D6">
        <w:rPr>
          <w:rFonts w:ascii="Simplified Arabic" w:hAnsi="Simplified Arabic" w:cs="Simplified Arabic"/>
          <w:sz w:val="24"/>
          <w:szCs w:val="24"/>
          <w:rtl/>
        </w:rPr>
        <w:t>ولا تشمل الدراسة فئات المجتمع العامة أو العاملين في القطاعات غير الصحية</w:t>
      </w: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59B5F3CF" w14:textId="77777777" w:rsidR="00A629D6" w:rsidRDefault="00A629D6" w:rsidP="00D22171">
      <w:pPr>
        <w:rPr>
          <w:rFonts w:ascii="Sakkal Majalla" w:hAnsi="Sakkal Majalla" w:cs="Sakkal Majalla"/>
          <w:sz w:val="28"/>
          <w:szCs w:val="28"/>
          <w:u w:val="single"/>
          <w:rtl/>
        </w:rPr>
      </w:pPr>
    </w:p>
    <w:p w14:paraId="0EA2FC13" w14:textId="77777777" w:rsidR="00A629D6" w:rsidRDefault="00A629D6"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317E91A9" w14:textId="77777777" w:rsidR="00A629D6" w:rsidRPr="00A629D6" w:rsidRDefault="00A629D6" w:rsidP="00A629D6">
      <w:pPr>
        <w:jc w:val="center"/>
        <w:rPr>
          <w:rFonts w:ascii="Simplified Arabic" w:hAnsi="Simplified Arabic" w:cs="Simplified Arabic"/>
          <w:sz w:val="28"/>
          <w:szCs w:val="28"/>
          <w:rtl/>
        </w:rPr>
      </w:pPr>
      <w:r w:rsidRPr="00A629D6">
        <w:rPr>
          <w:rFonts w:ascii="Simplified Arabic" w:hAnsi="Simplified Arabic" w:cs="Simplified Arabic"/>
          <w:sz w:val="28"/>
          <w:szCs w:val="28"/>
          <w:rtl/>
        </w:rPr>
        <w:t>يُعد هذا الفصل من أهم فصول البحث، حيث يقدّم عرضًا منهجيًا للنتائج التي تم التوصل إليها من خلال تحليل بيانات الاستبانة والمقابلات والتحليل الوثائقي، بهدف تحديد مستوى جاهزية النظام الصحي السعودي للاستجابة للحوادث الإشعاعية والنووية. ويعتمد هذا الفصل على تحليل محاور الجاهزية الأساسية، والتي تشمل: الخطط والبروتوكولات، التجهيزات الفنية والبنية التحتية، تدريب الكوادر الصحية، وآليات التنسيق بين الجهات المعنية.</w:t>
      </w:r>
    </w:p>
    <w:p w14:paraId="5FA6CF71" w14:textId="77777777" w:rsidR="00A629D6" w:rsidRPr="00A629D6" w:rsidRDefault="00A629D6" w:rsidP="00A629D6">
      <w:pPr>
        <w:jc w:val="center"/>
        <w:rPr>
          <w:rFonts w:ascii="Simplified Arabic" w:hAnsi="Simplified Arabic" w:cs="Simplified Arabic"/>
          <w:sz w:val="28"/>
          <w:szCs w:val="28"/>
          <w:rtl/>
        </w:rPr>
      </w:pPr>
    </w:p>
    <w:p w14:paraId="13113121" w14:textId="1D711418" w:rsidR="004163C7" w:rsidRPr="00A629D6" w:rsidRDefault="00A629D6" w:rsidP="00A629D6">
      <w:pPr>
        <w:jc w:val="center"/>
        <w:rPr>
          <w:rFonts w:ascii="Simplified Arabic" w:hAnsi="Simplified Arabic" w:cs="Simplified Arabic"/>
          <w:sz w:val="28"/>
          <w:szCs w:val="28"/>
          <w:rtl/>
        </w:rPr>
      </w:pPr>
      <w:r w:rsidRPr="00A629D6">
        <w:rPr>
          <w:rFonts w:ascii="Simplified Arabic" w:hAnsi="Simplified Arabic" w:cs="Simplified Arabic"/>
          <w:sz w:val="28"/>
          <w:szCs w:val="28"/>
          <w:rtl/>
        </w:rPr>
        <w:t>ويتم في هذا الفصل استعراض النتائج بطريقة علمية تُبرز مستويات الجاهزية الحالية والفجوات التشغيلية، مع ربط هذه النتائج بالإطار النظري والدراسات السابقة. كما يتضمن الفصل مجموعة من التوصيات العملية المبنية على الأدلة، والتي تهدف إلى تعزيز قدرات النظام الصحي ورفع مستوى استعداده للتعامل مع الحوادث الإشعاعية والنووية بكفاءة وفعالية، بما يتوافق مع المعايير الدولية ومتطلبات اللوائح الصحية</w:t>
      </w: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48D2736E"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أولًا: التحليل الكمي لبيانات الاستبانة</w:t>
      </w:r>
    </w:p>
    <w:p w14:paraId="4CA32DE2"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تم إدخال بيانات الاستبانة في برنامج إحصائي مناسب، واستخدام الإحصاءات الوصفية لبيان تكرارات النسب المئوية والمتوسطات الحسابية والانحرافات المعيارية لعبارات المحاور الرئيسة، والتي شملت:</w:t>
      </w:r>
    </w:p>
    <w:p w14:paraId="2B2418A9"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w:t>
      </w:r>
      <w:r w:rsidRPr="00A24C70">
        <w:rPr>
          <w:rFonts w:ascii="Simplified Arabic" w:hAnsi="Simplified Arabic" w:cs="Simplified Arabic"/>
          <w:sz w:val="28"/>
          <w:szCs w:val="28"/>
          <w:rtl/>
        </w:rPr>
        <w:tab/>
        <w:t>محور الخطط والبروتوكولات الإشعاعية.</w:t>
      </w:r>
    </w:p>
    <w:p w14:paraId="22D2D1E7"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w:t>
      </w:r>
      <w:r w:rsidRPr="00A24C70">
        <w:rPr>
          <w:rFonts w:ascii="Simplified Arabic" w:hAnsi="Simplified Arabic" w:cs="Simplified Arabic"/>
          <w:sz w:val="28"/>
          <w:szCs w:val="28"/>
          <w:rtl/>
        </w:rPr>
        <w:tab/>
        <w:t>محور التجهيزات الفنية والبنية التحتية المتخصصة.</w:t>
      </w:r>
    </w:p>
    <w:p w14:paraId="0CCB61D7"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w:t>
      </w:r>
      <w:r w:rsidRPr="00A24C70">
        <w:rPr>
          <w:rFonts w:ascii="Simplified Arabic" w:hAnsi="Simplified Arabic" w:cs="Simplified Arabic"/>
          <w:sz w:val="28"/>
          <w:szCs w:val="28"/>
          <w:rtl/>
        </w:rPr>
        <w:tab/>
        <w:t>محور تدريب وتأهيل الكوادر الصحية.</w:t>
      </w:r>
    </w:p>
    <w:p w14:paraId="71751D30"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w:t>
      </w:r>
      <w:r w:rsidRPr="00A24C70">
        <w:rPr>
          <w:rFonts w:ascii="Simplified Arabic" w:hAnsi="Simplified Arabic" w:cs="Simplified Arabic"/>
          <w:sz w:val="28"/>
          <w:szCs w:val="28"/>
          <w:rtl/>
        </w:rPr>
        <w:tab/>
        <w:t>محور التنسيق المؤسسي بين الجهات ذات العلاقة.</w:t>
      </w:r>
    </w:p>
    <w:p w14:paraId="34EDC176" w14:textId="77777777" w:rsidR="00A24C70" w:rsidRPr="00A24C70" w:rsidRDefault="00A24C70" w:rsidP="00A24C70">
      <w:pPr>
        <w:rPr>
          <w:rFonts w:ascii="Simplified Arabic" w:hAnsi="Simplified Arabic" w:cs="Simplified Arabic"/>
          <w:sz w:val="28"/>
          <w:szCs w:val="28"/>
          <w:rtl/>
        </w:rPr>
      </w:pPr>
    </w:p>
    <w:p w14:paraId="20238BA2"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أظهرت النتائج أن هناك تباينًا بين المحاور من حيث مستوى الجاهزية؛ حيث بيّنت الاستجابات وجود بعض عناصر القوة على مستوى الوعي النظري لدى جزء من المشاركين، يقابله ضعف واضح في توافر التجهيزات المتخصصة ووحدات التطهير الإشعاعي، إضافة إلى قصور في التدريب العملي المنتظم على بروتوكولات الاستجابة الإشعاعية. كما عكست بعض العبارات انخفاض درجات الاتفاق حول وضوح الخطط الإشعاعية والإجراءات التفصيلية للحوادث واسعة النطاق، مقارنة بمستوى إدراك المشاركين لأهمية وجود هذه الخطط.</w:t>
      </w:r>
    </w:p>
    <w:p w14:paraId="0EB08F6F" w14:textId="77777777" w:rsidR="00A24C70" w:rsidRPr="00A24C70" w:rsidRDefault="00A24C70" w:rsidP="00A24C70">
      <w:pPr>
        <w:rPr>
          <w:rFonts w:ascii="Simplified Arabic" w:hAnsi="Simplified Arabic" w:cs="Simplified Arabic"/>
          <w:sz w:val="28"/>
          <w:szCs w:val="28"/>
          <w:rtl/>
        </w:rPr>
      </w:pPr>
    </w:p>
    <w:p w14:paraId="267B570A"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ثانيًا: التحليل النوعي لبيانات المقابلات</w:t>
      </w:r>
    </w:p>
    <w:p w14:paraId="64C6D992"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lastRenderedPageBreak/>
        <w:t>تم تفريغ المقابلات شبه المنظمة وتحليلها باستخدام أسلوب التحليل الموضوعي للمحتوى، وذلك من خلال تصنيف العبارات المتكررة في محاور رئيسية، أبرزها:</w:t>
      </w:r>
    </w:p>
    <w:p w14:paraId="3B95A60F"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w:t>
      </w:r>
      <w:r w:rsidRPr="00A24C70">
        <w:rPr>
          <w:rFonts w:ascii="Simplified Arabic" w:hAnsi="Simplified Arabic" w:cs="Simplified Arabic"/>
          <w:sz w:val="28"/>
          <w:szCs w:val="28"/>
          <w:rtl/>
        </w:rPr>
        <w:tab/>
        <w:t>التحديات المرتبطة بغياب أو عدم وضوح بعض البروتوكولات الإشعاعية على مستوى المنشآت الصحية.</w:t>
      </w:r>
    </w:p>
    <w:p w14:paraId="77105620"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w:t>
      </w:r>
      <w:r w:rsidRPr="00A24C70">
        <w:rPr>
          <w:rFonts w:ascii="Simplified Arabic" w:hAnsi="Simplified Arabic" w:cs="Simplified Arabic"/>
          <w:sz w:val="28"/>
          <w:szCs w:val="28"/>
          <w:rtl/>
        </w:rPr>
        <w:tab/>
        <w:t>ضعف التكامل بين الخطط الصحية والخطط الصادرة عن جهات أخرى كهيئة الرقابة النووية والإشعاعية والدفاع المدني.</w:t>
      </w:r>
    </w:p>
    <w:p w14:paraId="48C5112C"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w:t>
      </w:r>
      <w:r w:rsidRPr="00A24C70">
        <w:rPr>
          <w:rFonts w:ascii="Simplified Arabic" w:hAnsi="Simplified Arabic" w:cs="Simplified Arabic"/>
          <w:sz w:val="28"/>
          <w:szCs w:val="28"/>
          <w:rtl/>
        </w:rPr>
        <w:tab/>
        <w:t>وجود فجوة بين التخطيط النظري والتطبيق العملي خلال التمارين أو الحوادث الافتراضية.</w:t>
      </w:r>
    </w:p>
    <w:p w14:paraId="4B308F17" w14:textId="77777777" w:rsidR="00A24C70" w:rsidRPr="00A24C70" w:rsidRDefault="00A24C70" w:rsidP="00A24C70">
      <w:pPr>
        <w:rPr>
          <w:rFonts w:ascii="Simplified Arabic" w:hAnsi="Simplified Arabic" w:cs="Simplified Arabic"/>
          <w:sz w:val="28"/>
          <w:szCs w:val="28"/>
          <w:rtl/>
        </w:rPr>
      </w:pPr>
    </w:p>
    <w:p w14:paraId="256D1546" w14:textId="20EE317C" w:rsidR="00BC094B"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وأجمع عدد من المشاركين على أن التدريب الحالي لا يزال يركز بدرجة أكبر على الكوارث التقليدية (مثل الأوبئة وحوادث الإصابات المتعددة)، في حين لا تحظى الحوادث الإشعاعية والنووية بنفس مستوى التركيز في البرامج التدريبية</w:t>
      </w: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Pr="00A24C70" w:rsidRDefault="00BC094B" w:rsidP="00D22171">
      <w:pPr>
        <w:rPr>
          <w:rFonts w:ascii="Simplified Arabic" w:hAnsi="Simplified Arabic" w:cs="Simplified Arabic"/>
          <w:sz w:val="28"/>
          <w:szCs w:val="28"/>
          <w:rtl/>
        </w:rPr>
      </w:pPr>
      <w:r w:rsidRPr="00A24C70">
        <w:rPr>
          <w:rFonts w:ascii="Simplified Arabic" w:hAnsi="Simplified Arabic" w:cs="Simplified Arabic"/>
          <w:sz w:val="28"/>
          <w:szCs w:val="28"/>
          <w:rtl/>
        </w:rPr>
        <w:t>-النتائج</w:t>
      </w:r>
    </w:p>
    <w:p w14:paraId="225D13E4"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أولًا: نتائج محور الخطط والبروتوكولات الإشعاعية</w:t>
      </w:r>
    </w:p>
    <w:p w14:paraId="67D0CAD9"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1.</w:t>
      </w:r>
      <w:r w:rsidRPr="00A24C70">
        <w:rPr>
          <w:rFonts w:ascii="Simplified Arabic" w:hAnsi="Simplified Arabic" w:cs="Simplified Arabic"/>
          <w:sz w:val="28"/>
          <w:szCs w:val="28"/>
          <w:rtl/>
        </w:rPr>
        <w:tab/>
        <w:t>أظهرت الاستجابات محدودية وجود خطط طوارئ إشعاعية مكتوبة وواضحة داخل عدد من المنشآت الصحية، حيث أشار جزء من المشاركين إلى غياب بروتوكولات تفصيلية تُنظّم كيفية التعامل مع التلوث الإشعاعي والحوادث واسعة النطاق.</w:t>
      </w:r>
    </w:p>
    <w:p w14:paraId="5002C970"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2.</w:t>
      </w:r>
      <w:r w:rsidRPr="00A24C70">
        <w:rPr>
          <w:rFonts w:ascii="Simplified Arabic" w:hAnsi="Simplified Arabic" w:cs="Simplified Arabic"/>
          <w:sz w:val="28"/>
          <w:szCs w:val="28"/>
          <w:rtl/>
        </w:rPr>
        <w:tab/>
        <w:t>أظهرت النتائج فجوة بين المعرفة النظرية بأهمية الخطط الإشعاعية وبين تفعيلها الفعلي على أرض الواقع، حيث تبين أن معظم الخطط المتوافرة عامة وغير مخصّصة لحوادث الإشعاع.</w:t>
      </w:r>
    </w:p>
    <w:p w14:paraId="211B3D4B" w14:textId="272FEAD9" w:rsidR="00A24C70" w:rsidRPr="00A24C70" w:rsidRDefault="00A24C70" w:rsidP="00A24C70">
      <w:pPr>
        <w:rPr>
          <w:rFonts w:ascii="Simplified Arabic" w:hAnsi="Simplified Arabic" w:cs="Simplified Arabic"/>
          <w:sz w:val="28"/>
          <w:szCs w:val="28"/>
        </w:rPr>
      </w:pPr>
      <w:r w:rsidRPr="00A24C70">
        <w:rPr>
          <w:rFonts w:ascii="Simplified Arabic" w:hAnsi="Simplified Arabic" w:cs="Simplified Arabic"/>
          <w:sz w:val="28"/>
          <w:szCs w:val="28"/>
          <w:rtl/>
        </w:rPr>
        <w:tab/>
        <w:t>3.</w:t>
      </w:r>
      <w:r w:rsidRPr="00A24C70">
        <w:rPr>
          <w:rFonts w:ascii="Simplified Arabic" w:hAnsi="Simplified Arabic" w:cs="Simplified Arabic"/>
          <w:sz w:val="28"/>
          <w:szCs w:val="28"/>
          <w:rtl/>
        </w:rPr>
        <w:tab/>
        <w:t>أشار عدد من المستجيبين إلى أن الإجراءات المتبعة لإدارة الحوادث الإشعاعية ليست معتمدة أو محدثة بشكل منتظم في بعض المنشآت.</w:t>
      </w:r>
    </w:p>
    <w:p w14:paraId="2D0B384B"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ثانيًا: نتائج محور التجهيزات الفنية والبنية التحتية</w:t>
      </w:r>
    </w:p>
    <w:p w14:paraId="227B6B1E"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1.</w:t>
      </w:r>
      <w:r w:rsidRPr="00A24C70">
        <w:rPr>
          <w:rFonts w:ascii="Simplified Arabic" w:hAnsi="Simplified Arabic" w:cs="Simplified Arabic"/>
          <w:sz w:val="28"/>
          <w:szCs w:val="28"/>
          <w:rtl/>
        </w:rPr>
        <w:tab/>
        <w:t>بيّنت النتائج ضعف توفر التجهيزات المتخصصة مثل أجهزة قياس التلوث الإشعاعي (</w:t>
      </w:r>
      <w:r w:rsidRPr="00A24C70">
        <w:rPr>
          <w:rFonts w:ascii="Simplified Arabic" w:hAnsi="Simplified Arabic" w:cs="Simplified Arabic"/>
          <w:sz w:val="28"/>
          <w:szCs w:val="28"/>
        </w:rPr>
        <w:t>Radiation Detectors</w:t>
      </w:r>
      <w:r w:rsidRPr="00A24C70">
        <w:rPr>
          <w:rFonts w:ascii="Simplified Arabic" w:hAnsi="Simplified Arabic" w:cs="Simplified Arabic"/>
          <w:sz w:val="28"/>
          <w:szCs w:val="28"/>
          <w:rtl/>
        </w:rPr>
        <w:t>)، وعدم توافرها في جميع المنشآت الصحية.</w:t>
      </w:r>
    </w:p>
    <w:p w14:paraId="73C91784"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2.</w:t>
      </w:r>
      <w:r w:rsidRPr="00A24C70">
        <w:rPr>
          <w:rFonts w:ascii="Simplified Arabic" w:hAnsi="Simplified Arabic" w:cs="Simplified Arabic"/>
          <w:sz w:val="28"/>
          <w:szCs w:val="28"/>
          <w:rtl/>
        </w:rPr>
        <w:tab/>
        <w:t>أظهرت البيانات نقصًا ملحوظًا في وحدات التطهير الإشعاعي المجهزة، إضافة إلى محدودية البدلات الواقية من الإشعاع بالكميات الكافية.</w:t>
      </w:r>
    </w:p>
    <w:p w14:paraId="049816F2"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3.</w:t>
      </w:r>
      <w:r w:rsidRPr="00A24C70">
        <w:rPr>
          <w:rFonts w:ascii="Simplified Arabic" w:hAnsi="Simplified Arabic" w:cs="Simplified Arabic"/>
          <w:sz w:val="28"/>
          <w:szCs w:val="28"/>
          <w:rtl/>
        </w:rPr>
        <w:tab/>
        <w:t>لا تتوفر في بعض المنشآت الصحية مسارات مخصصة لاستقبال وفرز الإصابات الإشعاعية، مما قد يعرّض المرضى والعاملين لخطر انتقال التلوث في حال وقوع حادث.</w:t>
      </w:r>
    </w:p>
    <w:p w14:paraId="08FE1A56" w14:textId="77777777" w:rsidR="00A24C70" w:rsidRPr="00A24C70" w:rsidRDefault="00A24C70" w:rsidP="00A24C70">
      <w:pPr>
        <w:rPr>
          <w:rFonts w:ascii="Simplified Arabic" w:hAnsi="Simplified Arabic" w:cs="Simplified Arabic"/>
          <w:sz w:val="28"/>
          <w:szCs w:val="28"/>
          <w:rtl/>
        </w:rPr>
      </w:pPr>
    </w:p>
    <w:p w14:paraId="1744F936"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lastRenderedPageBreak/>
        <w:t>ثالثًا: نتائج محور تدريب وتأهيل الكوادر الصحية</w:t>
      </w:r>
    </w:p>
    <w:p w14:paraId="4C194749"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1.</w:t>
      </w:r>
      <w:r w:rsidRPr="00A24C70">
        <w:rPr>
          <w:rFonts w:ascii="Simplified Arabic" w:hAnsi="Simplified Arabic" w:cs="Simplified Arabic"/>
          <w:sz w:val="28"/>
          <w:szCs w:val="28"/>
          <w:rtl/>
        </w:rPr>
        <w:tab/>
        <w:t>تشير نتائج الاستبانة والمقابلات إلى أن نسبة كبيرة من الكوادر الصحية لم تتلق تدريبًا رسميًا ومتخصصًا في الاستجابة للحوادث الإشعاعية، الأمر الذي يؤثر سلبًا على القدرة التشغيلية في حالات الطوارئ.</w:t>
      </w:r>
    </w:p>
    <w:p w14:paraId="00D09DFB"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2.</w:t>
      </w:r>
      <w:r w:rsidRPr="00A24C70">
        <w:rPr>
          <w:rFonts w:ascii="Simplified Arabic" w:hAnsi="Simplified Arabic" w:cs="Simplified Arabic"/>
          <w:sz w:val="28"/>
          <w:szCs w:val="28"/>
          <w:rtl/>
        </w:rPr>
        <w:tab/>
        <w:t>أظهر التحليل أن التدريب المتاح يركز غالبًا على الكوارث التقليدية، بينما يقل التركيز على سيناريوهات الإشعاع والنووي، ولا تُنفذ تمارين محاكاة دورية تعكس الواقع العملي.</w:t>
      </w:r>
    </w:p>
    <w:p w14:paraId="5E494D38"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3.</w:t>
      </w:r>
      <w:r w:rsidRPr="00A24C70">
        <w:rPr>
          <w:rFonts w:ascii="Simplified Arabic" w:hAnsi="Simplified Arabic" w:cs="Simplified Arabic"/>
          <w:sz w:val="28"/>
          <w:szCs w:val="28"/>
          <w:rtl/>
        </w:rPr>
        <w:tab/>
        <w:t>ضعفت المعرفة العملية بإجراءات التطهير الإشعاعي وفرز الإصابات المشعة لدى عدد كبير من المشاركين.</w:t>
      </w:r>
    </w:p>
    <w:p w14:paraId="2C2ECE75" w14:textId="77777777" w:rsidR="00A24C70" w:rsidRPr="00A24C70" w:rsidRDefault="00A24C70" w:rsidP="00A24C70">
      <w:pPr>
        <w:rPr>
          <w:rFonts w:ascii="Simplified Arabic" w:hAnsi="Simplified Arabic" w:cs="Simplified Arabic"/>
          <w:sz w:val="28"/>
          <w:szCs w:val="28"/>
          <w:rtl/>
        </w:rPr>
      </w:pPr>
    </w:p>
    <w:p w14:paraId="1AB322B1"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رابعًا: نتائج محور التنسيق المؤسسي بين الجهات المعنية</w:t>
      </w:r>
    </w:p>
    <w:p w14:paraId="65469F04"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1.</w:t>
      </w:r>
      <w:r w:rsidRPr="00A24C70">
        <w:rPr>
          <w:rFonts w:ascii="Simplified Arabic" w:hAnsi="Simplified Arabic" w:cs="Simplified Arabic"/>
          <w:sz w:val="28"/>
          <w:szCs w:val="28"/>
          <w:rtl/>
        </w:rPr>
        <w:tab/>
        <w:t>أبرزت البيانات وجود قصور في آليات الاتصال بين المنشآت الصحية وهيئة الرقابة النووية والإشعاعية والدفاع المدني أثناء الحوادث، مما يحد من سرعة الاستجابة.</w:t>
      </w:r>
    </w:p>
    <w:p w14:paraId="614F3790"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2.</w:t>
      </w:r>
      <w:r w:rsidRPr="00A24C70">
        <w:rPr>
          <w:rFonts w:ascii="Simplified Arabic" w:hAnsi="Simplified Arabic" w:cs="Simplified Arabic"/>
          <w:sz w:val="28"/>
          <w:szCs w:val="28"/>
          <w:rtl/>
        </w:rPr>
        <w:tab/>
        <w:t>عدم وضوح الأدوار والمسؤوليات بين الجهات الصحية وغير الصحية خلال الحوادث الإشعاعية يشكل تحديًا رئيسيًا، وفقًا لما ورد في المقابلات والتحليل الوثائقي.</w:t>
      </w:r>
    </w:p>
    <w:p w14:paraId="1B063684" w14:textId="5B7EA0DF" w:rsidR="00A24C70" w:rsidRPr="00A24C70" w:rsidRDefault="00A24C70" w:rsidP="00A24C70">
      <w:pPr>
        <w:rPr>
          <w:rFonts w:ascii="Simplified Arabic" w:hAnsi="Simplified Arabic" w:cs="Simplified Arabic"/>
          <w:sz w:val="28"/>
          <w:szCs w:val="28"/>
        </w:rPr>
      </w:pPr>
      <w:r w:rsidRPr="00A24C70">
        <w:rPr>
          <w:rFonts w:ascii="Simplified Arabic" w:hAnsi="Simplified Arabic" w:cs="Simplified Arabic"/>
          <w:sz w:val="28"/>
          <w:szCs w:val="28"/>
          <w:rtl/>
        </w:rPr>
        <w:tab/>
        <w:t>3.</w:t>
      </w:r>
      <w:r w:rsidRPr="00A24C70">
        <w:rPr>
          <w:rFonts w:ascii="Simplified Arabic" w:hAnsi="Simplified Arabic" w:cs="Simplified Arabic"/>
          <w:sz w:val="28"/>
          <w:szCs w:val="28"/>
          <w:rtl/>
        </w:rPr>
        <w:tab/>
        <w:t>غياب مقارّ عمليات مشتركة أو خط اتصال موحد لحوادث التلوث الإشعاعي، مما يؤدي إلى تباطؤ القرارات الميدانية في الحالات الطارئة.</w:t>
      </w:r>
    </w:p>
    <w:p w14:paraId="58661C33" w14:textId="77777777" w:rsidR="00A24C70" w:rsidRPr="00A24C70" w:rsidRDefault="00A24C70" w:rsidP="00A24C70">
      <w:pPr>
        <w:rPr>
          <w:rFonts w:ascii="Simplified Arabic" w:hAnsi="Simplified Arabic" w:cs="Simplified Arabic"/>
          <w:sz w:val="28"/>
          <w:szCs w:val="28"/>
          <w:rtl/>
        </w:rPr>
      </w:pPr>
    </w:p>
    <w:p w14:paraId="2E040832" w14:textId="23EE84FF" w:rsidR="00A24C70" w:rsidRPr="00A24C70" w:rsidRDefault="00A24C70" w:rsidP="00A24C70">
      <w:pPr>
        <w:rPr>
          <w:rFonts w:ascii="Simplified Arabic" w:hAnsi="Simplified Arabic" w:cs="Simplified Arabic"/>
          <w:sz w:val="28"/>
          <w:szCs w:val="28"/>
        </w:rPr>
      </w:pPr>
      <w:r w:rsidRPr="00A24C70">
        <w:rPr>
          <w:rFonts w:ascii="Simplified Arabic" w:hAnsi="Simplified Arabic" w:cs="Simplified Arabic"/>
          <w:sz w:val="28"/>
          <w:szCs w:val="28"/>
          <w:rtl/>
        </w:rPr>
        <w:t>خامسًا: النتائج العامة للجاهزية</w:t>
      </w:r>
    </w:p>
    <w:p w14:paraId="6BBB4240"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من خلال دمج النتائج الكمية والنوعية، اتضح ما يلي:</w:t>
      </w:r>
    </w:p>
    <w:p w14:paraId="09E97429"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1.</w:t>
      </w:r>
      <w:r w:rsidRPr="00A24C70">
        <w:rPr>
          <w:rFonts w:ascii="Simplified Arabic" w:hAnsi="Simplified Arabic" w:cs="Simplified Arabic"/>
          <w:sz w:val="28"/>
          <w:szCs w:val="28"/>
          <w:rtl/>
        </w:rPr>
        <w:tab/>
        <w:t>مستوى الجاهزية الصحية الحالي يُعد متوسطًا يميل إلى القصور فيما يتعلق بالتجهيزات الفنية والتدريب العملي.</w:t>
      </w:r>
    </w:p>
    <w:p w14:paraId="5C19F361"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2.</w:t>
      </w:r>
      <w:r w:rsidRPr="00A24C70">
        <w:rPr>
          <w:rFonts w:ascii="Simplified Arabic" w:hAnsi="Simplified Arabic" w:cs="Simplified Arabic"/>
          <w:sz w:val="28"/>
          <w:szCs w:val="28"/>
          <w:rtl/>
        </w:rPr>
        <w:tab/>
        <w:t>وجود فجوات واضحة بين اللوائح والمعايير الدولية وبين التطبيق الفعلي داخل المنشآت الصحية.</w:t>
      </w:r>
    </w:p>
    <w:p w14:paraId="6A9AA9B3"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lastRenderedPageBreak/>
        <w:tab/>
        <w:t>3.</w:t>
      </w:r>
      <w:r w:rsidRPr="00A24C70">
        <w:rPr>
          <w:rFonts w:ascii="Simplified Arabic" w:hAnsi="Simplified Arabic" w:cs="Simplified Arabic"/>
          <w:sz w:val="28"/>
          <w:szCs w:val="28"/>
          <w:rtl/>
        </w:rPr>
        <w:tab/>
        <w:t>الحاجة إلى تحديث شامل لنظام الاستجابة الإشعاعية، بما في ذلك الخطط والتدريب والتجهيزات والتنسيق.</w:t>
      </w:r>
    </w:p>
    <w:p w14:paraId="600147E9" w14:textId="4A6D3395" w:rsidR="004163C7"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4.</w:t>
      </w:r>
      <w:r w:rsidRPr="00A24C70">
        <w:rPr>
          <w:rFonts w:ascii="Simplified Arabic" w:hAnsi="Simplified Arabic" w:cs="Simplified Arabic"/>
          <w:sz w:val="28"/>
          <w:szCs w:val="28"/>
          <w:rtl/>
        </w:rPr>
        <w:tab/>
        <w:t>الدور التنظيمي لوزارة الصحة وهيئة الرقابة النووية موجود، لكن الجاهزية التشغيلية ما تزال بحاجة إلى تعزيز كبير</w:t>
      </w:r>
    </w:p>
    <w:p w14:paraId="61FF8B8C"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5D5C0A5F" w14:textId="77962922" w:rsidR="00A24C70" w:rsidRPr="00A24C70" w:rsidRDefault="00A24C70" w:rsidP="00A24C70">
      <w:pPr>
        <w:rPr>
          <w:rFonts w:ascii="Simplified Arabic" w:hAnsi="Simplified Arabic" w:cs="Simplified Arabic"/>
          <w:sz w:val="28"/>
          <w:szCs w:val="28"/>
          <w:rtl/>
        </w:rPr>
      </w:pPr>
      <w:r>
        <w:rPr>
          <w:rFonts w:ascii="Sakkal Majalla" w:hAnsi="Sakkal Majalla" w:cs="Sakkal Majalla"/>
          <w:sz w:val="28"/>
          <w:szCs w:val="28"/>
          <w:u w:val="single"/>
        </w:rPr>
        <w:t>1</w:t>
      </w:r>
      <w:r w:rsidRPr="00A24C70">
        <w:rPr>
          <w:rFonts w:ascii="Simplified Arabic" w:hAnsi="Simplified Arabic" w:cs="Simplified Arabic"/>
          <w:sz w:val="28"/>
          <w:szCs w:val="28"/>
          <w:rtl/>
        </w:rPr>
        <w:t>.</w:t>
      </w:r>
      <w:r w:rsidRPr="00A24C70">
        <w:rPr>
          <w:rFonts w:ascii="Simplified Arabic" w:hAnsi="Simplified Arabic" w:cs="Simplified Arabic"/>
          <w:sz w:val="28"/>
          <w:szCs w:val="28"/>
          <w:rtl/>
        </w:rPr>
        <w:tab/>
        <w:t>اعتماد بروتوكولات تفصيلية متخصصة تُنظّم التعامل مع التلوث الإشعاعي، وفرز الإصابات، وإدارة الحوادث واسعة النطاق داخل المنشآت الصحية.</w:t>
      </w:r>
    </w:p>
    <w:p w14:paraId="3009244D" w14:textId="78FCDBEB" w:rsidR="00A24C70" w:rsidRPr="00A24C70" w:rsidRDefault="00A24C70" w:rsidP="00A24C70">
      <w:pPr>
        <w:rPr>
          <w:rFonts w:ascii="Simplified Arabic" w:hAnsi="Simplified Arabic" w:cs="Simplified Arabic"/>
          <w:sz w:val="28"/>
          <w:szCs w:val="28"/>
        </w:rPr>
      </w:pPr>
      <w:r w:rsidRPr="00A24C70">
        <w:rPr>
          <w:rFonts w:ascii="Simplified Arabic" w:hAnsi="Simplified Arabic" w:cs="Simplified Arabic"/>
          <w:sz w:val="28"/>
          <w:szCs w:val="28"/>
          <w:rtl/>
        </w:rPr>
        <w:tab/>
      </w:r>
      <w:r>
        <w:rPr>
          <w:rFonts w:ascii="Simplified Arabic" w:hAnsi="Simplified Arabic" w:cs="Simplified Arabic"/>
          <w:sz w:val="28"/>
          <w:szCs w:val="28"/>
        </w:rPr>
        <w:t>2</w:t>
      </w:r>
      <w:r w:rsidRPr="00A24C70">
        <w:rPr>
          <w:rFonts w:ascii="Simplified Arabic" w:hAnsi="Simplified Arabic" w:cs="Simplified Arabic"/>
          <w:sz w:val="28"/>
          <w:szCs w:val="28"/>
          <w:rtl/>
        </w:rPr>
        <w:t>.</w:t>
      </w:r>
      <w:r w:rsidRPr="00A24C70">
        <w:rPr>
          <w:rFonts w:ascii="Simplified Arabic" w:hAnsi="Simplified Arabic" w:cs="Simplified Arabic"/>
          <w:sz w:val="28"/>
          <w:szCs w:val="28"/>
          <w:rtl/>
        </w:rPr>
        <w:tab/>
        <w:t>توحيد خطط الاستجابة الإشعاعية بين وزارة الصحة والجهات الوطنية الأخرى لضمان الاتساق في الإجراءات وتجنب الازدواجية.</w:t>
      </w:r>
    </w:p>
    <w:p w14:paraId="6048289A" w14:textId="53B359E3" w:rsidR="00A24C70" w:rsidRPr="00A24C70" w:rsidRDefault="00A24C70" w:rsidP="00A24C70">
      <w:pPr>
        <w:rPr>
          <w:rFonts w:ascii="Simplified Arabic" w:hAnsi="Simplified Arabic" w:cs="Simplified Arabic"/>
          <w:sz w:val="28"/>
          <w:szCs w:val="28"/>
        </w:rPr>
      </w:pPr>
      <w:r w:rsidRPr="00A24C70">
        <w:rPr>
          <w:rFonts w:ascii="Segoe UI" w:hAnsi="Segoe UI" w:cs="Segoe UI" w:hint="cs"/>
          <w:sz w:val="28"/>
          <w:szCs w:val="28"/>
          <w:rtl/>
        </w:rPr>
        <w:t>⸻</w:t>
      </w:r>
    </w:p>
    <w:p w14:paraId="4B4A7C14"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ثانيًا: توصيات تتعلق بالتجهيزات الفنية والبنية التحتية</w:t>
      </w:r>
    </w:p>
    <w:p w14:paraId="0386E6D5"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1.</w:t>
      </w:r>
      <w:r w:rsidRPr="00A24C70">
        <w:rPr>
          <w:rFonts w:ascii="Simplified Arabic" w:hAnsi="Simplified Arabic" w:cs="Simplified Arabic"/>
          <w:sz w:val="28"/>
          <w:szCs w:val="28"/>
          <w:rtl/>
        </w:rPr>
        <w:tab/>
        <w:t>توفير أجهزة قياس التلوث الإشعاعي (</w:t>
      </w:r>
      <w:r w:rsidRPr="00A24C70">
        <w:rPr>
          <w:rFonts w:ascii="Simplified Arabic" w:hAnsi="Simplified Arabic" w:cs="Simplified Arabic"/>
          <w:sz w:val="28"/>
          <w:szCs w:val="28"/>
        </w:rPr>
        <w:t>Radiation Detectors</w:t>
      </w:r>
      <w:r w:rsidRPr="00A24C70">
        <w:rPr>
          <w:rFonts w:ascii="Simplified Arabic" w:hAnsi="Simplified Arabic" w:cs="Simplified Arabic"/>
          <w:sz w:val="28"/>
          <w:szCs w:val="28"/>
          <w:rtl/>
        </w:rPr>
        <w:t>) بكميات كافية في جميع المنشآت الصحية ذات الأولوية.</w:t>
      </w:r>
    </w:p>
    <w:p w14:paraId="69522B81"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2.</w:t>
      </w:r>
      <w:r w:rsidRPr="00A24C70">
        <w:rPr>
          <w:rFonts w:ascii="Simplified Arabic" w:hAnsi="Simplified Arabic" w:cs="Simplified Arabic"/>
          <w:sz w:val="28"/>
          <w:szCs w:val="28"/>
          <w:rtl/>
        </w:rPr>
        <w:tab/>
        <w:t>إنشاء وحدات تطهير إشعاعي متكاملة (</w:t>
      </w:r>
      <w:r w:rsidRPr="00A24C70">
        <w:rPr>
          <w:rFonts w:ascii="Simplified Arabic" w:hAnsi="Simplified Arabic" w:cs="Simplified Arabic"/>
          <w:sz w:val="28"/>
          <w:szCs w:val="28"/>
        </w:rPr>
        <w:t>Fixed &amp; Mobile Decontamination Units</w:t>
      </w:r>
      <w:r w:rsidRPr="00A24C70">
        <w:rPr>
          <w:rFonts w:ascii="Simplified Arabic" w:hAnsi="Simplified Arabic" w:cs="Simplified Arabic"/>
          <w:sz w:val="28"/>
          <w:szCs w:val="28"/>
          <w:rtl/>
        </w:rPr>
        <w:t>) في المستشفيات المرجعية ومراكز الطوارئ.</w:t>
      </w:r>
    </w:p>
    <w:p w14:paraId="105BE190"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3.</w:t>
      </w:r>
      <w:r w:rsidRPr="00A24C70">
        <w:rPr>
          <w:rFonts w:ascii="Simplified Arabic" w:hAnsi="Simplified Arabic" w:cs="Simplified Arabic"/>
          <w:sz w:val="28"/>
          <w:szCs w:val="28"/>
          <w:rtl/>
        </w:rPr>
        <w:tab/>
        <w:t>تأمين بدلات واقية ومعدات حماية شخصية متخصصة للعاملين في أقسام الطوارئ والإشعاع.</w:t>
      </w:r>
    </w:p>
    <w:p w14:paraId="38099B70" w14:textId="178DBC03" w:rsidR="00A24C70" w:rsidRPr="00A24C70" w:rsidRDefault="00A24C70" w:rsidP="00A24C70">
      <w:pPr>
        <w:rPr>
          <w:rFonts w:ascii="Simplified Arabic" w:hAnsi="Simplified Arabic" w:cs="Simplified Arabic"/>
          <w:sz w:val="28"/>
          <w:szCs w:val="28"/>
        </w:rPr>
      </w:pPr>
      <w:r w:rsidRPr="00A24C70">
        <w:rPr>
          <w:rFonts w:ascii="Simplified Arabic" w:hAnsi="Simplified Arabic" w:cs="Simplified Arabic"/>
          <w:sz w:val="28"/>
          <w:szCs w:val="28"/>
          <w:rtl/>
        </w:rPr>
        <w:tab/>
        <w:t>4.</w:t>
      </w:r>
      <w:r w:rsidRPr="00A24C70">
        <w:rPr>
          <w:rFonts w:ascii="Simplified Arabic" w:hAnsi="Simplified Arabic" w:cs="Simplified Arabic"/>
          <w:sz w:val="28"/>
          <w:szCs w:val="28"/>
          <w:rtl/>
        </w:rPr>
        <w:tab/>
        <w:t>إنشاء مسارات آمنة ومخصصة لاستقبال وفرز الإصابات المشعّة داخل المنشآت الصحية لتقليل انتقال التلوث.</w:t>
      </w:r>
    </w:p>
    <w:p w14:paraId="639CD6DA"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ثالثًا: توصيات تتعلق بتدريب وتأهيل الكوادر الصحية</w:t>
      </w:r>
    </w:p>
    <w:p w14:paraId="12EB47C2"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1.</w:t>
      </w:r>
      <w:r w:rsidRPr="00A24C70">
        <w:rPr>
          <w:rFonts w:ascii="Simplified Arabic" w:hAnsi="Simplified Arabic" w:cs="Simplified Arabic"/>
          <w:sz w:val="28"/>
          <w:szCs w:val="28"/>
          <w:rtl/>
        </w:rPr>
        <w:tab/>
        <w:t>تنفيذ برامج تدريب سنوية إلزامية للكوادر الصحية حول الاستجابة للحوادث الإشعاعية، تشمل التدريب النظري والعملي والمحاكاة الواقعية (</w:t>
      </w:r>
      <w:r w:rsidRPr="00A24C70">
        <w:rPr>
          <w:rFonts w:ascii="Simplified Arabic" w:hAnsi="Simplified Arabic" w:cs="Simplified Arabic"/>
          <w:sz w:val="28"/>
          <w:szCs w:val="28"/>
        </w:rPr>
        <w:t>Simulation</w:t>
      </w:r>
      <w:r w:rsidRPr="00A24C70">
        <w:rPr>
          <w:rFonts w:ascii="Simplified Arabic" w:hAnsi="Simplified Arabic" w:cs="Simplified Arabic"/>
          <w:sz w:val="28"/>
          <w:szCs w:val="28"/>
          <w:rtl/>
        </w:rPr>
        <w:t>).</w:t>
      </w:r>
    </w:p>
    <w:p w14:paraId="672C99CB"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lastRenderedPageBreak/>
        <w:tab/>
        <w:t>2.</w:t>
      </w:r>
      <w:r w:rsidRPr="00A24C70">
        <w:rPr>
          <w:rFonts w:ascii="Simplified Arabic" w:hAnsi="Simplified Arabic" w:cs="Simplified Arabic"/>
          <w:sz w:val="28"/>
          <w:szCs w:val="28"/>
          <w:rtl/>
        </w:rPr>
        <w:tab/>
        <w:t>إدراج سيناريوهات التلوث الإشعاعي ضمن برامج التعليم الطبي المستمر، وبرامج الصحة العامة والطوارئ.</w:t>
      </w:r>
    </w:p>
    <w:p w14:paraId="3514E30E" w14:textId="77777777" w:rsidR="00A24C70"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3.</w:t>
      </w:r>
      <w:r w:rsidRPr="00A24C70">
        <w:rPr>
          <w:rFonts w:ascii="Simplified Arabic" w:hAnsi="Simplified Arabic" w:cs="Simplified Arabic"/>
          <w:sz w:val="28"/>
          <w:szCs w:val="28"/>
          <w:rtl/>
        </w:rPr>
        <w:tab/>
        <w:t>إعداد كوادر وطنية متخصصة في السلامة الإشعاعية داخل كل منشأة صحية لدعم الاستجابة الأولية.</w:t>
      </w:r>
    </w:p>
    <w:p w14:paraId="34AABE16" w14:textId="7D574F8C" w:rsidR="00BC094B" w:rsidRPr="00A24C70" w:rsidRDefault="00A24C70" w:rsidP="00A24C70">
      <w:pPr>
        <w:rPr>
          <w:rFonts w:ascii="Simplified Arabic" w:hAnsi="Simplified Arabic" w:cs="Simplified Arabic"/>
          <w:sz w:val="28"/>
          <w:szCs w:val="28"/>
          <w:rtl/>
        </w:rPr>
      </w:pPr>
      <w:r w:rsidRPr="00A24C70">
        <w:rPr>
          <w:rFonts w:ascii="Simplified Arabic" w:hAnsi="Simplified Arabic" w:cs="Simplified Arabic"/>
          <w:sz w:val="28"/>
          <w:szCs w:val="28"/>
          <w:rtl/>
        </w:rPr>
        <w:tab/>
        <w:t>4.</w:t>
      </w:r>
      <w:r w:rsidRPr="00A24C70">
        <w:rPr>
          <w:rFonts w:ascii="Simplified Arabic" w:hAnsi="Simplified Arabic" w:cs="Simplified Arabic"/>
          <w:sz w:val="28"/>
          <w:szCs w:val="28"/>
          <w:rtl/>
        </w:rPr>
        <w:tab/>
        <w:t>تنفيذ تمارين ميدانية مشتركة بين الجهات الصحية وغير الصحية لرفع جاهزية الفرق المشاركة</w:t>
      </w:r>
    </w:p>
    <w:p w14:paraId="7C036868" w14:textId="77777777" w:rsidR="00BC094B" w:rsidRPr="00A24C70" w:rsidRDefault="00BC094B" w:rsidP="00D22171">
      <w:pPr>
        <w:rPr>
          <w:rFonts w:ascii="Simplified Arabic" w:hAnsi="Simplified Arabic" w:cs="Simplified Arabic"/>
          <w:sz w:val="28"/>
          <w:szCs w:val="28"/>
          <w:rtl/>
        </w:rPr>
      </w:pPr>
    </w:p>
    <w:p w14:paraId="2C33095D" w14:textId="77777777" w:rsidR="00BC094B" w:rsidRPr="00A24C70" w:rsidRDefault="00BC094B" w:rsidP="00D22171">
      <w:pPr>
        <w:rPr>
          <w:rFonts w:ascii="Simplified Arabic" w:hAnsi="Simplified Arabic" w:cs="Simplified Arabic"/>
          <w:sz w:val="28"/>
          <w:szCs w:val="28"/>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49AA6A73" w:rsidR="004163C7" w:rsidRDefault="004163C7" w:rsidP="00A24C70">
      <w:pPr>
        <w:rPr>
          <w:rFonts w:ascii="Sakkal Majalla" w:hAnsi="Sakkal Majalla" w:cs="Sakkal Majalla"/>
          <w:b/>
          <w:bCs/>
          <w:sz w:val="52"/>
          <w:szCs w:val="52"/>
          <w:u w:val="single"/>
        </w:rPr>
      </w:pPr>
    </w:p>
    <w:p w14:paraId="29DA9317" w14:textId="77777777" w:rsidR="00A24C70" w:rsidRPr="004163C7" w:rsidRDefault="00A24C70" w:rsidP="00A24C70">
      <w:pP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432775F7" w14:textId="77777777" w:rsidR="00472199" w:rsidRPr="00472199" w:rsidRDefault="00472199" w:rsidP="00472199">
      <w:pPr>
        <w:pStyle w:val="a6"/>
        <w:numPr>
          <w:ilvl w:val="0"/>
          <w:numId w:val="5"/>
        </w:numPr>
        <w:rPr>
          <w:rFonts w:ascii="Simplified Arabic" w:hAnsi="Simplified Arabic" w:cs="Simplified Arabic"/>
          <w:sz w:val="28"/>
          <w:szCs w:val="28"/>
          <w:rtl/>
        </w:rPr>
      </w:pPr>
      <w:r w:rsidRPr="00472199">
        <w:rPr>
          <w:rFonts w:ascii="Simplified Arabic" w:hAnsi="Simplified Arabic" w:cs="Simplified Arabic"/>
          <w:sz w:val="28"/>
          <w:szCs w:val="28"/>
          <w:rtl/>
        </w:rPr>
        <w:t>العمري، فهد، وآخرون. (2022). تحليل جاهزية أقسام الطوارئ في المستشفيات السعودية لمواجهة الكوارث. مجلة العلوم الصحية، 34(2)، 45–62.</w:t>
      </w:r>
    </w:p>
    <w:p w14:paraId="5BE54B76" w14:textId="77777777" w:rsidR="00472199" w:rsidRPr="00472199" w:rsidRDefault="00472199" w:rsidP="00472199">
      <w:pPr>
        <w:pStyle w:val="a6"/>
        <w:numPr>
          <w:ilvl w:val="0"/>
          <w:numId w:val="5"/>
        </w:numPr>
        <w:rPr>
          <w:rFonts w:ascii="Simplified Arabic" w:hAnsi="Simplified Arabic" w:cs="Simplified Arabic"/>
          <w:sz w:val="28"/>
          <w:szCs w:val="28"/>
          <w:rtl/>
        </w:rPr>
      </w:pPr>
      <w:r w:rsidRPr="00472199">
        <w:rPr>
          <w:rFonts w:ascii="Simplified Arabic" w:hAnsi="Simplified Arabic" w:cs="Simplified Arabic"/>
          <w:sz w:val="28"/>
          <w:szCs w:val="28"/>
          <w:rtl/>
        </w:rPr>
        <w:t>الزعبي، أحمد. (2020). جاهزية المستشفيات الأردنية للتعامل مع الحوادث الإشعاعية: دراسة تقييمية. المجلة العربية لإدارة الأزمات، 12(1)، 14–39.</w:t>
      </w:r>
    </w:p>
    <w:p w14:paraId="068CD9B1" w14:textId="77777777" w:rsidR="00472199" w:rsidRPr="00472199" w:rsidRDefault="00472199" w:rsidP="00472199">
      <w:pPr>
        <w:pStyle w:val="a6"/>
        <w:numPr>
          <w:ilvl w:val="0"/>
          <w:numId w:val="5"/>
        </w:numPr>
        <w:rPr>
          <w:rFonts w:ascii="Simplified Arabic" w:hAnsi="Simplified Arabic" w:cs="Simplified Arabic"/>
          <w:sz w:val="28"/>
          <w:szCs w:val="28"/>
          <w:rtl/>
        </w:rPr>
      </w:pPr>
      <w:r w:rsidRPr="00472199">
        <w:rPr>
          <w:rFonts w:ascii="Simplified Arabic" w:hAnsi="Simplified Arabic" w:cs="Simplified Arabic"/>
          <w:sz w:val="28"/>
          <w:szCs w:val="28"/>
          <w:rtl/>
        </w:rPr>
        <w:t>وزارة الصحة السعودية. (2021). الخطة الوطنية للطوارئ الإشعاعية والنووية. الرياض: الإدارة العامة للطوارئ والكوارث.</w:t>
      </w:r>
    </w:p>
    <w:p w14:paraId="64881D63" w14:textId="77777777" w:rsidR="00472199" w:rsidRPr="00472199" w:rsidRDefault="00472199" w:rsidP="00472199">
      <w:pPr>
        <w:pStyle w:val="a6"/>
        <w:numPr>
          <w:ilvl w:val="0"/>
          <w:numId w:val="5"/>
        </w:numPr>
        <w:rPr>
          <w:rFonts w:ascii="Simplified Arabic" w:hAnsi="Simplified Arabic" w:cs="Simplified Arabic"/>
          <w:sz w:val="28"/>
          <w:szCs w:val="28"/>
          <w:rtl/>
        </w:rPr>
      </w:pPr>
      <w:r w:rsidRPr="00472199">
        <w:rPr>
          <w:rFonts w:ascii="Simplified Arabic" w:hAnsi="Simplified Arabic" w:cs="Simplified Arabic"/>
          <w:sz w:val="28"/>
          <w:szCs w:val="28"/>
          <w:rtl/>
        </w:rPr>
        <w:t>مركز طب الحشود. (2019). الاستعداد لحوادث التلوث الإشعاعي في موسم الحج. وزارة الصحة، المملكة العربية السعودية.</w:t>
      </w:r>
    </w:p>
    <w:p w14:paraId="54DC40BF" w14:textId="77777777" w:rsidR="00472199" w:rsidRPr="00472199" w:rsidRDefault="00472199" w:rsidP="00472199">
      <w:pPr>
        <w:pStyle w:val="a6"/>
        <w:numPr>
          <w:ilvl w:val="0"/>
          <w:numId w:val="5"/>
        </w:numPr>
        <w:rPr>
          <w:rFonts w:ascii="Simplified Arabic" w:hAnsi="Simplified Arabic" w:cs="Simplified Arabic"/>
          <w:sz w:val="28"/>
          <w:szCs w:val="28"/>
          <w:rtl/>
        </w:rPr>
      </w:pPr>
      <w:r w:rsidRPr="00472199">
        <w:rPr>
          <w:rFonts w:ascii="Simplified Arabic" w:hAnsi="Simplified Arabic" w:cs="Simplified Arabic"/>
          <w:sz w:val="28"/>
          <w:szCs w:val="28"/>
          <w:rtl/>
        </w:rPr>
        <w:t>هيئة الرقابة النووية والإشعاعية. (2021). تقرير الجاهزية الوطنية لحالات الطوارئ النووية. الرياض: الهيئة السعودية للرقابة النووية.</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CD853B0" w14:textId="77777777" w:rsidR="00472199" w:rsidRPr="00B52A0B" w:rsidRDefault="00472199" w:rsidP="00472199">
      <w:pPr>
        <w:pStyle w:val="a6"/>
        <w:numPr>
          <w:ilvl w:val="0"/>
          <w:numId w:val="6"/>
        </w:numPr>
        <w:rPr>
          <w:rFonts w:ascii="Sakkal Majalla" w:hAnsi="Sakkal Majalla" w:cs="Sakkal Majalla"/>
          <w:sz w:val="32"/>
          <w:szCs w:val="32"/>
        </w:rPr>
      </w:pPr>
      <w:r w:rsidRPr="00B52A0B">
        <w:rPr>
          <w:rFonts w:ascii="Sakkal Majalla" w:hAnsi="Sakkal Majalla" w:cs="Sakkal Majalla"/>
          <w:sz w:val="32"/>
          <w:szCs w:val="32"/>
        </w:rPr>
        <w:t>World Health Organization. (2017). Radiation Emergency Medical Preparedness and Response. WHO Guidelines Series. Geneva: WHO Press</w:t>
      </w:r>
      <w:r w:rsidRPr="00B52A0B">
        <w:rPr>
          <w:rFonts w:ascii="Sakkal Majalla" w:hAnsi="Sakkal Majalla" w:cs="Sakkal Majalla"/>
          <w:sz w:val="32"/>
          <w:szCs w:val="32"/>
          <w:rtl/>
        </w:rPr>
        <w:t>.</w:t>
      </w:r>
    </w:p>
    <w:p w14:paraId="120F8A4A" w14:textId="77777777" w:rsidR="00472199" w:rsidRPr="00B52A0B" w:rsidRDefault="00472199" w:rsidP="00472199">
      <w:pPr>
        <w:pStyle w:val="a6"/>
        <w:numPr>
          <w:ilvl w:val="0"/>
          <w:numId w:val="6"/>
        </w:numPr>
        <w:rPr>
          <w:rFonts w:ascii="Sakkal Majalla" w:hAnsi="Sakkal Majalla" w:cs="Sakkal Majalla"/>
          <w:sz w:val="32"/>
          <w:szCs w:val="32"/>
        </w:rPr>
      </w:pPr>
      <w:r w:rsidRPr="00B52A0B">
        <w:rPr>
          <w:rFonts w:ascii="Sakkal Majalla" w:hAnsi="Sakkal Majalla" w:cs="Sakkal Majalla"/>
          <w:sz w:val="32"/>
          <w:szCs w:val="32"/>
        </w:rPr>
        <w:t>International Atomic Energy Agency. (2019). Preparedness and Response for a Nuclear or Radiological Emergency. IAEA Safety Standards Series No. GSR Part 7. Vienna: IAEA</w:t>
      </w:r>
      <w:r w:rsidRPr="00B52A0B">
        <w:rPr>
          <w:rFonts w:ascii="Sakkal Majalla" w:hAnsi="Sakkal Majalla" w:cs="Sakkal Majalla"/>
          <w:sz w:val="32"/>
          <w:szCs w:val="32"/>
          <w:rtl/>
        </w:rPr>
        <w:t>.</w:t>
      </w:r>
    </w:p>
    <w:p w14:paraId="7938FC64" w14:textId="77777777" w:rsidR="00472199" w:rsidRPr="00B52A0B" w:rsidRDefault="00472199" w:rsidP="00472199">
      <w:pPr>
        <w:pStyle w:val="a6"/>
        <w:numPr>
          <w:ilvl w:val="0"/>
          <w:numId w:val="6"/>
        </w:numPr>
        <w:rPr>
          <w:rFonts w:ascii="Sakkal Majalla" w:hAnsi="Sakkal Majalla" w:cs="Sakkal Majalla"/>
          <w:sz w:val="32"/>
          <w:szCs w:val="32"/>
        </w:rPr>
      </w:pPr>
      <w:r w:rsidRPr="00B52A0B">
        <w:rPr>
          <w:rFonts w:ascii="Sakkal Majalla" w:hAnsi="Sakkal Majalla" w:cs="Sakkal Majalla"/>
          <w:sz w:val="32"/>
          <w:szCs w:val="32"/>
        </w:rPr>
        <w:t>Rubin, G. J., Potts, H. W. W., &amp; Michie, S. (2013). The impact of radiation exposure on hospital staff preparedness: A study of US emergency departments. Journal of Emergency Management, 11(3), 187–196</w:t>
      </w:r>
      <w:r w:rsidRPr="00B52A0B">
        <w:rPr>
          <w:rFonts w:ascii="Sakkal Majalla" w:hAnsi="Sakkal Majalla" w:cs="Sakkal Majalla"/>
          <w:sz w:val="32"/>
          <w:szCs w:val="32"/>
          <w:rtl/>
        </w:rPr>
        <w:t>.</w:t>
      </w:r>
    </w:p>
    <w:p w14:paraId="1A377B6C" w14:textId="77777777" w:rsidR="00472199" w:rsidRPr="00B52A0B" w:rsidRDefault="00472199" w:rsidP="00472199">
      <w:pPr>
        <w:pStyle w:val="a6"/>
        <w:numPr>
          <w:ilvl w:val="0"/>
          <w:numId w:val="6"/>
        </w:numPr>
        <w:rPr>
          <w:rFonts w:ascii="Sakkal Majalla" w:hAnsi="Sakkal Majalla" w:cs="Sakkal Majalla"/>
          <w:sz w:val="32"/>
          <w:szCs w:val="32"/>
        </w:rPr>
      </w:pPr>
      <w:r w:rsidRPr="00B52A0B">
        <w:rPr>
          <w:rFonts w:ascii="Sakkal Majalla" w:hAnsi="Sakkal Majalla" w:cs="Sakkal Majalla"/>
          <w:sz w:val="32"/>
          <w:szCs w:val="32"/>
        </w:rPr>
        <w:t>Abdullah, M., Al-Yousef, H., &amp; Faris, A. (2021). Integrated Emergency Preparedness for Radiological Events in the UAE Health Sector. Middle East Health Journal, 9(1), 88–104</w:t>
      </w:r>
      <w:r w:rsidRPr="00B52A0B">
        <w:rPr>
          <w:rFonts w:ascii="Sakkal Majalla" w:hAnsi="Sakkal Majalla" w:cs="Sakkal Majalla"/>
          <w:sz w:val="32"/>
          <w:szCs w:val="32"/>
          <w:rtl/>
        </w:rPr>
        <w:t>.</w:t>
      </w:r>
    </w:p>
    <w:p w14:paraId="5D8691B5" w14:textId="77777777" w:rsidR="00472199" w:rsidRPr="00B52A0B" w:rsidRDefault="00472199" w:rsidP="00472199">
      <w:pPr>
        <w:pStyle w:val="a6"/>
        <w:numPr>
          <w:ilvl w:val="0"/>
          <w:numId w:val="6"/>
        </w:numPr>
        <w:rPr>
          <w:rFonts w:ascii="Sakkal Majalla" w:hAnsi="Sakkal Majalla" w:cs="Sakkal Majalla"/>
          <w:sz w:val="32"/>
          <w:szCs w:val="32"/>
          <w:rtl/>
        </w:rPr>
      </w:pPr>
      <w:r w:rsidRPr="00B52A0B">
        <w:rPr>
          <w:rFonts w:ascii="Sakkal Majalla" w:hAnsi="Sakkal Majalla" w:cs="Sakkal Majalla"/>
          <w:sz w:val="32"/>
          <w:szCs w:val="32"/>
        </w:rPr>
        <w:t>Centers for Disease Control and Prevention (CDC). (2020). Public Health Emergency Response Guide for Radiation Disasters. Atlanta, GA: CDC</w:t>
      </w:r>
      <w:r w:rsidRPr="00B52A0B">
        <w:rPr>
          <w:rFonts w:ascii="Sakkal Majalla" w:hAnsi="Sakkal Majalla" w:cs="Sakkal Majalla"/>
          <w:sz w:val="32"/>
          <w:szCs w:val="32"/>
          <w:rtl/>
        </w:rPr>
        <w:t>.</w:t>
      </w:r>
    </w:p>
    <w:p w14:paraId="0E90C4CB" w14:textId="77777777" w:rsidR="00472199" w:rsidRPr="00B52A0B" w:rsidRDefault="00472199" w:rsidP="00472199">
      <w:pPr>
        <w:rPr>
          <w:rFonts w:ascii="Sakkal Majalla" w:hAnsi="Sakkal Majalla" w:cs="Sakkal Majalla"/>
          <w:sz w:val="28"/>
          <w:szCs w:val="28"/>
          <w:rtl/>
        </w:rPr>
      </w:pPr>
      <w:r w:rsidRPr="00B52A0B">
        <w:rPr>
          <w:rFonts w:ascii="Sakkal Majalla" w:hAnsi="Sakkal Majalla" w:cs="Sakkal Majalla"/>
          <w:sz w:val="28"/>
          <w:szCs w:val="28"/>
          <w:rtl/>
        </w:rPr>
        <w:t>ثالثًا: المصادر المؤسسية والدولية</w:t>
      </w:r>
    </w:p>
    <w:p w14:paraId="62DA52C5" w14:textId="77777777" w:rsidR="00472199" w:rsidRPr="00B52A0B" w:rsidRDefault="00472199" w:rsidP="00472199">
      <w:pPr>
        <w:pStyle w:val="a6"/>
        <w:numPr>
          <w:ilvl w:val="0"/>
          <w:numId w:val="7"/>
        </w:numPr>
        <w:rPr>
          <w:rFonts w:ascii="Sakkal Majalla" w:hAnsi="Sakkal Majalla" w:cs="Sakkal Majalla"/>
          <w:sz w:val="28"/>
          <w:szCs w:val="28"/>
        </w:rPr>
      </w:pPr>
      <w:r w:rsidRPr="00B52A0B">
        <w:rPr>
          <w:rFonts w:ascii="Sakkal Majalla" w:hAnsi="Sakkal Majalla" w:cs="Sakkal Majalla"/>
          <w:sz w:val="28"/>
          <w:szCs w:val="28"/>
          <w:rtl/>
        </w:rPr>
        <w:t>11.</w:t>
      </w:r>
      <w:r w:rsidRPr="00B52A0B">
        <w:rPr>
          <w:rFonts w:ascii="Sakkal Majalla" w:hAnsi="Sakkal Majalla" w:cs="Sakkal Majalla"/>
          <w:sz w:val="28"/>
          <w:szCs w:val="28"/>
          <w:rtl/>
        </w:rPr>
        <w:tab/>
      </w:r>
      <w:r w:rsidRPr="00B52A0B">
        <w:rPr>
          <w:rFonts w:ascii="Sakkal Majalla" w:hAnsi="Sakkal Majalla" w:cs="Sakkal Majalla"/>
          <w:sz w:val="28"/>
          <w:szCs w:val="28"/>
        </w:rPr>
        <w:t>Saudi Vision 2030. (2016). National Transformation Program (NTP) Document. Available at: https://vision2030.gov.sa</w:t>
      </w:r>
    </w:p>
    <w:p w14:paraId="6CA64427" w14:textId="77777777" w:rsidR="00472199" w:rsidRPr="00B52A0B" w:rsidRDefault="00472199" w:rsidP="00472199">
      <w:pPr>
        <w:pStyle w:val="a6"/>
        <w:numPr>
          <w:ilvl w:val="0"/>
          <w:numId w:val="7"/>
        </w:numPr>
        <w:rPr>
          <w:rFonts w:ascii="Sakkal Majalla" w:hAnsi="Sakkal Majalla" w:cs="Sakkal Majalla"/>
          <w:sz w:val="28"/>
          <w:szCs w:val="28"/>
        </w:rPr>
      </w:pPr>
      <w:r w:rsidRPr="00B52A0B">
        <w:rPr>
          <w:rFonts w:ascii="Sakkal Majalla" w:hAnsi="Sakkal Majalla" w:cs="Sakkal Majalla"/>
          <w:sz w:val="28"/>
          <w:szCs w:val="28"/>
          <w:rtl/>
        </w:rPr>
        <w:t>12.</w:t>
      </w:r>
      <w:r w:rsidRPr="00B52A0B">
        <w:rPr>
          <w:rFonts w:ascii="Sakkal Majalla" w:hAnsi="Sakkal Majalla" w:cs="Sakkal Majalla"/>
          <w:sz w:val="28"/>
          <w:szCs w:val="28"/>
          <w:rtl/>
        </w:rPr>
        <w:tab/>
      </w:r>
      <w:r w:rsidRPr="00B52A0B">
        <w:rPr>
          <w:rFonts w:ascii="Sakkal Majalla" w:hAnsi="Sakkal Majalla" w:cs="Sakkal Majalla"/>
          <w:sz w:val="28"/>
          <w:szCs w:val="28"/>
        </w:rPr>
        <w:t>WHO. (2005). International Health Regulations (IHR 2005). Geneva: World Health Organization</w:t>
      </w:r>
      <w:r w:rsidRPr="00B52A0B">
        <w:rPr>
          <w:rFonts w:ascii="Sakkal Majalla" w:hAnsi="Sakkal Majalla" w:cs="Sakkal Majalla"/>
          <w:sz w:val="28"/>
          <w:szCs w:val="28"/>
          <w:rtl/>
        </w:rPr>
        <w:t>.</w:t>
      </w:r>
    </w:p>
    <w:p w14:paraId="41917E49" w14:textId="77777777" w:rsidR="00472199" w:rsidRPr="00B52A0B" w:rsidRDefault="00472199" w:rsidP="00472199">
      <w:pPr>
        <w:pStyle w:val="a6"/>
        <w:numPr>
          <w:ilvl w:val="0"/>
          <w:numId w:val="7"/>
        </w:numPr>
        <w:rPr>
          <w:rFonts w:ascii="Sakkal Majalla" w:hAnsi="Sakkal Majalla" w:cs="Sakkal Majalla"/>
          <w:sz w:val="28"/>
          <w:szCs w:val="28"/>
        </w:rPr>
      </w:pPr>
      <w:r w:rsidRPr="00B52A0B">
        <w:rPr>
          <w:rFonts w:ascii="Sakkal Majalla" w:hAnsi="Sakkal Majalla" w:cs="Sakkal Majalla"/>
          <w:sz w:val="28"/>
          <w:szCs w:val="28"/>
          <w:rtl/>
        </w:rPr>
        <w:lastRenderedPageBreak/>
        <w:t>13.</w:t>
      </w:r>
      <w:r w:rsidRPr="00B52A0B">
        <w:rPr>
          <w:rFonts w:ascii="Sakkal Majalla" w:hAnsi="Sakkal Majalla" w:cs="Sakkal Majalla"/>
          <w:sz w:val="28"/>
          <w:szCs w:val="28"/>
          <w:rtl/>
        </w:rPr>
        <w:tab/>
      </w:r>
      <w:r w:rsidRPr="00B52A0B">
        <w:rPr>
          <w:rFonts w:ascii="Sakkal Majalla" w:hAnsi="Sakkal Majalla" w:cs="Sakkal Majalla"/>
          <w:sz w:val="28"/>
          <w:szCs w:val="28"/>
        </w:rPr>
        <w:t>IAEA. (2020). Manual for First Responders to a Radiological Emergency. Vienna: International Atomic Energy Agency</w:t>
      </w:r>
      <w:r w:rsidRPr="00B52A0B">
        <w:rPr>
          <w:rFonts w:ascii="Sakkal Majalla" w:hAnsi="Sakkal Majalla" w:cs="Sakkal Majalla"/>
          <w:sz w:val="28"/>
          <w:szCs w:val="28"/>
          <w:rtl/>
        </w:rPr>
        <w:t>.</w:t>
      </w:r>
    </w:p>
    <w:p w14:paraId="05A68293" w14:textId="77777777" w:rsidR="00472199" w:rsidRPr="00B52A0B" w:rsidRDefault="00472199" w:rsidP="00472199">
      <w:pPr>
        <w:pStyle w:val="a6"/>
        <w:numPr>
          <w:ilvl w:val="0"/>
          <w:numId w:val="7"/>
        </w:numPr>
        <w:rPr>
          <w:rFonts w:ascii="Sakkal Majalla" w:hAnsi="Sakkal Majalla" w:cs="Sakkal Majalla"/>
          <w:sz w:val="28"/>
          <w:szCs w:val="28"/>
        </w:rPr>
      </w:pPr>
      <w:r w:rsidRPr="00B52A0B">
        <w:rPr>
          <w:rFonts w:ascii="Sakkal Majalla" w:hAnsi="Sakkal Majalla" w:cs="Sakkal Majalla"/>
          <w:sz w:val="28"/>
          <w:szCs w:val="28"/>
          <w:rtl/>
        </w:rPr>
        <w:t>14.</w:t>
      </w:r>
      <w:r w:rsidRPr="00B52A0B">
        <w:rPr>
          <w:rFonts w:ascii="Sakkal Majalla" w:hAnsi="Sakkal Majalla" w:cs="Sakkal Majalla"/>
          <w:sz w:val="28"/>
          <w:szCs w:val="28"/>
          <w:rtl/>
        </w:rPr>
        <w:tab/>
      </w:r>
      <w:r w:rsidRPr="00B52A0B">
        <w:rPr>
          <w:rFonts w:ascii="Sakkal Majalla" w:hAnsi="Sakkal Majalla" w:cs="Sakkal Majalla"/>
          <w:sz w:val="28"/>
          <w:szCs w:val="28"/>
        </w:rPr>
        <w:t>Ministry of Interior – Civil Defense. (2022). National Civil Defense Plan for Radiological Incidents. Riyadh: Saudi Arabia</w:t>
      </w:r>
      <w:r w:rsidRPr="00B52A0B">
        <w:rPr>
          <w:rFonts w:ascii="Sakkal Majalla" w:hAnsi="Sakkal Majalla" w:cs="Sakkal Majalla"/>
          <w:sz w:val="28"/>
          <w:szCs w:val="28"/>
          <w:rtl/>
        </w:rPr>
        <w:t>.</w:t>
      </w:r>
    </w:p>
    <w:p w14:paraId="5FEC02E3" w14:textId="77777777" w:rsidR="00472199" w:rsidRPr="00B52A0B" w:rsidRDefault="00472199" w:rsidP="00472199">
      <w:pPr>
        <w:pStyle w:val="a6"/>
        <w:numPr>
          <w:ilvl w:val="0"/>
          <w:numId w:val="7"/>
        </w:numPr>
        <w:rPr>
          <w:rFonts w:ascii="Sakkal Majalla" w:hAnsi="Sakkal Majalla" w:cs="Sakkal Majalla"/>
          <w:sz w:val="28"/>
          <w:szCs w:val="28"/>
          <w:rtl/>
        </w:rPr>
      </w:pPr>
      <w:r w:rsidRPr="00B52A0B">
        <w:rPr>
          <w:rFonts w:ascii="Sakkal Majalla" w:hAnsi="Sakkal Majalla" w:cs="Sakkal Majalla"/>
          <w:sz w:val="28"/>
          <w:szCs w:val="28"/>
          <w:rtl/>
        </w:rPr>
        <w:t>15.</w:t>
      </w:r>
      <w:r w:rsidRPr="00B52A0B">
        <w:rPr>
          <w:rFonts w:ascii="Sakkal Majalla" w:hAnsi="Sakkal Majalla" w:cs="Sakkal Majalla"/>
          <w:sz w:val="28"/>
          <w:szCs w:val="28"/>
          <w:rtl/>
        </w:rPr>
        <w:tab/>
      </w:r>
      <w:r w:rsidRPr="00B52A0B">
        <w:rPr>
          <w:rFonts w:ascii="Sakkal Majalla" w:hAnsi="Sakkal Majalla" w:cs="Sakkal Majalla"/>
          <w:sz w:val="28"/>
          <w:szCs w:val="28"/>
        </w:rPr>
        <w:t>United Nations Office for Disaster Risk Reduction (UNDRR). (2015). Sendai Framework for Disaster Risk Reduction 2015–2030. Geneva: UNDRR</w:t>
      </w:r>
    </w:p>
    <w:p w14:paraId="7C37B539" w14:textId="77777777" w:rsidR="00472199" w:rsidRDefault="00472199" w:rsidP="00472199">
      <w:pPr>
        <w:rPr>
          <w:rFonts w:ascii="Sakkal Majalla" w:hAnsi="Sakkal Majalla" w:cs="Sakkal Majalla"/>
          <w:sz w:val="28"/>
          <w:szCs w:val="28"/>
          <w:u w:val="single"/>
          <w:rtl/>
        </w:rPr>
      </w:pPr>
    </w:p>
    <w:p w14:paraId="00304818" w14:textId="77777777" w:rsidR="00472199" w:rsidRDefault="00472199" w:rsidP="00472199">
      <w:pPr>
        <w:rPr>
          <w:rFonts w:ascii="Sakkal Majalla" w:hAnsi="Sakkal Majalla" w:cs="Sakkal Majalla"/>
          <w:sz w:val="28"/>
          <w:szCs w:val="28"/>
          <w:u w:val="single"/>
          <w:rtl/>
        </w:rPr>
      </w:pPr>
    </w:p>
    <w:p w14:paraId="574A61E9" w14:textId="77777777" w:rsidR="00472199" w:rsidRDefault="00472199" w:rsidP="00472199">
      <w:pPr>
        <w:rPr>
          <w:rFonts w:ascii="Sakkal Majalla" w:hAnsi="Sakkal Majalla" w:cs="Sakkal Majalla"/>
          <w:sz w:val="28"/>
          <w:szCs w:val="28"/>
          <w:u w:val="single"/>
          <w:rtl/>
        </w:rPr>
      </w:pPr>
    </w:p>
    <w:p w14:paraId="5B9B1364" w14:textId="77777777" w:rsidR="00472199" w:rsidRDefault="00472199" w:rsidP="00472199">
      <w:pPr>
        <w:rPr>
          <w:rFonts w:ascii="Sakkal Majalla" w:hAnsi="Sakkal Majalla" w:cs="Sakkal Majalla"/>
          <w:sz w:val="28"/>
          <w:szCs w:val="28"/>
          <w:u w:val="single"/>
          <w:rtl/>
        </w:rPr>
      </w:pPr>
    </w:p>
    <w:p w14:paraId="6743D332" w14:textId="77777777" w:rsidR="00472199" w:rsidRDefault="00472199" w:rsidP="00472199">
      <w:pPr>
        <w:rPr>
          <w:rFonts w:ascii="Sakkal Majalla" w:hAnsi="Sakkal Majalla" w:cs="Sakkal Majalla"/>
          <w:sz w:val="28"/>
          <w:szCs w:val="28"/>
          <w:u w:val="single"/>
          <w:rtl/>
        </w:rPr>
      </w:pPr>
    </w:p>
    <w:p w14:paraId="300A0646" w14:textId="77777777" w:rsidR="00472199" w:rsidRDefault="00472199" w:rsidP="00472199">
      <w:pPr>
        <w:rPr>
          <w:rFonts w:ascii="Sakkal Majalla" w:hAnsi="Sakkal Majalla" w:cs="Sakkal Majalla"/>
          <w:sz w:val="28"/>
          <w:szCs w:val="28"/>
          <w:u w:val="single"/>
          <w:rtl/>
        </w:rPr>
      </w:pP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Pr="00472199" w:rsidRDefault="004163C7" w:rsidP="009125CE">
      <w:pPr>
        <w:rPr>
          <w:rFonts w:ascii="Simplified Arabic" w:hAnsi="Simplified Arabic" w:cs="Simplified Arabic"/>
          <w:sz w:val="28"/>
          <w:szCs w:val="28"/>
          <w:rtl/>
        </w:rPr>
      </w:pPr>
    </w:p>
    <w:p w14:paraId="7C1BE691" w14:textId="77777777" w:rsidR="00472199" w:rsidRPr="00472199" w:rsidRDefault="00472199" w:rsidP="00472199">
      <w:pPr>
        <w:rPr>
          <w:rFonts w:ascii="Simplified Arabic" w:hAnsi="Simplified Arabic" w:cs="Simplified Arabic"/>
          <w:sz w:val="28"/>
          <w:szCs w:val="28"/>
          <w:rtl/>
        </w:rPr>
      </w:pPr>
      <w:r w:rsidRPr="00472199">
        <w:rPr>
          <w:rFonts w:ascii="Simplified Arabic" w:hAnsi="Simplified Arabic" w:cs="Simplified Arabic"/>
          <w:sz w:val="28"/>
          <w:szCs w:val="28"/>
          <w:rtl/>
        </w:rPr>
        <w:t>اعتمدت هذه الدراسة على استبانة ميدانية تم إعدادها وتصميمها بناءً على نموذج الجاهزية المؤسسية للطوارئ، ومعايير الوكالة الدولية للطاقة الذرية (</w:t>
      </w:r>
      <w:r w:rsidRPr="00472199">
        <w:rPr>
          <w:rFonts w:ascii="Simplified Arabic" w:hAnsi="Simplified Arabic" w:cs="Simplified Arabic"/>
          <w:sz w:val="28"/>
          <w:szCs w:val="28"/>
        </w:rPr>
        <w:t>IAEA</w:t>
      </w:r>
      <w:r w:rsidRPr="00472199">
        <w:rPr>
          <w:rFonts w:ascii="Simplified Arabic" w:hAnsi="Simplified Arabic" w:cs="Simplified Arabic"/>
          <w:sz w:val="28"/>
          <w:szCs w:val="28"/>
          <w:rtl/>
        </w:rPr>
        <w:t>) واللوائح الصحية الدولية (</w:t>
      </w:r>
      <w:r w:rsidRPr="00472199">
        <w:rPr>
          <w:rFonts w:ascii="Simplified Arabic" w:hAnsi="Simplified Arabic" w:cs="Simplified Arabic"/>
          <w:sz w:val="28"/>
          <w:szCs w:val="28"/>
        </w:rPr>
        <w:t>IHR 2005</w:t>
      </w:r>
      <w:r w:rsidRPr="00472199">
        <w:rPr>
          <w:rFonts w:ascii="Simplified Arabic" w:hAnsi="Simplified Arabic" w:cs="Simplified Arabic"/>
          <w:sz w:val="28"/>
          <w:szCs w:val="28"/>
          <w:rtl/>
        </w:rPr>
        <w:t>). هدفت الاستبانة إلى قياس مستوى جاهزية المنشآت الصحية للتعامل مع الحوادث الإشعاعية والنووية من خلال أربعة محاور رئيسية، وهي:</w:t>
      </w:r>
    </w:p>
    <w:p w14:paraId="55695145" w14:textId="77777777" w:rsidR="00472199" w:rsidRPr="00472199" w:rsidRDefault="00472199" w:rsidP="00472199">
      <w:pPr>
        <w:rPr>
          <w:rFonts w:ascii="Simplified Arabic" w:hAnsi="Simplified Arabic" w:cs="Simplified Arabic"/>
          <w:sz w:val="28"/>
          <w:szCs w:val="28"/>
          <w:rtl/>
        </w:rPr>
      </w:pPr>
      <w:r w:rsidRPr="00472199">
        <w:rPr>
          <w:rFonts w:ascii="Simplified Arabic" w:hAnsi="Simplified Arabic" w:cs="Simplified Arabic"/>
          <w:sz w:val="28"/>
          <w:szCs w:val="28"/>
          <w:rtl/>
        </w:rPr>
        <w:tab/>
        <w:t>1.</w:t>
      </w:r>
      <w:r w:rsidRPr="00472199">
        <w:rPr>
          <w:rFonts w:ascii="Simplified Arabic" w:hAnsi="Simplified Arabic" w:cs="Simplified Arabic"/>
          <w:sz w:val="28"/>
          <w:szCs w:val="28"/>
          <w:rtl/>
        </w:rPr>
        <w:tab/>
        <w:t>الخطط والبروتوكولات الإشعاعية،</w:t>
      </w:r>
    </w:p>
    <w:p w14:paraId="445FA300" w14:textId="77777777" w:rsidR="00472199" w:rsidRPr="00472199" w:rsidRDefault="00472199" w:rsidP="00472199">
      <w:pPr>
        <w:rPr>
          <w:rFonts w:ascii="Simplified Arabic" w:hAnsi="Simplified Arabic" w:cs="Simplified Arabic"/>
          <w:sz w:val="28"/>
          <w:szCs w:val="28"/>
          <w:rtl/>
        </w:rPr>
      </w:pPr>
      <w:r w:rsidRPr="00472199">
        <w:rPr>
          <w:rFonts w:ascii="Simplified Arabic" w:hAnsi="Simplified Arabic" w:cs="Simplified Arabic"/>
          <w:sz w:val="28"/>
          <w:szCs w:val="28"/>
          <w:rtl/>
        </w:rPr>
        <w:tab/>
        <w:t>2.</w:t>
      </w:r>
      <w:r w:rsidRPr="00472199">
        <w:rPr>
          <w:rFonts w:ascii="Simplified Arabic" w:hAnsi="Simplified Arabic" w:cs="Simplified Arabic"/>
          <w:sz w:val="28"/>
          <w:szCs w:val="28"/>
          <w:rtl/>
        </w:rPr>
        <w:tab/>
        <w:t>التجهيزات الفنية والبنية التحتية،</w:t>
      </w:r>
    </w:p>
    <w:p w14:paraId="23FD1629" w14:textId="77777777" w:rsidR="00472199" w:rsidRPr="00472199" w:rsidRDefault="00472199" w:rsidP="00472199">
      <w:pPr>
        <w:rPr>
          <w:rFonts w:ascii="Simplified Arabic" w:hAnsi="Simplified Arabic" w:cs="Simplified Arabic"/>
          <w:sz w:val="28"/>
          <w:szCs w:val="28"/>
          <w:rtl/>
        </w:rPr>
      </w:pPr>
      <w:r w:rsidRPr="00472199">
        <w:rPr>
          <w:rFonts w:ascii="Simplified Arabic" w:hAnsi="Simplified Arabic" w:cs="Simplified Arabic"/>
          <w:sz w:val="28"/>
          <w:szCs w:val="28"/>
          <w:rtl/>
        </w:rPr>
        <w:tab/>
        <w:t>3.</w:t>
      </w:r>
      <w:r w:rsidRPr="00472199">
        <w:rPr>
          <w:rFonts w:ascii="Simplified Arabic" w:hAnsi="Simplified Arabic" w:cs="Simplified Arabic"/>
          <w:sz w:val="28"/>
          <w:szCs w:val="28"/>
          <w:rtl/>
        </w:rPr>
        <w:tab/>
        <w:t>تدريب وتأهيل الكوادر الصحية،</w:t>
      </w:r>
    </w:p>
    <w:p w14:paraId="3F47F098" w14:textId="77777777" w:rsidR="00472199" w:rsidRPr="00472199" w:rsidRDefault="00472199" w:rsidP="00472199">
      <w:pPr>
        <w:rPr>
          <w:rFonts w:ascii="Simplified Arabic" w:hAnsi="Simplified Arabic" w:cs="Simplified Arabic"/>
          <w:sz w:val="28"/>
          <w:szCs w:val="28"/>
          <w:rtl/>
        </w:rPr>
      </w:pPr>
      <w:r w:rsidRPr="00472199">
        <w:rPr>
          <w:rFonts w:ascii="Simplified Arabic" w:hAnsi="Simplified Arabic" w:cs="Simplified Arabic"/>
          <w:sz w:val="28"/>
          <w:szCs w:val="28"/>
          <w:rtl/>
        </w:rPr>
        <w:tab/>
        <w:t>4.</w:t>
      </w:r>
      <w:r w:rsidRPr="00472199">
        <w:rPr>
          <w:rFonts w:ascii="Simplified Arabic" w:hAnsi="Simplified Arabic" w:cs="Simplified Arabic"/>
          <w:sz w:val="28"/>
          <w:szCs w:val="28"/>
          <w:rtl/>
        </w:rPr>
        <w:tab/>
        <w:t>التنسيق المؤسسي بين الجهات ذات العلاقة.</w:t>
      </w:r>
    </w:p>
    <w:p w14:paraId="45E5DEEB" w14:textId="77777777" w:rsidR="00472199" w:rsidRPr="00472199" w:rsidRDefault="00472199" w:rsidP="00472199">
      <w:pPr>
        <w:rPr>
          <w:rFonts w:ascii="Simplified Arabic" w:hAnsi="Simplified Arabic" w:cs="Simplified Arabic"/>
          <w:sz w:val="28"/>
          <w:szCs w:val="28"/>
          <w:rtl/>
        </w:rPr>
      </w:pPr>
    </w:p>
    <w:p w14:paraId="1EA5C633" w14:textId="77777777" w:rsidR="00472199" w:rsidRPr="00472199" w:rsidRDefault="00472199" w:rsidP="00472199">
      <w:pPr>
        <w:rPr>
          <w:rFonts w:ascii="Simplified Arabic" w:hAnsi="Simplified Arabic" w:cs="Simplified Arabic"/>
          <w:sz w:val="28"/>
          <w:szCs w:val="28"/>
          <w:rtl/>
        </w:rPr>
      </w:pPr>
      <w:r w:rsidRPr="00472199">
        <w:rPr>
          <w:rFonts w:ascii="Simplified Arabic" w:hAnsi="Simplified Arabic" w:cs="Simplified Arabic"/>
          <w:sz w:val="28"/>
          <w:szCs w:val="28"/>
          <w:rtl/>
        </w:rPr>
        <w:t xml:space="preserve">تكونت الاستبانة من مجموعة من الأسئلة المغلقة والمفتوحة، وصيغت وفق مقياس </w:t>
      </w:r>
      <w:proofErr w:type="spellStart"/>
      <w:r w:rsidRPr="00472199">
        <w:rPr>
          <w:rFonts w:ascii="Simplified Arabic" w:hAnsi="Simplified Arabic" w:cs="Simplified Arabic"/>
          <w:sz w:val="28"/>
          <w:szCs w:val="28"/>
          <w:rtl/>
        </w:rPr>
        <w:t>ليكرت</w:t>
      </w:r>
      <w:proofErr w:type="spellEnd"/>
      <w:r w:rsidRPr="00472199">
        <w:rPr>
          <w:rFonts w:ascii="Simplified Arabic" w:hAnsi="Simplified Arabic" w:cs="Simplified Arabic"/>
          <w:sz w:val="28"/>
          <w:szCs w:val="28"/>
          <w:rtl/>
        </w:rPr>
        <w:t xml:space="preserve"> الخماسي لقياس مستويات الإدراك والاتفاق. وتم عرضها على مجموعة من المتخصصين للتحقق من صدقها الظاهري ومواءمتها لأهداف البحث، كما خضعت لتعديل طفيف بناءً على ملاحظاتهم.</w:t>
      </w:r>
    </w:p>
    <w:p w14:paraId="58B14A6C" w14:textId="77777777" w:rsidR="00472199" w:rsidRPr="00472199" w:rsidRDefault="00472199" w:rsidP="00472199">
      <w:pPr>
        <w:rPr>
          <w:rFonts w:ascii="Simplified Arabic" w:hAnsi="Simplified Arabic" w:cs="Simplified Arabic"/>
          <w:sz w:val="28"/>
          <w:szCs w:val="28"/>
          <w:rtl/>
        </w:rPr>
      </w:pPr>
    </w:p>
    <w:p w14:paraId="180EB986" w14:textId="2480FE68" w:rsidR="004163C7" w:rsidRPr="00472199" w:rsidRDefault="00472199" w:rsidP="00472199">
      <w:pPr>
        <w:rPr>
          <w:rFonts w:ascii="Simplified Arabic" w:hAnsi="Simplified Arabic" w:cs="Simplified Arabic"/>
          <w:sz w:val="28"/>
          <w:szCs w:val="28"/>
          <w:rtl/>
        </w:rPr>
      </w:pPr>
      <w:r w:rsidRPr="00472199">
        <w:rPr>
          <w:rFonts w:ascii="Simplified Arabic" w:hAnsi="Simplified Arabic" w:cs="Simplified Arabic"/>
          <w:sz w:val="28"/>
          <w:szCs w:val="28"/>
          <w:rtl/>
        </w:rPr>
        <w:lastRenderedPageBreak/>
        <w:t>تم توزيع الاستبانة إلكترونيًا على عينة من العاملين في القطاعات الصحية المختلفة، وشملت كوادر طبية وفنية وإدارية ذات علاقة مباشرة أو غير مباشرة بالاستجابة للحوادث الإشعاعية. وقد ساعدت البيانات الناتجة في تحليل مستوى الجاهزية التشغيلية والفنية بشكل دقيق، ودعمت النتائج النهائية للدراسة</w:t>
      </w:r>
    </w:p>
    <w:p w14:paraId="1F8D19A6" w14:textId="77777777" w:rsidR="004163C7" w:rsidRDefault="004163C7" w:rsidP="009125CE">
      <w:pPr>
        <w:rPr>
          <w:rFonts w:ascii="Sakkal Majalla" w:hAnsi="Sakkal Majalla" w:cs="Sakkal Majalla"/>
          <w:sz w:val="28"/>
          <w:szCs w:val="28"/>
          <w:u w:val="single"/>
        </w:rPr>
      </w:pPr>
    </w:p>
    <w:p w14:paraId="25FF1CDC" w14:textId="77777777" w:rsidR="00472199" w:rsidRDefault="00472199" w:rsidP="009125CE">
      <w:pPr>
        <w:rPr>
          <w:rFonts w:ascii="Sakkal Majalla" w:hAnsi="Sakkal Majalla" w:cs="Sakkal Majalla"/>
          <w:sz w:val="28"/>
          <w:szCs w:val="28"/>
          <w:u w:val="single"/>
        </w:rPr>
      </w:pPr>
    </w:p>
    <w:p w14:paraId="56610F72" w14:textId="77777777" w:rsidR="00472199" w:rsidRDefault="00472199" w:rsidP="009125CE">
      <w:pPr>
        <w:rPr>
          <w:rFonts w:ascii="Sakkal Majalla" w:hAnsi="Sakkal Majalla" w:cs="Sakkal Majalla"/>
          <w:sz w:val="28"/>
          <w:szCs w:val="28"/>
          <w:u w:val="single"/>
        </w:rPr>
      </w:pPr>
    </w:p>
    <w:p w14:paraId="12D1DC9D" w14:textId="77777777" w:rsidR="00472199" w:rsidRDefault="00472199" w:rsidP="009125CE">
      <w:pPr>
        <w:rPr>
          <w:rFonts w:ascii="Sakkal Majalla" w:hAnsi="Sakkal Majalla" w:cs="Sakkal Majalla"/>
          <w:sz w:val="28"/>
          <w:szCs w:val="28"/>
          <w:u w:val="single"/>
        </w:rPr>
      </w:pPr>
    </w:p>
    <w:p w14:paraId="34BDA2BE" w14:textId="497016D9" w:rsidR="00472199" w:rsidRDefault="00472199"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محاور </w:t>
      </w:r>
      <w:proofErr w:type="spellStart"/>
      <w:proofErr w:type="gramStart"/>
      <w:r>
        <w:rPr>
          <w:rFonts w:ascii="Sakkal Majalla" w:hAnsi="Sakkal Majalla" w:cs="Sakkal Majalla" w:hint="cs"/>
          <w:sz w:val="28"/>
          <w:szCs w:val="28"/>
          <w:u w:val="single"/>
          <w:rtl/>
        </w:rPr>
        <w:t>الأستبيان</w:t>
      </w:r>
      <w:proofErr w:type="spellEnd"/>
      <w:r>
        <w:rPr>
          <w:rFonts w:ascii="Sakkal Majalla" w:hAnsi="Sakkal Majalla" w:cs="Sakkal Majalla" w:hint="cs"/>
          <w:sz w:val="28"/>
          <w:szCs w:val="28"/>
          <w:u w:val="single"/>
          <w:rtl/>
        </w:rPr>
        <w:t xml:space="preserve"> :</w:t>
      </w:r>
      <w:proofErr w:type="gramEnd"/>
    </w:p>
    <w:tbl>
      <w:tblPr>
        <w:tblStyle w:val="6-5"/>
        <w:bidiVisual/>
        <w:tblW w:w="0" w:type="auto"/>
        <w:tblLook w:val="04A0" w:firstRow="1" w:lastRow="0" w:firstColumn="1" w:lastColumn="0" w:noHBand="0" w:noVBand="1"/>
      </w:tblPr>
      <w:tblGrid>
        <w:gridCol w:w="4389"/>
        <w:gridCol w:w="4393"/>
      </w:tblGrid>
      <w:tr w:rsidR="00472199" w14:paraId="756FC273" w14:textId="77777777" w:rsidTr="004C3C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1A574AEC" w14:textId="472BD20C" w:rsidR="00472199" w:rsidRDefault="00472199" w:rsidP="009125CE">
            <w:pPr>
              <w:rPr>
                <w:rFonts w:ascii="Sakkal Majalla" w:hAnsi="Sakkal Majalla" w:cs="Sakkal Majalla" w:hint="cs"/>
                <w:sz w:val="28"/>
                <w:szCs w:val="28"/>
                <w:u w:val="single"/>
                <w:rtl/>
              </w:rPr>
            </w:pPr>
            <w:r>
              <w:rPr>
                <w:rFonts w:ascii="Sakkal Majalla" w:hAnsi="Sakkal Majalla" w:cs="Sakkal Majalla" w:hint="cs"/>
                <w:sz w:val="28"/>
                <w:szCs w:val="28"/>
                <w:u w:val="single"/>
                <w:rtl/>
              </w:rPr>
              <w:t xml:space="preserve">السؤال </w:t>
            </w:r>
          </w:p>
        </w:tc>
        <w:tc>
          <w:tcPr>
            <w:tcW w:w="4393" w:type="dxa"/>
          </w:tcPr>
          <w:p w14:paraId="21E1FB3B" w14:textId="67AD2F73" w:rsidR="00472199" w:rsidRDefault="00472199" w:rsidP="009125CE">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sz w:val="28"/>
                <w:szCs w:val="28"/>
                <w:u w:val="single"/>
                <w:rtl/>
              </w:rPr>
            </w:pPr>
            <w:r>
              <w:rPr>
                <w:rFonts w:ascii="Sakkal Majalla" w:hAnsi="Sakkal Majalla" w:cs="Sakkal Majalla" w:hint="cs"/>
                <w:sz w:val="28"/>
                <w:szCs w:val="28"/>
                <w:u w:val="single"/>
                <w:rtl/>
              </w:rPr>
              <w:t>الخيارات</w:t>
            </w:r>
          </w:p>
        </w:tc>
      </w:tr>
      <w:tr w:rsidR="00472199" w14:paraId="3AC025C0"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7F6E58E7" w14:textId="28A98BD3" w:rsidR="00472199" w:rsidRDefault="00472199" w:rsidP="009125CE">
            <w:pPr>
              <w:rPr>
                <w:rFonts w:ascii="Sakkal Majalla" w:hAnsi="Sakkal Majalla" w:cs="Sakkal Majalla" w:hint="cs"/>
                <w:sz w:val="28"/>
                <w:szCs w:val="28"/>
                <w:u w:val="single"/>
                <w:rtl/>
              </w:rPr>
            </w:pPr>
            <w:r>
              <w:rPr>
                <w:rFonts w:ascii="Sakkal Majalla" w:hAnsi="Sakkal Majalla" w:cs="Sakkal Majalla" w:hint="cs"/>
                <w:sz w:val="28"/>
                <w:szCs w:val="28"/>
                <w:u w:val="single"/>
                <w:rtl/>
              </w:rPr>
              <w:t xml:space="preserve">الجنس </w:t>
            </w:r>
          </w:p>
        </w:tc>
        <w:tc>
          <w:tcPr>
            <w:tcW w:w="4393" w:type="dxa"/>
          </w:tcPr>
          <w:p w14:paraId="47559EF6" w14:textId="1D11C1A4" w:rsidR="00472199" w:rsidRDefault="004C3C13"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u w:val="single"/>
                <w:rtl/>
              </w:rPr>
            </w:pPr>
            <w:r>
              <w:rPr>
                <w:rFonts w:ascii="Sakkal Majalla" w:hAnsi="Sakkal Majalla" w:cs="Sakkal Majalla" w:hint="cs"/>
                <w:sz w:val="28"/>
                <w:szCs w:val="28"/>
                <w:u w:val="single"/>
                <w:rtl/>
              </w:rPr>
              <w:t xml:space="preserve">ذكر </w:t>
            </w:r>
            <w:r>
              <w:rPr>
                <w:rFonts w:ascii="Sakkal Majalla" w:hAnsi="Sakkal Majalla" w:cs="Sakkal Majalla"/>
                <w:sz w:val="28"/>
                <w:szCs w:val="28"/>
                <w:u w:val="single"/>
                <w:rtl/>
              </w:rPr>
              <w:t>–</w:t>
            </w:r>
            <w:r>
              <w:rPr>
                <w:rFonts w:ascii="Sakkal Majalla" w:hAnsi="Sakkal Majalla" w:cs="Sakkal Majalla" w:hint="cs"/>
                <w:sz w:val="28"/>
                <w:szCs w:val="28"/>
                <w:u w:val="single"/>
                <w:rtl/>
              </w:rPr>
              <w:t xml:space="preserve"> أنثى </w:t>
            </w:r>
          </w:p>
        </w:tc>
      </w:tr>
      <w:tr w:rsidR="00472199" w14:paraId="5180204C" w14:textId="77777777" w:rsidTr="004C3C13">
        <w:tc>
          <w:tcPr>
            <w:cnfStyle w:val="001000000000" w:firstRow="0" w:lastRow="0" w:firstColumn="1" w:lastColumn="0" w:oddVBand="0" w:evenVBand="0" w:oddHBand="0" w:evenHBand="0" w:firstRowFirstColumn="0" w:firstRowLastColumn="0" w:lastRowFirstColumn="0" w:lastRowLastColumn="0"/>
            <w:tcW w:w="4389" w:type="dxa"/>
          </w:tcPr>
          <w:p w14:paraId="1969ECD4" w14:textId="39BA9A38" w:rsidR="00472199" w:rsidRDefault="004C3C13" w:rsidP="009125CE">
            <w:pPr>
              <w:rPr>
                <w:rFonts w:ascii="Sakkal Majalla" w:hAnsi="Sakkal Majalla" w:cs="Sakkal Majalla" w:hint="cs"/>
                <w:sz w:val="28"/>
                <w:szCs w:val="28"/>
                <w:u w:val="single"/>
                <w:rtl/>
              </w:rPr>
            </w:pPr>
            <w:r>
              <w:rPr>
                <w:rFonts w:ascii="Sakkal Majalla" w:hAnsi="Sakkal Majalla" w:cs="Sakkal Majalla" w:hint="cs"/>
                <w:sz w:val="28"/>
                <w:szCs w:val="28"/>
                <w:u w:val="single"/>
                <w:rtl/>
              </w:rPr>
              <w:t xml:space="preserve">الفئة الوظيفية </w:t>
            </w:r>
          </w:p>
        </w:tc>
        <w:tc>
          <w:tcPr>
            <w:tcW w:w="4393" w:type="dxa"/>
          </w:tcPr>
          <w:p w14:paraId="5CC7EA98"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طبيب</w:t>
            </w:r>
          </w:p>
          <w:p w14:paraId="7C7FBB42"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ممرض</w:t>
            </w:r>
          </w:p>
          <w:p w14:paraId="4B3FBE59"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مختص سلامة اشعاعية</w:t>
            </w:r>
          </w:p>
          <w:p w14:paraId="67764169"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 xml:space="preserve">إدارة </w:t>
            </w:r>
            <w:proofErr w:type="spellStart"/>
            <w:r w:rsidRPr="004C3C13">
              <w:rPr>
                <w:rFonts w:ascii="Sakkal Majalla" w:hAnsi="Sakkal Majalla" w:cs="Sakkal Majalla"/>
                <w:sz w:val="28"/>
                <w:szCs w:val="28"/>
                <w:u w:val="single"/>
                <w:rtl/>
              </w:rPr>
              <w:t>الطوارىء</w:t>
            </w:r>
            <w:proofErr w:type="spellEnd"/>
            <w:r w:rsidRPr="004C3C13">
              <w:rPr>
                <w:rFonts w:ascii="Sakkal Majalla" w:hAnsi="Sakkal Majalla" w:cs="Sakkal Majalla"/>
                <w:sz w:val="28"/>
                <w:szCs w:val="28"/>
                <w:u w:val="single"/>
                <w:rtl/>
              </w:rPr>
              <w:t xml:space="preserve"> </w:t>
            </w:r>
            <w:proofErr w:type="gramStart"/>
            <w:r w:rsidRPr="004C3C13">
              <w:rPr>
                <w:rFonts w:ascii="Sakkal Majalla" w:hAnsi="Sakkal Majalla" w:cs="Sakkal Majalla"/>
                <w:sz w:val="28"/>
                <w:szCs w:val="28"/>
                <w:u w:val="single"/>
                <w:rtl/>
              </w:rPr>
              <w:t>و الكوارث</w:t>
            </w:r>
            <w:proofErr w:type="gramEnd"/>
          </w:p>
          <w:p w14:paraId="3EB83442"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قيادي / إداري صحي</w:t>
            </w:r>
          </w:p>
          <w:p w14:paraId="3BB99D05"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اخرى</w:t>
            </w:r>
          </w:p>
          <w:p w14:paraId="0FAF41E8" w14:textId="77777777" w:rsidR="00472199" w:rsidRDefault="00472199"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u w:val="single"/>
                <w:rtl/>
              </w:rPr>
            </w:pPr>
          </w:p>
        </w:tc>
      </w:tr>
      <w:tr w:rsidR="00472199" w14:paraId="4B93A3F0"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2DB3729E" w14:textId="2DEC5C5C" w:rsidR="00472199" w:rsidRDefault="004C3C13" w:rsidP="009125CE">
            <w:pPr>
              <w:rPr>
                <w:rFonts w:ascii="Sakkal Majalla" w:hAnsi="Sakkal Majalla" w:cs="Sakkal Majalla" w:hint="cs"/>
                <w:sz w:val="28"/>
                <w:szCs w:val="28"/>
                <w:u w:val="single"/>
                <w:rtl/>
              </w:rPr>
            </w:pPr>
            <w:r>
              <w:rPr>
                <w:rFonts w:ascii="Sakkal Majalla" w:hAnsi="Sakkal Majalla" w:cs="Sakkal Majalla" w:hint="cs"/>
                <w:sz w:val="28"/>
                <w:szCs w:val="28"/>
                <w:u w:val="single"/>
                <w:rtl/>
              </w:rPr>
              <w:t xml:space="preserve">نوع </w:t>
            </w:r>
            <w:proofErr w:type="spellStart"/>
            <w:r>
              <w:rPr>
                <w:rFonts w:ascii="Sakkal Majalla" w:hAnsi="Sakkal Majalla" w:cs="Sakkal Majalla" w:hint="cs"/>
                <w:sz w:val="28"/>
                <w:szCs w:val="28"/>
                <w:u w:val="single"/>
                <w:rtl/>
              </w:rPr>
              <w:t>المنشآة</w:t>
            </w:r>
            <w:proofErr w:type="spellEnd"/>
            <w:r>
              <w:rPr>
                <w:rFonts w:ascii="Sakkal Majalla" w:hAnsi="Sakkal Majalla" w:cs="Sakkal Majalla" w:hint="cs"/>
                <w:sz w:val="28"/>
                <w:szCs w:val="28"/>
                <w:u w:val="single"/>
                <w:rtl/>
              </w:rPr>
              <w:t xml:space="preserve"> الصحية </w:t>
            </w:r>
          </w:p>
        </w:tc>
        <w:tc>
          <w:tcPr>
            <w:tcW w:w="4393" w:type="dxa"/>
          </w:tcPr>
          <w:p w14:paraId="4B301D72" w14:textId="77777777" w:rsidR="004C3C13" w:rsidRPr="004C3C1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مستشفى حكومي</w:t>
            </w:r>
          </w:p>
          <w:p w14:paraId="0FE68D63" w14:textId="77777777" w:rsidR="004C3C13" w:rsidRPr="004C3C1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مستشفى خاص</w:t>
            </w:r>
          </w:p>
          <w:p w14:paraId="1ACAC2D1" w14:textId="77777777" w:rsidR="004C3C13" w:rsidRPr="004C3C1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مستشفى طرفي</w:t>
            </w:r>
          </w:p>
          <w:p w14:paraId="6FA09A13" w14:textId="77777777" w:rsidR="004C3C13" w:rsidRPr="004C3C1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مركز صحي</w:t>
            </w:r>
          </w:p>
          <w:p w14:paraId="7F43B60C" w14:textId="77777777" w:rsidR="004C3C13" w:rsidRPr="004C3C1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r w:rsidRPr="004C3C13">
              <w:rPr>
                <w:rFonts w:ascii="Sakkal Majalla" w:hAnsi="Sakkal Majalla" w:cs="Sakkal Majalla"/>
                <w:sz w:val="28"/>
                <w:szCs w:val="28"/>
                <w:u w:val="single"/>
                <w:rtl/>
              </w:rPr>
              <w:t>منشأة تخصصية</w:t>
            </w:r>
          </w:p>
          <w:p w14:paraId="5840DE0E" w14:textId="77777777" w:rsidR="00472199" w:rsidRDefault="00472199"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u w:val="single"/>
                <w:rtl/>
              </w:rPr>
            </w:pPr>
          </w:p>
        </w:tc>
      </w:tr>
      <w:tr w:rsidR="00472199" w14:paraId="6A1CFFA9" w14:textId="77777777" w:rsidTr="004C3C13">
        <w:tc>
          <w:tcPr>
            <w:cnfStyle w:val="001000000000" w:firstRow="0" w:lastRow="0" w:firstColumn="1" w:lastColumn="0" w:oddVBand="0" w:evenVBand="0" w:oddHBand="0" w:evenHBand="0" w:firstRowFirstColumn="0" w:firstRowLastColumn="0" w:lastRowFirstColumn="0" w:lastRowLastColumn="0"/>
            <w:tcW w:w="4389" w:type="dxa"/>
          </w:tcPr>
          <w:p w14:paraId="2BB16E0A" w14:textId="2EBF9F1E" w:rsidR="00472199" w:rsidRDefault="004C3C13" w:rsidP="004C3C13">
            <w:pPr>
              <w:rPr>
                <w:rFonts w:ascii="Sakkal Majalla" w:hAnsi="Sakkal Majalla" w:cs="Sakkal Majalla" w:hint="cs"/>
                <w:sz w:val="28"/>
                <w:szCs w:val="28"/>
                <w:u w:val="single"/>
                <w:rtl/>
              </w:rPr>
            </w:pPr>
            <w:r>
              <w:rPr>
                <w:rFonts w:ascii="Sakkal Majalla" w:hAnsi="Sakkal Majalla" w:cs="Sakkal Majalla" w:hint="cs"/>
                <w:sz w:val="28"/>
                <w:szCs w:val="28"/>
                <w:u w:val="single"/>
                <w:rtl/>
              </w:rPr>
              <w:t xml:space="preserve">المنطقة </w:t>
            </w:r>
          </w:p>
        </w:tc>
        <w:tc>
          <w:tcPr>
            <w:tcW w:w="4393" w:type="dxa"/>
          </w:tcPr>
          <w:p w14:paraId="08481EBD"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385623" w:themeColor="accent6" w:themeShade="80"/>
                <w:sz w:val="28"/>
                <w:szCs w:val="28"/>
                <w:u w:val="single"/>
              </w:rPr>
            </w:pPr>
            <w:r w:rsidRPr="004C3C13">
              <w:rPr>
                <w:rFonts w:ascii="Sakkal Majalla" w:hAnsi="Sakkal Majalla" w:cs="Sakkal Majalla"/>
                <w:b/>
                <w:bCs/>
                <w:color w:val="385623" w:themeColor="accent6" w:themeShade="80"/>
                <w:sz w:val="28"/>
                <w:szCs w:val="28"/>
                <w:u w:val="single"/>
                <w:rtl/>
              </w:rPr>
              <w:t>الشرقية</w:t>
            </w:r>
          </w:p>
          <w:p w14:paraId="51CFEE28"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385623" w:themeColor="accent6" w:themeShade="80"/>
                <w:sz w:val="28"/>
                <w:szCs w:val="28"/>
                <w:u w:val="single"/>
              </w:rPr>
            </w:pPr>
            <w:r w:rsidRPr="004C3C13">
              <w:rPr>
                <w:rFonts w:ascii="Sakkal Majalla" w:hAnsi="Sakkal Majalla" w:cs="Sakkal Majalla"/>
                <w:b/>
                <w:bCs/>
                <w:color w:val="385623" w:themeColor="accent6" w:themeShade="80"/>
                <w:sz w:val="28"/>
                <w:szCs w:val="28"/>
                <w:u w:val="single"/>
                <w:rtl/>
              </w:rPr>
              <w:t>الرياض</w:t>
            </w:r>
          </w:p>
          <w:p w14:paraId="30F068E5"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385623" w:themeColor="accent6" w:themeShade="80"/>
                <w:sz w:val="28"/>
                <w:szCs w:val="28"/>
                <w:u w:val="single"/>
              </w:rPr>
            </w:pPr>
            <w:r w:rsidRPr="004C3C13">
              <w:rPr>
                <w:rFonts w:ascii="Sakkal Majalla" w:hAnsi="Sakkal Majalla" w:cs="Sakkal Majalla"/>
                <w:b/>
                <w:bCs/>
                <w:color w:val="385623" w:themeColor="accent6" w:themeShade="80"/>
                <w:sz w:val="28"/>
                <w:szCs w:val="28"/>
                <w:u w:val="single"/>
                <w:rtl/>
              </w:rPr>
              <w:t>نجران</w:t>
            </w:r>
          </w:p>
          <w:p w14:paraId="11F4F668"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385623" w:themeColor="accent6" w:themeShade="80"/>
                <w:sz w:val="28"/>
                <w:szCs w:val="28"/>
                <w:u w:val="single"/>
              </w:rPr>
            </w:pPr>
            <w:r w:rsidRPr="004C3C13">
              <w:rPr>
                <w:rFonts w:ascii="Sakkal Majalla" w:hAnsi="Sakkal Majalla" w:cs="Sakkal Majalla"/>
                <w:b/>
                <w:bCs/>
                <w:color w:val="385623" w:themeColor="accent6" w:themeShade="80"/>
                <w:sz w:val="28"/>
                <w:szCs w:val="28"/>
                <w:u w:val="single"/>
                <w:rtl/>
              </w:rPr>
              <w:t>ابها</w:t>
            </w:r>
          </w:p>
          <w:p w14:paraId="7D9DA5C1"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385623" w:themeColor="accent6" w:themeShade="80"/>
                <w:sz w:val="28"/>
                <w:szCs w:val="28"/>
                <w:u w:val="single"/>
              </w:rPr>
            </w:pPr>
            <w:r w:rsidRPr="004C3C13">
              <w:rPr>
                <w:rFonts w:ascii="Sakkal Majalla" w:hAnsi="Sakkal Majalla" w:cs="Sakkal Majalla"/>
                <w:b/>
                <w:bCs/>
                <w:color w:val="385623" w:themeColor="accent6" w:themeShade="80"/>
                <w:sz w:val="28"/>
                <w:szCs w:val="28"/>
                <w:u w:val="single"/>
                <w:rtl/>
              </w:rPr>
              <w:t>تبوك</w:t>
            </w:r>
          </w:p>
          <w:p w14:paraId="23ECE33D"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385623" w:themeColor="accent6" w:themeShade="80"/>
                <w:sz w:val="28"/>
                <w:szCs w:val="28"/>
                <w:u w:val="single"/>
              </w:rPr>
            </w:pPr>
            <w:r w:rsidRPr="004C3C13">
              <w:rPr>
                <w:rFonts w:ascii="Sakkal Majalla" w:hAnsi="Sakkal Majalla" w:cs="Sakkal Majalla"/>
                <w:b/>
                <w:bCs/>
                <w:color w:val="385623" w:themeColor="accent6" w:themeShade="80"/>
                <w:sz w:val="28"/>
                <w:szCs w:val="28"/>
                <w:u w:val="single"/>
                <w:rtl/>
              </w:rPr>
              <w:t>مكة</w:t>
            </w:r>
          </w:p>
          <w:p w14:paraId="51D65408" w14:textId="77777777"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385623" w:themeColor="accent6" w:themeShade="80"/>
                <w:sz w:val="28"/>
                <w:szCs w:val="28"/>
                <w:u w:val="single"/>
              </w:rPr>
            </w:pPr>
            <w:r w:rsidRPr="004C3C13">
              <w:rPr>
                <w:rFonts w:ascii="Sakkal Majalla" w:hAnsi="Sakkal Majalla" w:cs="Sakkal Majalla"/>
                <w:b/>
                <w:bCs/>
                <w:color w:val="385623" w:themeColor="accent6" w:themeShade="80"/>
                <w:sz w:val="28"/>
                <w:szCs w:val="28"/>
                <w:u w:val="single"/>
                <w:rtl/>
              </w:rPr>
              <w:t>المدينة</w:t>
            </w:r>
          </w:p>
          <w:p w14:paraId="50D72E6E" w14:textId="77777777" w:rsidR="00472199" w:rsidRPr="004C3C13" w:rsidRDefault="00472199"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385623" w:themeColor="accent6" w:themeShade="80"/>
                <w:sz w:val="28"/>
                <w:szCs w:val="28"/>
                <w:u w:val="single"/>
                <w:rtl/>
              </w:rPr>
            </w:pPr>
          </w:p>
        </w:tc>
      </w:tr>
      <w:tr w:rsidR="004C3C13" w14:paraId="350F472C"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2" w:type="dxa"/>
            <w:gridSpan w:val="2"/>
          </w:tcPr>
          <w:p w14:paraId="2D4AC0FD" w14:textId="77777777" w:rsidR="004C3C13" w:rsidRPr="004C3C13" w:rsidRDefault="004C3C13" w:rsidP="004C3C13">
            <w:pPr>
              <w:rPr>
                <w:rFonts w:ascii="Sakkal Majalla" w:hAnsi="Sakkal Majalla" w:cs="Sakkal Majalla"/>
                <w:color w:val="385623" w:themeColor="accent6" w:themeShade="80"/>
                <w:sz w:val="28"/>
                <w:szCs w:val="28"/>
                <w:u w:val="single"/>
              </w:rPr>
            </w:pPr>
            <w:r w:rsidRPr="004C3C13">
              <w:rPr>
                <w:rFonts w:ascii="Sakkal Majalla" w:hAnsi="Sakkal Majalla" w:cs="Sakkal Majalla"/>
                <w:color w:val="385623" w:themeColor="accent6" w:themeShade="80"/>
                <w:sz w:val="28"/>
                <w:szCs w:val="28"/>
                <w:u w:val="single"/>
                <w:rtl/>
              </w:rPr>
              <w:lastRenderedPageBreak/>
              <w:t>الخطط والبروتوكولات للتعامل مع الحوادث الإشعاعية والنووية</w:t>
            </w:r>
          </w:p>
          <w:p w14:paraId="750AA956" w14:textId="77777777" w:rsidR="004C3C13" w:rsidRPr="004C3C13" w:rsidRDefault="004C3C13" w:rsidP="004C3C13">
            <w:pPr>
              <w:rPr>
                <w:rFonts w:ascii="Sakkal Majalla" w:hAnsi="Sakkal Majalla" w:cs="Sakkal Majalla"/>
                <w:b w:val="0"/>
                <w:bCs w:val="0"/>
                <w:color w:val="FFFFFF" w:themeColor="background1"/>
                <w:sz w:val="28"/>
                <w:szCs w:val="28"/>
                <w:u w:val="single"/>
                <w:rtl/>
              </w:rPr>
            </w:pPr>
          </w:p>
        </w:tc>
      </w:tr>
      <w:tr w:rsidR="004C3C13" w14:paraId="23A8FBE0" w14:textId="77777777" w:rsidTr="004C3C13">
        <w:tc>
          <w:tcPr>
            <w:cnfStyle w:val="001000000000" w:firstRow="0" w:lastRow="0" w:firstColumn="1" w:lastColumn="0" w:oddVBand="0" w:evenVBand="0" w:oddHBand="0" w:evenHBand="0" w:firstRowFirstColumn="0" w:firstRowLastColumn="0" w:lastRowFirstColumn="0" w:lastRowLastColumn="0"/>
            <w:tcW w:w="4389" w:type="dxa"/>
          </w:tcPr>
          <w:p w14:paraId="0284362A" w14:textId="346D4F86" w:rsidR="004C3C13" w:rsidRPr="004C3C13" w:rsidRDefault="004C3C13" w:rsidP="004C3C13">
            <w:pPr>
              <w:rPr>
                <w:rFonts w:ascii="Sakkal Majalla" w:hAnsi="Sakkal Majalla" w:cs="Sakkal Majalla" w:hint="cs"/>
                <w:color w:val="385623" w:themeColor="accent6" w:themeShade="80"/>
                <w:sz w:val="28"/>
                <w:szCs w:val="28"/>
                <w:u w:val="single"/>
                <w:rtl/>
              </w:rPr>
            </w:pPr>
            <w:r w:rsidRPr="004C3C13">
              <w:rPr>
                <w:rFonts w:ascii="Sakkal Majalla" w:hAnsi="Sakkal Majalla" w:cs="Sakkal Majalla"/>
                <w:color w:val="385623" w:themeColor="accent6" w:themeShade="80"/>
                <w:sz w:val="28"/>
                <w:szCs w:val="28"/>
                <w:u w:val="single"/>
                <w:rtl/>
              </w:rPr>
              <w:t>توجد خطة طوارئ إشعاعية واضحة ومكتوبة في المنشأة الصحية</w:t>
            </w:r>
          </w:p>
        </w:tc>
        <w:tc>
          <w:tcPr>
            <w:tcW w:w="4393" w:type="dxa"/>
          </w:tcPr>
          <w:p w14:paraId="251EA4E7" w14:textId="5BD62CD0"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385623" w:themeColor="accent6" w:themeShade="80"/>
                <w:sz w:val="28"/>
                <w:szCs w:val="28"/>
                <w:u w:val="single"/>
                <w:rtl/>
              </w:rPr>
            </w:pPr>
            <w:r w:rsidRPr="004C3C13">
              <w:rPr>
                <w:rFonts w:ascii="Sakkal Majalla" w:hAnsi="Sakkal Majalla" w:cs="Sakkal Majalla" w:hint="cs"/>
                <w:b/>
                <w:bCs/>
                <w:color w:val="385623" w:themeColor="accent6" w:themeShade="80"/>
                <w:sz w:val="28"/>
                <w:szCs w:val="28"/>
                <w:u w:val="single"/>
                <w:rtl/>
              </w:rPr>
              <w:t>اختياري من 1-5</w:t>
            </w:r>
          </w:p>
        </w:tc>
      </w:tr>
      <w:tr w:rsidR="004C3C13" w14:paraId="438D2DB9"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28C419B4" w14:textId="77777777" w:rsidR="004C3C13" w:rsidRPr="004C3C13" w:rsidRDefault="004C3C13" w:rsidP="004C3C13">
            <w:pPr>
              <w:rPr>
                <w:rFonts w:ascii="Sakkal Majalla" w:hAnsi="Sakkal Majalla" w:cs="Sakkal Majalla"/>
                <w:sz w:val="28"/>
                <w:szCs w:val="28"/>
                <w:u w:val="single"/>
              </w:rPr>
            </w:pPr>
            <w:r w:rsidRPr="004C3C13">
              <w:rPr>
                <w:rFonts w:ascii="Sakkal Majalla" w:hAnsi="Sakkal Majalla" w:cs="Sakkal Majalla"/>
                <w:sz w:val="28"/>
                <w:szCs w:val="28"/>
                <w:u w:val="single"/>
                <w:rtl/>
              </w:rPr>
              <w:t>توجد بروتوكولات لفرز المصابين بالتلوث الإشعاعي</w:t>
            </w:r>
          </w:p>
          <w:p w14:paraId="65CE97D6" w14:textId="77777777" w:rsidR="004C3C13" w:rsidRPr="004C3C13" w:rsidRDefault="004C3C13" w:rsidP="004C3C13">
            <w:pPr>
              <w:rPr>
                <w:rFonts w:ascii="Sakkal Majalla" w:hAnsi="Sakkal Majalla" w:cs="Sakkal Majalla" w:hint="cs"/>
                <w:sz w:val="28"/>
                <w:szCs w:val="28"/>
                <w:u w:val="single"/>
                <w:rtl/>
              </w:rPr>
            </w:pPr>
          </w:p>
        </w:tc>
        <w:tc>
          <w:tcPr>
            <w:tcW w:w="4393" w:type="dxa"/>
          </w:tcPr>
          <w:p w14:paraId="41A3CA1A" w14:textId="524D9F4D" w:rsidR="004C3C13" w:rsidRPr="004C3C1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FFFFFF" w:themeColor="background1"/>
                <w:sz w:val="28"/>
                <w:szCs w:val="28"/>
                <w:u w:val="single"/>
                <w:rtl/>
              </w:rPr>
            </w:pPr>
            <w:r w:rsidRPr="000E1E58">
              <w:rPr>
                <w:rFonts w:ascii="Sakkal Majalla" w:hAnsi="Sakkal Majalla" w:cs="Sakkal Majalla" w:hint="cs"/>
                <w:b/>
                <w:bCs/>
                <w:color w:val="385623" w:themeColor="accent6" w:themeShade="80"/>
                <w:sz w:val="28"/>
                <w:szCs w:val="28"/>
                <w:u w:val="single"/>
                <w:rtl/>
              </w:rPr>
              <w:t>اختياري من 1-5</w:t>
            </w:r>
          </w:p>
        </w:tc>
      </w:tr>
      <w:tr w:rsidR="004C3C13" w14:paraId="2662C40F" w14:textId="77777777" w:rsidTr="004C3C13">
        <w:tc>
          <w:tcPr>
            <w:cnfStyle w:val="001000000000" w:firstRow="0" w:lastRow="0" w:firstColumn="1" w:lastColumn="0" w:oddVBand="0" w:evenVBand="0" w:oddHBand="0" w:evenHBand="0" w:firstRowFirstColumn="0" w:firstRowLastColumn="0" w:lastRowFirstColumn="0" w:lastRowLastColumn="0"/>
            <w:tcW w:w="4389" w:type="dxa"/>
          </w:tcPr>
          <w:p w14:paraId="335456E0" w14:textId="77777777" w:rsidR="004C3C13" w:rsidRPr="004C3C13" w:rsidRDefault="004C3C13" w:rsidP="004C3C13">
            <w:pPr>
              <w:rPr>
                <w:rFonts w:ascii="Sakkal Majalla" w:hAnsi="Sakkal Majalla" w:cs="Sakkal Majalla"/>
                <w:sz w:val="28"/>
                <w:szCs w:val="28"/>
                <w:u w:val="single"/>
              </w:rPr>
            </w:pPr>
            <w:r w:rsidRPr="004C3C13">
              <w:rPr>
                <w:rFonts w:ascii="Sakkal Majalla" w:hAnsi="Sakkal Majalla" w:cs="Sakkal Majalla"/>
                <w:sz w:val="28"/>
                <w:szCs w:val="28"/>
                <w:u w:val="single"/>
                <w:rtl/>
              </w:rPr>
              <w:t>توجد إجراءات واضحة للتعامل مع الحوادث النووية واسعة النطاق</w:t>
            </w:r>
          </w:p>
          <w:p w14:paraId="6896EBAF" w14:textId="77777777" w:rsidR="004C3C13" w:rsidRPr="004C3C13" w:rsidRDefault="004C3C13" w:rsidP="004C3C13">
            <w:pPr>
              <w:rPr>
                <w:rFonts w:ascii="Sakkal Majalla" w:hAnsi="Sakkal Majalla" w:cs="Sakkal Majalla" w:hint="cs"/>
                <w:sz w:val="28"/>
                <w:szCs w:val="28"/>
                <w:u w:val="single"/>
                <w:rtl/>
              </w:rPr>
            </w:pPr>
          </w:p>
        </w:tc>
        <w:tc>
          <w:tcPr>
            <w:tcW w:w="4393" w:type="dxa"/>
          </w:tcPr>
          <w:p w14:paraId="00DC818E" w14:textId="06E51EA6"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FFFFFF" w:themeColor="background1"/>
                <w:sz w:val="28"/>
                <w:szCs w:val="28"/>
                <w:u w:val="single"/>
                <w:rtl/>
              </w:rPr>
            </w:pPr>
            <w:r w:rsidRPr="000E1E58">
              <w:rPr>
                <w:rFonts w:ascii="Sakkal Majalla" w:hAnsi="Sakkal Majalla" w:cs="Sakkal Majalla" w:hint="cs"/>
                <w:b/>
                <w:bCs/>
                <w:color w:val="385623" w:themeColor="accent6" w:themeShade="80"/>
                <w:sz w:val="28"/>
                <w:szCs w:val="28"/>
                <w:u w:val="single"/>
                <w:rtl/>
              </w:rPr>
              <w:t>اختياري من 1-5</w:t>
            </w:r>
          </w:p>
        </w:tc>
      </w:tr>
      <w:tr w:rsidR="004C3C13" w14:paraId="68E0D5FA" w14:textId="77777777" w:rsidTr="007849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2" w:type="dxa"/>
            <w:gridSpan w:val="2"/>
          </w:tcPr>
          <w:p w14:paraId="07D567E0" w14:textId="77777777" w:rsidR="004C3C13" w:rsidRPr="004C3C13" w:rsidRDefault="004C3C13" w:rsidP="004C3C13">
            <w:pPr>
              <w:rPr>
                <w:rFonts w:ascii="Sakkal Majalla" w:hAnsi="Sakkal Majalla" w:cs="Sakkal Majalla"/>
                <w:color w:val="385623" w:themeColor="accent6" w:themeShade="80"/>
                <w:sz w:val="28"/>
                <w:szCs w:val="28"/>
                <w:u w:val="single"/>
              </w:rPr>
            </w:pPr>
            <w:r w:rsidRPr="004C3C13">
              <w:rPr>
                <w:rFonts w:ascii="Sakkal Majalla" w:hAnsi="Sakkal Majalla" w:cs="Sakkal Majalla"/>
                <w:color w:val="385623" w:themeColor="accent6" w:themeShade="80"/>
                <w:sz w:val="28"/>
                <w:szCs w:val="28"/>
                <w:u w:val="single"/>
                <w:rtl/>
              </w:rPr>
              <w:t>المحور الثاني: الجاهزية الفنية والتجهيزات الطبية المتخصصة </w:t>
            </w:r>
            <w:r w:rsidRPr="004C3C13">
              <w:rPr>
                <w:rFonts w:ascii="Sakkal Majalla" w:hAnsi="Sakkal Majalla" w:cs="Sakkal Majalla"/>
                <w:color w:val="385623" w:themeColor="accent6" w:themeShade="80"/>
                <w:sz w:val="28"/>
                <w:szCs w:val="28"/>
                <w:u w:val="single"/>
              </w:rPr>
              <w:t>  </w:t>
            </w:r>
          </w:p>
          <w:p w14:paraId="7B6B9284" w14:textId="77777777" w:rsidR="004C3C13" w:rsidRPr="004C3C13" w:rsidRDefault="004C3C13" w:rsidP="004C3C13">
            <w:pPr>
              <w:rPr>
                <w:rFonts w:ascii="Sakkal Majalla" w:hAnsi="Sakkal Majalla" w:cs="Sakkal Majalla"/>
                <w:b w:val="0"/>
                <w:bCs w:val="0"/>
                <w:color w:val="FFFFFF" w:themeColor="background1"/>
                <w:sz w:val="28"/>
                <w:szCs w:val="28"/>
                <w:u w:val="single"/>
                <w:rtl/>
              </w:rPr>
            </w:pPr>
          </w:p>
        </w:tc>
      </w:tr>
      <w:tr w:rsidR="004C3C13" w14:paraId="08A4E702" w14:textId="77777777" w:rsidTr="004C3C13">
        <w:tc>
          <w:tcPr>
            <w:cnfStyle w:val="001000000000" w:firstRow="0" w:lastRow="0" w:firstColumn="1" w:lastColumn="0" w:oddVBand="0" w:evenVBand="0" w:oddHBand="0" w:evenHBand="0" w:firstRowFirstColumn="0" w:firstRowLastColumn="0" w:lastRowFirstColumn="0" w:lastRowLastColumn="0"/>
            <w:tcW w:w="4389" w:type="dxa"/>
          </w:tcPr>
          <w:p w14:paraId="22796482" w14:textId="324F4638" w:rsidR="004C3C13" w:rsidRPr="004C3C13" w:rsidRDefault="004C3C13" w:rsidP="004C3C13">
            <w:pPr>
              <w:rPr>
                <w:rFonts w:ascii="Sakkal Majalla" w:hAnsi="Sakkal Majalla" w:cs="Sakkal Majalla" w:hint="cs"/>
                <w:color w:val="385623" w:themeColor="accent6" w:themeShade="80"/>
                <w:sz w:val="28"/>
                <w:szCs w:val="28"/>
                <w:u w:val="single"/>
                <w:rtl/>
              </w:rPr>
            </w:pPr>
            <w:r w:rsidRPr="004C3C13">
              <w:rPr>
                <w:rFonts w:ascii="Sakkal Majalla" w:hAnsi="Sakkal Majalla" w:cs="Sakkal Majalla"/>
                <w:color w:val="385623" w:themeColor="accent6" w:themeShade="80"/>
                <w:sz w:val="28"/>
                <w:szCs w:val="28"/>
                <w:u w:val="single"/>
                <w:rtl/>
              </w:rPr>
              <w:t>تتوفر أجهزة قياس التلوث الإشعاعي (</w:t>
            </w:r>
            <w:r w:rsidRPr="004C3C13">
              <w:rPr>
                <w:rFonts w:ascii="Sakkal Majalla" w:hAnsi="Sakkal Majalla" w:cs="Sakkal Majalla"/>
                <w:color w:val="385623" w:themeColor="accent6" w:themeShade="80"/>
                <w:sz w:val="28"/>
                <w:szCs w:val="28"/>
                <w:u w:val="single"/>
              </w:rPr>
              <w:t>Radiation Detectors</w:t>
            </w:r>
            <w:r w:rsidRPr="004C3C13">
              <w:rPr>
                <w:rFonts w:ascii="Sakkal Majalla" w:hAnsi="Sakkal Majalla" w:cs="Sakkal Majalla"/>
                <w:color w:val="385623" w:themeColor="accent6" w:themeShade="80"/>
                <w:sz w:val="28"/>
                <w:szCs w:val="28"/>
                <w:u w:val="single"/>
                <w:rtl/>
              </w:rPr>
              <w:t>)</w:t>
            </w:r>
          </w:p>
        </w:tc>
        <w:tc>
          <w:tcPr>
            <w:tcW w:w="4393" w:type="dxa"/>
          </w:tcPr>
          <w:p w14:paraId="26118195" w14:textId="7AD1993F"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385623" w:themeColor="accent6" w:themeShade="80"/>
                <w:sz w:val="28"/>
                <w:szCs w:val="28"/>
                <w:u w:val="single"/>
                <w:rtl/>
              </w:rPr>
            </w:pPr>
            <w:r w:rsidRPr="004C3C13">
              <w:rPr>
                <w:rFonts w:ascii="Sakkal Majalla" w:hAnsi="Sakkal Majalla" w:cs="Sakkal Majalla" w:hint="cs"/>
                <w:b/>
                <w:bCs/>
                <w:color w:val="385623" w:themeColor="accent6" w:themeShade="80"/>
                <w:sz w:val="28"/>
                <w:szCs w:val="28"/>
                <w:u w:val="single"/>
                <w:rtl/>
              </w:rPr>
              <w:t>نعم - لا</w:t>
            </w:r>
          </w:p>
        </w:tc>
      </w:tr>
      <w:tr w:rsidR="004C3C13" w14:paraId="3F07C995"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6D49D11D" w14:textId="33E16DE2" w:rsidR="004C3C13" w:rsidRPr="004C3C13" w:rsidRDefault="004C3C13" w:rsidP="004C3C13">
            <w:pPr>
              <w:rPr>
                <w:rFonts w:ascii="Sakkal Majalla" w:hAnsi="Sakkal Majalla" w:cs="Sakkal Majalla" w:hint="cs"/>
                <w:sz w:val="28"/>
                <w:szCs w:val="28"/>
                <w:u w:val="single"/>
                <w:rtl/>
              </w:rPr>
            </w:pPr>
            <w:r w:rsidRPr="004C3C13">
              <w:rPr>
                <w:rFonts w:ascii="Sakkal Majalla" w:hAnsi="Sakkal Majalla" w:cs="Sakkal Majalla"/>
                <w:sz w:val="28"/>
                <w:szCs w:val="28"/>
                <w:u w:val="single"/>
                <w:rtl/>
              </w:rPr>
              <w:t>تتوفر غرف أو وحدات تطهير إشعاعي مجهّزة</w:t>
            </w:r>
          </w:p>
        </w:tc>
        <w:tc>
          <w:tcPr>
            <w:tcW w:w="4393" w:type="dxa"/>
          </w:tcPr>
          <w:p w14:paraId="43E83A0C" w14:textId="1BCDD6DF" w:rsidR="004C3C13" w:rsidRPr="004C3C1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FFFFFF" w:themeColor="background1"/>
                <w:sz w:val="28"/>
                <w:szCs w:val="28"/>
                <w:u w:val="single"/>
                <w:rtl/>
              </w:rPr>
            </w:pPr>
            <w:r w:rsidRPr="00B04D63">
              <w:rPr>
                <w:rFonts w:ascii="Sakkal Majalla" w:hAnsi="Sakkal Majalla" w:cs="Sakkal Majalla" w:hint="cs"/>
                <w:b/>
                <w:bCs/>
                <w:color w:val="385623" w:themeColor="accent6" w:themeShade="80"/>
                <w:sz w:val="28"/>
                <w:szCs w:val="28"/>
                <w:u w:val="single"/>
                <w:rtl/>
              </w:rPr>
              <w:t>نعم - لا</w:t>
            </w:r>
          </w:p>
        </w:tc>
      </w:tr>
      <w:tr w:rsidR="004C3C13" w14:paraId="5C31B67A" w14:textId="77777777" w:rsidTr="004C3C13">
        <w:tc>
          <w:tcPr>
            <w:cnfStyle w:val="001000000000" w:firstRow="0" w:lastRow="0" w:firstColumn="1" w:lastColumn="0" w:oddVBand="0" w:evenVBand="0" w:oddHBand="0" w:evenHBand="0" w:firstRowFirstColumn="0" w:firstRowLastColumn="0" w:lastRowFirstColumn="0" w:lastRowLastColumn="0"/>
            <w:tcW w:w="4389" w:type="dxa"/>
          </w:tcPr>
          <w:p w14:paraId="094C0D97" w14:textId="5A85888B" w:rsidR="004C3C13" w:rsidRPr="004C3C13" w:rsidRDefault="004C3C13" w:rsidP="004C3C13">
            <w:pPr>
              <w:rPr>
                <w:rFonts w:ascii="Sakkal Majalla" w:hAnsi="Sakkal Majalla" w:cs="Sakkal Majalla"/>
                <w:sz w:val="28"/>
                <w:szCs w:val="28"/>
                <w:u w:val="single"/>
                <w:rtl/>
              </w:rPr>
            </w:pPr>
            <w:r w:rsidRPr="004C3C13">
              <w:rPr>
                <w:rFonts w:ascii="Sakkal Majalla" w:hAnsi="Sakkal Majalla" w:cs="Sakkal Majalla"/>
                <w:sz w:val="28"/>
                <w:szCs w:val="28"/>
                <w:u w:val="single"/>
                <w:rtl/>
              </w:rPr>
              <w:t>تتوفر بدلات واقية من الإشعاع بكميات كافية</w:t>
            </w:r>
          </w:p>
        </w:tc>
        <w:tc>
          <w:tcPr>
            <w:tcW w:w="4393" w:type="dxa"/>
          </w:tcPr>
          <w:p w14:paraId="45B21739" w14:textId="0F7B4CEA"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FFFFFF" w:themeColor="background1"/>
                <w:sz w:val="28"/>
                <w:szCs w:val="28"/>
                <w:u w:val="single"/>
                <w:rtl/>
              </w:rPr>
            </w:pPr>
            <w:r w:rsidRPr="00B04D63">
              <w:rPr>
                <w:rFonts w:ascii="Sakkal Majalla" w:hAnsi="Sakkal Majalla" w:cs="Sakkal Majalla" w:hint="cs"/>
                <w:b/>
                <w:bCs/>
                <w:color w:val="385623" w:themeColor="accent6" w:themeShade="80"/>
                <w:sz w:val="28"/>
                <w:szCs w:val="28"/>
                <w:u w:val="single"/>
                <w:rtl/>
              </w:rPr>
              <w:t>نعم - لا</w:t>
            </w:r>
          </w:p>
        </w:tc>
      </w:tr>
      <w:tr w:rsidR="004C3C13" w14:paraId="44EA59CE"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4FBB2BA0" w14:textId="77777777" w:rsidR="004C3C13" w:rsidRPr="004C3C13" w:rsidRDefault="004C3C13" w:rsidP="004C3C13">
            <w:pPr>
              <w:rPr>
                <w:rFonts w:ascii="Sakkal Majalla" w:hAnsi="Sakkal Majalla" w:cs="Sakkal Majalla"/>
                <w:sz w:val="28"/>
                <w:szCs w:val="28"/>
                <w:u w:val="single"/>
              </w:rPr>
            </w:pPr>
            <w:r w:rsidRPr="004C3C13">
              <w:rPr>
                <w:rFonts w:ascii="Sakkal Majalla" w:hAnsi="Sakkal Majalla" w:cs="Sakkal Majalla"/>
                <w:sz w:val="28"/>
                <w:szCs w:val="28"/>
                <w:u w:val="single"/>
                <w:rtl/>
              </w:rPr>
              <w:t>توجد مسارات خاصة لاستقبال المصابين بالتلوث الإشعاعي دون انتقال التلوث</w:t>
            </w:r>
          </w:p>
          <w:p w14:paraId="621D70CC" w14:textId="77777777" w:rsidR="004C3C13" w:rsidRPr="004C3C13" w:rsidRDefault="004C3C13" w:rsidP="004C3C13">
            <w:pPr>
              <w:rPr>
                <w:rFonts w:ascii="Sakkal Majalla" w:hAnsi="Sakkal Majalla" w:cs="Sakkal Majalla"/>
                <w:b w:val="0"/>
                <w:bCs w:val="0"/>
                <w:sz w:val="28"/>
                <w:szCs w:val="28"/>
                <w:u w:val="single"/>
                <w:rtl/>
              </w:rPr>
            </w:pPr>
          </w:p>
        </w:tc>
        <w:tc>
          <w:tcPr>
            <w:tcW w:w="4393" w:type="dxa"/>
          </w:tcPr>
          <w:p w14:paraId="1E7D386C" w14:textId="77777777" w:rsidR="004C3C13" w:rsidRPr="004C3C1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FFFFFF" w:themeColor="background1"/>
                <w:sz w:val="28"/>
                <w:szCs w:val="28"/>
                <w:u w:val="single"/>
                <w:rtl/>
              </w:rPr>
            </w:pPr>
          </w:p>
        </w:tc>
      </w:tr>
      <w:tr w:rsidR="004C3C13" w14:paraId="28CF4D9E" w14:textId="77777777" w:rsidTr="001611BF">
        <w:tc>
          <w:tcPr>
            <w:cnfStyle w:val="001000000000" w:firstRow="0" w:lastRow="0" w:firstColumn="1" w:lastColumn="0" w:oddVBand="0" w:evenVBand="0" w:oddHBand="0" w:evenHBand="0" w:firstRowFirstColumn="0" w:firstRowLastColumn="0" w:lastRowFirstColumn="0" w:lastRowLastColumn="0"/>
            <w:tcW w:w="8782" w:type="dxa"/>
            <w:gridSpan w:val="2"/>
          </w:tcPr>
          <w:p w14:paraId="21AA997E" w14:textId="4F587073" w:rsidR="004C3C13" w:rsidRPr="004C3C13" w:rsidRDefault="004C3C13" w:rsidP="004C3C13">
            <w:pPr>
              <w:rPr>
                <w:rFonts w:ascii="Sakkal Majalla" w:hAnsi="Sakkal Majalla" w:cs="Sakkal Majalla"/>
                <w:color w:val="385623" w:themeColor="accent6" w:themeShade="80"/>
                <w:sz w:val="28"/>
                <w:szCs w:val="28"/>
                <w:u w:val="single"/>
                <w:rtl/>
              </w:rPr>
            </w:pPr>
            <w:r w:rsidRPr="004C3C13">
              <w:rPr>
                <w:rFonts w:ascii="Sakkal Majalla" w:hAnsi="Sakkal Majalla" w:cs="Sakkal Majalla"/>
                <w:color w:val="385623" w:themeColor="accent6" w:themeShade="80"/>
                <w:sz w:val="28"/>
                <w:szCs w:val="28"/>
                <w:u w:val="single"/>
                <w:rtl/>
              </w:rPr>
              <w:t>المحور الثالث: التدريب والتأهيل المهني للكوادر الصحية</w:t>
            </w:r>
          </w:p>
        </w:tc>
      </w:tr>
      <w:tr w:rsidR="004C3C13" w14:paraId="0B97D748"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55A8E8B1" w14:textId="77777777" w:rsidR="004C3C13" w:rsidRPr="004C3C13" w:rsidRDefault="004C3C13" w:rsidP="004C3C13">
            <w:pPr>
              <w:rPr>
                <w:rFonts w:ascii="Sakkal Majalla" w:hAnsi="Sakkal Majalla" w:cs="Sakkal Majalla"/>
                <w:sz w:val="28"/>
                <w:szCs w:val="28"/>
                <w:u w:val="single"/>
              </w:rPr>
            </w:pPr>
            <w:r w:rsidRPr="004C3C13">
              <w:rPr>
                <w:rFonts w:ascii="Sakkal Majalla" w:hAnsi="Sakkal Majalla" w:cs="Sakkal Majalla"/>
                <w:sz w:val="28"/>
                <w:szCs w:val="28"/>
                <w:u w:val="single"/>
                <w:rtl/>
              </w:rPr>
              <w:t>تلقيت تدريبًا رسميًا على بروتوكولات الاستجابة الإشعاعية</w:t>
            </w:r>
          </w:p>
          <w:p w14:paraId="4B848C47" w14:textId="77777777" w:rsidR="004C3C13" w:rsidRPr="004C3C13" w:rsidRDefault="004C3C13" w:rsidP="004C3C13">
            <w:pPr>
              <w:rPr>
                <w:rFonts w:ascii="Sakkal Majalla" w:hAnsi="Sakkal Majalla" w:cs="Sakkal Majalla"/>
                <w:b w:val="0"/>
                <w:bCs w:val="0"/>
                <w:sz w:val="28"/>
                <w:szCs w:val="28"/>
                <w:u w:val="single"/>
                <w:rtl/>
              </w:rPr>
            </w:pPr>
          </w:p>
        </w:tc>
        <w:tc>
          <w:tcPr>
            <w:tcW w:w="4393" w:type="dxa"/>
          </w:tcPr>
          <w:p w14:paraId="37066685" w14:textId="2EAB65B6" w:rsidR="004C3C13" w:rsidRPr="004C3C1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FFFFFF" w:themeColor="background1"/>
                <w:sz w:val="28"/>
                <w:szCs w:val="28"/>
                <w:u w:val="single"/>
                <w:rtl/>
              </w:rPr>
            </w:pPr>
            <w:r w:rsidRPr="00B04D63">
              <w:rPr>
                <w:rFonts w:ascii="Sakkal Majalla" w:hAnsi="Sakkal Majalla" w:cs="Sakkal Majalla" w:hint="cs"/>
                <w:b/>
                <w:bCs/>
                <w:color w:val="385623" w:themeColor="accent6" w:themeShade="80"/>
                <w:sz w:val="28"/>
                <w:szCs w:val="28"/>
                <w:u w:val="single"/>
                <w:rtl/>
              </w:rPr>
              <w:t>نعم - لا</w:t>
            </w:r>
          </w:p>
        </w:tc>
      </w:tr>
      <w:tr w:rsidR="004C3C13" w14:paraId="0F6083A3" w14:textId="77777777" w:rsidTr="004C3C13">
        <w:tc>
          <w:tcPr>
            <w:cnfStyle w:val="001000000000" w:firstRow="0" w:lastRow="0" w:firstColumn="1" w:lastColumn="0" w:oddVBand="0" w:evenVBand="0" w:oddHBand="0" w:evenHBand="0" w:firstRowFirstColumn="0" w:firstRowLastColumn="0" w:lastRowFirstColumn="0" w:lastRowLastColumn="0"/>
            <w:tcW w:w="4389" w:type="dxa"/>
          </w:tcPr>
          <w:p w14:paraId="24383222" w14:textId="77777777" w:rsidR="004C3C13" w:rsidRPr="004C3C13" w:rsidRDefault="004C3C13" w:rsidP="004C3C13">
            <w:pPr>
              <w:rPr>
                <w:rFonts w:ascii="Sakkal Majalla" w:hAnsi="Sakkal Majalla" w:cs="Sakkal Majalla"/>
                <w:sz w:val="28"/>
                <w:szCs w:val="28"/>
                <w:u w:val="single"/>
              </w:rPr>
            </w:pPr>
            <w:r w:rsidRPr="004C3C13">
              <w:rPr>
                <w:rFonts w:ascii="Sakkal Majalla" w:hAnsi="Sakkal Majalla" w:cs="Sakkal Majalla"/>
                <w:sz w:val="28"/>
                <w:szCs w:val="28"/>
                <w:u w:val="single"/>
                <w:rtl/>
              </w:rPr>
              <w:t>أعرف إجراءات فرز وتطهير المصابين بالتلوث الإشعاعي</w:t>
            </w:r>
          </w:p>
          <w:p w14:paraId="43E45D6C" w14:textId="77777777" w:rsidR="004C3C13" w:rsidRPr="004C3C13" w:rsidRDefault="004C3C13" w:rsidP="004C3C13">
            <w:pPr>
              <w:rPr>
                <w:rFonts w:ascii="Sakkal Majalla" w:hAnsi="Sakkal Majalla" w:cs="Sakkal Majalla"/>
                <w:b w:val="0"/>
                <w:bCs w:val="0"/>
                <w:sz w:val="28"/>
                <w:szCs w:val="28"/>
                <w:u w:val="single"/>
                <w:rtl/>
              </w:rPr>
            </w:pPr>
          </w:p>
        </w:tc>
        <w:tc>
          <w:tcPr>
            <w:tcW w:w="4393" w:type="dxa"/>
          </w:tcPr>
          <w:p w14:paraId="2AE0DBE4" w14:textId="0069B8E9" w:rsidR="004C3C13" w:rsidRPr="004C3C1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FFFFFF" w:themeColor="background1"/>
                <w:sz w:val="28"/>
                <w:szCs w:val="28"/>
                <w:u w:val="single"/>
                <w:rtl/>
              </w:rPr>
            </w:pPr>
            <w:r w:rsidRPr="00B04D63">
              <w:rPr>
                <w:rFonts w:ascii="Sakkal Majalla" w:hAnsi="Sakkal Majalla" w:cs="Sakkal Majalla" w:hint="cs"/>
                <w:b/>
                <w:bCs/>
                <w:color w:val="385623" w:themeColor="accent6" w:themeShade="80"/>
                <w:sz w:val="28"/>
                <w:szCs w:val="28"/>
                <w:u w:val="single"/>
                <w:rtl/>
              </w:rPr>
              <w:t>نعم - لا</w:t>
            </w:r>
          </w:p>
        </w:tc>
      </w:tr>
      <w:tr w:rsidR="004C3C13" w14:paraId="49F45056"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0E93AA8D" w14:textId="012A6C90" w:rsidR="004C3C13" w:rsidRPr="004C3C13" w:rsidRDefault="004C3C13" w:rsidP="004C3C13">
            <w:pPr>
              <w:rPr>
                <w:rFonts w:ascii="Sakkal Majalla" w:hAnsi="Sakkal Majalla" w:cs="Sakkal Majalla"/>
                <w:sz w:val="28"/>
                <w:szCs w:val="28"/>
                <w:u w:val="single"/>
                <w:rtl/>
              </w:rPr>
            </w:pPr>
            <w:r w:rsidRPr="004C3C13">
              <w:rPr>
                <w:rFonts w:ascii="Sakkal Majalla" w:hAnsi="Sakkal Majalla" w:cs="Sakkal Majalla"/>
                <w:sz w:val="28"/>
                <w:szCs w:val="28"/>
                <w:u w:val="single"/>
                <w:rtl/>
              </w:rPr>
              <w:t>التدريب الذي تلقيته كان عمليًا ومباشرًا (</w:t>
            </w:r>
            <w:r w:rsidRPr="004C3C13">
              <w:rPr>
                <w:rFonts w:ascii="Sakkal Majalla" w:hAnsi="Sakkal Majalla" w:cs="Sakkal Majalla"/>
                <w:sz w:val="28"/>
                <w:szCs w:val="28"/>
                <w:u w:val="single"/>
              </w:rPr>
              <w:t>Simulation</w:t>
            </w:r>
            <w:r w:rsidRPr="004C3C13">
              <w:rPr>
                <w:rFonts w:ascii="Sakkal Majalla" w:hAnsi="Sakkal Majalla" w:cs="Sakkal Majalla"/>
                <w:sz w:val="28"/>
                <w:szCs w:val="28"/>
                <w:u w:val="single"/>
                <w:rtl/>
              </w:rPr>
              <w:t>)</w:t>
            </w:r>
          </w:p>
        </w:tc>
        <w:tc>
          <w:tcPr>
            <w:tcW w:w="4393" w:type="dxa"/>
          </w:tcPr>
          <w:p w14:paraId="5202A156" w14:textId="72E76230" w:rsidR="004C3C13" w:rsidRPr="004C3C1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FFFFFF" w:themeColor="background1"/>
                <w:sz w:val="28"/>
                <w:szCs w:val="28"/>
                <w:u w:val="single"/>
                <w:rtl/>
              </w:rPr>
            </w:pPr>
            <w:r w:rsidRPr="00B04D63">
              <w:rPr>
                <w:rFonts w:ascii="Sakkal Majalla" w:hAnsi="Sakkal Majalla" w:cs="Sakkal Majalla" w:hint="cs"/>
                <w:b/>
                <w:bCs/>
                <w:color w:val="385623" w:themeColor="accent6" w:themeShade="80"/>
                <w:sz w:val="28"/>
                <w:szCs w:val="28"/>
                <w:u w:val="single"/>
                <w:rtl/>
              </w:rPr>
              <w:t>نعم - لا</w:t>
            </w:r>
          </w:p>
        </w:tc>
      </w:tr>
      <w:tr w:rsidR="004C3C13" w14:paraId="1F6FB586" w14:textId="77777777" w:rsidTr="001B5161">
        <w:tc>
          <w:tcPr>
            <w:cnfStyle w:val="001000000000" w:firstRow="0" w:lastRow="0" w:firstColumn="1" w:lastColumn="0" w:oddVBand="0" w:evenVBand="0" w:oddHBand="0" w:evenHBand="0" w:firstRowFirstColumn="0" w:firstRowLastColumn="0" w:lastRowFirstColumn="0" w:lastRowLastColumn="0"/>
            <w:tcW w:w="8782" w:type="dxa"/>
            <w:gridSpan w:val="2"/>
          </w:tcPr>
          <w:p w14:paraId="1CE1D9DD" w14:textId="18322F60" w:rsidR="004C3C13" w:rsidRPr="004C3C13" w:rsidRDefault="004C3C13" w:rsidP="004C3C13">
            <w:pPr>
              <w:rPr>
                <w:rFonts w:ascii="Sakkal Majalla" w:hAnsi="Sakkal Majalla" w:cs="Sakkal Majalla" w:hint="cs"/>
                <w:color w:val="385623" w:themeColor="accent6" w:themeShade="80"/>
                <w:sz w:val="28"/>
                <w:szCs w:val="28"/>
                <w:u w:val="single"/>
                <w:rtl/>
              </w:rPr>
            </w:pPr>
            <w:r w:rsidRPr="004C3C13">
              <w:rPr>
                <w:rFonts w:ascii="Sakkal Majalla" w:hAnsi="Sakkal Majalla" w:cs="Sakkal Majalla"/>
                <w:color w:val="385623" w:themeColor="accent6" w:themeShade="80"/>
                <w:sz w:val="28"/>
                <w:szCs w:val="28"/>
                <w:u w:val="single"/>
                <w:rtl/>
              </w:rPr>
              <w:t>المحور الرابع: التنسيق المؤسسي بين الجهات</w:t>
            </w:r>
            <w:r w:rsidRPr="004C3C13">
              <w:rPr>
                <w:rFonts w:ascii="Sakkal Majalla" w:hAnsi="Sakkal Majalla" w:cs="Sakkal Majalla"/>
                <w:color w:val="385623" w:themeColor="accent6" w:themeShade="80"/>
                <w:sz w:val="28"/>
                <w:szCs w:val="28"/>
                <w:u w:val="single"/>
              </w:rPr>
              <w:t xml:space="preserve"> (</w:t>
            </w:r>
            <w:r w:rsidRPr="004C3C13">
              <w:rPr>
                <w:rFonts w:ascii="Sakkal Majalla" w:hAnsi="Sakkal Majalla" w:cs="Sakkal Majalla"/>
                <w:color w:val="385623" w:themeColor="accent6" w:themeShade="80"/>
                <w:sz w:val="28"/>
                <w:szCs w:val="28"/>
                <w:u w:val="single"/>
                <w:rtl/>
              </w:rPr>
              <w:t>الصحة – الدفاع المدني</w:t>
            </w:r>
            <w:r w:rsidRPr="004C3C13">
              <w:rPr>
                <w:rFonts w:ascii="Sakkal Majalla" w:hAnsi="Sakkal Majalla" w:cs="Sakkal Majalla"/>
                <w:color w:val="385623" w:themeColor="accent6" w:themeShade="80"/>
                <w:sz w:val="28"/>
                <w:szCs w:val="28"/>
                <w:u w:val="single"/>
              </w:rPr>
              <w:t xml:space="preserve"> – NRA – </w:t>
            </w:r>
            <w:r w:rsidRPr="004C3C13">
              <w:rPr>
                <w:rFonts w:ascii="Sakkal Majalla" w:hAnsi="Sakkal Majalla" w:cs="Sakkal Majalla"/>
                <w:color w:val="385623" w:themeColor="accent6" w:themeShade="80"/>
                <w:sz w:val="28"/>
                <w:szCs w:val="28"/>
                <w:u w:val="single"/>
                <w:rtl/>
              </w:rPr>
              <w:t>الهلال الأحمر</w:t>
            </w:r>
            <w:r w:rsidRPr="004C3C13">
              <w:rPr>
                <w:rFonts w:ascii="Sakkal Majalla" w:hAnsi="Sakkal Majalla" w:cs="Sakkal Majalla"/>
                <w:color w:val="385623" w:themeColor="accent6" w:themeShade="80"/>
                <w:sz w:val="28"/>
                <w:szCs w:val="28"/>
                <w:u w:val="single"/>
              </w:rPr>
              <w:t>)</w:t>
            </w:r>
          </w:p>
        </w:tc>
      </w:tr>
      <w:tr w:rsidR="004C3C13" w14:paraId="086C081B"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7ACE95EE" w14:textId="77777777" w:rsidR="004C3C13" w:rsidRPr="004C3C13" w:rsidRDefault="004C3C13" w:rsidP="004C3C13">
            <w:pPr>
              <w:rPr>
                <w:rFonts w:ascii="Sakkal Majalla" w:hAnsi="Sakkal Majalla" w:cs="Sakkal Majalla"/>
                <w:sz w:val="28"/>
                <w:szCs w:val="28"/>
                <w:u w:val="single"/>
              </w:rPr>
            </w:pPr>
            <w:r w:rsidRPr="004C3C13">
              <w:rPr>
                <w:rFonts w:ascii="Sakkal Majalla" w:hAnsi="Sakkal Majalla" w:cs="Sakkal Majalla"/>
                <w:sz w:val="28"/>
                <w:szCs w:val="28"/>
                <w:u w:val="single"/>
                <w:rtl/>
              </w:rPr>
              <w:t>توجد آلية اتصال واضحة بين المنشأة الصحية وهيئة الرقابة النووية والإشعاعية</w:t>
            </w:r>
          </w:p>
          <w:p w14:paraId="4E168D5A" w14:textId="77777777" w:rsidR="004C3C13" w:rsidRPr="004C3C13" w:rsidRDefault="004C3C13" w:rsidP="004C3C13">
            <w:pPr>
              <w:rPr>
                <w:rFonts w:ascii="Sakkal Majalla" w:hAnsi="Sakkal Majalla" w:cs="Sakkal Majalla"/>
                <w:sz w:val="28"/>
                <w:szCs w:val="28"/>
                <w:u w:val="single"/>
                <w:rtl/>
              </w:rPr>
            </w:pPr>
          </w:p>
        </w:tc>
        <w:tc>
          <w:tcPr>
            <w:tcW w:w="4393" w:type="dxa"/>
          </w:tcPr>
          <w:p w14:paraId="5239A497" w14:textId="337DE6E3" w:rsidR="004C3C13" w:rsidRPr="00B04D6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color w:val="385623" w:themeColor="accent6" w:themeShade="80"/>
                <w:sz w:val="28"/>
                <w:szCs w:val="28"/>
                <w:u w:val="single"/>
                <w:rtl/>
              </w:rPr>
            </w:pPr>
            <w:r w:rsidRPr="001805EC">
              <w:rPr>
                <w:rFonts w:ascii="Sakkal Majalla" w:hAnsi="Sakkal Majalla" w:cs="Sakkal Majalla" w:hint="cs"/>
                <w:b/>
                <w:bCs/>
                <w:color w:val="385623" w:themeColor="accent6" w:themeShade="80"/>
                <w:sz w:val="28"/>
                <w:szCs w:val="28"/>
                <w:u w:val="single"/>
                <w:rtl/>
              </w:rPr>
              <w:t>نعم - لا</w:t>
            </w:r>
          </w:p>
        </w:tc>
      </w:tr>
      <w:tr w:rsidR="004C3C13" w14:paraId="50054807" w14:textId="77777777" w:rsidTr="004C3C13">
        <w:tc>
          <w:tcPr>
            <w:cnfStyle w:val="001000000000" w:firstRow="0" w:lastRow="0" w:firstColumn="1" w:lastColumn="0" w:oddVBand="0" w:evenVBand="0" w:oddHBand="0" w:evenHBand="0" w:firstRowFirstColumn="0" w:firstRowLastColumn="0" w:lastRowFirstColumn="0" w:lastRowLastColumn="0"/>
            <w:tcW w:w="4389" w:type="dxa"/>
          </w:tcPr>
          <w:p w14:paraId="3E3F033C" w14:textId="1953DFAA" w:rsidR="004C3C13" w:rsidRPr="004C3C13" w:rsidRDefault="004C3C13" w:rsidP="004C3C13">
            <w:pPr>
              <w:rPr>
                <w:rFonts w:ascii="Sakkal Majalla" w:hAnsi="Sakkal Majalla" w:cs="Sakkal Majalla"/>
                <w:sz w:val="28"/>
                <w:szCs w:val="28"/>
                <w:u w:val="single"/>
                <w:rtl/>
              </w:rPr>
            </w:pPr>
            <w:r w:rsidRPr="004C3C13">
              <w:rPr>
                <w:rFonts w:ascii="Sakkal Majalla" w:hAnsi="Sakkal Majalla" w:cs="Sakkal Majalla"/>
                <w:sz w:val="28"/>
                <w:szCs w:val="28"/>
                <w:u w:val="single"/>
                <w:rtl/>
              </w:rPr>
              <w:t>يتم تبادل المعلومات الإشعاعية بسرعة في حالات الطوارئ</w:t>
            </w:r>
          </w:p>
        </w:tc>
        <w:tc>
          <w:tcPr>
            <w:tcW w:w="4393" w:type="dxa"/>
          </w:tcPr>
          <w:p w14:paraId="126BE38D" w14:textId="000F6CE8" w:rsidR="004C3C13" w:rsidRPr="00B04D6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color w:val="385623" w:themeColor="accent6" w:themeShade="80"/>
                <w:sz w:val="28"/>
                <w:szCs w:val="28"/>
                <w:u w:val="single"/>
                <w:rtl/>
              </w:rPr>
            </w:pPr>
            <w:r w:rsidRPr="001805EC">
              <w:rPr>
                <w:rFonts w:ascii="Sakkal Majalla" w:hAnsi="Sakkal Majalla" w:cs="Sakkal Majalla" w:hint="cs"/>
                <w:b/>
                <w:bCs/>
                <w:color w:val="385623" w:themeColor="accent6" w:themeShade="80"/>
                <w:sz w:val="28"/>
                <w:szCs w:val="28"/>
                <w:u w:val="single"/>
                <w:rtl/>
              </w:rPr>
              <w:t>نعم - لا</w:t>
            </w:r>
          </w:p>
        </w:tc>
      </w:tr>
      <w:tr w:rsidR="004C3C13" w14:paraId="60F48F2C"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3783B3C9" w14:textId="77777777" w:rsidR="004C3C13" w:rsidRPr="004C3C13" w:rsidRDefault="004C3C13" w:rsidP="004C3C13">
            <w:pPr>
              <w:rPr>
                <w:rFonts w:ascii="Sakkal Majalla" w:hAnsi="Sakkal Majalla" w:cs="Sakkal Majalla"/>
                <w:sz w:val="28"/>
                <w:szCs w:val="28"/>
                <w:u w:val="single"/>
              </w:rPr>
            </w:pPr>
            <w:r w:rsidRPr="004C3C13">
              <w:rPr>
                <w:rFonts w:ascii="Sakkal Majalla" w:hAnsi="Sakkal Majalla" w:cs="Sakkal Majalla"/>
                <w:sz w:val="28"/>
                <w:szCs w:val="28"/>
                <w:u w:val="single"/>
                <w:rtl/>
              </w:rPr>
              <w:t>تم تنفيذ تمرين مشترك خلال العامين الماضيين</w:t>
            </w:r>
          </w:p>
          <w:p w14:paraId="30593429" w14:textId="77777777" w:rsidR="004C3C13" w:rsidRPr="004C3C13" w:rsidRDefault="004C3C13" w:rsidP="004C3C13">
            <w:pPr>
              <w:rPr>
                <w:rFonts w:ascii="Sakkal Majalla" w:hAnsi="Sakkal Majalla" w:cs="Sakkal Majalla"/>
                <w:sz w:val="28"/>
                <w:szCs w:val="28"/>
                <w:u w:val="single"/>
                <w:rtl/>
              </w:rPr>
            </w:pPr>
          </w:p>
        </w:tc>
        <w:tc>
          <w:tcPr>
            <w:tcW w:w="4393" w:type="dxa"/>
          </w:tcPr>
          <w:p w14:paraId="6932E7D4" w14:textId="6AD1BCF9" w:rsidR="004C3C13" w:rsidRPr="00B04D6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color w:val="385623" w:themeColor="accent6" w:themeShade="80"/>
                <w:sz w:val="28"/>
                <w:szCs w:val="28"/>
                <w:u w:val="single"/>
                <w:rtl/>
              </w:rPr>
            </w:pPr>
            <w:r w:rsidRPr="001805EC">
              <w:rPr>
                <w:rFonts w:ascii="Sakkal Majalla" w:hAnsi="Sakkal Majalla" w:cs="Sakkal Majalla" w:hint="cs"/>
                <w:b/>
                <w:bCs/>
                <w:color w:val="385623" w:themeColor="accent6" w:themeShade="80"/>
                <w:sz w:val="28"/>
                <w:szCs w:val="28"/>
                <w:u w:val="single"/>
                <w:rtl/>
              </w:rPr>
              <w:lastRenderedPageBreak/>
              <w:t>نعم - لا</w:t>
            </w:r>
          </w:p>
        </w:tc>
      </w:tr>
      <w:tr w:rsidR="004C3C13" w14:paraId="1732F71C" w14:textId="77777777" w:rsidTr="004C3C13">
        <w:tc>
          <w:tcPr>
            <w:cnfStyle w:val="001000000000" w:firstRow="0" w:lastRow="0" w:firstColumn="1" w:lastColumn="0" w:oddVBand="0" w:evenVBand="0" w:oddHBand="0" w:evenHBand="0" w:firstRowFirstColumn="0" w:firstRowLastColumn="0" w:lastRowFirstColumn="0" w:lastRowLastColumn="0"/>
            <w:tcW w:w="4389" w:type="dxa"/>
          </w:tcPr>
          <w:p w14:paraId="14524347" w14:textId="69C3D875" w:rsidR="004C3C13" w:rsidRPr="004C3C13" w:rsidRDefault="004C3C13" w:rsidP="004C3C13">
            <w:pPr>
              <w:rPr>
                <w:rFonts w:ascii="Sakkal Majalla" w:hAnsi="Sakkal Majalla" w:cs="Sakkal Majalla"/>
                <w:sz w:val="28"/>
                <w:szCs w:val="28"/>
                <w:u w:val="single"/>
                <w:rtl/>
              </w:rPr>
            </w:pPr>
            <w:r w:rsidRPr="004C3C13">
              <w:rPr>
                <w:rFonts w:ascii="Sakkal Majalla" w:hAnsi="Sakkal Majalla" w:cs="Sakkal Majalla"/>
                <w:sz w:val="28"/>
                <w:szCs w:val="28"/>
                <w:u w:val="single"/>
                <w:rtl/>
              </w:rPr>
              <w:t>يوجد وضوح في أدوار كل جهة أثناء الحوادث الإشعاعية</w:t>
            </w:r>
          </w:p>
        </w:tc>
        <w:tc>
          <w:tcPr>
            <w:tcW w:w="4393" w:type="dxa"/>
          </w:tcPr>
          <w:p w14:paraId="32EBB2B1" w14:textId="0B4B7B3F" w:rsidR="004C3C13" w:rsidRPr="00B04D63" w:rsidRDefault="004C3C13" w:rsidP="004C3C1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color w:val="385623" w:themeColor="accent6" w:themeShade="80"/>
                <w:sz w:val="28"/>
                <w:szCs w:val="28"/>
                <w:u w:val="single"/>
                <w:rtl/>
              </w:rPr>
            </w:pPr>
            <w:r w:rsidRPr="001805EC">
              <w:rPr>
                <w:rFonts w:ascii="Sakkal Majalla" w:hAnsi="Sakkal Majalla" w:cs="Sakkal Majalla" w:hint="cs"/>
                <w:b/>
                <w:bCs/>
                <w:color w:val="385623" w:themeColor="accent6" w:themeShade="80"/>
                <w:sz w:val="28"/>
                <w:szCs w:val="28"/>
                <w:u w:val="single"/>
                <w:rtl/>
              </w:rPr>
              <w:t>نعم - لا</w:t>
            </w:r>
          </w:p>
        </w:tc>
      </w:tr>
      <w:tr w:rsidR="004C3C13" w14:paraId="0610662D" w14:textId="77777777" w:rsidTr="004C3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9" w:type="dxa"/>
          </w:tcPr>
          <w:p w14:paraId="700CFACC" w14:textId="77777777" w:rsidR="004C3C13" w:rsidRPr="004C3C13" w:rsidRDefault="004C3C13" w:rsidP="004C3C13">
            <w:pPr>
              <w:rPr>
                <w:rFonts w:ascii="Sakkal Majalla" w:hAnsi="Sakkal Majalla" w:cs="Sakkal Majalla"/>
                <w:sz w:val="28"/>
                <w:szCs w:val="28"/>
                <w:u w:val="single"/>
                <w:rtl/>
              </w:rPr>
            </w:pPr>
          </w:p>
        </w:tc>
        <w:tc>
          <w:tcPr>
            <w:tcW w:w="4393" w:type="dxa"/>
          </w:tcPr>
          <w:p w14:paraId="3CFE625D" w14:textId="77777777" w:rsidR="004C3C13" w:rsidRPr="00B04D63" w:rsidRDefault="004C3C13" w:rsidP="004C3C1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color w:val="385623" w:themeColor="accent6" w:themeShade="80"/>
                <w:sz w:val="28"/>
                <w:szCs w:val="28"/>
                <w:u w:val="single"/>
                <w:rtl/>
              </w:rPr>
            </w:pPr>
          </w:p>
        </w:tc>
      </w:tr>
    </w:tbl>
    <w:p w14:paraId="0884B34B" w14:textId="77777777" w:rsidR="00472199" w:rsidRDefault="00472199" w:rsidP="009125CE">
      <w:pPr>
        <w:rPr>
          <w:rFonts w:ascii="Sakkal Majalla" w:hAnsi="Sakkal Majalla" w:cs="Sakkal Majalla" w:hint="cs"/>
          <w:sz w:val="28"/>
          <w:szCs w:val="28"/>
          <w:u w:val="single"/>
          <w:rtl/>
        </w:rPr>
      </w:pPr>
    </w:p>
    <w:p w14:paraId="60C44403" w14:textId="77777777" w:rsidR="00472199" w:rsidRDefault="00472199"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6A4A44F8" w14:textId="1DA69B91" w:rsidR="004163C7" w:rsidRPr="00472199" w:rsidRDefault="00472199" w:rsidP="00472199">
      <w:pPr>
        <w:jc w:val="right"/>
        <w:rPr>
          <w:rFonts w:ascii="Simplified Arabic" w:hAnsi="Simplified Arabic" w:cs="Simplified Arabic"/>
          <w:sz w:val="32"/>
          <w:szCs w:val="32"/>
          <w:rtl/>
        </w:rPr>
      </w:pPr>
      <w:r w:rsidRPr="00472199">
        <w:rPr>
          <w:rFonts w:ascii="Simplified Arabic" w:hAnsi="Simplified Arabic" w:cs="Simplified Arabic"/>
          <w:sz w:val="32"/>
          <w:szCs w:val="32"/>
        </w:rPr>
        <w:t>Radiological and nuclear incidents represent some of the most complex and high-impact emergencies that health systems may face due to their wide-ranging effects on individuals, the environment, and healthcare infrastructure. With the increasing use of radioactive materials in medical and industrial applications across the Kingdom of Saudi Arabia, the need to assess the level of preparedness within the national health system has become more urgent than ever. This study aims to evaluate the institutional and operational readiness of the Saudi health system to respond effectively to radiological and nuclear emergencies by examining the availability of emergency plans, technical capabilities, trained personnel, and coordination mechanisms among relevant authorities</w:t>
      </w:r>
      <w:r w:rsidRPr="00472199">
        <w:rPr>
          <w:rFonts w:ascii="Simplified Arabic" w:hAnsi="Simplified Arabic" w:cs="Simplified Arabic"/>
          <w:sz w:val="32"/>
          <w:szCs w:val="32"/>
          <w:rtl/>
        </w:rPr>
        <w:t>.</w:t>
      </w:r>
    </w:p>
    <w:p w14:paraId="729260F8" w14:textId="77777777" w:rsidR="004163C7" w:rsidRPr="00472199" w:rsidRDefault="004163C7" w:rsidP="00472199">
      <w:pPr>
        <w:jc w:val="right"/>
        <w:rPr>
          <w:rFonts w:ascii="Simplified Arabic" w:hAnsi="Simplified Arabic" w:cs="Simplified Arabic"/>
          <w:sz w:val="32"/>
          <w:szCs w:val="32"/>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lastRenderedPageBreak/>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F5348" w14:textId="77777777" w:rsidR="009503BC" w:rsidRDefault="009503BC" w:rsidP="009125CE">
      <w:pPr>
        <w:spacing w:after="0" w:line="240" w:lineRule="auto"/>
      </w:pPr>
      <w:r>
        <w:separator/>
      </w:r>
    </w:p>
  </w:endnote>
  <w:endnote w:type="continuationSeparator" w:id="0">
    <w:p w14:paraId="2AE62F85" w14:textId="77777777" w:rsidR="009503BC" w:rsidRDefault="009503B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05FDD" w14:textId="77777777" w:rsidR="009503BC" w:rsidRDefault="009503BC" w:rsidP="009125CE">
      <w:pPr>
        <w:spacing w:after="0" w:line="240" w:lineRule="auto"/>
      </w:pPr>
      <w:r>
        <w:separator/>
      </w:r>
    </w:p>
  </w:footnote>
  <w:footnote w:type="continuationSeparator" w:id="0">
    <w:p w14:paraId="0059B8FE" w14:textId="77777777" w:rsidR="009503BC" w:rsidRDefault="009503B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537A5"/>
    <w:multiLevelType w:val="hybridMultilevel"/>
    <w:tmpl w:val="9F446C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2E50076"/>
    <w:multiLevelType w:val="hybridMultilevel"/>
    <w:tmpl w:val="AAFC0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4E170C"/>
    <w:multiLevelType w:val="hybridMultilevel"/>
    <w:tmpl w:val="6008704A"/>
    <w:lvl w:ilvl="0" w:tplc="8EEED0E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52B71AF"/>
    <w:multiLevelType w:val="hybridMultilevel"/>
    <w:tmpl w:val="6008704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C507506"/>
    <w:multiLevelType w:val="hybridMultilevel"/>
    <w:tmpl w:val="E9AC2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6743A3"/>
    <w:multiLevelType w:val="hybridMultilevel"/>
    <w:tmpl w:val="983EF216"/>
    <w:lvl w:ilvl="0" w:tplc="7CA8CF5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D223EA"/>
    <w:multiLevelType w:val="hybridMultilevel"/>
    <w:tmpl w:val="9F446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4919330">
    <w:abstractNumId w:val="1"/>
  </w:num>
  <w:num w:numId="2" w16cid:durableId="1269464317">
    <w:abstractNumId w:val="5"/>
  </w:num>
  <w:num w:numId="3" w16cid:durableId="1492869382">
    <w:abstractNumId w:val="4"/>
  </w:num>
  <w:num w:numId="4" w16cid:durableId="1543711943">
    <w:abstractNumId w:val="6"/>
  </w:num>
  <w:num w:numId="5" w16cid:durableId="1457411668">
    <w:abstractNumId w:val="2"/>
  </w:num>
  <w:num w:numId="6" w16cid:durableId="348869073">
    <w:abstractNumId w:val="3"/>
  </w:num>
  <w:num w:numId="7" w16cid:durableId="1654138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C11CB"/>
    <w:rsid w:val="000D30DE"/>
    <w:rsid w:val="000F44B4"/>
    <w:rsid w:val="001810D8"/>
    <w:rsid w:val="001902DB"/>
    <w:rsid w:val="001C2162"/>
    <w:rsid w:val="00306A11"/>
    <w:rsid w:val="004163C7"/>
    <w:rsid w:val="00472199"/>
    <w:rsid w:val="004C3C13"/>
    <w:rsid w:val="006878B6"/>
    <w:rsid w:val="006948DE"/>
    <w:rsid w:val="007B0E54"/>
    <w:rsid w:val="007E3A20"/>
    <w:rsid w:val="00877AAC"/>
    <w:rsid w:val="00896FE4"/>
    <w:rsid w:val="008F1EAE"/>
    <w:rsid w:val="009125CE"/>
    <w:rsid w:val="00946F5F"/>
    <w:rsid w:val="009503BC"/>
    <w:rsid w:val="009B6888"/>
    <w:rsid w:val="009C0161"/>
    <w:rsid w:val="009D108D"/>
    <w:rsid w:val="009E1436"/>
    <w:rsid w:val="009E5668"/>
    <w:rsid w:val="009F010B"/>
    <w:rsid w:val="00A200DD"/>
    <w:rsid w:val="00A24C70"/>
    <w:rsid w:val="00A629D6"/>
    <w:rsid w:val="00AA79E9"/>
    <w:rsid w:val="00AB0A70"/>
    <w:rsid w:val="00AF2E30"/>
    <w:rsid w:val="00B007FF"/>
    <w:rsid w:val="00B63B0F"/>
    <w:rsid w:val="00B7678A"/>
    <w:rsid w:val="00BC094B"/>
    <w:rsid w:val="00C72744"/>
    <w:rsid w:val="00CB2A44"/>
    <w:rsid w:val="00D04F62"/>
    <w:rsid w:val="00D22171"/>
    <w:rsid w:val="00D52480"/>
    <w:rsid w:val="00DB3CB7"/>
    <w:rsid w:val="00DD53BE"/>
    <w:rsid w:val="00E80FD9"/>
    <w:rsid w:val="00F22C33"/>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AF2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3">
    <w:name w:val="Grid Table 5 Dark Accent 3"/>
    <w:basedOn w:val="a1"/>
    <w:uiPriority w:val="50"/>
    <w:rsid w:val="00F22C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5-1">
    <w:name w:val="Grid Table 5 Dark Accent 1"/>
    <w:basedOn w:val="a1"/>
    <w:uiPriority w:val="50"/>
    <w:rsid w:val="00F22C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5-6">
    <w:name w:val="Grid Table 5 Dark Accent 6"/>
    <w:basedOn w:val="a1"/>
    <w:uiPriority w:val="50"/>
    <w:rsid w:val="00F22C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5-5">
    <w:name w:val="Grid Table 5 Dark Accent 5"/>
    <w:basedOn w:val="a1"/>
    <w:uiPriority w:val="50"/>
    <w:rsid w:val="00F22C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50">
    <w:name w:val="List Table 5 Dark Accent 5"/>
    <w:basedOn w:val="a1"/>
    <w:uiPriority w:val="50"/>
    <w:rsid w:val="00B007FF"/>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4-5">
    <w:name w:val="List Table 4 Accent 5"/>
    <w:basedOn w:val="a1"/>
    <w:uiPriority w:val="49"/>
    <w:rsid w:val="00B007F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6">
    <w:name w:val="List Paragraph"/>
    <w:basedOn w:val="a"/>
    <w:uiPriority w:val="34"/>
    <w:qFormat/>
    <w:rsid w:val="00DD53BE"/>
    <w:pPr>
      <w:ind w:left="720"/>
      <w:contextualSpacing/>
    </w:pPr>
  </w:style>
  <w:style w:type="table" w:styleId="6-3">
    <w:name w:val="Grid Table 6 Colorful Accent 3"/>
    <w:basedOn w:val="a1"/>
    <w:uiPriority w:val="51"/>
    <w:rsid w:val="004C3C13"/>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4C3C1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5225</Words>
  <Characters>29789</Characters>
  <Application>Microsoft Office Word</Application>
  <DocSecurity>0</DocSecurity>
  <Lines>248</Lines>
  <Paragraphs>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حسن المغسل</cp:lastModifiedBy>
  <cp:revision>2</cp:revision>
  <cp:lastPrinted>2025-11-21T18:46:00Z</cp:lastPrinted>
  <dcterms:created xsi:type="dcterms:W3CDTF">2025-11-21T18:46:00Z</dcterms:created>
  <dcterms:modified xsi:type="dcterms:W3CDTF">2025-11-21T18:46:00Z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