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4B6AF8" w:rsidRDefault="009125CE" w:rsidP="002E1C43">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 xml:space="preserve">جامعة ميدأوشن </w:t>
      </w:r>
    </w:p>
    <w:p w14:paraId="1E957002" w14:textId="04B27A9D" w:rsidR="00F546CE" w:rsidRPr="004B6AF8" w:rsidRDefault="009125CE" w:rsidP="002E1C43">
      <w:pPr>
        <w:spacing w:line="360" w:lineRule="auto"/>
        <w:ind w:left="360"/>
        <w:jc w:val="both"/>
        <w:rPr>
          <w:rFonts w:asciiTheme="majorBidi" w:hAnsiTheme="majorBidi" w:cstheme="majorBidi"/>
          <w:color w:val="000000" w:themeColor="text1"/>
          <w:sz w:val="24"/>
          <w:szCs w:val="24"/>
          <w:rtl/>
          <w:lang w:bidi="ar-EG"/>
        </w:rPr>
      </w:pPr>
      <w:r w:rsidRPr="004B6AF8">
        <w:rPr>
          <w:rFonts w:asciiTheme="majorBidi" w:hAnsiTheme="majorBidi" w:cstheme="majorBidi"/>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B6AF8">
        <w:rPr>
          <w:rFonts w:asciiTheme="majorBidi" w:hAnsiTheme="majorBidi" w:cstheme="majorBidi"/>
          <w:color w:val="000000" w:themeColor="text1"/>
          <w:sz w:val="24"/>
          <w:szCs w:val="24"/>
          <w:lang w:bidi="ar-EG"/>
        </w:rPr>
        <w:t xml:space="preserve">    </w:t>
      </w:r>
      <w:r w:rsidRPr="004B6AF8">
        <w:rPr>
          <w:rFonts w:asciiTheme="majorBidi" w:hAnsiTheme="majorBidi" w:cstheme="majorBidi"/>
          <w:color w:val="000000" w:themeColor="text1"/>
          <w:sz w:val="24"/>
          <w:szCs w:val="24"/>
          <w:rtl/>
          <w:lang w:bidi="ar-EG"/>
        </w:rPr>
        <w:t xml:space="preserve">كلية الإدارة </w:t>
      </w:r>
    </w:p>
    <w:p w14:paraId="6846111F" w14:textId="63D33B46" w:rsidR="0018612B" w:rsidRPr="0018612B" w:rsidRDefault="00967C9D" w:rsidP="00967C9D">
      <w:pPr>
        <w:spacing w:line="360" w:lineRule="auto"/>
        <w:ind w:left="360"/>
        <w:rPr>
          <w:rFonts w:asciiTheme="majorBidi" w:eastAsia="Calibri" w:hAnsiTheme="majorBidi" w:cstheme="majorBidi"/>
          <w:b/>
          <w:bCs/>
          <w:sz w:val="24"/>
          <w:szCs w:val="24"/>
          <w:rtl/>
        </w:rPr>
      </w:pPr>
      <w:r w:rsidRPr="00967C9D">
        <w:rPr>
          <w:rFonts w:asciiTheme="majorBidi" w:eastAsia="Calibri" w:hAnsiTheme="majorBidi" w:cs="Times New Roman"/>
          <w:sz w:val="24"/>
          <w:szCs w:val="24"/>
          <w:rtl/>
          <w:lang w:bidi="ar-EG"/>
        </w:rPr>
        <w:t>تخصص الموارد البشرية</w:t>
      </w:r>
    </w:p>
    <w:p w14:paraId="55379167" w14:textId="77777777" w:rsidR="006A7846" w:rsidRDefault="006A7846" w:rsidP="006A7846">
      <w:pPr>
        <w:spacing w:line="360" w:lineRule="auto"/>
        <w:ind w:left="360"/>
        <w:jc w:val="center"/>
        <w:rPr>
          <w:rFonts w:asciiTheme="majorBidi" w:eastAsia="Calibri" w:hAnsiTheme="majorBidi" w:cstheme="majorBidi"/>
          <w:b/>
          <w:bCs/>
          <w:sz w:val="24"/>
          <w:szCs w:val="24"/>
          <w:rtl/>
        </w:rPr>
      </w:pPr>
    </w:p>
    <w:p w14:paraId="2EF2D12D" w14:textId="77777777" w:rsidR="00967C9D" w:rsidRPr="00967C9D" w:rsidRDefault="00967C9D" w:rsidP="00967C9D">
      <w:pPr>
        <w:spacing w:line="360" w:lineRule="auto"/>
        <w:ind w:left="360"/>
        <w:jc w:val="center"/>
        <w:rPr>
          <w:rFonts w:asciiTheme="majorBidi" w:eastAsia="Calibri" w:hAnsiTheme="majorBidi" w:cstheme="majorBidi"/>
          <w:b/>
          <w:bCs/>
          <w:sz w:val="24"/>
          <w:szCs w:val="24"/>
        </w:rPr>
      </w:pPr>
      <w:r w:rsidRPr="00967C9D">
        <w:rPr>
          <w:rFonts w:asciiTheme="majorBidi" w:eastAsia="Calibri" w:hAnsiTheme="majorBidi" w:cstheme="majorBidi"/>
          <w:b/>
          <w:bCs/>
          <w:sz w:val="24"/>
          <w:szCs w:val="24"/>
        </w:rPr>
        <w:t>:</w:t>
      </w:r>
    </w:p>
    <w:p w14:paraId="344F6DA9" w14:textId="00645783" w:rsidR="00967C9D" w:rsidRPr="00A63713" w:rsidRDefault="00967C9D" w:rsidP="00967C9D">
      <w:pPr>
        <w:spacing w:line="360" w:lineRule="auto"/>
        <w:ind w:left="360"/>
        <w:jc w:val="center"/>
        <w:rPr>
          <w:rFonts w:asciiTheme="majorBidi" w:eastAsia="Calibri" w:hAnsiTheme="majorBidi" w:cstheme="majorBidi"/>
          <w:b/>
          <w:bCs/>
          <w:sz w:val="32"/>
          <w:szCs w:val="32"/>
        </w:rPr>
      </w:pPr>
      <w:r w:rsidRPr="00A63713">
        <w:rPr>
          <w:rFonts w:asciiTheme="majorBidi" w:eastAsia="Calibri" w:hAnsiTheme="majorBidi" w:cstheme="majorBidi"/>
          <w:b/>
          <w:bCs/>
          <w:sz w:val="32"/>
          <w:szCs w:val="32"/>
          <w:rtl/>
        </w:rPr>
        <w:t>أثر ممارسات إدارة المعرفة على تحويل الخبرات المتراكمة إلى قيمة تنظيمية مستدامة: دراسة ميدانية على شركات القطاع الخاص بالمملكة العربية السعودية</w:t>
      </w:r>
    </w:p>
    <w:p w14:paraId="64374027" w14:textId="77777777" w:rsidR="00967C9D" w:rsidRDefault="00967C9D" w:rsidP="00967C9D">
      <w:pPr>
        <w:spacing w:line="360" w:lineRule="auto"/>
        <w:ind w:left="360"/>
        <w:jc w:val="center"/>
        <w:rPr>
          <w:rFonts w:asciiTheme="majorBidi" w:eastAsia="Calibri" w:hAnsiTheme="majorBidi" w:cstheme="majorBidi"/>
          <w:b/>
          <w:bCs/>
          <w:sz w:val="24"/>
          <w:szCs w:val="24"/>
          <w:rtl/>
        </w:rPr>
      </w:pPr>
      <w:r w:rsidRPr="00967C9D">
        <w:rPr>
          <w:rFonts w:asciiTheme="majorBidi" w:eastAsia="Calibri" w:hAnsiTheme="majorBidi" w:cstheme="majorBidi"/>
          <w:b/>
          <w:bCs/>
          <w:sz w:val="24"/>
          <w:szCs w:val="24"/>
          <w:rtl/>
        </w:rPr>
        <w:t>إعداد الطالب</w:t>
      </w:r>
      <w:r w:rsidRPr="00967C9D">
        <w:rPr>
          <w:rFonts w:asciiTheme="majorBidi" w:eastAsia="Calibri" w:hAnsiTheme="majorBidi" w:cstheme="majorBidi"/>
          <w:b/>
          <w:bCs/>
          <w:sz w:val="24"/>
          <w:szCs w:val="24"/>
        </w:rPr>
        <w:t xml:space="preserve">: </w:t>
      </w:r>
    </w:p>
    <w:p w14:paraId="2A0AADE5" w14:textId="68537187" w:rsidR="00967C9D" w:rsidRPr="00967C9D" w:rsidRDefault="00967C9D" w:rsidP="00967C9D">
      <w:pPr>
        <w:spacing w:line="360" w:lineRule="auto"/>
        <w:ind w:left="360"/>
        <w:jc w:val="center"/>
        <w:rPr>
          <w:rFonts w:asciiTheme="majorBidi" w:eastAsia="Calibri" w:hAnsiTheme="majorBidi" w:cstheme="majorBidi"/>
          <w:b/>
          <w:bCs/>
          <w:sz w:val="24"/>
          <w:szCs w:val="24"/>
        </w:rPr>
      </w:pPr>
      <w:r w:rsidRPr="00967C9D">
        <w:rPr>
          <w:rFonts w:asciiTheme="majorBidi" w:eastAsia="Calibri" w:hAnsiTheme="majorBidi" w:cstheme="majorBidi"/>
          <w:b/>
          <w:bCs/>
          <w:sz w:val="24"/>
          <w:szCs w:val="24"/>
          <w:rtl/>
        </w:rPr>
        <w:t>ياسر شميلان رشود العازمي</w:t>
      </w:r>
    </w:p>
    <w:p w14:paraId="251C4297" w14:textId="77777777" w:rsidR="00966E62" w:rsidRPr="00967C9D" w:rsidRDefault="00966E62" w:rsidP="00966E62">
      <w:pPr>
        <w:spacing w:line="360" w:lineRule="auto"/>
        <w:ind w:left="360"/>
        <w:jc w:val="center"/>
        <w:rPr>
          <w:rFonts w:asciiTheme="majorBidi" w:eastAsia="Calibri" w:hAnsiTheme="majorBidi" w:cstheme="majorBidi"/>
          <w:b/>
          <w:bCs/>
          <w:sz w:val="24"/>
          <w:szCs w:val="24"/>
          <w:rtl/>
        </w:rPr>
      </w:pPr>
    </w:p>
    <w:p w14:paraId="7B349D9D" w14:textId="77777777" w:rsidR="0018612B" w:rsidRDefault="0018612B" w:rsidP="0018612B">
      <w:pPr>
        <w:spacing w:line="360" w:lineRule="auto"/>
        <w:ind w:left="360"/>
        <w:jc w:val="center"/>
        <w:rPr>
          <w:rFonts w:asciiTheme="majorBidi" w:hAnsiTheme="majorBidi" w:cstheme="majorBidi"/>
          <w:color w:val="000000" w:themeColor="text1"/>
          <w:sz w:val="24"/>
          <w:szCs w:val="24"/>
          <w:rtl/>
          <w:lang w:bidi="ar-EG"/>
        </w:rPr>
      </w:pPr>
    </w:p>
    <w:p w14:paraId="5F4EE2DE" w14:textId="3056562C" w:rsidR="009125CE" w:rsidRPr="004B6AF8" w:rsidRDefault="009125CE" w:rsidP="0018612B">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إشراف/</w:t>
      </w:r>
    </w:p>
    <w:p w14:paraId="2EFA31CD" w14:textId="63FDA1D0" w:rsidR="009125CE" w:rsidRPr="004B6AF8" w:rsidRDefault="00D04F62"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د.الفيصل عبد الحميد</w:t>
      </w:r>
      <w:r w:rsidRPr="004B6AF8">
        <w:rPr>
          <w:rFonts w:asciiTheme="majorBidi" w:hAnsiTheme="majorBidi" w:cstheme="majorBidi"/>
          <w:color w:val="000000" w:themeColor="text1"/>
          <w:sz w:val="24"/>
          <w:szCs w:val="24"/>
          <w:rtl/>
          <w:lang w:bidi="ar-EG"/>
        </w:rPr>
        <w:br/>
        <w:t>د.فايز جراد</w:t>
      </w:r>
    </w:p>
    <w:p w14:paraId="22738CC6" w14:textId="77777777" w:rsidR="009125CE" w:rsidRPr="004B6AF8" w:rsidRDefault="009125CE" w:rsidP="002E1C43">
      <w:pPr>
        <w:spacing w:line="360" w:lineRule="auto"/>
        <w:jc w:val="center"/>
        <w:rPr>
          <w:rFonts w:asciiTheme="majorBidi" w:hAnsiTheme="majorBidi" w:cstheme="majorBidi"/>
          <w:color w:val="000000" w:themeColor="text1"/>
          <w:sz w:val="24"/>
          <w:szCs w:val="24"/>
          <w:rtl/>
          <w:lang w:bidi="ar-EG"/>
        </w:rPr>
      </w:pPr>
    </w:p>
    <w:p w14:paraId="14480418" w14:textId="78A6C3AC" w:rsidR="009125CE" w:rsidRPr="004B6AF8" w:rsidRDefault="009125CE"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العام الدراسي:</w:t>
      </w:r>
    </w:p>
    <w:p w14:paraId="0ECF42F7" w14:textId="6CDEC5BF" w:rsidR="009125CE" w:rsidRPr="004B6AF8" w:rsidRDefault="002D35A2" w:rsidP="002E1C43">
      <w:pPr>
        <w:spacing w:line="360" w:lineRule="auto"/>
        <w:ind w:left="360"/>
        <w:jc w:val="center"/>
        <w:rPr>
          <w:rFonts w:asciiTheme="majorBidi" w:hAnsiTheme="majorBidi" w:cstheme="majorBidi"/>
          <w:color w:val="000000" w:themeColor="text1"/>
          <w:sz w:val="24"/>
          <w:szCs w:val="24"/>
          <w:rtl/>
          <w:lang w:bidi="ar-EG"/>
        </w:rPr>
      </w:pPr>
      <w:r w:rsidRPr="004B6AF8">
        <w:rPr>
          <w:rFonts w:asciiTheme="majorBidi" w:hAnsiTheme="majorBidi" w:cstheme="majorBidi"/>
          <w:color w:val="000000" w:themeColor="text1"/>
          <w:sz w:val="24"/>
          <w:szCs w:val="24"/>
          <w:rtl/>
          <w:lang w:bidi="ar-EG"/>
        </w:rPr>
        <w:t>2026</w:t>
      </w:r>
    </w:p>
    <w:p w14:paraId="6DA6E2FA" w14:textId="77777777" w:rsidR="00C11F7C" w:rsidRDefault="00C11F7C"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6F4C1D5" w14:textId="77777777" w:rsidR="0085613D" w:rsidRDefault="0085613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16A9D6BE" w14:textId="77777777" w:rsidR="0085613D" w:rsidRPr="004B6AF8" w:rsidRDefault="0085613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228AF8BD" w14:textId="77777777" w:rsidR="007066DD" w:rsidRDefault="007066DD"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535D8988" w14:textId="77777777" w:rsidR="00CF035A" w:rsidRDefault="00CF035A" w:rsidP="002E1C43">
      <w:pPr>
        <w:spacing w:before="100" w:beforeAutospacing="1" w:after="100" w:afterAutospacing="1" w:line="360" w:lineRule="auto"/>
        <w:ind w:left="360"/>
        <w:jc w:val="both"/>
        <w:rPr>
          <w:rFonts w:asciiTheme="majorBidi" w:eastAsia="Times New Roman" w:hAnsiTheme="majorBidi" w:cstheme="majorBidi"/>
          <w:kern w:val="0"/>
          <w:sz w:val="24"/>
          <w:szCs w:val="24"/>
          <w:rtl/>
          <w14:ligatures w14:val="none"/>
        </w:rPr>
      </w:pPr>
    </w:p>
    <w:p w14:paraId="0A20C3DD" w14:textId="77777777" w:rsidR="00471290" w:rsidRDefault="00471290" w:rsidP="00471290">
      <w:pPr>
        <w:spacing w:line="360" w:lineRule="auto"/>
        <w:jc w:val="both"/>
        <w:rPr>
          <w:rFonts w:asciiTheme="majorBidi" w:eastAsia="Times New Roman" w:hAnsiTheme="majorBidi" w:cstheme="majorBidi"/>
          <w:b/>
          <w:bCs/>
          <w:sz w:val="24"/>
          <w:szCs w:val="24"/>
          <w:rtl/>
        </w:rPr>
      </w:pPr>
    </w:p>
    <w:p w14:paraId="468D6BD8" w14:textId="77777777" w:rsidR="006A7846" w:rsidRDefault="006A7846" w:rsidP="00471290">
      <w:pPr>
        <w:spacing w:line="360" w:lineRule="auto"/>
        <w:jc w:val="both"/>
        <w:rPr>
          <w:rFonts w:asciiTheme="majorBidi" w:eastAsia="Times New Roman" w:hAnsiTheme="majorBidi" w:cstheme="majorBidi"/>
          <w:b/>
          <w:bCs/>
          <w:sz w:val="24"/>
          <w:szCs w:val="24"/>
        </w:rPr>
      </w:pPr>
    </w:p>
    <w:p w14:paraId="69962639" w14:textId="77777777" w:rsidR="00471290" w:rsidRDefault="00471290" w:rsidP="00471290">
      <w:pPr>
        <w:spacing w:line="360" w:lineRule="auto"/>
        <w:jc w:val="both"/>
        <w:rPr>
          <w:rFonts w:asciiTheme="majorBidi" w:eastAsia="Times New Roman" w:hAnsiTheme="majorBidi" w:cstheme="majorBidi"/>
          <w:b/>
          <w:bCs/>
          <w:sz w:val="24"/>
          <w:szCs w:val="24"/>
        </w:rPr>
      </w:pPr>
    </w:p>
    <w:p w14:paraId="56117DB0" w14:textId="77777777" w:rsidR="0018612B" w:rsidRPr="006A7846" w:rsidRDefault="0018612B" w:rsidP="0018612B">
      <w:pPr>
        <w:spacing w:line="360" w:lineRule="auto"/>
        <w:jc w:val="both"/>
        <w:rPr>
          <w:rFonts w:asciiTheme="majorBidi" w:eastAsia="Times New Roman" w:hAnsiTheme="majorBidi" w:cstheme="majorBidi"/>
          <w:b/>
          <w:bCs/>
          <w:sz w:val="28"/>
          <w:szCs w:val="28"/>
        </w:rPr>
      </w:pPr>
      <w:r w:rsidRPr="006A7846">
        <w:rPr>
          <w:rFonts w:asciiTheme="majorBidi" w:eastAsia="Times New Roman" w:hAnsiTheme="majorBidi" w:cstheme="majorBidi"/>
          <w:b/>
          <w:bCs/>
          <w:sz w:val="28"/>
          <w:szCs w:val="28"/>
          <w:rtl/>
        </w:rPr>
        <w:t>أولاً: المقدمة</w:t>
      </w:r>
    </w:p>
    <w:p w14:paraId="58C2D907"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يُعدّ البحث العلمي الركيزة الأساسية لتقدم المجتمعات الإنسانية وتطورها في مختلف ميادين المعرفة، إذ يمثل الأداة الموضوعية المنهجية التي يلجأ إليها الباحثون لاستكشاف الحقائق وتفسير الظواهر وإنتاج المعرفة الجديدة التي تخدم الإنسانية وترتقي بحياتها. غير أن قيمة البحث العلمي ومصداقيته لا تتوقفان عند حدود الإتقان المنهجي والمهارة التقنية في التصميم والتحليل، بل تمتدّان لتشمل التزام الباحث بمنظومة من القيم والمبادئ الأخلاقية التي تحكم سلوكه في جميع مراحل العملية البحثية، بدءاً من اختيار الموضوع وصياغة المشكلة، مروراً بجمع البيانات وتحليلها، وانتهاءً بنشر النتائج وتعميمها على المجتمع العلمي</w:t>
      </w:r>
      <w:r w:rsidRPr="00967C9D">
        <w:rPr>
          <w:rFonts w:asciiTheme="majorBidi" w:eastAsia="Times New Roman" w:hAnsiTheme="majorBidi" w:cstheme="majorBidi"/>
          <w:sz w:val="24"/>
          <w:szCs w:val="24"/>
        </w:rPr>
        <w:t>.</w:t>
      </w:r>
    </w:p>
    <w:p w14:paraId="460CC054"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وتُعرَّف أخلاقيات البحث العلمي بأنها مجموعة المبادئ والقيم والقواعد المعيارية التي تحدد ما هو مقبول وما هو مرفوض في الممارسة البحثية، وتوجه الباحث نحو الالتزام بالنزاهة والأمانة العلمية واحترام حقوق المشاركين وحماية المجتمع من أي أضرار محتملة قد تنجم عن البحث</w:t>
      </w:r>
      <w:r w:rsidRPr="00967C9D">
        <w:rPr>
          <w:rFonts w:asciiTheme="majorBidi" w:eastAsia="Times New Roman" w:hAnsiTheme="majorBidi" w:cstheme="majorBidi"/>
          <w:sz w:val="24"/>
          <w:szCs w:val="24"/>
        </w:rPr>
        <w:t xml:space="preserve"> (Resnik, 2020). </w:t>
      </w:r>
      <w:r w:rsidRPr="00967C9D">
        <w:rPr>
          <w:rFonts w:asciiTheme="majorBidi" w:eastAsia="Times New Roman" w:hAnsiTheme="majorBidi" w:cstheme="majorBidi"/>
          <w:sz w:val="24"/>
          <w:szCs w:val="24"/>
          <w:rtl/>
        </w:rPr>
        <w:t>كما تُعرَّف بأنها "منظومة القواعد المعيارية التي يلتزم بها الباحث في علاقته بموضوع بحثه ومجتمع الدراسة والمجتمع العلمي بشكل عام، بما يضمن تحقيق أهداف البحث دون الإضرار بأي طرف من الأطراف ذات العلاقة" (الحربي، 2021). ويرى عبدالله (2022) أن أخلاقيات البحث ليست مجرد قيود خارجية تُفرض على الباحث، بل هي ضمير علمي داخلي يوجه قراراته ويرسم حدود ممارساته البحثية</w:t>
      </w:r>
      <w:r w:rsidRPr="00967C9D">
        <w:rPr>
          <w:rFonts w:asciiTheme="majorBidi" w:eastAsia="Times New Roman" w:hAnsiTheme="majorBidi" w:cstheme="majorBidi"/>
          <w:sz w:val="24"/>
          <w:szCs w:val="24"/>
        </w:rPr>
        <w:t>.</w:t>
      </w:r>
    </w:p>
    <w:p w14:paraId="723B27BC"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وقد اكتسبت أخلاقيات البحث العلمي في العقود الأخيرة أهمية متعاظمة في ظل التحولات الكبرى التي يشهدها الإنتاج المعرفي، من تنامي حجم الأبحاث المنشورة، وتعقد الموضوعات البحثية، وانتشار البحوث متعددة التخصصات، فضلاً عن دخول التقنيات الحديثة كالذكاء الاصطناعي في صناعة البحث العلمي، وهو ما يضع الباحثين أمام تحديات أخلاقية غير مسبوقة تستوجب وعياً عميقاً بالمبادئ والقواعد الحاكمة للممارسة البحثية الرشيدة</w:t>
      </w:r>
      <w:r w:rsidRPr="00967C9D">
        <w:rPr>
          <w:rFonts w:asciiTheme="majorBidi" w:eastAsia="Times New Roman" w:hAnsiTheme="majorBidi" w:cstheme="majorBidi"/>
          <w:sz w:val="24"/>
          <w:szCs w:val="24"/>
        </w:rPr>
        <w:t>.</w:t>
      </w:r>
    </w:p>
    <w:p w14:paraId="6270539A"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ويهدف هذا التقرير إلى تقديم معالجة منهجية شاملة لمفهوم أخلاقيات البحث العلمي ومبادئها الأساسية وقضاياها الجوهرية والقواعد المنظمة لها، مع تطبيق هذه المبادئ تطبيقاً عملياً على موضوع بحث الطالب المتعلق بأثر ممارسات إدارة المعرفة على تحويل الخبرات المتراكمة إلى قيمة تنظيمية مستدامة في شركات القطاع الخاص بالمملكة العربية السعودية، وذلك بما يعكس فهماً وظيفياً تطبيقياً لهذه المبادئ يتجاوز العرض النظري المجرد</w:t>
      </w:r>
      <w:r w:rsidRPr="00967C9D">
        <w:rPr>
          <w:rFonts w:asciiTheme="majorBidi" w:eastAsia="Times New Roman" w:hAnsiTheme="majorBidi" w:cstheme="majorBidi"/>
          <w:sz w:val="24"/>
          <w:szCs w:val="24"/>
        </w:rPr>
        <w:t>.</w:t>
      </w:r>
    </w:p>
    <w:p w14:paraId="0A4421FA" w14:textId="4659D441" w:rsidR="00967C9D" w:rsidRPr="00967C9D" w:rsidRDefault="00967C9D" w:rsidP="00967C9D">
      <w:pPr>
        <w:spacing w:line="360" w:lineRule="auto"/>
        <w:jc w:val="both"/>
        <w:rPr>
          <w:rFonts w:asciiTheme="majorBidi" w:eastAsia="Times New Roman" w:hAnsiTheme="majorBidi" w:cstheme="majorBidi"/>
          <w:b/>
          <w:bCs/>
          <w:sz w:val="28"/>
          <w:szCs w:val="28"/>
        </w:rPr>
      </w:pPr>
      <w:r w:rsidRPr="00967C9D">
        <w:rPr>
          <w:rFonts w:asciiTheme="majorBidi" w:eastAsia="Times New Roman" w:hAnsiTheme="majorBidi" w:cstheme="majorBidi"/>
          <w:b/>
          <w:bCs/>
          <w:sz w:val="28"/>
          <w:szCs w:val="28"/>
          <w:rtl/>
        </w:rPr>
        <w:t>أهمية أخلاقيات البحث العلمي</w:t>
      </w:r>
    </w:p>
    <w:p w14:paraId="72D81DED"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 xml:space="preserve">تكتسب أخلاقيات البحث العلمي أهميتها من كونها الضمانة الأساسية لمصداقية المعرفة المنتجة وقيمتها العلمية والاجتماعية، إذ إن أي إخلال بهذه الأخلاقيات يفضي إلى نتائج مضللة قد تترتب عليها قرارات خاطئة على المستويين الفردي والمؤسسي. فالأبحاث الإدارية والاجتماعية مثل البحث الحالي تُقدّم توصيات تستند إليها </w:t>
      </w:r>
      <w:r w:rsidRPr="00967C9D">
        <w:rPr>
          <w:rFonts w:asciiTheme="majorBidi" w:eastAsia="Times New Roman" w:hAnsiTheme="majorBidi" w:cstheme="majorBidi"/>
          <w:sz w:val="24"/>
          <w:szCs w:val="24"/>
          <w:rtl/>
        </w:rPr>
        <w:lastRenderedPageBreak/>
        <w:t>المنظمات وصُنّاع السياسات في رسم استراتيجياتهم وبرامجهم، فإن بُنيت هذه الأبحاث على ممارسات غير أخلاقية كتزوير البيانات أو التحيز في التحليل فإن الضرر سيمتد ليطال شريحة واسعة من المستفيدين</w:t>
      </w:r>
      <w:r w:rsidRPr="00967C9D">
        <w:rPr>
          <w:rFonts w:asciiTheme="majorBidi" w:eastAsia="Times New Roman" w:hAnsiTheme="majorBidi" w:cstheme="majorBidi"/>
          <w:sz w:val="24"/>
          <w:szCs w:val="24"/>
        </w:rPr>
        <w:t>.</w:t>
      </w:r>
    </w:p>
    <w:p w14:paraId="68011072"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وتُسهم أخلاقيات البحث العلمي في تعزيز الثقة بين المجتمع العلمي والجمهور العام، فحين يلتزم الباحثون بمبادئ النزاهة والشفافية، تترسخ في الوعي الجمعي صورة إيجابية عن المؤسسات الأكاديمية ومخرجاتها، مما يُشجّع الأفراد والمنظمات على التعاون مع الباحثين والمشاركة في دراساتهم وتقديم البيانات المطلوبة بكل ثقة</w:t>
      </w:r>
      <w:r w:rsidRPr="00967C9D">
        <w:rPr>
          <w:rFonts w:asciiTheme="majorBidi" w:eastAsia="Times New Roman" w:hAnsiTheme="majorBidi" w:cstheme="majorBidi"/>
          <w:sz w:val="24"/>
          <w:szCs w:val="24"/>
        </w:rPr>
        <w:t xml:space="preserve"> (Bhandari, 2022). </w:t>
      </w:r>
      <w:r w:rsidRPr="00967C9D">
        <w:rPr>
          <w:rFonts w:asciiTheme="majorBidi" w:eastAsia="Times New Roman" w:hAnsiTheme="majorBidi" w:cstheme="majorBidi"/>
          <w:sz w:val="24"/>
          <w:szCs w:val="24"/>
          <w:rtl/>
        </w:rPr>
        <w:t>وفي المقابل، فإن أي فضيحة علمية تتعلق بالاحتيال أو الانتحال أو التلاعب بالنتائج تُلحق ضرراً بالغاً بصورة البحث العلمي بأكمله، وتُضعف ثقة المجتمع في مخرجاته</w:t>
      </w:r>
      <w:r w:rsidRPr="00967C9D">
        <w:rPr>
          <w:rFonts w:asciiTheme="majorBidi" w:eastAsia="Times New Roman" w:hAnsiTheme="majorBidi" w:cstheme="majorBidi"/>
          <w:sz w:val="24"/>
          <w:szCs w:val="24"/>
        </w:rPr>
        <w:t>.</w:t>
      </w:r>
    </w:p>
    <w:p w14:paraId="0BE0CF4B"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كما تؤدي أخلاقيات البحث دوراً محورياً في حماية المشاركين في الدراسات من أي أضرار جسدية أو نفسية أو اجتماعية قد تنجم عن مشاركتهم. فالأفراد الذين يستجيبون لاستبانات البحث أو يخضعون لمقابلات معمقة يضعون ثقتهم في الباحث، ويتوقعون منه احترام خصوصياتهم والحفاظ على سرية بياناتهم وعدم استخدامها في غير الأغراض المُعلنة. وقد أكدت دراسة</w:t>
      </w:r>
      <w:r w:rsidRPr="00967C9D">
        <w:rPr>
          <w:rFonts w:asciiTheme="majorBidi" w:eastAsia="Times New Roman" w:hAnsiTheme="majorBidi" w:cstheme="majorBidi"/>
          <w:sz w:val="24"/>
          <w:szCs w:val="24"/>
        </w:rPr>
        <w:t xml:space="preserve"> Resnik (2020) </w:t>
      </w:r>
      <w:r w:rsidRPr="00967C9D">
        <w:rPr>
          <w:rFonts w:asciiTheme="majorBidi" w:eastAsia="Times New Roman" w:hAnsiTheme="majorBidi" w:cstheme="majorBidi"/>
          <w:sz w:val="24"/>
          <w:szCs w:val="24"/>
          <w:rtl/>
        </w:rPr>
        <w:t>أن الالتزام بأخلاقيات البحث يُعد التزاماً قانونياً وأخلاقياً في آنٍ معاً، يحمي الباحث والمشاركين والمؤسسة الأكاديمية على حدٍ سواء</w:t>
      </w:r>
      <w:r w:rsidRPr="00967C9D">
        <w:rPr>
          <w:rFonts w:asciiTheme="majorBidi" w:eastAsia="Times New Roman" w:hAnsiTheme="majorBidi" w:cstheme="majorBidi"/>
          <w:sz w:val="24"/>
          <w:szCs w:val="24"/>
        </w:rPr>
        <w:t>.</w:t>
      </w:r>
    </w:p>
    <w:p w14:paraId="4A7D169C"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ومن جهة أخرى، تُسهم أخلاقيات البحث في ضمان جودة النتائج وموثوقيتها العلمية، فالباحث الذي يلتزم بالأمانة في جمع البيانات وتحليلها يُنتج نتائج تعكس الواقع الفعلي للظاهرة المدروسة، مما يجعل هذه النتائج صالحة للتعميم والاعتماد عليها في صنع القرار. وقد بيّن مرسي (2023) أن الالتزام الأخلاقي يرتبط ارتباطاً وثيقاً بالصدق والثبات في القياس، وهما المعياران الأساسيان لجودة أي بحث علمي</w:t>
      </w:r>
      <w:r w:rsidRPr="00967C9D">
        <w:rPr>
          <w:rFonts w:asciiTheme="majorBidi" w:eastAsia="Times New Roman" w:hAnsiTheme="majorBidi" w:cstheme="majorBidi"/>
          <w:sz w:val="24"/>
          <w:szCs w:val="24"/>
        </w:rPr>
        <w:t>.</w:t>
      </w:r>
    </w:p>
    <w:p w14:paraId="3BD93883"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كذلك تحمي أخلاقيات البحث المجتمع من الأضرار المحتملة التي قد تنجم عن سوء استخدام نتائج البحوث، فحين يلتزم الباحث بتقديم نتائجه بشكل أمين ومتوازن، ويُفصح عن حدود دراسته ومحدداتها، فإنه يُجنّب صُنّاع القرار اتخاذ قرارات مبنية على افتراضات خاطئة أو تعميمات غير مبررة. كما تُسهم هذه الأخلاقيات في حماية الباحث نفسه من المساءلة القانونية والمؤسسية، إذ إن الالتزام بالقواعد المعتمدة يحفظ حقوقه ويصون سمعته الأكاديمية</w:t>
      </w:r>
      <w:r w:rsidRPr="00967C9D">
        <w:rPr>
          <w:rFonts w:asciiTheme="majorBidi" w:eastAsia="Times New Roman" w:hAnsiTheme="majorBidi" w:cstheme="majorBidi"/>
          <w:sz w:val="24"/>
          <w:szCs w:val="24"/>
        </w:rPr>
        <w:t>.</w:t>
      </w:r>
    </w:p>
    <w:p w14:paraId="1759CB44" w14:textId="7F308B90" w:rsidR="00967C9D" w:rsidRPr="00967C9D" w:rsidRDefault="00967C9D" w:rsidP="00967C9D">
      <w:pPr>
        <w:spacing w:line="360" w:lineRule="auto"/>
        <w:jc w:val="both"/>
        <w:rPr>
          <w:rFonts w:asciiTheme="majorBidi" w:eastAsia="Times New Roman" w:hAnsiTheme="majorBidi" w:cstheme="majorBidi"/>
          <w:b/>
          <w:bCs/>
          <w:sz w:val="28"/>
          <w:szCs w:val="28"/>
        </w:rPr>
      </w:pPr>
      <w:r w:rsidRPr="00967C9D">
        <w:rPr>
          <w:rFonts w:asciiTheme="majorBidi" w:eastAsia="Times New Roman" w:hAnsiTheme="majorBidi" w:cstheme="majorBidi"/>
          <w:b/>
          <w:bCs/>
          <w:sz w:val="28"/>
          <w:szCs w:val="28"/>
          <w:rtl/>
        </w:rPr>
        <w:t>المبادئ الأساسية لأخلاقيات البحث العلمي</w:t>
      </w:r>
    </w:p>
    <w:p w14:paraId="6AD7A2BA"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تقوم أخلاقيات البحث العلمي على منظومة متكاملة من المبادئ الأساسية التي تشكل في مجموعها الإطار المعياري الحاكم للممارسة البحثية الرشيدة، وفيما يلي عرض لأبرز هذه المبادئ</w:t>
      </w:r>
      <w:r w:rsidRPr="00967C9D">
        <w:rPr>
          <w:rFonts w:asciiTheme="majorBidi" w:eastAsia="Times New Roman" w:hAnsiTheme="majorBidi" w:cstheme="majorBidi"/>
          <w:sz w:val="24"/>
          <w:szCs w:val="24"/>
        </w:rPr>
        <w:t>:</w:t>
      </w:r>
    </w:p>
    <w:p w14:paraId="6D8AAE28"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أولاً: الأمانة العلمية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تُعدّ الأمانة العلمية الركيزة الأولى لأخلاقيات البحث، وتعني التزام الباحث بنقل المعلومات والأفكار من مصادرها الأصلية مع نسبتها إلى أصحابها الحقيقيين دون انتحال أو تحريف، وتقديم النتائج كما توصل إليها فعلاً دون تزوير أو تلفيق</w:t>
      </w:r>
      <w:r w:rsidRPr="00967C9D">
        <w:rPr>
          <w:rFonts w:asciiTheme="majorBidi" w:eastAsia="Times New Roman" w:hAnsiTheme="majorBidi" w:cstheme="majorBidi"/>
          <w:sz w:val="24"/>
          <w:szCs w:val="24"/>
        </w:rPr>
        <w:t xml:space="preserve"> (Drasah, 2023). </w:t>
      </w:r>
      <w:r w:rsidRPr="00967C9D">
        <w:rPr>
          <w:rFonts w:asciiTheme="majorBidi" w:eastAsia="Times New Roman" w:hAnsiTheme="majorBidi" w:cstheme="majorBidi"/>
          <w:sz w:val="24"/>
          <w:szCs w:val="24"/>
          <w:rtl/>
        </w:rPr>
        <w:t>فعلى سبيل المثال، حين يقتبس الباحث في موضوع إدارة المعرفة فقرة من دراسة نوناكا وتاكيوتشي حول نموذج</w:t>
      </w:r>
      <w:r w:rsidRPr="00967C9D">
        <w:rPr>
          <w:rFonts w:asciiTheme="majorBidi" w:eastAsia="Times New Roman" w:hAnsiTheme="majorBidi" w:cstheme="majorBidi"/>
          <w:sz w:val="24"/>
          <w:szCs w:val="24"/>
        </w:rPr>
        <w:t xml:space="preserve"> SECI</w:t>
      </w:r>
      <w:r w:rsidRPr="00967C9D">
        <w:rPr>
          <w:rFonts w:asciiTheme="majorBidi" w:eastAsia="Times New Roman" w:hAnsiTheme="majorBidi" w:cstheme="majorBidi"/>
          <w:sz w:val="24"/>
          <w:szCs w:val="24"/>
          <w:rtl/>
        </w:rPr>
        <w:t>، فعليه توثيقها بشكل دقيق ضمن قائمة المراجع، وإشارة واضحة في المتن إلى مصدرها، حتى لو أعاد صياغتها بأسلوبه الخاص</w:t>
      </w:r>
      <w:r w:rsidRPr="00967C9D">
        <w:rPr>
          <w:rFonts w:asciiTheme="majorBidi" w:eastAsia="Times New Roman" w:hAnsiTheme="majorBidi" w:cstheme="majorBidi"/>
          <w:sz w:val="24"/>
          <w:szCs w:val="24"/>
        </w:rPr>
        <w:t>.</w:t>
      </w:r>
    </w:p>
    <w:p w14:paraId="7C4826A5"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ثانياً: النزاهة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يُقصد بالنزاهة الالتزام بالسلوك القويم في جميع مراحل البحث، بما يشمل الصدق في التعامل مع البيانات، والشفافية في الإفصاح عن المنهجية المتبعة، والاعتراف بالإسهامات السابقة للباحثين الآخرين</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Pr>
        <w:lastRenderedPageBreak/>
        <w:t xml:space="preserve">(Shamoo &amp; Resnik, 2022). </w:t>
      </w:r>
      <w:r w:rsidRPr="00967C9D">
        <w:rPr>
          <w:rFonts w:asciiTheme="majorBidi" w:eastAsia="Times New Roman" w:hAnsiTheme="majorBidi" w:cstheme="majorBidi"/>
          <w:sz w:val="24"/>
          <w:szCs w:val="24"/>
          <w:rtl/>
        </w:rPr>
        <w:t>ومن أمثلتها التطبيقية أن يُفصح الباحث في دراسته عن جميع الاستبانات الموزعة وعدد المسترجع منها والمستبعد، وأسباب الاستبعاد، دون إخفاء أي بيانات قد تؤثر في النتائج</w:t>
      </w:r>
      <w:r w:rsidRPr="00967C9D">
        <w:rPr>
          <w:rFonts w:asciiTheme="majorBidi" w:eastAsia="Times New Roman" w:hAnsiTheme="majorBidi" w:cstheme="majorBidi"/>
          <w:sz w:val="24"/>
          <w:szCs w:val="24"/>
        </w:rPr>
        <w:t>.</w:t>
      </w:r>
    </w:p>
    <w:p w14:paraId="76FF7A5B"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ثالثاً: الموضوعية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تعني تجرد الباحث من الانحيازات الشخصية والمصالح الذاتية، وتحليل البيانات وفق ما تكشف عنه من حقائق دون توجيهها لخدمة فرضية مسبقة. فالموضوعية تستوجب أن يتقبل الباحث النتائج التي تتعارض مع توقعاته بنفس القدر الذي يتقبل به النتائج المؤيدة لها (الحربي، 2021). مثال ذلك: إذا توصلت دراسة الباحث الحالي إلى أن أحد أبعاد إدارة المعرفة (كتخزين المعرفة) لم يكن له أثر دال إحصائياً على تحويل الخبرات إلى قيمة مستدامة، فعليه عرض هذه النتيجة بأمانة وتفسيرها علمياً، لا إخفاؤها أو تحريفها لتتوافق مع توقعاته الأولية</w:t>
      </w:r>
      <w:r w:rsidRPr="00967C9D">
        <w:rPr>
          <w:rFonts w:asciiTheme="majorBidi" w:eastAsia="Times New Roman" w:hAnsiTheme="majorBidi" w:cstheme="majorBidi"/>
          <w:sz w:val="24"/>
          <w:szCs w:val="24"/>
        </w:rPr>
        <w:t>.</w:t>
      </w:r>
    </w:p>
    <w:p w14:paraId="4205DCFC"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رابعاً: السرية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تتطلب أخلاقيات البحث الحفاظ على سرية المعلومات الشخصية للمشاركين، وعدم الكشف عن هوياتهم أو ربط استجاباتهم بأشخاصهم، واستخدام البيانات حصراً للأغراض البحثية المُعلنة</w:t>
      </w:r>
      <w:r w:rsidRPr="00967C9D">
        <w:rPr>
          <w:rFonts w:asciiTheme="majorBidi" w:eastAsia="Times New Roman" w:hAnsiTheme="majorBidi" w:cstheme="majorBidi"/>
          <w:sz w:val="24"/>
          <w:szCs w:val="24"/>
        </w:rPr>
        <w:t xml:space="preserve"> (Bhandari, 2022). </w:t>
      </w:r>
      <w:r w:rsidRPr="00967C9D">
        <w:rPr>
          <w:rFonts w:asciiTheme="majorBidi" w:eastAsia="Times New Roman" w:hAnsiTheme="majorBidi" w:cstheme="majorBidi"/>
          <w:sz w:val="24"/>
          <w:szCs w:val="24"/>
          <w:rtl/>
        </w:rPr>
        <w:t>فعلى سبيل المثال، حين يجمع الباحث بيانات من موظفي شركات القطاع الخاص السعودي، عليه ضمان عدم ذكر أسماء الموظفين أو الشركات في التقرير النهائي، مع تخزين البيانات الأصلية في مكان آمن ومحدود الوصول</w:t>
      </w:r>
      <w:r w:rsidRPr="00967C9D">
        <w:rPr>
          <w:rFonts w:asciiTheme="majorBidi" w:eastAsia="Times New Roman" w:hAnsiTheme="majorBidi" w:cstheme="majorBidi"/>
          <w:sz w:val="24"/>
          <w:szCs w:val="24"/>
        </w:rPr>
        <w:t>.</w:t>
      </w:r>
    </w:p>
    <w:p w14:paraId="75FB86FC"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خامساً: الموافقة المستنيرة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تستوجب هذه الأخلاقيات الحصول على موافقة صريحة من المشاركين قبل إشراكهم في الدراسة، بعد إطلاعهم بشكل واضح على أهداف البحث وطبيعة البيانات المطلوبة والاستخدامات المتوقعة لها وحقهم في الانسحاب في أي وقت</w:t>
      </w:r>
      <w:r w:rsidRPr="00967C9D">
        <w:rPr>
          <w:rFonts w:asciiTheme="majorBidi" w:eastAsia="Times New Roman" w:hAnsiTheme="majorBidi" w:cstheme="majorBidi"/>
          <w:sz w:val="24"/>
          <w:szCs w:val="24"/>
        </w:rPr>
        <w:t xml:space="preserve"> (NIH, 2021). </w:t>
      </w:r>
      <w:r w:rsidRPr="00967C9D">
        <w:rPr>
          <w:rFonts w:asciiTheme="majorBidi" w:eastAsia="Times New Roman" w:hAnsiTheme="majorBidi" w:cstheme="majorBidi"/>
          <w:sz w:val="24"/>
          <w:szCs w:val="24"/>
          <w:rtl/>
        </w:rPr>
        <w:t>ومن التطبيقات العملية لهذا المبدأ أن يُصدّر الباحث استبانته بفقرة تعريفية توضح للمستجيب طبيعة البحث وأهدافه، وتؤكد له طوعية المشاركة وسرية البيانات، وتمنحه حق الانسحاب دون أي تبعات</w:t>
      </w:r>
      <w:r w:rsidRPr="00967C9D">
        <w:rPr>
          <w:rFonts w:asciiTheme="majorBidi" w:eastAsia="Times New Roman" w:hAnsiTheme="majorBidi" w:cstheme="majorBidi"/>
          <w:sz w:val="24"/>
          <w:szCs w:val="24"/>
        </w:rPr>
        <w:t>.</w:t>
      </w:r>
    </w:p>
    <w:p w14:paraId="4D7670C6"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سادساً: الإحسان وعدم الإضرار</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يعني هذا المبدأ السعي إلى تحقيق المنفعة من البحث وتجنب إلحاق أي ضرر بالمشاركين، سواء كان ضرراً نفسياً أو مهنياً أو اجتماعياً</w:t>
      </w:r>
      <w:r w:rsidRPr="00967C9D">
        <w:rPr>
          <w:rFonts w:asciiTheme="majorBidi" w:eastAsia="Times New Roman" w:hAnsiTheme="majorBidi" w:cstheme="majorBidi"/>
          <w:sz w:val="24"/>
          <w:szCs w:val="24"/>
        </w:rPr>
        <w:t xml:space="preserve"> (Kenyon College, 2022). </w:t>
      </w:r>
      <w:r w:rsidRPr="00967C9D">
        <w:rPr>
          <w:rFonts w:asciiTheme="majorBidi" w:eastAsia="Times New Roman" w:hAnsiTheme="majorBidi" w:cstheme="majorBidi"/>
          <w:sz w:val="24"/>
          <w:szCs w:val="24"/>
          <w:rtl/>
        </w:rPr>
        <w:t>ففي البحوث الإدارية، قد يخشى الموظفون من أن تصل آراؤهم النقدية حول إدارة شركاتهم إلى مسؤوليهم، مما يستوجب من الباحث توفير ضمانات حقيقية لحماية المشاركين من أي تبعات سلبية</w:t>
      </w:r>
      <w:r w:rsidRPr="00967C9D">
        <w:rPr>
          <w:rFonts w:asciiTheme="majorBidi" w:eastAsia="Times New Roman" w:hAnsiTheme="majorBidi" w:cstheme="majorBidi"/>
          <w:sz w:val="24"/>
          <w:szCs w:val="24"/>
        </w:rPr>
        <w:t>.</w:t>
      </w:r>
    </w:p>
    <w:p w14:paraId="53D14641"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سابعاً: العدالة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تقتضي العدالة توزيع منافع البحث وأعبائه بشكل متوازن بين المشاركين، وعدم استغلال فئات معينة دون أن تنال نصيبها العادل من فوائد البحث. كما تستوجب اختيار العينة بطريقة عادلة لا تتضمن تمييزاً غير مبرر علمياً ضد أي مجموعة من المجتمع</w:t>
      </w:r>
      <w:r w:rsidRPr="00967C9D">
        <w:rPr>
          <w:rFonts w:asciiTheme="majorBidi" w:eastAsia="Times New Roman" w:hAnsiTheme="majorBidi" w:cstheme="majorBidi"/>
          <w:sz w:val="24"/>
          <w:szCs w:val="24"/>
        </w:rPr>
        <w:t>.</w:t>
      </w:r>
    </w:p>
    <w:p w14:paraId="1E80FBCA" w14:textId="5E32118E" w:rsidR="00967C9D" w:rsidRPr="00967C9D" w:rsidRDefault="00967C9D" w:rsidP="00967C9D">
      <w:pPr>
        <w:spacing w:line="360" w:lineRule="auto"/>
        <w:jc w:val="both"/>
        <w:rPr>
          <w:rFonts w:asciiTheme="majorBidi" w:eastAsia="Times New Roman" w:hAnsiTheme="majorBidi" w:cstheme="majorBidi"/>
          <w:b/>
          <w:bCs/>
          <w:sz w:val="28"/>
          <w:szCs w:val="28"/>
        </w:rPr>
      </w:pPr>
      <w:r w:rsidRPr="00967C9D">
        <w:rPr>
          <w:rFonts w:asciiTheme="majorBidi" w:eastAsia="Times New Roman" w:hAnsiTheme="majorBidi" w:cstheme="majorBidi"/>
          <w:b/>
          <w:bCs/>
          <w:sz w:val="28"/>
          <w:szCs w:val="28"/>
          <w:rtl/>
        </w:rPr>
        <w:t>القضايا الأخلاقية في البحث العلمي</w:t>
      </w:r>
    </w:p>
    <w:p w14:paraId="5548357F"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تواجه الممارسة البحثية مجموعة من القضايا الأخلاقية الشائكة التي يستوجب على الباحث الوعي بها والاحتراس منها، وأبرزها</w:t>
      </w:r>
      <w:r w:rsidRPr="00967C9D">
        <w:rPr>
          <w:rFonts w:asciiTheme="majorBidi" w:eastAsia="Times New Roman" w:hAnsiTheme="majorBidi" w:cstheme="majorBidi"/>
          <w:sz w:val="24"/>
          <w:szCs w:val="24"/>
        </w:rPr>
        <w:t>:</w:t>
      </w:r>
    </w:p>
    <w:p w14:paraId="4E391D0E"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أولاً: الانتحال العلمي</w:t>
      </w:r>
      <w:r w:rsidRPr="00967C9D">
        <w:rPr>
          <w:rFonts w:asciiTheme="majorBidi" w:eastAsia="Times New Roman" w:hAnsiTheme="majorBidi" w:cstheme="majorBidi"/>
          <w:b/>
          <w:bCs/>
          <w:sz w:val="24"/>
          <w:szCs w:val="24"/>
        </w:rPr>
        <w:t xml:space="preserve"> (Plagiarism):</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 xml:space="preserve">يُعدّ من أخطر القضايا الأخلاقية، ويعني نسبة أفكار الآخرين أو كلماتهم أو نتائجهم إلى الباحث دون توثيق صحيح، سواء كان ذلك بشكل متعمد أو بسبب الإهمال في التوثيق. وتتعدد صور الانتحال لتشمل النسخ الحرفي، وإعادة الصياغة دون الإشارة إلى المصدر، والترجمة من لغة إلى أخرى دون </w:t>
      </w:r>
      <w:r w:rsidRPr="00967C9D">
        <w:rPr>
          <w:rFonts w:asciiTheme="majorBidi" w:eastAsia="Times New Roman" w:hAnsiTheme="majorBidi" w:cstheme="majorBidi"/>
          <w:sz w:val="24"/>
          <w:szCs w:val="24"/>
          <w:rtl/>
        </w:rPr>
        <w:lastRenderedPageBreak/>
        <w:t>توثيق، والانتحال الذاتي الذي يعني إعادة نشر أعمال الباحث السابقة دون الإشارة إلى ذلك</w:t>
      </w:r>
      <w:r w:rsidRPr="00967C9D">
        <w:rPr>
          <w:rFonts w:asciiTheme="majorBidi" w:eastAsia="Times New Roman" w:hAnsiTheme="majorBidi" w:cstheme="majorBidi"/>
          <w:sz w:val="24"/>
          <w:szCs w:val="24"/>
        </w:rPr>
        <w:t xml:space="preserve"> (Proof-Reading-Service, 2023). </w:t>
      </w:r>
      <w:r w:rsidRPr="00967C9D">
        <w:rPr>
          <w:rFonts w:asciiTheme="majorBidi" w:eastAsia="Times New Roman" w:hAnsiTheme="majorBidi" w:cstheme="majorBidi"/>
          <w:b/>
          <w:bCs/>
          <w:sz w:val="24"/>
          <w:szCs w:val="24"/>
          <w:rtl/>
        </w:rPr>
        <w:t>مثال واقعي</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كشفت إحدى الجامعات العربية في عام 2022 عن سحب درجة الدكتوراه من أحد طلابها بعد ثبوت اقتباسه فصلاً كاملاً من رسالة ماجستير سابقة دون توثيق، مما أدى إلى سحب الدرجة العلمية وفصله مهنياً</w:t>
      </w:r>
      <w:r w:rsidRPr="00967C9D">
        <w:rPr>
          <w:rFonts w:asciiTheme="majorBidi" w:eastAsia="Times New Roman" w:hAnsiTheme="majorBidi" w:cstheme="majorBidi"/>
          <w:sz w:val="24"/>
          <w:szCs w:val="24"/>
        </w:rPr>
        <w:t>.</w:t>
      </w:r>
    </w:p>
    <w:p w14:paraId="001C8CB7"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ثانياً: تزوير البيانات وتلفيقها</w:t>
      </w:r>
      <w:r w:rsidRPr="00967C9D">
        <w:rPr>
          <w:rFonts w:asciiTheme="majorBidi" w:eastAsia="Times New Roman" w:hAnsiTheme="majorBidi" w:cstheme="majorBidi"/>
          <w:b/>
          <w:bCs/>
          <w:sz w:val="24"/>
          <w:szCs w:val="24"/>
        </w:rPr>
        <w:t xml:space="preserve"> (Data Fabrication &amp; Falsification):</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يُقصد بالتزوير ابتداع بيانات لم تُجمع فعلاً من الميدان، بينما يعني التلفيق التلاعب في البيانات المجموعة لتعديل النتائج بما يتوافق مع توجهات الباحث (مجلة الدراسات الأمنية، 2023)</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b/>
          <w:bCs/>
          <w:sz w:val="24"/>
          <w:szCs w:val="24"/>
          <w:rtl/>
        </w:rPr>
        <w:t>مثال افتراضي</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قد يجد باحث أن استبانته لم تتجاوز 200 استجابة بدلاً من 384 المطلوبة، فيعمد إلى ملء استبانات إضافية بنفسه أو بمساعدة آخرين بهدف بلوغ الحجم المطلوب، وهو ما يُعدّ خرقاً أخلاقياً جسيماً يُفقد البحث مصداقيته كلياً</w:t>
      </w:r>
      <w:r w:rsidRPr="00967C9D">
        <w:rPr>
          <w:rFonts w:asciiTheme="majorBidi" w:eastAsia="Times New Roman" w:hAnsiTheme="majorBidi" w:cstheme="majorBidi"/>
          <w:sz w:val="24"/>
          <w:szCs w:val="24"/>
        </w:rPr>
        <w:t>.</w:t>
      </w:r>
    </w:p>
    <w:p w14:paraId="624EE7CC"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ثالثاً: التحيز</w:t>
      </w:r>
      <w:r w:rsidRPr="00967C9D">
        <w:rPr>
          <w:rFonts w:asciiTheme="majorBidi" w:eastAsia="Times New Roman" w:hAnsiTheme="majorBidi" w:cstheme="majorBidi"/>
          <w:b/>
          <w:bCs/>
          <w:sz w:val="24"/>
          <w:szCs w:val="24"/>
        </w:rPr>
        <w:t xml:space="preserve"> (Bias):</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يحدث التحيز حين يدخل الباحث متغيرات شخصية تؤثر على موضوعية النتائج، سواء في اختيار العينة، أو صياغة أسئلة الاستبانة بطريقة موجِّهة، أو في تفسير النتائج</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b/>
          <w:bCs/>
          <w:sz w:val="24"/>
          <w:szCs w:val="24"/>
          <w:rtl/>
        </w:rPr>
        <w:t>مثال</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أن يصوغ الباحث في موضوع إدارة المعرفة سؤالاً مثل: "ألا توافق أن مشاركة المعرفة تُسهم بشكل كبير في تحقيق الاستدامة؟" بدلاً من سؤال محايد كـ "إلى أي مدى تتفق مع أن مشاركة المعرفة تُسهم في تحقيق الاستدامة؟</w:t>
      </w:r>
      <w:r w:rsidRPr="00967C9D">
        <w:rPr>
          <w:rFonts w:asciiTheme="majorBidi" w:eastAsia="Times New Roman" w:hAnsiTheme="majorBidi" w:cstheme="majorBidi"/>
          <w:sz w:val="24"/>
          <w:szCs w:val="24"/>
        </w:rPr>
        <w:t>".</w:t>
      </w:r>
    </w:p>
    <w:p w14:paraId="081F7A78"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رابعاً: انتهاك الخصوصية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يحدث حين يُفصح الباحث عن معلومات تخص المشاركين دون موافقتهم، أو يربط البيانات بأسمائهم في التقرير النهائي</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b/>
          <w:bCs/>
          <w:sz w:val="24"/>
          <w:szCs w:val="24"/>
          <w:rtl/>
        </w:rPr>
        <w:t>مثال</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أن يذكر الباحث في نتائجه اسم شركة بعينها مع نسب الاستجابة الخاصة بها، مما قد يكشف هويات موظفين بعينهم ويُعرّضهم لمساءلة من إدارتهم</w:t>
      </w:r>
      <w:r w:rsidRPr="00967C9D">
        <w:rPr>
          <w:rFonts w:asciiTheme="majorBidi" w:eastAsia="Times New Roman" w:hAnsiTheme="majorBidi" w:cstheme="majorBidi"/>
          <w:sz w:val="24"/>
          <w:szCs w:val="24"/>
        </w:rPr>
        <w:t>.</w:t>
      </w:r>
    </w:p>
    <w:p w14:paraId="3AAA0B09"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خامساً: تضارب المصالح</w:t>
      </w:r>
      <w:r w:rsidRPr="00967C9D">
        <w:rPr>
          <w:rFonts w:asciiTheme="majorBidi" w:eastAsia="Times New Roman" w:hAnsiTheme="majorBidi" w:cstheme="majorBidi"/>
          <w:b/>
          <w:bCs/>
          <w:sz w:val="24"/>
          <w:szCs w:val="24"/>
        </w:rPr>
        <w:t xml:space="preserve"> (Conflict of Interest):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يحدث حين تتداخل مصالح شخصية أو مالية للباحث مع موضوع بحثه، بما يؤثر على حياده</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b/>
          <w:bCs/>
          <w:sz w:val="24"/>
          <w:szCs w:val="24"/>
          <w:rtl/>
        </w:rPr>
        <w:t>مثال</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أن يُجري باحث دراسة على شركة يملك فيها أسهماً أو يعمل بها قريب له في موقع قيادي، دون أن يُفصح عن هذه العلاقة في تقريره</w:t>
      </w:r>
      <w:r w:rsidRPr="00967C9D">
        <w:rPr>
          <w:rFonts w:asciiTheme="majorBidi" w:eastAsia="Times New Roman" w:hAnsiTheme="majorBidi" w:cstheme="majorBidi"/>
          <w:sz w:val="24"/>
          <w:szCs w:val="24"/>
        </w:rPr>
        <w:t>.</w:t>
      </w:r>
    </w:p>
    <w:p w14:paraId="28763003"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سادساً: إساءة استخدام التأليف</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تشمل إضافة أسماء باحثين لم يُسهموا فعلاً في البحث، أو حذف أسماء باحثين أسهموا فيه، أو ترتيب الأسماء بطريقة لا تعكس حجم الإسهام الفعلي</w:t>
      </w:r>
      <w:r w:rsidRPr="00967C9D">
        <w:rPr>
          <w:rFonts w:asciiTheme="majorBidi" w:eastAsia="Times New Roman" w:hAnsiTheme="majorBidi" w:cstheme="majorBidi"/>
          <w:sz w:val="24"/>
          <w:szCs w:val="24"/>
        </w:rPr>
        <w:t>.</w:t>
      </w:r>
    </w:p>
    <w:p w14:paraId="591CB177"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سابعاً: النشر المكرر والتقديم المتعدد</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ويعني نشر الباحث للبحث ذاته في أكثر من دورية، أو إرساله إلى عدة مجلات في وقت واحد، وهو ما يُعدّ مخالفاً لأخلاقيات النشر (المجلة الليبية للدراسات، 2023</w:t>
      </w:r>
      <w:r w:rsidRPr="00967C9D">
        <w:rPr>
          <w:rFonts w:asciiTheme="majorBidi" w:eastAsia="Times New Roman" w:hAnsiTheme="majorBidi" w:cstheme="majorBidi"/>
          <w:sz w:val="24"/>
          <w:szCs w:val="24"/>
        </w:rPr>
        <w:t>).</w:t>
      </w:r>
    </w:p>
    <w:p w14:paraId="3CD0FBEC"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ثامناً: قضايا الذكاء الاصطناعي في البحث</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برزت في السنوات الأخيرة قضية أخلاقية جديدة تتعلق باستخدام أدوات الذكاء الاصطناعي التوليدي في كتابة البحوث، مما استوجب من المؤسسات الأكاديمية وضع ضوابط واضحة للإفصاح عن مدى الاستعانة بهذه الأدوات ونطاق استخدامها</w:t>
      </w:r>
      <w:r w:rsidRPr="00967C9D">
        <w:rPr>
          <w:rFonts w:asciiTheme="majorBidi" w:eastAsia="Times New Roman" w:hAnsiTheme="majorBidi" w:cstheme="majorBidi"/>
          <w:sz w:val="24"/>
          <w:szCs w:val="24"/>
        </w:rPr>
        <w:t>.</w:t>
      </w:r>
    </w:p>
    <w:p w14:paraId="385D5078" w14:textId="41A1C308" w:rsidR="00967C9D" w:rsidRPr="00967C9D" w:rsidRDefault="00967C9D" w:rsidP="00967C9D">
      <w:pPr>
        <w:spacing w:line="360" w:lineRule="auto"/>
        <w:jc w:val="both"/>
        <w:rPr>
          <w:rFonts w:asciiTheme="majorBidi" w:eastAsia="Times New Roman" w:hAnsiTheme="majorBidi" w:cstheme="majorBidi"/>
          <w:b/>
          <w:bCs/>
          <w:sz w:val="28"/>
          <w:szCs w:val="28"/>
        </w:rPr>
      </w:pPr>
      <w:r w:rsidRPr="00967C9D">
        <w:rPr>
          <w:rFonts w:asciiTheme="majorBidi" w:eastAsia="Times New Roman" w:hAnsiTheme="majorBidi" w:cstheme="majorBidi"/>
          <w:b/>
          <w:bCs/>
          <w:sz w:val="28"/>
          <w:szCs w:val="28"/>
          <w:rtl/>
        </w:rPr>
        <w:t>القواعد واللوائح المنظمة لأخلاقيات البحث</w:t>
      </w:r>
    </w:p>
    <w:p w14:paraId="6EE4ED39"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تنظّم الممارسة البحثية في العالم منظومة متكاملة من القواعد واللوائح الدولية والمحلية، أبرزها</w:t>
      </w:r>
      <w:r w:rsidRPr="00967C9D">
        <w:rPr>
          <w:rFonts w:asciiTheme="majorBidi" w:eastAsia="Times New Roman" w:hAnsiTheme="majorBidi" w:cstheme="majorBidi"/>
          <w:sz w:val="24"/>
          <w:szCs w:val="24"/>
        </w:rPr>
        <w:t>:</w:t>
      </w:r>
    </w:p>
    <w:p w14:paraId="5F6D978B"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أولاً: لجان أخلاقيات البحث المؤسسية</w:t>
      </w:r>
      <w:r w:rsidRPr="00967C9D">
        <w:rPr>
          <w:rFonts w:asciiTheme="majorBidi" w:eastAsia="Times New Roman" w:hAnsiTheme="majorBidi" w:cstheme="majorBidi"/>
          <w:b/>
          <w:bCs/>
          <w:sz w:val="24"/>
          <w:szCs w:val="24"/>
        </w:rPr>
        <w:t xml:space="preserve"> (IRB):</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تُعدّ لجان مراجعة الأخلاقيات</w:t>
      </w:r>
      <w:r w:rsidRPr="00967C9D">
        <w:rPr>
          <w:rFonts w:asciiTheme="majorBidi" w:eastAsia="Times New Roman" w:hAnsiTheme="majorBidi" w:cstheme="majorBidi"/>
          <w:sz w:val="24"/>
          <w:szCs w:val="24"/>
        </w:rPr>
        <w:t xml:space="preserve"> (Institutional Review Boards) </w:t>
      </w:r>
      <w:r w:rsidRPr="00967C9D">
        <w:rPr>
          <w:rFonts w:asciiTheme="majorBidi" w:eastAsia="Times New Roman" w:hAnsiTheme="majorBidi" w:cstheme="majorBidi"/>
          <w:sz w:val="24"/>
          <w:szCs w:val="24"/>
          <w:rtl/>
        </w:rPr>
        <w:t xml:space="preserve">الجهة المؤسسية المنوط بها مراجعة المقترحات البحثية التي يُشارك فيها بشر، والتأكد من توافقها مع </w:t>
      </w:r>
      <w:r w:rsidRPr="00967C9D">
        <w:rPr>
          <w:rFonts w:asciiTheme="majorBidi" w:eastAsia="Times New Roman" w:hAnsiTheme="majorBidi" w:cstheme="majorBidi"/>
          <w:sz w:val="24"/>
          <w:szCs w:val="24"/>
          <w:rtl/>
        </w:rPr>
        <w:lastRenderedPageBreak/>
        <w:t>المعايير الأخلاقية قبل البدء في تنفيذها</w:t>
      </w:r>
      <w:r w:rsidRPr="00967C9D">
        <w:rPr>
          <w:rFonts w:asciiTheme="majorBidi" w:eastAsia="Times New Roman" w:hAnsiTheme="majorBidi" w:cstheme="majorBidi"/>
          <w:sz w:val="24"/>
          <w:szCs w:val="24"/>
        </w:rPr>
        <w:t xml:space="preserve"> (APA, 2023). </w:t>
      </w:r>
      <w:r w:rsidRPr="00967C9D">
        <w:rPr>
          <w:rFonts w:asciiTheme="majorBidi" w:eastAsia="Times New Roman" w:hAnsiTheme="majorBidi" w:cstheme="majorBidi"/>
          <w:sz w:val="24"/>
          <w:szCs w:val="24"/>
          <w:rtl/>
        </w:rPr>
        <w:t>وتعمل هذه اللجان وفق ثلاثة مبادئ أساسية: احترام الأشخاص، والإحسان، والعدالة</w:t>
      </w:r>
      <w:r w:rsidRPr="00967C9D">
        <w:rPr>
          <w:rFonts w:asciiTheme="majorBidi" w:eastAsia="Times New Roman" w:hAnsiTheme="majorBidi" w:cstheme="majorBidi"/>
          <w:sz w:val="24"/>
          <w:szCs w:val="24"/>
        </w:rPr>
        <w:t xml:space="preserve"> (Kenyon College, 2022). </w:t>
      </w:r>
      <w:r w:rsidRPr="00967C9D">
        <w:rPr>
          <w:rFonts w:asciiTheme="majorBidi" w:eastAsia="Times New Roman" w:hAnsiTheme="majorBidi" w:cstheme="majorBidi"/>
          <w:sz w:val="24"/>
          <w:szCs w:val="24"/>
          <w:rtl/>
        </w:rPr>
        <w:t>وتفرض هذه اللجان على الباحث تقديم بروتوكول بحثي تفصيلي يتضمن أهداف الدراسة ومجتمعها وأداتها واحتياطات حماية المشاركين، وأي تعديل لاحق يستوجب موافقة جديدة من اللجنة</w:t>
      </w:r>
      <w:r w:rsidRPr="00967C9D">
        <w:rPr>
          <w:rFonts w:asciiTheme="majorBidi" w:eastAsia="Times New Roman" w:hAnsiTheme="majorBidi" w:cstheme="majorBidi"/>
          <w:sz w:val="24"/>
          <w:szCs w:val="24"/>
        </w:rPr>
        <w:t>.</w:t>
      </w:r>
    </w:p>
    <w:p w14:paraId="0A5BA8CF"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ثانياً: دليل الجمعية الأمريكية لعلم النفس</w:t>
      </w:r>
      <w:r w:rsidRPr="00967C9D">
        <w:rPr>
          <w:rFonts w:asciiTheme="majorBidi" w:eastAsia="Times New Roman" w:hAnsiTheme="majorBidi" w:cstheme="majorBidi"/>
          <w:b/>
          <w:bCs/>
          <w:sz w:val="24"/>
          <w:szCs w:val="24"/>
        </w:rPr>
        <w:t xml:space="preserve"> (APA):</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يُعدّ دليل</w:t>
      </w:r>
      <w:r w:rsidRPr="00967C9D">
        <w:rPr>
          <w:rFonts w:asciiTheme="majorBidi" w:eastAsia="Times New Roman" w:hAnsiTheme="majorBidi" w:cstheme="majorBidi"/>
          <w:sz w:val="24"/>
          <w:szCs w:val="24"/>
        </w:rPr>
        <w:t xml:space="preserve"> APA </w:t>
      </w:r>
      <w:r w:rsidRPr="00967C9D">
        <w:rPr>
          <w:rFonts w:asciiTheme="majorBidi" w:eastAsia="Times New Roman" w:hAnsiTheme="majorBidi" w:cstheme="majorBidi"/>
          <w:sz w:val="24"/>
          <w:szCs w:val="24"/>
          <w:rtl/>
        </w:rPr>
        <w:t>من أكثر الأدلة الأخلاقية والمنهجية انتشاراً في البحوث الإدارية والاجتماعية والنفسية، ويتضمن قواعد تفصيلية حول التوثيق العلمي وطرق الاستشهاد والإحالة، فضلاً عن مدونة سلوك أخلاقية شاملة</w:t>
      </w:r>
      <w:r w:rsidRPr="00967C9D">
        <w:rPr>
          <w:rFonts w:asciiTheme="majorBidi" w:eastAsia="Times New Roman" w:hAnsiTheme="majorBidi" w:cstheme="majorBidi"/>
          <w:sz w:val="24"/>
          <w:szCs w:val="24"/>
        </w:rPr>
        <w:t xml:space="preserve"> (Resnik, 2020). </w:t>
      </w:r>
      <w:r w:rsidRPr="00967C9D">
        <w:rPr>
          <w:rFonts w:asciiTheme="majorBidi" w:eastAsia="Times New Roman" w:hAnsiTheme="majorBidi" w:cstheme="majorBidi"/>
          <w:sz w:val="24"/>
          <w:szCs w:val="24"/>
          <w:rtl/>
        </w:rPr>
        <w:t>ويُعدّ الالتزام بهذا الدليل ضمانة أساسية لجودة التوثيق وتجنب الانتحال غير المتعمد</w:t>
      </w:r>
      <w:r w:rsidRPr="00967C9D">
        <w:rPr>
          <w:rFonts w:asciiTheme="majorBidi" w:eastAsia="Times New Roman" w:hAnsiTheme="majorBidi" w:cstheme="majorBidi"/>
          <w:sz w:val="24"/>
          <w:szCs w:val="24"/>
        </w:rPr>
        <w:t>.</w:t>
      </w:r>
    </w:p>
    <w:p w14:paraId="7967C398"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ثالثاً: إعلان هلسنكي</w:t>
      </w:r>
      <w:r w:rsidRPr="00967C9D">
        <w:rPr>
          <w:rFonts w:asciiTheme="majorBidi" w:eastAsia="Times New Roman" w:hAnsiTheme="majorBidi" w:cstheme="majorBidi"/>
          <w:b/>
          <w:bCs/>
          <w:sz w:val="24"/>
          <w:szCs w:val="24"/>
        </w:rPr>
        <w:t xml:space="preserve"> (Declaration of Helsinki):</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صادر عن الجمعية الطبية العالمية، ويُعدّ المرجعية الدولية الأبرز لأخلاقيات البحوث التي تشمل البشر، وقد جرى تعديله عدة مرات لمواكبة التطورات العلمية</w:t>
      </w:r>
      <w:r w:rsidRPr="00967C9D">
        <w:rPr>
          <w:rFonts w:asciiTheme="majorBidi" w:eastAsia="Times New Roman" w:hAnsiTheme="majorBidi" w:cstheme="majorBidi"/>
          <w:sz w:val="24"/>
          <w:szCs w:val="24"/>
        </w:rPr>
        <w:t>.</w:t>
      </w:r>
    </w:p>
    <w:p w14:paraId="1CC7997A"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رابعاً: تقرير بلمونت</w:t>
      </w:r>
      <w:r w:rsidRPr="00967C9D">
        <w:rPr>
          <w:rFonts w:asciiTheme="majorBidi" w:eastAsia="Times New Roman" w:hAnsiTheme="majorBidi" w:cstheme="majorBidi"/>
          <w:b/>
          <w:bCs/>
          <w:sz w:val="24"/>
          <w:szCs w:val="24"/>
        </w:rPr>
        <w:t xml:space="preserve"> (Belmont Report):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صدر عام 1979 ويُعدّ الوثيقة المرجعية في تحديد المبادئ الأخلاقية الثلاثة الكبرى للبحوث الإنسانية: احترام الأشخاص، والإحسان، والعدالة</w:t>
      </w:r>
      <w:r w:rsidRPr="00967C9D">
        <w:rPr>
          <w:rFonts w:asciiTheme="majorBidi" w:eastAsia="Times New Roman" w:hAnsiTheme="majorBidi" w:cstheme="majorBidi"/>
          <w:sz w:val="24"/>
          <w:szCs w:val="24"/>
        </w:rPr>
        <w:t>.</w:t>
      </w:r>
    </w:p>
    <w:p w14:paraId="3057AF85"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خامساً: اللوائح الوطنية السعودية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تتبنى المملكة العربية السعودية منظومة تشريعية متطورة لأخلاقيات البحث، أبرزها نظام أخلاقيات البحث على المخلوقات الحية الصادر بمرسوم ملكي، واللوائح التنفيذية لهيئة تقويم التعليم والتدريب، ولوائح أخلاقيات البحث في الجامعات السعودية كجامعة الملك سعود وجامعة الملك عبدالعزيز. وتشترط هذه اللوائح الحصول على موافقة لجنة أخلاقيات البحث قبل البدء في أي دراسة ميدانية تشمل مشاركة بشر</w:t>
      </w:r>
      <w:r w:rsidRPr="00967C9D">
        <w:rPr>
          <w:rFonts w:asciiTheme="majorBidi" w:eastAsia="Times New Roman" w:hAnsiTheme="majorBidi" w:cstheme="majorBidi"/>
          <w:sz w:val="24"/>
          <w:szCs w:val="24"/>
        </w:rPr>
        <w:t>.</w:t>
      </w:r>
    </w:p>
    <w:p w14:paraId="2EF53EC2"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سادساً: ميثاق أخلاقيات البحث العلمي العربي</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صدر عن منظمة الألكسو، ويُحدّد القواعد الأخلاقية المعتمدة في البحوث الأكاديمية في الجامعات العربية</w:t>
      </w:r>
      <w:r w:rsidRPr="00967C9D">
        <w:rPr>
          <w:rFonts w:asciiTheme="majorBidi" w:eastAsia="Times New Roman" w:hAnsiTheme="majorBidi" w:cstheme="majorBidi"/>
          <w:sz w:val="24"/>
          <w:szCs w:val="24"/>
        </w:rPr>
        <w:t>.</w:t>
      </w:r>
    </w:p>
    <w:p w14:paraId="11757039"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وتتجلى أهمية هذه القواعد واللوائح في أنها تُوفّر إطاراً مرجعياً موحداً يُساعد الباحث على تجنب الوقوع في المخالفات الأخلاقية، كما تُتيح آلية واضحة للتعامل مع الشكاوى والمخالفات حين تحدث</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فضلاً عن ذلك، تُشكّل هذه اللوائح ضمانة قانونية للباحث في حال نشوب أي نزاع قانوني يتعلق بالبحث، إذ يستطيع إثبات التزامه بالمعايير المعتمدة</w:t>
      </w:r>
      <w:r w:rsidRPr="00967C9D">
        <w:rPr>
          <w:rFonts w:asciiTheme="majorBidi" w:eastAsia="Times New Roman" w:hAnsiTheme="majorBidi" w:cstheme="majorBidi"/>
          <w:sz w:val="24"/>
          <w:szCs w:val="24"/>
        </w:rPr>
        <w:t>.</w:t>
      </w:r>
    </w:p>
    <w:p w14:paraId="615EE2B8" w14:textId="63E5560C" w:rsidR="00967C9D" w:rsidRPr="00967C9D" w:rsidRDefault="00967C9D" w:rsidP="00967C9D">
      <w:pPr>
        <w:spacing w:line="360" w:lineRule="auto"/>
        <w:jc w:val="both"/>
        <w:rPr>
          <w:rFonts w:asciiTheme="majorBidi" w:eastAsia="Times New Roman" w:hAnsiTheme="majorBidi" w:cstheme="majorBidi"/>
          <w:b/>
          <w:bCs/>
          <w:sz w:val="28"/>
          <w:szCs w:val="28"/>
        </w:rPr>
      </w:pPr>
      <w:r w:rsidRPr="00967C9D">
        <w:rPr>
          <w:rFonts w:asciiTheme="majorBidi" w:eastAsia="Times New Roman" w:hAnsiTheme="majorBidi" w:cstheme="majorBidi"/>
          <w:b/>
          <w:bCs/>
          <w:sz w:val="28"/>
          <w:szCs w:val="28"/>
          <w:rtl/>
        </w:rPr>
        <w:t>التطبيق العملي على موضوع البحث</w:t>
      </w:r>
    </w:p>
    <w:p w14:paraId="102C8689"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يتناول هذا القسم الجوهري من التقرير تطبيق المبادئ الأخلاقية المعروضة سابقاً على موضوع البحث المتعلق بـ"أثر ممارسات إدارة المعرفة على تحويل الخبرات المتراكمة إلى قيمة تنظيمية مستدامة</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دراسة ميدانية على شركات القطاع الخاص بالمملكة العربية السعودية"، وذلك على النحو التالي</w:t>
      </w:r>
      <w:r w:rsidRPr="00967C9D">
        <w:rPr>
          <w:rFonts w:asciiTheme="majorBidi" w:eastAsia="Times New Roman" w:hAnsiTheme="majorBidi" w:cstheme="majorBidi"/>
          <w:sz w:val="24"/>
          <w:szCs w:val="24"/>
        </w:rPr>
        <w:t>:</w:t>
      </w:r>
    </w:p>
    <w:p w14:paraId="1731F982"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أولاً: أخلاقيات اختيار الموضوع وصياغة المشكلة البحثية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انطلقت فكرة هذا البحث من معالجة قضية حقيقية تواجه شركات القطاع الخاص السعودي، تتمثل في تسرب المعرفة وفقدان الخبرات المتراكمة، وهو ما يعكس الالتزام بمبدأ المنفعة الاجتماعية للبحث. وقد حرص الباحث على صياغة مشكلة الدراسة بأسلوب موضوعي يتجنب الأحكام المسبقة، وتم استناد المشكلة إلى أدلة وشواهد علمية من الدراسات السابقة المحلية والدولية</w:t>
      </w:r>
      <w:r w:rsidRPr="00967C9D">
        <w:rPr>
          <w:rFonts w:asciiTheme="majorBidi" w:eastAsia="Times New Roman" w:hAnsiTheme="majorBidi" w:cstheme="majorBidi"/>
          <w:sz w:val="24"/>
          <w:szCs w:val="24"/>
        </w:rPr>
        <w:t>.</w:t>
      </w:r>
    </w:p>
    <w:p w14:paraId="733DAB7E"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lastRenderedPageBreak/>
        <w:t>ثانياً: أخلاقيات مراجعة الأدبيات والتوثيق</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التزم الباحث في القسم الخاص بالدراسات السابقة بنسبة كل فكرة إلى صاحبها الأصلي، مع توثيق دقيق لجميع المصادر العربية والأجنبية وفق أسلوب</w:t>
      </w:r>
      <w:r w:rsidRPr="00967C9D">
        <w:rPr>
          <w:rFonts w:asciiTheme="majorBidi" w:eastAsia="Times New Roman" w:hAnsiTheme="majorBidi" w:cstheme="majorBidi"/>
          <w:sz w:val="24"/>
          <w:szCs w:val="24"/>
        </w:rPr>
        <w:t xml:space="preserve"> APA. </w:t>
      </w:r>
      <w:r w:rsidRPr="00967C9D">
        <w:rPr>
          <w:rFonts w:asciiTheme="majorBidi" w:eastAsia="Times New Roman" w:hAnsiTheme="majorBidi" w:cstheme="majorBidi"/>
          <w:sz w:val="24"/>
          <w:szCs w:val="24"/>
          <w:rtl/>
        </w:rPr>
        <w:t>كما حرص على تقديم الدراسات السابقة بأمانة دون تحريف لنتائجها أو اقتطاعها من سياقها، حتى تلك التي تتعارض مع الفرضيات المقترحة للدراسة (مثل دراسة أبو حطب 2022 التي توصلت إلى عدم وجود أثر معنوي لبعض أبعاد إدارة المعرفة على الأداء المؤسسي). كما أُدرجت دراسة موسى (2026) التي تشترك مع البحث الحالي في السياق السعودي بأمانة دون محاولة التقليل من قيمتها</w:t>
      </w:r>
      <w:r w:rsidRPr="00967C9D">
        <w:rPr>
          <w:rFonts w:asciiTheme="majorBidi" w:eastAsia="Times New Roman" w:hAnsiTheme="majorBidi" w:cstheme="majorBidi"/>
          <w:sz w:val="24"/>
          <w:szCs w:val="24"/>
        </w:rPr>
        <w:t>.</w:t>
      </w:r>
    </w:p>
    <w:p w14:paraId="1FE8F49D"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ثالثاً: أخلاقيات تصميم الأداة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ستُصاغ فقرات الاستبانة بلغة محايدة وواضحة، تتجنب الأسئلة الموجِّهة أو المركّبة أو تلك التي تتضمن إيحاءات معينة. وستُعرض الاستبانة على مجموعة من المحكمين المتخصصين قبل توزيعها للتأكد من سلامتها العلمية واللغوية، وعدم تضمنها أي عبارات قد تسبب حرجاً للمستجيبين أو تنتهك خصوصياتهم. كما ستُصاغ فقرات قياس الخبرات المتراكمة بحيث لا تكشف هويات المشاركين أو تستخرج منهم معلومات سرية تخص شركاتهم</w:t>
      </w:r>
      <w:r w:rsidRPr="00967C9D">
        <w:rPr>
          <w:rFonts w:asciiTheme="majorBidi" w:eastAsia="Times New Roman" w:hAnsiTheme="majorBidi" w:cstheme="majorBidi"/>
          <w:sz w:val="24"/>
          <w:szCs w:val="24"/>
        </w:rPr>
        <w:t>.</w:t>
      </w:r>
    </w:p>
    <w:p w14:paraId="46FCFDFB"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رابعاً: الموافقة المستنيرة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ستُصدّر الاستبانة بصفحة تعريفية تتضمن المعلومات التالية: تعريف بالباحث وجهته الأكاديمية (جامعة ميدأوشن)، وأهداف الدراسة وطبيعتها، وتأكيد طوعية المشاركة، والإشارة الواضحة إلى أن البيانات ستُستخدم لأغراض البحث العلمي حصراً، وضمان السرية التامة لاستجابات المشاركين، ومنح المشارك الحق في الانسحاب من الدراسة في أي وقت دون أي تبعات، وتوفير وسائل تواصل مع الباحث للاستفسار أو الاعتراض. ولن تبدأ الاستبانة الفعلية إلا بعد الموافقة الصريحة من المستجيب على هذه الشروط</w:t>
      </w:r>
      <w:r w:rsidRPr="00967C9D">
        <w:rPr>
          <w:rFonts w:asciiTheme="majorBidi" w:eastAsia="Times New Roman" w:hAnsiTheme="majorBidi" w:cstheme="majorBidi"/>
          <w:sz w:val="24"/>
          <w:szCs w:val="24"/>
        </w:rPr>
        <w:t>.</w:t>
      </w:r>
    </w:p>
    <w:p w14:paraId="72A862F1"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خامساً: أخلاقيات جمع البيانات</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ستُوزّع الاستبانة إلكترونياً عبر منصات معتمدة (مثل</w:t>
      </w:r>
      <w:r w:rsidRPr="00967C9D">
        <w:rPr>
          <w:rFonts w:asciiTheme="majorBidi" w:eastAsia="Times New Roman" w:hAnsiTheme="majorBidi" w:cstheme="majorBidi"/>
          <w:sz w:val="24"/>
          <w:szCs w:val="24"/>
        </w:rPr>
        <w:t xml:space="preserve"> Google Forms </w:t>
      </w:r>
      <w:r w:rsidRPr="00967C9D">
        <w:rPr>
          <w:rFonts w:asciiTheme="majorBidi" w:eastAsia="Times New Roman" w:hAnsiTheme="majorBidi" w:cstheme="majorBidi"/>
          <w:sz w:val="24"/>
          <w:szCs w:val="24"/>
          <w:rtl/>
        </w:rPr>
        <w:t xml:space="preserve">أو </w:t>
      </w:r>
      <w:r w:rsidRPr="00967C9D">
        <w:rPr>
          <w:rFonts w:asciiTheme="majorBidi" w:eastAsia="Times New Roman" w:hAnsiTheme="majorBidi" w:cstheme="majorBidi"/>
          <w:sz w:val="24"/>
          <w:szCs w:val="24"/>
        </w:rPr>
        <w:t xml:space="preserve">Microsoft Forms) </w:t>
      </w:r>
      <w:r w:rsidRPr="00967C9D">
        <w:rPr>
          <w:rFonts w:asciiTheme="majorBidi" w:eastAsia="Times New Roman" w:hAnsiTheme="majorBidi" w:cstheme="majorBidi"/>
          <w:sz w:val="24"/>
          <w:szCs w:val="24"/>
          <w:rtl/>
        </w:rPr>
        <w:t>دون الحاجة إلى تسجيل بيانات شخصية تكشف هويات المشاركين كالأسماء أو أرقام الهواتف أو البريد الإلكتروني. وستُجمع البيانات الديموغرافية بفئات عامة (الجنس، المؤهل، سنوات الخبرة، المستوى الإداري) بدلاً من بيانات تفصيلية يمكن من خلالها التعرف على هوية المستجيب. ولن يُمارَس أي ضغط على أي موظف للمشاركة في الدراسة، وستُحترم رغبة من يرفض المشاركة دون أي تبعات</w:t>
      </w:r>
      <w:r w:rsidRPr="00967C9D">
        <w:rPr>
          <w:rFonts w:asciiTheme="majorBidi" w:eastAsia="Times New Roman" w:hAnsiTheme="majorBidi" w:cstheme="majorBidi"/>
          <w:sz w:val="24"/>
          <w:szCs w:val="24"/>
        </w:rPr>
        <w:t>.</w:t>
      </w:r>
    </w:p>
    <w:p w14:paraId="40E8B2CF"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سادساً: حماية سرية البيانات</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ستُخزَّن البيانات المُجمعة على أجهزة خاصة بالباحث محمية بكلمات سر، ولن يُسمح بالوصول إليها لأي طرف غير الباحث ومشرفيه الأكاديميين. وستُحفظ البيانات الأصلية لمدة محددة (خمس سنوات وفق المعايير الأكاديمية المعتادة) ثم تُتلف بطريقة آمنة. ولن يُذكر اسم أي شركة بعينها في النتائج النهائية، بل ستُعرض البيانات بشكل مجمّع وفق القطاعات (خدمي، صناعي، تقني) دون الإشارة إلى منشآت محددة</w:t>
      </w:r>
      <w:r w:rsidRPr="00967C9D">
        <w:rPr>
          <w:rFonts w:asciiTheme="majorBidi" w:eastAsia="Times New Roman" w:hAnsiTheme="majorBidi" w:cstheme="majorBidi"/>
          <w:sz w:val="24"/>
          <w:szCs w:val="24"/>
        </w:rPr>
        <w:t>.</w:t>
      </w:r>
    </w:p>
    <w:p w14:paraId="3A208165"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سابعاً: أخلاقيات تحليل البيانات وعرض النتائج</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سيلتزم الباحث بأمانة بعرض جميع النتائج التي يتوصل إليها، سواء أكانت تدعم الفرضيات أم تنفيها. وفي حال توصل التحليل إلى عدم وجود أثر معنوي لأحد أبعاد إدارة المعرفة على المتغير التابع، فسيُعرض هذا الناتج بكل وضوح ويُفسَّر علمياً، دون محاولة إخفائه أو التلاعب في البيانات لإظهار نتائج إيجابية. كما سيُفصح الباحث عن جميع الإجراءات الإحصائية المستخدمة، وعن أي بيانات تم استبعادها من التحليل مع تبرير علمي واضح لذلك</w:t>
      </w:r>
      <w:r w:rsidRPr="00967C9D">
        <w:rPr>
          <w:rFonts w:asciiTheme="majorBidi" w:eastAsia="Times New Roman" w:hAnsiTheme="majorBidi" w:cstheme="majorBidi"/>
          <w:sz w:val="24"/>
          <w:szCs w:val="24"/>
        </w:rPr>
        <w:t>.</w:t>
      </w:r>
    </w:p>
    <w:p w14:paraId="0C10E380"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lastRenderedPageBreak/>
        <w:t>ثامناً: أخلاقيات تفسير النتائج وتقديم التوصيات</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سيُحرص على ألا تتجاوز التوصيات حدود ما تكشف عنه البيانات فعلاً، وألا تُعمَّم النتائج على مجتمعات لم تُمثَّل في العينة. كما سيُفصح الباحث في القسم الخاص بحدود الدراسة عن جميع المحددات المنهجية والسياقية التي قد تؤثر على تعميم النتائج</w:t>
      </w:r>
      <w:r w:rsidRPr="00967C9D">
        <w:rPr>
          <w:rFonts w:asciiTheme="majorBidi" w:eastAsia="Times New Roman" w:hAnsiTheme="majorBidi" w:cstheme="majorBidi"/>
          <w:sz w:val="24"/>
          <w:szCs w:val="24"/>
        </w:rPr>
        <w:t>.</w:t>
      </w:r>
    </w:p>
    <w:p w14:paraId="7EF456E0"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تاسعاً: الإفصاح عن تضارب المصالح</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لا توجد أي علاقات مالية أو وظيفية للباحث مع الشركات المستهدفة بالدراسة من شأنها التأثير على حياده، وسيُفصح الباحث عن ذلك صراحة في تقريره. كما لن يتلقى أي تمويل من جهة قد تكون لها مصلحة في توجيه نتائج البحث</w:t>
      </w:r>
      <w:r w:rsidRPr="00967C9D">
        <w:rPr>
          <w:rFonts w:asciiTheme="majorBidi" w:eastAsia="Times New Roman" w:hAnsiTheme="majorBidi" w:cstheme="majorBidi"/>
          <w:sz w:val="24"/>
          <w:szCs w:val="24"/>
        </w:rPr>
        <w:t>.</w:t>
      </w:r>
    </w:p>
    <w:p w14:paraId="7EB5C41C"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عاشراً: الحصول على الموافقات المؤسسية</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سيُقدّم الباحث بروتوكول دراسته إلى لجنة أخلاقيات البحث في جامعة ميدأوشن للحصول على الموافقة الرسمية قبل الشروع في جمع البيانات الميدانية. كما ستُستخرج خطابات تسهيل المهمة من الجامعة، وستُقدَّم للشركات المستهدفة، مع احترام إجراءات كل شركة الخاصة بالموافقة على إجراء البحوث على موظفيها</w:t>
      </w:r>
      <w:r w:rsidRPr="00967C9D">
        <w:rPr>
          <w:rFonts w:asciiTheme="majorBidi" w:eastAsia="Times New Roman" w:hAnsiTheme="majorBidi" w:cstheme="majorBidi"/>
          <w:sz w:val="24"/>
          <w:szCs w:val="24"/>
        </w:rPr>
        <w:t>.</w:t>
      </w:r>
    </w:p>
    <w:p w14:paraId="1E316660"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حادي عشر: المخاطر المحتملة وآليات التخفيف منها</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تتمثل المخاطر المحتملة في هذا البحث في احتمال شعور بعض الموظفين بالقلق من أن آراءهم النقدية حول ممارسات إدارة المعرفة في شركاتهم قد تصل إلى مسؤوليهم. وللتخفيف من هذا الخطر، سيُؤكَّد للمستجيبين أن الباحث لن يُشارك أي بيانات فردية مع أي جهة كانت، وأن النتائج ستُعرض بشكل تجميعي على مستوى القطاعات لا الشركات الفردية. كما لن تتضمن الاستبانة أي أسئلة تطلب من المستجيب الكشف عن ممارسات سرية لشركته أو تسريب معلومات تجارية حساسة</w:t>
      </w:r>
      <w:r w:rsidRPr="00967C9D">
        <w:rPr>
          <w:rFonts w:asciiTheme="majorBidi" w:eastAsia="Times New Roman" w:hAnsiTheme="majorBidi" w:cstheme="majorBidi"/>
          <w:sz w:val="24"/>
          <w:szCs w:val="24"/>
        </w:rPr>
        <w:t>.</w:t>
      </w:r>
    </w:p>
    <w:p w14:paraId="6831429F"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b/>
          <w:bCs/>
          <w:sz w:val="24"/>
          <w:szCs w:val="24"/>
          <w:rtl/>
        </w:rPr>
        <w:t>ثاني عشر: أخلاقيات النشر</w:t>
      </w:r>
      <w:r w:rsidRPr="00967C9D">
        <w:rPr>
          <w:rFonts w:asciiTheme="majorBidi" w:eastAsia="Times New Roman" w:hAnsiTheme="majorBidi" w:cstheme="majorBidi"/>
          <w:b/>
          <w:bCs/>
          <w:sz w:val="24"/>
          <w:szCs w:val="24"/>
        </w:rPr>
        <w:t>:</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عند نشر نتائج البحث في المجلات العلمية المحكمة، سيلتزم الباحث بالإفصاح عن مشرفي الرسالة كمؤلفين مشاركين وفق إسهامهم الفعلي، وسيتجنب النشر المكرر للبحث في أكثر من دورية، وسيُحدد بوضوح أن البحث مستخرج من رسالته الماجستير المُجازة من جامعة ميدأوشن</w:t>
      </w:r>
      <w:r w:rsidRPr="00967C9D">
        <w:rPr>
          <w:rFonts w:asciiTheme="majorBidi" w:eastAsia="Times New Roman" w:hAnsiTheme="majorBidi" w:cstheme="majorBidi"/>
          <w:sz w:val="24"/>
          <w:szCs w:val="24"/>
        </w:rPr>
        <w:t>.</w:t>
      </w:r>
    </w:p>
    <w:p w14:paraId="44D5AE1F" w14:textId="4CD028AA" w:rsidR="00967C9D" w:rsidRPr="00967C9D" w:rsidRDefault="00967C9D" w:rsidP="00967C9D">
      <w:pPr>
        <w:spacing w:line="360" w:lineRule="auto"/>
        <w:jc w:val="both"/>
        <w:rPr>
          <w:rFonts w:asciiTheme="majorBidi" w:eastAsia="Times New Roman" w:hAnsiTheme="majorBidi" w:cstheme="majorBidi"/>
          <w:b/>
          <w:bCs/>
          <w:sz w:val="28"/>
          <w:szCs w:val="28"/>
        </w:rPr>
      </w:pPr>
      <w:r w:rsidRPr="00967C9D">
        <w:rPr>
          <w:rFonts w:asciiTheme="majorBidi" w:eastAsia="Times New Roman" w:hAnsiTheme="majorBidi" w:cstheme="majorBidi"/>
          <w:b/>
          <w:bCs/>
          <w:sz w:val="28"/>
          <w:szCs w:val="28"/>
          <w:rtl/>
        </w:rPr>
        <w:t>الخاتمة</w:t>
      </w:r>
    </w:p>
    <w:p w14:paraId="5485A55D"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استعرض هذا التقرير المعالم الرئيسية لأخلاقيات البحث العلمي بوصفها منظومة معيارية متكاملة تحكم الممارسة البحثية الرشيدة، وتضمن جودة المعرفة المُنتَجة ومصداقيتها وقيمتها العلمية والاجتماعية. وقد تبيّن من خلال المعالجة المقدمة أن أخلاقيات البحث ليست مجرد قواعد شكلية يستوجب على الباحث الالتزام بها لاجتياز متطلبات الموافقة المؤسسية، بل هي جوهر العمل البحثي ذاته وضمانة استمرارية الثقة بين المجتمع العلمي والجمهور</w:t>
      </w:r>
      <w:r w:rsidRPr="00967C9D">
        <w:rPr>
          <w:rFonts w:asciiTheme="majorBidi" w:eastAsia="Times New Roman" w:hAnsiTheme="majorBidi" w:cstheme="majorBidi"/>
          <w:sz w:val="24"/>
          <w:szCs w:val="24"/>
        </w:rPr>
        <w:t>.</w:t>
      </w:r>
    </w:p>
    <w:p w14:paraId="2625D347"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كما اتضح أن المبادئ الأساسية لأخلاقيات البحث – من أمانة علمية ونزاهة وموضوعية وسرية وموافقة مستنيرة وإحسان وعدالة – تتشابك فيما بينها لتُشكّل نسيجاً متماسكاً يحمي جميع أطراف العملية البحثية: الباحث والمشاركين والمؤسسة الأكاديمية والمجتمع بشكل عام. كما استعرض التقرير أبرز القضايا الأخلاقية التي تواجه الباحثين، من انتحال علمي وتزوير بيانات وتحيز وانتهاك خصوصية وتضارب مصالح، مع تقديم أمثلة تطبيقية توضح كيفية تجلي كل قضية في الممارسة الفعلية</w:t>
      </w:r>
      <w:r w:rsidRPr="00967C9D">
        <w:rPr>
          <w:rFonts w:asciiTheme="majorBidi" w:eastAsia="Times New Roman" w:hAnsiTheme="majorBidi" w:cstheme="majorBidi"/>
          <w:sz w:val="24"/>
          <w:szCs w:val="24"/>
        </w:rPr>
        <w:t>.</w:t>
      </w:r>
    </w:p>
    <w:p w14:paraId="14271340"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 xml:space="preserve">وفي إطار التطبيق العملي على موضوع البحث المتعلق بأثر ممارسات إدارة المعرفة على تحويل الخبرات المتراكمة إلى قيمة تنظيمية مستدامة في شركات القطاع الخاص السعودي، تبنى التقرير منظومة متكاملة من </w:t>
      </w:r>
      <w:r w:rsidRPr="00967C9D">
        <w:rPr>
          <w:rFonts w:asciiTheme="majorBidi" w:eastAsia="Times New Roman" w:hAnsiTheme="majorBidi" w:cstheme="majorBidi"/>
          <w:sz w:val="24"/>
          <w:szCs w:val="24"/>
          <w:rtl/>
        </w:rPr>
        <w:lastRenderedPageBreak/>
        <w:t>الإجراءات الأخلاقية التي تشمل جميع مراحل البحث، من اختيار الموضوع إلى نشر النتائج، مع تركيز خاص على حماية خصوصية المشاركين وسرية البيانات وضمان الموافقة المستنيرة وتجنب أي ضرر محتمل على الموظفين المشاركين في الدراسة</w:t>
      </w:r>
      <w:r w:rsidRPr="00967C9D">
        <w:rPr>
          <w:rFonts w:asciiTheme="majorBidi" w:eastAsia="Times New Roman" w:hAnsiTheme="majorBidi" w:cstheme="majorBidi"/>
          <w:sz w:val="24"/>
          <w:szCs w:val="24"/>
        </w:rPr>
        <w:t>.</w:t>
      </w:r>
    </w:p>
    <w:p w14:paraId="3A1A4A87" w14:textId="77777777" w:rsidR="00967C9D" w:rsidRPr="00967C9D" w:rsidRDefault="00967C9D" w:rsidP="00967C9D">
      <w:p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ويُؤكّد التقرير أن الالتزام بأخلاقيات البحث العلمي يُعدّ مسؤولية فردية ومؤسسية في آنٍ معاً، تستوجب من الباحث وعياً مستمراً واستشعاراً دائماً للمسؤولية الأخلاقية في كل خطوة من خطوات بحثه، كما تستوجب من المؤسسات الأكاديمية توفير الإطار المعياري المناسب والآليات المؤسسية الفاعلة لتفعيل هذه الأخلاقيات ومراقبة تطبيقها. وفي الدراسات المستقبلية، يتعيّن على الباحثين مواكبة التطورات المستجدة في الممارسة البحثية، لا سيما تلك المتعلقة بدخول تقنيات الذكاء الاصطناعي إلى صناعة البحث، والتعامل معها وفق أطر أخلاقية واضحة تحفظ سلامة الإنتاج العلمي ومصداقيته. وفي السياق العربي والسعودي تحديداً، تبرز الحاجة إلى مزيد من التوعية بأخلاقيات البحث في برامج الدراسات العليا، وتطوير لجان مؤسسية فاعلة لمراجعة الأبحاث وضمان توافقها مع المعايير الدولية، بما يُسهم في الارتقاء بمستوى البحث العلمي العربي وتعزيز حضوره في الإنتاج المعرفي العالمي</w:t>
      </w:r>
      <w:r w:rsidRPr="00967C9D">
        <w:rPr>
          <w:rFonts w:asciiTheme="majorBidi" w:eastAsia="Times New Roman" w:hAnsiTheme="majorBidi" w:cstheme="majorBidi"/>
          <w:sz w:val="24"/>
          <w:szCs w:val="24"/>
        </w:rPr>
        <w:t>.</w:t>
      </w:r>
    </w:p>
    <w:p w14:paraId="1DA9F370" w14:textId="000B431B" w:rsidR="00967C9D" w:rsidRPr="00967C9D" w:rsidRDefault="00967C9D" w:rsidP="00967C9D">
      <w:pPr>
        <w:spacing w:line="360" w:lineRule="auto"/>
        <w:jc w:val="both"/>
        <w:rPr>
          <w:rFonts w:asciiTheme="majorBidi" w:eastAsia="Times New Roman" w:hAnsiTheme="majorBidi" w:cstheme="majorBidi"/>
          <w:b/>
          <w:bCs/>
          <w:sz w:val="28"/>
          <w:szCs w:val="28"/>
        </w:rPr>
      </w:pPr>
      <w:r w:rsidRPr="00967C9D">
        <w:rPr>
          <w:rFonts w:asciiTheme="majorBidi" w:eastAsia="Times New Roman" w:hAnsiTheme="majorBidi" w:cstheme="majorBidi"/>
          <w:b/>
          <w:bCs/>
          <w:sz w:val="28"/>
          <w:szCs w:val="28"/>
          <w:rtl/>
        </w:rPr>
        <w:t>المراجع</w:t>
      </w:r>
    </w:p>
    <w:p w14:paraId="1BECD3BA" w14:textId="77777777" w:rsidR="00967C9D" w:rsidRPr="00967C9D" w:rsidRDefault="00967C9D" w:rsidP="00967C9D">
      <w:pPr>
        <w:spacing w:line="360" w:lineRule="auto"/>
        <w:jc w:val="both"/>
        <w:rPr>
          <w:rFonts w:asciiTheme="majorBidi" w:eastAsia="Times New Roman" w:hAnsiTheme="majorBidi" w:cstheme="majorBidi"/>
          <w:b/>
          <w:bCs/>
          <w:sz w:val="24"/>
          <w:szCs w:val="24"/>
        </w:rPr>
      </w:pPr>
      <w:r w:rsidRPr="00967C9D">
        <w:rPr>
          <w:rFonts w:asciiTheme="majorBidi" w:eastAsia="Times New Roman" w:hAnsiTheme="majorBidi" w:cstheme="majorBidi"/>
          <w:b/>
          <w:bCs/>
          <w:sz w:val="24"/>
          <w:szCs w:val="24"/>
          <w:rtl/>
        </w:rPr>
        <w:t>أولاً: المراجع العربية</w:t>
      </w:r>
    </w:p>
    <w:p w14:paraId="67833759" w14:textId="77777777" w:rsidR="00967C9D" w:rsidRPr="00967C9D" w:rsidRDefault="00967C9D">
      <w:pPr>
        <w:numPr>
          <w:ilvl w:val="0"/>
          <w:numId w:val="1"/>
        </w:num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الحربي، عبدالله بن محمد. (2021). أخلاقيات البحث العلمي في الدراسات الإدارية: المبادئ والتطبيقات</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i/>
          <w:iCs/>
          <w:sz w:val="24"/>
          <w:szCs w:val="24"/>
          <w:rtl/>
        </w:rPr>
        <w:t>مجلة الدراسات الإدارية المعاصرة</w:t>
      </w:r>
      <w:r w:rsidRPr="00967C9D">
        <w:rPr>
          <w:rFonts w:asciiTheme="majorBidi" w:eastAsia="Times New Roman" w:hAnsiTheme="majorBidi" w:cstheme="majorBidi"/>
          <w:sz w:val="24"/>
          <w:szCs w:val="24"/>
          <w:rtl/>
        </w:rPr>
        <w:t>، 8</w:t>
      </w:r>
      <w:r w:rsidRPr="00967C9D">
        <w:rPr>
          <w:rFonts w:asciiTheme="majorBidi" w:eastAsia="Times New Roman" w:hAnsiTheme="majorBidi" w:cstheme="majorBidi"/>
          <w:sz w:val="24"/>
          <w:szCs w:val="24"/>
        </w:rPr>
        <w:t>(2)</w:t>
      </w:r>
      <w:r w:rsidRPr="00967C9D">
        <w:rPr>
          <w:rFonts w:asciiTheme="majorBidi" w:eastAsia="Times New Roman" w:hAnsiTheme="majorBidi" w:cstheme="majorBidi"/>
          <w:sz w:val="24"/>
          <w:szCs w:val="24"/>
          <w:rtl/>
        </w:rPr>
        <w:t>، 45-72</w:t>
      </w:r>
      <w:r w:rsidRPr="00967C9D">
        <w:rPr>
          <w:rFonts w:asciiTheme="majorBidi" w:eastAsia="Times New Roman" w:hAnsiTheme="majorBidi" w:cstheme="majorBidi"/>
          <w:sz w:val="24"/>
          <w:szCs w:val="24"/>
        </w:rPr>
        <w:t>.</w:t>
      </w:r>
    </w:p>
    <w:p w14:paraId="2FEF34B0" w14:textId="77777777" w:rsidR="00967C9D" w:rsidRPr="00967C9D" w:rsidRDefault="00967C9D">
      <w:pPr>
        <w:numPr>
          <w:ilvl w:val="0"/>
          <w:numId w:val="1"/>
        </w:num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أبو حطب، غسان أحمد. (2022). أثر ممارسات إدارة المعرفة في الأداء المؤسسي: دراسة ميدانية على منظمات العمل الأهلي الزراعية والتنموية بقطاع غزة</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i/>
          <w:iCs/>
          <w:sz w:val="24"/>
          <w:szCs w:val="24"/>
          <w:rtl/>
        </w:rPr>
        <w:t>مجلة العلوم الاقتصادية والإدارية والقانونية</w:t>
      </w:r>
      <w:r w:rsidRPr="00967C9D">
        <w:rPr>
          <w:rFonts w:asciiTheme="majorBidi" w:eastAsia="Times New Roman" w:hAnsiTheme="majorBidi" w:cstheme="majorBidi"/>
          <w:sz w:val="24"/>
          <w:szCs w:val="24"/>
          <w:rtl/>
        </w:rPr>
        <w:t>، 6</w:t>
      </w:r>
      <w:r w:rsidRPr="00967C9D">
        <w:rPr>
          <w:rFonts w:asciiTheme="majorBidi" w:eastAsia="Times New Roman" w:hAnsiTheme="majorBidi" w:cstheme="majorBidi"/>
          <w:sz w:val="24"/>
          <w:szCs w:val="24"/>
        </w:rPr>
        <w:t>(24)</w:t>
      </w:r>
      <w:r w:rsidRPr="00967C9D">
        <w:rPr>
          <w:rFonts w:asciiTheme="majorBidi" w:eastAsia="Times New Roman" w:hAnsiTheme="majorBidi" w:cstheme="majorBidi"/>
          <w:sz w:val="24"/>
          <w:szCs w:val="24"/>
          <w:rtl/>
        </w:rPr>
        <w:t>، 39-68</w:t>
      </w:r>
      <w:r w:rsidRPr="00967C9D">
        <w:rPr>
          <w:rFonts w:asciiTheme="majorBidi" w:eastAsia="Times New Roman" w:hAnsiTheme="majorBidi" w:cstheme="majorBidi"/>
          <w:sz w:val="24"/>
          <w:szCs w:val="24"/>
        </w:rPr>
        <w:t>.</w:t>
      </w:r>
    </w:p>
    <w:p w14:paraId="06C5183C" w14:textId="77777777" w:rsidR="00967C9D" w:rsidRPr="00967C9D" w:rsidRDefault="00967C9D">
      <w:pPr>
        <w:numPr>
          <w:ilvl w:val="0"/>
          <w:numId w:val="1"/>
        </w:num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عبدالله، فاطمة محمود. (2022). أخلاقيات البحث العلمي في العلوم الإدارية: مدخل تطبيقي. الرياض: دار النشر العلمي</w:t>
      </w:r>
      <w:r w:rsidRPr="00967C9D">
        <w:rPr>
          <w:rFonts w:asciiTheme="majorBidi" w:eastAsia="Times New Roman" w:hAnsiTheme="majorBidi" w:cstheme="majorBidi"/>
          <w:sz w:val="24"/>
          <w:szCs w:val="24"/>
        </w:rPr>
        <w:t>.</w:t>
      </w:r>
    </w:p>
    <w:p w14:paraId="523F7689" w14:textId="77777777" w:rsidR="00967C9D" w:rsidRPr="00967C9D" w:rsidRDefault="00967C9D">
      <w:pPr>
        <w:numPr>
          <w:ilvl w:val="0"/>
          <w:numId w:val="1"/>
        </w:num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مجلة الدراسات الأمنية</w:t>
      </w:r>
      <w:r w:rsidRPr="00967C9D">
        <w:rPr>
          <w:rFonts w:asciiTheme="majorBidi" w:eastAsia="Times New Roman" w:hAnsiTheme="majorBidi" w:cstheme="majorBidi"/>
          <w:sz w:val="24"/>
          <w:szCs w:val="24"/>
        </w:rPr>
        <w:t xml:space="preserve">. (2023). </w:t>
      </w:r>
      <w:r w:rsidRPr="00967C9D">
        <w:rPr>
          <w:rFonts w:asciiTheme="majorBidi" w:eastAsia="Times New Roman" w:hAnsiTheme="majorBidi" w:cstheme="majorBidi"/>
          <w:i/>
          <w:iCs/>
          <w:sz w:val="24"/>
          <w:szCs w:val="24"/>
          <w:rtl/>
        </w:rPr>
        <w:t>سياسة أخلاقيات النشر والنزاهة العلمية</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 xml:space="preserve">مسترجع من </w:t>
      </w:r>
      <w:hyperlink r:id="rId9" w:tgtFrame="_blank" w:history="1">
        <w:r w:rsidRPr="00967C9D">
          <w:rPr>
            <w:rStyle w:val="Hyperlink"/>
            <w:rFonts w:asciiTheme="majorBidi" w:eastAsia="Times New Roman" w:hAnsiTheme="majorBidi" w:cstheme="majorBidi"/>
            <w:sz w:val="24"/>
            <w:szCs w:val="24"/>
          </w:rPr>
          <w:t>https://amenservices.psd.gov.jo</w:t>
        </w:r>
      </w:hyperlink>
    </w:p>
    <w:p w14:paraId="67B33D35" w14:textId="77777777" w:rsidR="00967C9D" w:rsidRPr="00967C9D" w:rsidRDefault="00967C9D">
      <w:pPr>
        <w:numPr>
          <w:ilvl w:val="0"/>
          <w:numId w:val="1"/>
        </w:num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مرسي، محمد. (2023). الأمانة العلمية كأساس لجودة البحث العلمي</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i/>
          <w:iCs/>
          <w:sz w:val="24"/>
          <w:szCs w:val="24"/>
          <w:rtl/>
        </w:rPr>
        <w:t>المجلة العربية لضمان جودة التعليم الجامعي</w:t>
      </w:r>
      <w:r w:rsidRPr="00967C9D">
        <w:rPr>
          <w:rFonts w:asciiTheme="majorBidi" w:eastAsia="Times New Roman" w:hAnsiTheme="majorBidi" w:cstheme="majorBidi"/>
          <w:sz w:val="24"/>
          <w:szCs w:val="24"/>
          <w:rtl/>
        </w:rPr>
        <w:t>، 16</w:t>
      </w:r>
      <w:r w:rsidRPr="00967C9D">
        <w:rPr>
          <w:rFonts w:asciiTheme="majorBidi" w:eastAsia="Times New Roman" w:hAnsiTheme="majorBidi" w:cstheme="majorBidi"/>
          <w:sz w:val="24"/>
          <w:szCs w:val="24"/>
        </w:rPr>
        <w:t>(54)</w:t>
      </w:r>
      <w:r w:rsidRPr="00967C9D">
        <w:rPr>
          <w:rFonts w:asciiTheme="majorBidi" w:eastAsia="Times New Roman" w:hAnsiTheme="majorBidi" w:cstheme="majorBidi"/>
          <w:sz w:val="24"/>
          <w:szCs w:val="24"/>
          <w:rtl/>
        </w:rPr>
        <w:t>، 112-135</w:t>
      </w:r>
      <w:r w:rsidRPr="00967C9D">
        <w:rPr>
          <w:rFonts w:asciiTheme="majorBidi" w:eastAsia="Times New Roman" w:hAnsiTheme="majorBidi" w:cstheme="majorBidi"/>
          <w:sz w:val="24"/>
          <w:szCs w:val="24"/>
        </w:rPr>
        <w:t>.</w:t>
      </w:r>
    </w:p>
    <w:p w14:paraId="6240197B" w14:textId="77777777" w:rsidR="00967C9D" w:rsidRPr="00967C9D" w:rsidRDefault="00967C9D">
      <w:pPr>
        <w:numPr>
          <w:ilvl w:val="0"/>
          <w:numId w:val="1"/>
        </w:num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المجلة الليبية للدراسات</w:t>
      </w:r>
      <w:r w:rsidRPr="00967C9D">
        <w:rPr>
          <w:rFonts w:asciiTheme="majorBidi" w:eastAsia="Times New Roman" w:hAnsiTheme="majorBidi" w:cstheme="majorBidi"/>
          <w:sz w:val="24"/>
          <w:szCs w:val="24"/>
        </w:rPr>
        <w:t xml:space="preserve">. (2023). </w:t>
      </w:r>
      <w:r w:rsidRPr="00967C9D">
        <w:rPr>
          <w:rFonts w:asciiTheme="majorBidi" w:eastAsia="Times New Roman" w:hAnsiTheme="majorBidi" w:cstheme="majorBidi"/>
          <w:i/>
          <w:iCs/>
          <w:sz w:val="24"/>
          <w:szCs w:val="24"/>
          <w:rtl/>
        </w:rPr>
        <w:t>سياسة أخلاقيات البحث والنزاهة العلمية وإجراءات التعامل مع المخالفات</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sz w:val="24"/>
          <w:szCs w:val="24"/>
          <w:rtl/>
        </w:rPr>
        <w:t xml:space="preserve">جامعة أسمرية الإسلامية. مسترجع من </w:t>
      </w:r>
      <w:hyperlink r:id="rId10" w:tgtFrame="_blank" w:history="1">
        <w:r w:rsidRPr="00967C9D">
          <w:rPr>
            <w:rStyle w:val="Hyperlink"/>
            <w:rFonts w:asciiTheme="majorBidi" w:eastAsia="Times New Roman" w:hAnsiTheme="majorBidi" w:cstheme="majorBidi"/>
            <w:sz w:val="24"/>
            <w:szCs w:val="24"/>
          </w:rPr>
          <w:t>https://journals.asmarya.edu.ly</w:t>
        </w:r>
      </w:hyperlink>
    </w:p>
    <w:p w14:paraId="501E6DDB" w14:textId="77777777" w:rsidR="00967C9D" w:rsidRPr="00967C9D" w:rsidRDefault="00967C9D">
      <w:pPr>
        <w:numPr>
          <w:ilvl w:val="0"/>
          <w:numId w:val="1"/>
        </w:numPr>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tl/>
        </w:rPr>
        <w:t>موسى، موسى عبدالعزيز. (2026). أثر إدارة المعرفة على فاعلية إدارة التغيير: دراسة ميدانية على شركة مطوفي حجاج الدول العربية "أشرقت</w:t>
      </w:r>
      <w:r w:rsidRPr="00967C9D">
        <w:rPr>
          <w:rFonts w:asciiTheme="majorBidi" w:eastAsia="Times New Roman" w:hAnsiTheme="majorBidi" w:cstheme="majorBidi"/>
          <w:sz w:val="24"/>
          <w:szCs w:val="24"/>
        </w:rPr>
        <w:t xml:space="preserve">". </w:t>
      </w:r>
      <w:r w:rsidRPr="00967C9D">
        <w:rPr>
          <w:rFonts w:asciiTheme="majorBidi" w:eastAsia="Times New Roman" w:hAnsiTheme="majorBidi" w:cstheme="majorBidi"/>
          <w:i/>
          <w:iCs/>
          <w:sz w:val="24"/>
          <w:szCs w:val="24"/>
          <w:rtl/>
        </w:rPr>
        <w:t>مجلة البحوث الإدارية</w:t>
      </w:r>
      <w:r w:rsidRPr="00967C9D">
        <w:rPr>
          <w:rFonts w:asciiTheme="majorBidi" w:eastAsia="Times New Roman" w:hAnsiTheme="majorBidi" w:cstheme="majorBidi"/>
          <w:sz w:val="24"/>
          <w:szCs w:val="24"/>
          <w:rtl/>
        </w:rPr>
        <w:t>، 44</w:t>
      </w:r>
      <w:r w:rsidRPr="00967C9D">
        <w:rPr>
          <w:rFonts w:asciiTheme="majorBidi" w:eastAsia="Times New Roman" w:hAnsiTheme="majorBidi" w:cstheme="majorBidi"/>
          <w:sz w:val="24"/>
          <w:szCs w:val="24"/>
        </w:rPr>
        <w:t>(1)</w:t>
      </w:r>
      <w:r w:rsidRPr="00967C9D">
        <w:rPr>
          <w:rFonts w:asciiTheme="majorBidi" w:eastAsia="Times New Roman" w:hAnsiTheme="majorBidi" w:cstheme="majorBidi"/>
          <w:sz w:val="24"/>
          <w:szCs w:val="24"/>
          <w:rtl/>
        </w:rPr>
        <w:t>، 2-22</w:t>
      </w:r>
      <w:r w:rsidRPr="00967C9D">
        <w:rPr>
          <w:rFonts w:asciiTheme="majorBidi" w:eastAsia="Times New Roman" w:hAnsiTheme="majorBidi" w:cstheme="majorBidi"/>
          <w:sz w:val="24"/>
          <w:szCs w:val="24"/>
        </w:rPr>
        <w:t>.</w:t>
      </w:r>
    </w:p>
    <w:p w14:paraId="3A695329" w14:textId="77777777" w:rsidR="00967C9D" w:rsidRPr="00967C9D" w:rsidRDefault="00967C9D" w:rsidP="00967C9D">
      <w:pPr>
        <w:spacing w:line="360" w:lineRule="auto"/>
        <w:jc w:val="both"/>
        <w:rPr>
          <w:rFonts w:asciiTheme="majorBidi" w:eastAsia="Times New Roman" w:hAnsiTheme="majorBidi" w:cstheme="majorBidi"/>
          <w:b/>
          <w:bCs/>
          <w:sz w:val="24"/>
          <w:szCs w:val="24"/>
        </w:rPr>
      </w:pPr>
      <w:r w:rsidRPr="00967C9D">
        <w:rPr>
          <w:rFonts w:asciiTheme="majorBidi" w:eastAsia="Times New Roman" w:hAnsiTheme="majorBidi" w:cstheme="majorBidi"/>
          <w:b/>
          <w:bCs/>
          <w:sz w:val="24"/>
          <w:szCs w:val="24"/>
          <w:rtl/>
        </w:rPr>
        <w:t>ثانياً: المراجع الأجنبية</w:t>
      </w:r>
    </w:p>
    <w:p w14:paraId="75A8153F" w14:textId="77777777" w:rsidR="00967C9D" w:rsidRPr="00967C9D" w:rsidRDefault="00967C9D">
      <w:pPr>
        <w:numPr>
          <w:ilvl w:val="0"/>
          <w:numId w:val="2"/>
        </w:numPr>
        <w:bidi w:val="0"/>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Pr>
        <w:lastRenderedPageBreak/>
        <w:t xml:space="preserve">American Psychological Association. (2023). </w:t>
      </w:r>
      <w:r w:rsidRPr="00967C9D">
        <w:rPr>
          <w:rFonts w:asciiTheme="majorBidi" w:eastAsia="Times New Roman" w:hAnsiTheme="majorBidi" w:cstheme="majorBidi"/>
          <w:i/>
          <w:iCs/>
          <w:sz w:val="24"/>
          <w:szCs w:val="24"/>
        </w:rPr>
        <w:t>IRBs and psychological science: Ensuring a collaborative relationship</w:t>
      </w:r>
      <w:r w:rsidRPr="00967C9D">
        <w:rPr>
          <w:rFonts w:asciiTheme="majorBidi" w:eastAsia="Times New Roman" w:hAnsiTheme="majorBidi" w:cstheme="majorBidi"/>
          <w:sz w:val="24"/>
          <w:szCs w:val="24"/>
        </w:rPr>
        <w:t xml:space="preserve">. Retrieved from </w:t>
      </w:r>
      <w:hyperlink r:id="rId11" w:tgtFrame="_blank" w:history="1">
        <w:r w:rsidRPr="00967C9D">
          <w:rPr>
            <w:rStyle w:val="Hyperlink"/>
            <w:rFonts w:asciiTheme="majorBidi" w:eastAsia="Times New Roman" w:hAnsiTheme="majorBidi" w:cstheme="majorBidi"/>
            <w:sz w:val="24"/>
            <w:szCs w:val="24"/>
          </w:rPr>
          <w:t>https://www.apa.org/research-practice/conduct-research/irbs-psych-science</w:t>
        </w:r>
      </w:hyperlink>
    </w:p>
    <w:p w14:paraId="4C440B6C" w14:textId="77777777" w:rsidR="00967C9D" w:rsidRPr="00967C9D" w:rsidRDefault="00967C9D">
      <w:pPr>
        <w:numPr>
          <w:ilvl w:val="0"/>
          <w:numId w:val="2"/>
        </w:numPr>
        <w:bidi w:val="0"/>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Pr>
        <w:t xml:space="preserve">Bhandari, P. (2022). Ethical considerations in research: Types &amp; examples. </w:t>
      </w:r>
      <w:r w:rsidRPr="00967C9D">
        <w:rPr>
          <w:rFonts w:asciiTheme="majorBidi" w:eastAsia="Times New Roman" w:hAnsiTheme="majorBidi" w:cstheme="majorBidi"/>
          <w:i/>
          <w:iCs/>
          <w:sz w:val="24"/>
          <w:szCs w:val="24"/>
        </w:rPr>
        <w:t>Scribbr</w:t>
      </w:r>
      <w:r w:rsidRPr="00967C9D">
        <w:rPr>
          <w:rFonts w:asciiTheme="majorBidi" w:eastAsia="Times New Roman" w:hAnsiTheme="majorBidi" w:cstheme="majorBidi"/>
          <w:sz w:val="24"/>
          <w:szCs w:val="24"/>
        </w:rPr>
        <w:t xml:space="preserve">. Retrieved from </w:t>
      </w:r>
      <w:hyperlink r:id="rId12" w:tgtFrame="_blank" w:history="1">
        <w:r w:rsidRPr="00967C9D">
          <w:rPr>
            <w:rStyle w:val="Hyperlink"/>
            <w:rFonts w:asciiTheme="majorBidi" w:eastAsia="Times New Roman" w:hAnsiTheme="majorBidi" w:cstheme="majorBidi"/>
            <w:sz w:val="24"/>
            <w:szCs w:val="24"/>
          </w:rPr>
          <w:t>https://www.scribbr.com/methodology/research-ethics/</w:t>
        </w:r>
      </w:hyperlink>
    </w:p>
    <w:p w14:paraId="6976F9AF" w14:textId="77777777" w:rsidR="00967C9D" w:rsidRPr="00967C9D" w:rsidRDefault="00967C9D">
      <w:pPr>
        <w:numPr>
          <w:ilvl w:val="0"/>
          <w:numId w:val="2"/>
        </w:numPr>
        <w:bidi w:val="0"/>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Pr>
        <w:t xml:space="preserve">Kenyon College. (2022). </w:t>
      </w:r>
      <w:r w:rsidRPr="00967C9D">
        <w:rPr>
          <w:rFonts w:asciiTheme="majorBidi" w:eastAsia="Times New Roman" w:hAnsiTheme="majorBidi" w:cstheme="majorBidi"/>
          <w:i/>
          <w:iCs/>
          <w:sz w:val="24"/>
          <w:szCs w:val="24"/>
        </w:rPr>
        <w:t>Ethical guidelines and federal regulations: Institutional Review Board</w:t>
      </w:r>
      <w:r w:rsidRPr="00967C9D">
        <w:rPr>
          <w:rFonts w:asciiTheme="majorBidi" w:eastAsia="Times New Roman" w:hAnsiTheme="majorBidi" w:cstheme="majorBidi"/>
          <w:sz w:val="24"/>
          <w:szCs w:val="24"/>
        </w:rPr>
        <w:t xml:space="preserve">. Retrieved from </w:t>
      </w:r>
      <w:hyperlink r:id="rId13" w:tgtFrame="_blank" w:history="1">
        <w:r w:rsidRPr="00967C9D">
          <w:rPr>
            <w:rStyle w:val="Hyperlink"/>
            <w:rFonts w:asciiTheme="majorBidi" w:eastAsia="Times New Roman" w:hAnsiTheme="majorBidi" w:cstheme="majorBidi"/>
            <w:sz w:val="24"/>
            <w:szCs w:val="24"/>
          </w:rPr>
          <w:t>https://www.kenyon.edu/sponsored-faculty-projects/research-compliance/</w:t>
        </w:r>
      </w:hyperlink>
    </w:p>
    <w:p w14:paraId="1455AB68" w14:textId="77777777" w:rsidR="00967C9D" w:rsidRPr="00967C9D" w:rsidRDefault="00967C9D">
      <w:pPr>
        <w:numPr>
          <w:ilvl w:val="0"/>
          <w:numId w:val="2"/>
        </w:numPr>
        <w:bidi w:val="0"/>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Pr>
        <w:t xml:space="preserve">National Institutes of Health (NIH). (2021). </w:t>
      </w:r>
      <w:r w:rsidRPr="00967C9D">
        <w:rPr>
          <w:rFonts w:asciiTheme="majorBidi" w:eastAsia="Times New Roman" w:hAnsiTheme="majorBidi" w:cstheme="majorBidi"/>
          <w:i/>
          <w:iCs/>
          <w:sz w:val="24"/>
          <w:szCs w:val="24"/>
        </w:rPr>
        <w:t>Guiding principles for ethical research</w:t>
      </w:r>
      <w:r w:rsidRPr="00967C9D">
        <w:rPr>
          <w:rFonts w:asciiTheme="majorBidi" w:eastAsia="Times New Roman" w:hAnsiTheme="majorBidi" w:cstheme="majorBidi"/>
          <w:sz w:val="24"/>
          <w:szCs w:val="24"/>
        </w:rPr>
        <w:t xml:space="preserve">. Retrieved from </w:t>
      </w:r>
      <w:hyperlink r:id="rId14" w:tgtFrame="_blank" w:history="1">
        <w:r w:rsidRPr="00967C9D">
          <w:rPr>
            <w:rStyle w:val="Hyperlink"/>
            <w:rFonts w:asciiTheme="majorBidi" w:eastAsia="Times New Roman" w:hAnsiTheme="majorBidi" w:cstheme="majorBidi"/>
            <w:sz w:val="24"/>
            <w:szCs w:val="24"/>
          </w:rPr>
          <w:t>https://www.nih.gov/health-information/nih-clinical-research-trials-you/guiding-principles-ethical-research</w:t>
        </w:r>
      </w:hyperlink>
    </w:p>
    <w:p w14:paraId="359D7FC9" w14:textId="77777777" w:rsidR="00967C9D" w:rsidRPr="00967C9D" w:rsidRDefault="00967C9D">
      <w:pPr>
        <w:numPr>
          <w:ilvl w:val="0"/>
          <w:numId w:val="2"/>
        </w:numPr>
        <w:bidi w:val="0"/>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Pr>
        <w:t xml:space="preserve">Proof-Reading-Service. (2023). </w:t>
      </w:r>
      <w:r w:rsidRPr="00967C9D">
        <w:rPr>
          <w:rFonts w:asciiTheme="majorBidi" w:eastAsia="Times New Roman" w:hAnsiTheme="majorBidi" w:cstheme="majorBidi"/>
          <w:i/>
          <w:iCs/>
          <w:sz w:val="24"/>
          <w:szCs w:val="24"/>
        </w:rPr>
        <w:t>Ethics in academic research: What every scholar must know</w:t>
      </w:r>
      <w:r w:rsidRPr="00967C9D">
        <w:rPr>
          <w:rFonts w:asciiTheme="majorBidi" w:eastAsia="Times New Roman" w:hAnsiTheme="majorBidi" w:cstheme="majorBidi"/>
          <w:sz w:val="24"/>
          <w:szCs w:val="24"/>
        </w:rPr>
        <w:t xml:space="preserve">. Retrieved from </w:t>
      </w:r>
      <w:hyperlink r:id="rId15" w:tgtFrame="_blank" w:history="1">
        <w:r w:rsidRPr="00967C9D">
          <w:rPr>
            <w:rStyle w:val="Hyperlink"/>
            <w:rFonts w:asciiTheme="majorBidi" w:eastAsia="Times New Roman" w:hAnsiTheme="majorBidi" w:cstheme="majorBidi"/>
            <w:sz w:val="24"/>
            <w:szCs w:val="24"/>
          </w:rPr>
          <w:t>https://www.proof-reading-service.com</w:t>
        </w:r>
      </w:hyperlink>
    </w:p>
    <w:p w14:paraId="763C1509" w14:textId="77777777" w:rsidR="00967C9D" w:rsidRPr="00967C9D" w:rsidRDefault="00967C9D">
      <w:pPr>
        <w:numPr>
          <w:ilvl w:val="0"/>
          <w:numId w:val="2"/>
        </w:numPr>
        <w:bidi w:val="0"/>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Pr>
        <w:t xml:space="preserve">Resnik, D. B. (2020). </w:t>
      </w:r>
      <w:r w:rsidRPr="00967C9D">
        <w:rPr>
          <w:rFonts w:asciiTheme="majorBidi" w:eastAsia="Times New Roman" w:hAnsiTheme="majorBidi" w:cstheme="majorBidi"/>
          <w:i/>
          <w:iCs/>
          <w:sz w:val="24"/>
          <w:szCs w:val="24"/>
        </w:rPr>
        <w:t>What is ethics in research and why is it important?</w:t>
      </w:r>
      <w:r w:rsidRPr="00967C9D">
        <w:rPr>
          <w:rFonts w:asciiTheme="majorBidi" w:eastAsia="Times New Roman" w:hAnsiTheme="majorBidi" w:cstheme="majorBidi"/>
          <w:sz w:val="24"/>
          <w:szCs w:val="24"/>
        </w:rPr>
        <w:t xml:space="preserve"> National Institute of Environmental Health Sciences. Retrieved from </w:t>
      </w:r>
      <w:hyperlink r:id="rId16" w:tgtFrame="_blank" w:history="1">
        <w:r w:rsidRPr="00967C9D">
          <w:rPr>
            <w:rStyle w:val="Hyperlink"/>
            <w:rFonts w:asciiTheme="majorBidi" w:eastAsia="Times New Roman" w:hAnsiTheme="majorBidi" w:cstheme="majorBidi"/>
            <w:sz w:val="24"/>
            <w:szCs w:val="24"/>
          </w:rPr>
          <w:t>https://www.niehs.nih.gov/research/resources/bioethics/whatis</w:t>
        </w:r>
      </w:hyperlink>
    </w:p>
    <w:p w14:paraId="7A00045C" w14:textId="77777777" w:rsidR="00967C9D" w:rsidRPr="00967C9D" w:rsidRDefault="00967C9D">
      <w:pPr>
        <w:numPr>
          <w:ilvl w:val="0"/>
          <w:numId w:val="2"/>
        </w:numPr>
        <w:bidi w:val="0"/>
        <w:spacing w:line="360" w:lineRule="auto"/>
        <w:jc w:val="both"/>
        <w:rPr>
          <w:rFonts w:asciiTheme="majorBidi" w:eastAsia="Times New Roman" w:hAnsiTheme="majorBidi" w:cstheme="majorBidi"/>
          <w:sz w:val="24"/>
          <w:szCs w:val="24"/>
        </w:rPr>
      </w:pPr>
      <w:r w:rsidRPr="00967C9D">
        <w:rPr>
          <w:rFonts w:asciiTheme="majorBidi" w:eastAsia="Times New Roman" w:hAnsiTheme="majorBidi" w:cstheme="majorBidi"/>
          <w:sz w:val="24"/>
          <w:szCs w:val="24"/>
        </w:rPr>
        <w:t xml:space="preserve">Shamoo, A. E., &amp; Resnik, D. B. (2022). </w:t>
      </w:r>
      <w:r w:rsidRPr="00967C9D">
        <w:rPr>
          <w:rFonts w:asciiTheme="majorBidi" w:eastAsia="Times New Roman" w:hAnsiTheme="majorBidi" w:cstheme="majorBidi"/>
          <w:i/>
          <w:iCs/>
          <w:sz w:val="24"/>
          <w:szCs w:val="24"/>
        </w:rPr>
        <w:t>Responsible conduct of research</w:t>
      </w:r>
      <w:r w:rsidRPr="00967C9D">
        <w:rPr>
          <w:rFonts w:asciiTheme="majorBidi" w:eastAsia="Times New Roman" w:hAnsiTheme="majorBidi" w:cstheme="majorBidi"/>
          <w:sz w:val="24"/>
          <w:szCs w:val="24"/>
        </w:rPr>
        <w:t xml:space="preserve"> (4th ed.). Oxford University Press.</w:t>
      </w:r>
    </w:p>
    <w:p w14:paraId="53380236" w14:textId="15E97C14" w:rsidR="002B6DFB" w:rsidRPr="004B6AF8" w:rsidRDefault="002B6DFB" w:rsidP="006A7846">
      <w:pPr>
        <w:spacing w:line="360" w:lineRule="auto"/>
        <w:jc w:val="both"/>
        <w:rPr>
          <w:rFonts w:asciiTheme="majorBidi" w:eastAsia="Times New Roman" w:hAnsiTheme="majorBidi" w:cstheme="majorBidi"/>
          <w:kern w:val="0"/>
          <w:sz w:val="24"/>
          <w:szCs w:val="24"/>
          <w:lang w:bidi="ar-EG"/>
          <w14:ligatures w14:val="none"/>
        </w:rPr>
      </w:pPr>
    </w:p>
    <w:sectPr w:rsidR="002B6DFB" w:rsidRPr="004B6AF8" w:rsidSect="00376B50">
      <w:footerReference w:type="default" r:id="rId17"/>
      <w:pgSz w:w="11906" w:h="16838"/>
      <w:pgMar w:top="1440" w:right="1797" w:bottom="1440" w:left="1797"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C36C4" w14:textId="77777777" w:rsidR="005652DC" w:rsidRDefault="005652DC" w:rsidP="009125CE">
      <w:pPr>
        <w:spacing w:after="0" w:line="240" w:lineRule="auto"/>
      </w:pPr>
      <w:r>
        <w:separator/>
      </w:r>
    </w:p>
  </w:endnote>
  <w:endnote w:type="continuationSeparator" w:id="0">
    <w:p w14:paraId="2F3278B1" w14:textId="77777777" w:rsidR="005652DC" w:rsidRDefault="005652D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2076502"/>
      <w:docPartObj>
        <w:docPartGallery w:val="Page Numbers (Bottom of Page)"/>
        <w:docPartUnique/>
      </w:docPartObj>
    </w:sdtPr>
    <w:sdtContent>
      <w:p w14:paraId="49E1BF1B" w14:textId="0750CBCB" w:rsidR="00376B50" w:rsidRDefault="00376B50">
        <w:pPr>
          <w:pStyle w:val="a4"/>
          <w:jc w:val="center"/>
        </w:pPr>
        <w:r>
          <w:fldChar w:fldCharType="begin"/>
        </w:r>
        <w:r>
          <w:instrText>PAGE   \* MERGEFORMAT</w:instrText>
        </w:r>
        <w:r>
          <w:fldChar w:fldCharType="separate"/>
        </w:r>
        <w:r>
          <w:rPr>
            <w:rtl/>
            <w:lang w:val="ar-SA"/>
          </w:rPr>
          <w:t>2</w:t>
        </w:r>
        <w:r>
          <w:fldChar w:fldCharType="end"/>
        </w:r>
      </w:p>
    </w:sdtContent>
  </w:sdt>
  <w:p w14:paraId="191254A4" w14:textId="77777777" w:rsidR="00376B50" w:rsidRDefault="00376B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70E4A" w14:textId="77777777" w:rsidR="005652DC" w:rsidRDefault="005652DC" w:rsidP="009125CE">
      <w:pPr>
        <w:spacing w:after="0" w:line="240" w:lineRule="auto"/>
      </w:pPr>
      <w:r>
        <w:separator/>
      </w:r>
    </w:p>
  </w:footnote>
  <w:footnote w:type="continuationSeparator" w:id="0">
    <w:p w14:paraId="4626AEBD" w14:textId="77777777" w:rsidR="005652DC" w:rsidRDefault="005652D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57845"/>
    <w:multiLevelType w:val="multilevel"/>
    <w:tmpl w:val="6E80C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D360D"/>
    <w:multiLevelType w:val="multilevel"/>
    <w:tmpl w:val="92AC5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94795610">
    <w:abstractNumId w:val="1"/>
  </w:num>
  <w:num w:numId="2" w16cid:durableId="10736083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B22"/>
    <w:rsid w:val="00023D49"/>
    <w:rsid w:val="0003331D"/>
    <w:rsid w:val="0004198D"/>
    <w:rsid w:val="0006709C"/>
    <w:rsid w:val="00067FF4"/>
    <w:rsid w:val="00090F21"/>
    <w:rsid w:val="000B7BDE"/>
    <w:rsid w:val="000C6813"/>
    <w:rsid w:val="000C6EC5"/>
    <w:rsid w:val="000D5702"/>
    <w:rsid w:val="000F44B4"/>
    <w:rsid w:val="00111653"/>
    <w:rsid w:val="001129E5"/>
    <w:rsid w:val="00113DBE"/>
    <w:rsid w:val="00121A58"/>
    <w:rsid w:val="00137F3D"/>
    <w:rsid w:val="00156466"/>
    <w:rsid w:val="00170DB3"/>
    <w:rsid w:val="0018612B"/>
    <w:rsid w:val="0018724C"/>
    <w:rsid w:val="001902DB"/>
    <w:rsid w:val="001A2A53"/>
    <w:rsid w:val="001A4A25"/>
    <w:rsid w:val="001C2162"/>
    <w:rsid w:val="001C5D4A"/>
    <w:rsid w:val="001F616E"/>
    <w:rsid w:val="00200E4E"/>
    <w:rsid w:val="002059DD"/>
    <w:rsid w:val="00210177"/>
    <w:rsid w:val="00212556"/>
    <w:rsid w:val="00213BE4"/>
    <w:rsid w:val="00215B37"/>
    <w:rsid w:val="00222F6F"/>
    <w:rsid w:val="00267699"/>
    <w:rsid w:val="00270C69"/>
    <w:rsid w:val="00270E02"/>
    <w:rsid w:val="00271CD4"/>
    <w:rsid w:val="002739D2"/>
    <w:rsid w:val="00274C6D"/>
    <w:rsid w:val="00287E3A"/>
    <w:rsid w:val="0029432D"/>
    <w:rsid w:val="002A0AD5"/>
    <w:rsid w:val="002A2260"/>
    <w:rsid w:val="002A3770"/>
    <w:rsid w:val="002B6DFB"/>
    <w:rsid w:val="002D35A2"/>
    <w:rsid w:val="002E1C43"/>
    <w:rsid w:val="00316620"/>
    <w:rsid w:val="00317645"/>
    <w:rsid w:val="00324963"/>
    <w:rsid w:val="00343929"/>
    <w:rsid w:val="00356263"/>
    <w:rsid w:val="0036416B"/>
    <w:rsid w:val="00376B50"/>
    <w:rsid w:val="003B22D9"/>
    <w:rsid w:val="003D3600"/>
    <w:rsid w:val="003D3B7C"/>
    <w:rsid w:val="00407607"/>
    <w:rsid w:val="004163C7"/>
    <w:rsid w:val="00422361"/>
    <w:rsid w:val="004229E0"/>
    <w:rsid w:val="00441182"/>
    <w:rsid w:val="00457C9C"/>
    <w:rsid w:val="00471290"/>
    <w:rsid w:val="0048111F"/>
    <w:rsid w:val="00483840"/>
    <w:rsid w:val="0048689A"/>
    <w:rsid w:val="0049709F"/>
    <w:rsid w:val="004B121B"/>
    <w:rsid w:val="004B278D"/>
    <w:rsid w:val="004B6AF8"/>
    <w:rsid w:val="004D675B"/>
    <w:rsid w:val="0050229D"/>
    <w:rsid w:val="00516AE6"/>
    <w:rsid w:val="00534B2F"/>
    <w:rsid w:val="00537842"/>
    <w:rsid w:val="0055693B"/>
    <w:rsid w:val="00557CF9"/>
    <w:rsid w:val="005652DC"/>
    <w:rsid w:val="005768B5"/>
    <w:rsid w:val="00576FF7"/>
    <w:rsid w:val="005905D2"/>
    <w:rsid w:val="005A5E69"/>
    <w:rsid w:val="005A7EF6"/>
    <w:rsid w:val="005B1711"/>
    <w:rsid w:val="005C34B8"/>
    <w:rsid w:val="005D4269"/>
    <w:rsid w:val="005E5E98"/>
    <w:rsid w:val="00612218"/>
    <w:rsid w:val="00634E76"/>
    <w:rsid w:val="00651277"/>
    <w:rsid w:val="006562EB"/>
    <w:rsid w:val="00665D60"/>
    <w:rsid w:val="00686F57"/>
    <w:rsid w:val="006878B6"/>
    <w:rsid w:val="006948DE"/>
    <w:rsid w:val="006A7846"/>
    <w:rsid w:val="007066DD"/>
    <w:rsid w:val="007359B5"/>
    <w:rsid w:val="00750036"/>
    <w:rsid w:val="0077268D"/>
    <w:rsid w:val="00795C67"/>
    <w:rsid w:val="007B0E54"/>
    <w:rsid w:val="007C1089"/>
    <w:rsid w:val="007C1549"/>
    <w:rsid w:val="007C4A0C"/>
    <w:rsid w:val="007C6EE1"/>
    <w:rsid w:val="007D1470"/>
    <w:rsid w:val="007E2EF6"/>
    <w:rsid w:val="007E37F4"/>
    <w:rsid w:val="007E3A20"/>
    <w:rsid w:val="007E5404"/>
    <w:rsid w:val="00804B6C"/>
    <w:rsid w:val="0081340B"/>
    <w:rsid w:val="008206ED"/>
    <w:rsid w:val="008212A6"/>
    <w:rsid w:val="0082585C"/>
    <w:rsid w:val="0085613D"/>
    <w:rsid w:val="008719CB"/>
    <w:rsid w:val="00876CEA"/>
    <w:rsid w:val="00877AAC"/>
    <w:rsid w:val="00880B14"/>
    <w:rsid w:val="008963D4"/>
    <w:rsid w:val="00896FE4"/>
    <w:rsid w:val="008A6519"/>
    <w:rsid w:val="008D2C72"/>
    <w:rsid w:val="008D49D9"/>
    <w:rsid w:val="008F1EAE"/>
    <w:rsid w:val="009125CE"/>
    <w:rsid w:val="009129E5"/>
    <w:rsid w:val="00946F5F"/>
    <w:rsid w:val="00956AE0"/>
    <w:rsid w:val="009637D7"/>
    <w:rsid w:val="00963DA7"/>
    <w:rsid w:val="00966E62"/>
    <w:rsid w:val="009672FC"/>
    <w:rsid w:val="00967C9D"/>
    <w:rsid w:val="00985D34"/>
    <w:rsid w:val="009914C4"/>
    <w:rsid w:val="009A1AB0"/>
    <w:rsid w:val="009B0CE6"/>
    <w:rsid w:val="009B27DA"/>
    <w:rsid w:val="009B6888"/>
    <w:rsid w:val="009C0161"/>
    <w:rsid w:val="009C527C"/>
    <w:rsid w:val="009C6494"/>
    <w:rsid w:val="009C6635"/>
    <w:rsid w:val="009D108D"/>
    <w:rsid w:val="009D7E30"/>
    <w:rsid w:val="009E1436"/>
    <w:rsid w:val="009E1467"/>
    <w:rsid w:val="009E5468"/>
    <w:rsid w:val="009E5668"/>
    <w:rsid w:val="00A12BDB"/>
    <w:rsid w:val="00A63713"/>
    <w:rsid w:val="00A65395"/>
    <w:rsid w:val="00A77982"/>
    <w:rsid w:val="00A8468B"/>
    <w:rsid w:val="00AA79E9"/>
    <w:rsid w:val="00AB0A70"/>
    <w:rsid w:val="00AC4CD1"/>
    <w:rsid w:val="00AF040D"/>
    <w:rsid w:val="00B05897"/>
    <w:rsid w:val="00B10163"/>
    <w:rsid w:val="00B1496E"/>
    <w:rsid w:val="00B14B06"/>
    <w:rsid w:val="00B20ECC"/>
    <w:rsid w:val="00B23351"/>
    <w:rsid w:val="00B25BA2"/>
    <w:rsid w:val="00B27039"/>
    <w:rsid w:val="00B30165"/>
    <w:rsid w:val="00B44450"/>
    <w:rsid w:val="00B55084"/>
    <w:rsid w:val="00B638DD"/>
    <w:rsid w:val="00B63B0F"/>
    <w:rsid w:val="00B73FF1"/>
    <w:rsid w:val="00B759E2"/>
    <w:rsid w:val="00B7678A"/>
    <w:rsid w:val="00B76D41"/>
    <w:rsid w:val="00B92099"/>
    <w:rsid w:val="00B9620E"/>
    <w:rsid w:val="00BA5B0E"/>
    <w:rsid w:val="00BB4B0F"/>
    <w:rsid w:val="00BB7576"/>
    <w:rsid w:val="00BC094B"/>
    <w:rsid w:val="00BC0CAA"/>
    <w:rsid w:val="00BC1099"/>
    <w:rsid w:val="00BC5333"/>
    <w:rsid w:val="00BC62F4"/>
    <w:rsid w:val="00BE046F"/>
    <w:rsid w:val="00C0243A"/>
    <w:rsid w:val="00C03960"/>
    <w:rsid w:val="00C04895"/>
    <w:rsid w:val="00C11F7C"/>
    <w:rsid w:val="00C172B4"/>
    <w:rsid w:val="00C216DA"/>
    <w:rsid w:val="00C24534"/>
    <w:rsid w:val="00C41763"/>
    <w:rsid w:val="00C56D2A"/>
    <w:rsid w:val="00C72744"/>
    <w:rsid w:val="00C73DF1"/>
    <w:rsid w:val="00C85D92"/>
    <w:rsid w:val="00C86F49"/>
    <w:rsid w:val="00CB2633"/>
    <w:rsid w:val="00CB2A44"/>
    <w:rsid w:val="00CD3206"/>
    <w:rsid w:val="00CE7D23"/>
    <w:rsid w:val="00CF035A"/>
    <w:rsid w:val="00D04F62"/>
    <w:rsid w:val="00D22171"/>
    <w:rsid w:val="00D43FCE"/>
    <w:rsid w:val="00D52480"/>
    <w:rsid w:val="00D527F5"/>
    <w:rsid w:val="00D60C60"/>
    <w:rsid w:val="00D628E2"/>
    <w:rsid w:val="00D84C82"/>
    <w:rsid w:val="00D906DE"/>
    <w:rsid w:val="00DB1479"/>
    <w:rsid w:val="00DC366B"/>
    <w:rsid w:val="00DE7FAE"/>
    <w:rsid w:val="00E04097"/>
    <w:rsid w:val="00E76CFC"/>
    <w:rsid w:val="00E80DF8"/>
    <w:rsid w:val="00E80FD9"/>
    <w:rsid w:val="00EA0B82"/>
    <w:rsid w:val="00EA1CAC"/>
    <w:rsid w:val="00EA5285"/>
    <w:rsid w:val="00EC33D7"/>
    <w:rsid w:val="00F12EE4"/>
    <w:rsid w:val="00F30C4A"/>
    <w:rsid w:val="00F337B9"/>
    <w:rsid w:val="00F44494"/>
    <w:rsid w:val="00F52BB7"/>
    <w:rsid w:val="00F545AE"/>
    <w:rsid w:val="00F546CE"/>
    <w:rsid w:val="00F7295A"/>
    <w:rsid w:val="00F74BC1"/>
    <w:rsid w:val="00F82B3E"/>
    <w:rsid w:val="00F84D9B"/>
    <w:rsid w:val="00F925D0"/>
    <w:rsid w:val="00FA6F47"/>
    <w:rsid w:val="00FC7D6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C68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516A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9C52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213BE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B44450"/>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76B50"/>
    <w:pPr>
      <w:ind w:left="720"/>
      <w:contextualSpacing/>
    </w:pPr>
  </w:style>
  <w:style w:type="character" w:styleId="Hyperlink">
    <w:name w:val="Hyperlink"/>
    <w:basedOn w:val="a0"/>
    <w:uiPriority w:val="99"/>
    <w:unhideWhenUsed/>
    <w:rsid w:val="009672FC"/>
    <w:rPr>
      <w:color w:val="0563C1" w:themeColor="hyperlink"/>
      <w:u w:val="single"/>
    </w:rPr>
  </w:style>
  <w:style w:type="character" w:styleId="a6">
    <w:name w:val="Unresolved Mention"/>
    <w:basedOn w:val="a0"/>
    <w:uiPriority w:val="99"/>
    <w:semiHidden/>
    <w:unhideWhenUsed/>
    <w:rsid w:val="009672FC"/>
    <w:rPr>
      <w:color w:val="605E5C"/>
      <w:shd w:val="clear" w:color="auto" w:fill="E1DFDD"/>
    </w:rPr>
  </w:style>
  <w:style w:type="table" w:styleId="10">
    <w:name w:val="Plain Table 1"/>
    <w:basedOn w:val="a1"/>
    <w:uiPriority w:val="41"/>
    <w:rsid w:val="00C216D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a7">
    <w:name w:val="Table Grid"/>
    <w:basedOn w:val="a1"/>
    <w:uiPriority w:val="39"/>
    <w:rsid w:val="009D7E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B1016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3Char">
    <w:name w:val="عنوان 3 Char"/>
    <w:basedOn w:val="a0"/>
    <w:link w:val="3"/>
    <w:uiPriority w:val="9"/>
    <w:rsid w:val="009C527C"/>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516AE6"/>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213BE4"/>
    <w:rPr>
      <w:rFonts w:asciiTheme="majorHAnsi" w:eastAsiaTheme="majorEastAsia" w:hAnsiTheme="majorHAnsi" w:cstheme="majorBidi"/>
      <w:i/>
      <w:iCs/>
      <w:color w:val="2F5496" w:themeColor="accent1" w:themeShade="BF"/>
    </w:rPr>
  </w:style>
  <w:style w:type="table" w:styleId="4-5">
    <w:name w:val="Grid Table 4 Accent 5"/>
    <w:basedOn w:val="a1"/>
    <w:uiPriority w:val="49"/>
    <w:rsid w:val="00F74BC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customStyle="1" w:styleId="5Char">
    <w:name w:val="عنوان 5 Char"/>
    <w:basedOn w:val="a0"/>
    <w:link w:val="5"/>
    <w:uiPriority w:val="9"/>
    <w:semiHidden/>
    <w:rsid w:val="00B44450"/>
    <w:rPr>
      <w:rFonts w:asciiTheme="majorHAnsi" w:eastAsiaTheme="majorEastAsia" w:hAnsiTheme="majorHAnsi" w:cstheme="majorBidi"/>
      <w:color w:val="2F5496" w:themeColor="accent1" w:themeShade="BF"/>
    </w:rPr>
  </w:style>
  <w:style w:type="table" w:styleId="4-6">
    <w:name w:val="Grid Table 4 Accent 6"/>
    <w:basedOn w:val="a1"/>
    <w:uiPriority w:val="49"/>
    <w:rsid w:val="00B92099"/>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font-claude-response-body">
    <w:name w:val="font-claude-response-body"/>
    <w:basedOn w:val="a"/>
    <w:rsid w:val="00956AE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Strong"/>
    <w:basedOn w:val="a0"/>
    <w:uiPriority w:val="22"/>
    <w:qFormat/>
    <w:rsid w:val="00956AE0"/>
    <w:rPr>
      <w:b/>
      <w:bCs/>
    </w:rPr>
  </w:style>
  <w:style w:type="character" w:styleId="a9">
    <w:name w:val="Emphasis"/>
    <w:basedOn w:val="a0"/>
    <w:uiPriority w:val="20"/>
    <w:qFormat/>
    <w:rsid w:val="00956AE0"/>
    <w:rPr>
      <w:i/>
      <w:iCs/>
    </w:rPr>
  </w:style>
  <w:style w:type="table" w:styleId="4-4">
    <w:name w:val="Grid Table 4 Accent 4"/>
    <w:basedOn w:val="a1"/>
    <w:uiPriority w:val="49"/>
    <w:rsid w:val="00002B22"/>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a">
    <w:name w:val="Normal (Web)"/>
    <w:basedOn w:val="a"/>
    <w:uiPriority w:val="99"/>
    <w:unhideWhenUsed/>
    <w:rsid w:val="00880B1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5-6">
    <w:name w:val="Grid Table 5 Dark Accent 6"/>
    <w:basedOn w:val="a1"/>
    <w:uiPriority w:val="50"/>
    <w:rsid w:val="00EA1C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customStyle="1" w:styleId="msonormal0">
    <w:name w:val="msonormal"/>
    <w:basedOn w:val="a"/>
    <w:rsid w:val="005B171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FollowedHyperlink"/>
    <w:basedOn w:val="a0"/>
    <w:uiPriority w:val="99"/>
    <w:semiHidden/>
    <w:unhideWhenUsed/>
    <w:rsid w:val="005B1711"/>
    <w:rPr>
      <w:color w:val="800080"/>
      <w:u w:val="single"/>
    </w:rPr>
  </w:style>
  <w:style w:type="table" w:styleId="3-6">
    <w:name w:val="Grid Table 3 Accent 6"/>
    <w:basedOn w:val="a1"/>
    <w:uiPriority w:val="48"/>
    <w:rsid w:val="005B171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character" w:customStyle="1" w:styleId="1Char">
    <w:name w:val="العنوان 1 Char"/>
    <w:basedOn w:val="a0"/>
    <w:link w:val="1"/>
    <w:uiPriority w:val="9"/>
    <w:rsid w:val="000C681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kenyon.edu/sponsored-faculty-projects/research-complianc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ribbr.com/methodology/research-ethic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niehs.nih.gov/research/resources/bioethics/whati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a.org/research-practice/conduct-research/irbs-psych-science" TargetMode="External"/><Relationship Id="rId5" Type="http://schemas.openxmlformats.org/officeDocument/2006/relationships/webSettings" Target="webSettings.xml"/><Relationship Id="rId15" Type="http://schemas.openxmlformats.org/officeDocument/2006/relationships/hyperlink" Target="https://www.proof-reading-service.com" TargetMode="External"/><Relationship Id="rId10" Type="http://schemas.openxmlformats.org/officeDocument/2006/relationships/hyperlink" Target="https://journals.asmarya.edu.l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amenservices.psd.gov.jo" TargetMode="External"/><Relationship Id="rId14" Type="http://schemas.openxmlformats.org/officeDocument/2006/relationships/hyperlink" Target="https://www.nih.gov/health-information/nih-clinical-research-trials-you/guiding-principles-ethical-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711D-A847-4088-B05F-4C1CA8C39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3393</Words>
  <Characters>19344</Characters>
  <Application>Microsoft Office Word</Application>
  <DocSecurity>0</DocSecurity>
  <Lines>161</Lines>
  <Paragraphs>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wessam ayman</cp:lastModifiedBy>
  <cp:revision>4</cp:revision>
  <cp:lastPrinted>2026-06-12T18:21:00Z</cp:lastPrinted>
  <dcterms:created xsi:type="dcterms:W3CDTF">2026-06-12T18:22:00Z</dcterms:created>
  <dcterms:modified xsi:type="dcterms:W3CDTF">2026-06-12T18:25:00Z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