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F52D9" w14:textId="77777777" w:rsidR="00A57F76" w:rsidRDefault="00000000" w:rsidP="00F327C8">
      <w:pPr>
        <w:bidi/>
        <w:jc w:val="both"/>
      </w:pPr>
      <w:r>
        <w:rPr>
          <w:rFonts w:ascii="Arial" w:eastAsia="Arial" w:hAnsi="Arial"/>
          <w:b/>
          <w:sz w:val="28"/>
        </w:rPr>
        <w:t>التقرير النهائي لمراجعة الفصل الثاني</w:t>
      </w:r>
    </w:p>
    <w:p w14:paraId="0BAA2C7F" w14:textId="77777777" w:rsidR="00A57F76" w:rsidRDefault="00000000" w:rsidP="00F327C8">
      <w:pPr>
        <w:bidi/>
        <w:jc w:val="both"/>
      </w:pPr>
      <w:r>
        <w:rPr>
          <w:rFonts w:ascii="Arial" w:eastAsia="Arial" w:hAnsi="Arial"/>
          <w:b/>
          <w:sz w:val="26"/>
        </w:rPr>
        <w:t>الإطار النظري والدراسات السابقة</w:t>
      </w:r>
    </w:p>
    <w:p w14:paraId="1A79B9B7" w14:textId="77777777" w:rsidR="00A57F76" w:rsidRDefault="00A57F76" w:rsidP="00F327C8">
      <w:pPr>
        <w:bidi/>
        <w:jc w:val="both"/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20"/>
        <w:gridCol w:w="8242"/>
      </w:tblGrid>
      <w:tr w:rsidR="00A57F76" w14:paraId="00C03F59" w14:textId="77777777" w:rsidTr="00F327C8">
        <w:tc>
          <w:tcPr>
            <w:tcW w:w="1721" w:type="dxa"/>
            <w:vAlign w:val="center"/>
          </w:tcPr>
          <w:p w14:paraId="4AD65016" w14:textId="77777777" w:rsidR="00A57F76" w:rsidRDefault="00000000" w:rsidP="00F327C8">
            <w:pPr>
              <w:bidi/>
              <w:jc w:val="both"/>
            </w:pPr>
            <w:proofErr w:type="spellStart"/>
            <w:r>
              <w:rPr>
                <w:rFonts w:ascii="Arial" w:eastAsia="Arial" w:hAnsi="Arial"/>
                <w:b/>
              </w:rPr>
              <w:t>اسم</w:t>
            </w:r>
            <w:proofErr w:type="spellEnd"/>
            <w:r>
              <w:rPr>
                <w:rFonts w:ascii="Arial" w:eastAsia="Arial" w:hAnsi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</w:rPr>
              <w:t>الطالب</w:t>
            </w:r>
            <w:proofErr w:type="spellEnd"/>
          </w:p>
        </w:tc>
        <w:tc>
          <w:tcPr>
            <w:tcW w:w="8251" w:type="dxa"/>
            <w:vAlign w:val="center"/>
          </w:tcPr>
          <w:p w14:paraId="1ACB3516" w14:textId="77777777" w:rsidR="00A57F76" w:rsidRDefault="00000000" w:rsidP="00F327C8">
            <w:pPr>
              <w:bidi/>
              <w:jc w:val="both"/>
            </w:pPr>
            <w:r>
              <w:rPr>
                <w:rFonts w:ascii="Arial" w:eastAsia="Arial" w:hAnsi="Arial"/>
              </w:rPr>
              <w:t>عادل حماص</w:t>
            </w:r>
          </w:p>
        </w:tc>
      </w:tr>
      <w:tr w:rsidR="00A57F76" w14:paraId="1DBB965E" w14:textId="77777777" w:rsidTr="00F327C8">
        <w:tc>
          <w:tcPr>
            <w:tcW w:w="1721" w:type="dxa"/>
            <w:vAlign w:val="center"/>
          </w:tcPr>
          <w:p w14:paraId="6A4AEF34" w14:textId="77777777" w:rsidR="00A57F76" w:rsidRDefault="00000000" w:rsidP="00F327C8">
            <w:pPr>
              <w:bidi/>
              <w:jc w:val="both"/>
            </w:pPr>
            <w:r>
              <w:rPr>
                <w:rFonts w:ascii="Arial" w:eastAsia="Arial" w:hAnsi="Arial"/>
                <w:b/>
              </w:rPr>
              <w:t>موضوع الرسالة</w:t>
            </w:r>
          </w:p>
        </w:tc>
        <w:tc>
          <w:tcPr>
            <w:tcW w:w="8251" w:type="dxa"/>
            <w:vAlign w:val="center"/>
          </w:tcPr>
          <w:p w14:paraId="57C78EBC" w14:textId="77777777" w:rsidR="00A57F76" w:rsidRDefault="00000000" w:rsidP="00F327C8">
            <w:pPr>
              <w:bidi/>
              <w:jc w:val="both"/>
            </w:pPr>
            <w:r>
              <w:rPr>
                <w:rFonts w:ascii="Arial" w:eastAsia="Arial" w:hAnsi="Arial"/>
              </w:rPr>
              <w:t>تحليل واقع الشراكات بين القطاعين العام والخاص في قطاع البيئة وتطوير نموذج مقترح للحوكمة البيئية وإدارة الأداء في المملكة العربية السعودية</w:t>
            </w:r>
          </w:p>
        </w:tc>
      </w:tr>
      <w:tr w:rsidR="00A57F76" w14:paraId="53B780AB" w14:textId="77777777" w:rsidTr="00F327C8">
        <w:tc>
          <w:tcPr>
            <w:tcW w:w="1721" w:type="dxa"/>
            <w:vAlign w:val="center"/>
          </w:tcPr>
          <w:p w14:paraId="40846658" w14:textId="77777777" w:rsidR="00A57F76" w:rsidRDefault="00000000" w:rsidP="00F327C8">
            <w:pPr>
              <w:bidi/>
              <w:jc w:val="both"/>
            </w:pPr>
            <w:r>
              <w:rPr>
                <w:rFonts w:ascii="Arial" w:eastAsia="Arial" w:hAnsi="Arial"/>
                <w:b/>
              </w:rPr>
              <w:t>نوع المراجعة</w:t>
            </w:r>
          </w:p>
        </w:tc>
        <w:tc>
          <w:tcPr>
            <w:tcW w:w="8251" w:type="dxa"/>
            <w:vAlign w:val="center"/>
          </w:tcPr>
          <w:p w14:paraId="325721C6" w14:textId="77777777" w:rsidR="00A57F76" w:rsidRDefault="00000000" w:rsidP="00F327C8">
            <w:pPr>
              <w:bidi/>
              <w:jc w:val="both"/>
            </w:pPr>
            <w:r>
              <w:rPr>
                <w:rFonts w:ascii="Arial" w:eastAsia="Arial" w:hAnsi="Arial"/>
              </w:rPr>
              <w:t>مقارنة بين التقرير السابق والنسخة الحالية (التسليم الثالث) للفصل الثاني</w:t>
            </w:r>
          </w:p>
        </w:tc>
      </w:tr>
      <w:tr w:rsidR="00A57F76" w14:paraId="7EF2EBC4" w14:textId="77777777" w:rsidTr="00F327C8">
        <w:tc>
          <w:tcPr>
            <w:tcW w:w="1721" w:type="dxa"/>
            <w:vAlign w:val="center"/>
          </w:tcPr>
          <w:p w14:paraId="41D014DC" w14:textId="77777777" w:rsidR="00A57F76" w:rsidRDefault="00000000" w:rsidP="00F327C8">
            <w:pPr>
              <w:bidi/>
              <w:jc w:val="both"/>
            </w:pPr>
            <w:r>
              <w:rPr>
                <w:rFonts w:ascii="Arial" w:eastAsia="Arial" w:hAnsi="Arial"/>
                <w:b/>
              </w:rPr>
              <w:t>قرار المراجعة</w:t>
            </w:r>
          </w:p>
        </w:tc>
        <w:tc>
          <w:tcPr>
            <w:tcW w:w="8251" w:type="dxa"/>
            <w:vAlign w:val="center"/>
          </w:tcPr>
          <w:p w14:paraId="66BD159C" w14:textId="6C256E38" w:rsidR="00A57F76" w:rsidRDefault="00000000" w:rsidP="00F327C8">
            <w:pPr>
              <w:bidi/>
              <w:jc w:val="both"/>
            </w:pPr>
            <w:r>
              <w:rPr>
                <w:rFonts w:ascii="Arial" w:eastAsia="Arial" w:hAnsi="Arial"/>
              </w:rPr>
              <w:t xml:space="preserve">مقبول </w:t>
            </w:r>
          </w:p>
        </w:tc>
      </w:tr>
    </w:tbl>
    <w:p w14:paraId="484BC633" w14:textId="77777777" w:rsidR="00A57F76" w:rsidRDefault="00A57F76" w:rsidP="00F327C8">
      <w:pPr>
        <w:bidi/>
        <w:jc w:val="both"/>
      </w:pPr>
    </w:p>
    <w:p w14:paraId="1DFF6015" w14:textId="77777777" w:rsidR="00A57F76" w:rsidRDefault="00000000" w:rsidP="00F327C8">
      <w:pPr>
        <w:bidi/>
        <w:jc w:val="both"/>
      </w:pPr>
      <w:r>
        <w:rPr>
          <w:rFonts w:ascii="Arial" w:eastAsia="Arial" w:hAnsi="Arial"/>
          <w:b/>
          <w:sz w:val="24"/>
        </w:rPr>
        <w:t>أولًا: التقدير العام</w:t>
      </w:r>
    </w:p>
    <w:p w14:paraId="5D0D80CF" w14:textId="77777777" w:rsidR="00F327C8" w:rsidRPr="00F327C8" w:rsidRDefault="00F327C8" w:rsidP="00F327C8">
      <w:pPr>
        <w:bidi/>
        <w:jc w:val="both"/>
        <w:rPr>
          <w:rFonts w:ascii="Arial" w:eastAsia="Arial" w:hAnsi="Arial"/>
        </w:rPr>
      </w:pPr>
      <w:r w:rsidRPr="00F327C8">
        <w:rPr>
          <w:rFonts w:ascii="Arial" w:eastAsia="Arial" w:hAnsi="Arial" w:cs="Arial" w:hint="cs"/>
          <w:rtl/>
        </w:rPr>
        <w:t>تُظهر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النسخة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الحالية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تحسنًا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جيدًا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مقارنة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بالتقرير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السابق؛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إذ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أُضيفت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فقرة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أكثر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وضوحًا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لمنهجية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مراجعة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الأدبيات،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وتحسن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تنظيم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المحاور،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وظهر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جهد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أفضل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في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ترتيب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الدراسات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وتحديد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مصادرها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وعلاقتها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بموضوع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الدراسة</w:t>
      </w:r>
      <w:r w:rsidRPr="00F327C8">
        <w:rPr>
          <w:rFonts w:ascii="Arial" w:eastAsia="Arial" w:hAnsi="Arial" w:cs="Arial"/>
          <w:rtl/>
        </w:rPr>
        <w:t xml:space="preserve">. </w:t>
      </w:r>
      <w:r w:rsidRPr="00F327C8">
        <w:rPr>
          <w:rFonts w:ascii="Arial" w:eastAsia="Arial" w:hAnsi="Arial" w:cs="Arial" w:hint="cs"/>
          <w:rtl/>
        </w:rPr>
        <w:t>كما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أصبحت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المعالجة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النظرية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أكثر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قابلية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للمتابعة،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وهو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ما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يعكس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استجابة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إيجابية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للملاحظات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السابقة،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مع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بقاء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بعض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الجوانب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التي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تستفيد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من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إحكام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إضافي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نهائي</w:t>
      </w:r>
      <w:r w:rsidRPr="00F327C8">
        <w:rPr>
          <w:rFonts w:ascii="Arial" w:eastAsia="Arial" w:hAnsi="Arial" w:cs="Arial"/>
          <w:rtl/>
        </w:rPr>
        <w:t>.</w:t>
      </w:r>
    </w:p>
    <w:p w14:paraId="4D338ED7" w14:textId="4DA29B57" w:rsidR="00F327C8" w:rsidRPr="00F327C8" w:rsidRDefault="00F327C8" w:rsidP="00F327C8">
      <w:pPr>
        <w:bidi/>
        <w:jc w:val="both"/>
        <w:rPr>
          <w:rFonts w:ascii="Arial" w:eastAsia="Arial" w:hAnsi="Arial" w:cs="Arial"/>
          <w:b/>
          <w:bCs/>
        </w:rPr>
      </w:pPr>
      <w:r w:rsidRPr="00F327C8">
        <w:rPr>
          <w:rFonts w:ascii="Arial" w:eastAsia="Arial" w:hAnsi="Arial" w:cs="Arial" w:hint="cs"/>
          <w:b/>
          <w:bCs/>
          <w:rtl/>
        </w:rPr>
        <w:t>ثانيًا</w:t>
      </w:r>
      <w:r w:rsidRPr="00F327C8">
        <w:rPr>
          <w:rFonts w:ascii="Arial" w:eastAsia="Arial" w:hAnsi="Arial" w:cs="Arial"/>
          <w:b/>
          <w:bCs/>
          <w:rtl/>
        </w:rPr>
        <w:t xml:space="preserve">: </w:t>
      </w:r>
      <w:r w:rsidRPr="00F327C8">
        <w:rPr>
          <w:rFonts w:ascii="Arial" w:eastAsia="Arial" w:hAnsi="Arial" w:cs="Arial" w:hint="cs"/>
          <w:b/>
          <w:bCs/>
          <w:rtl/>
        </w:rPr>
        <w:t>الملاحظات</w:t>
      </w:r>
      <w:r w:rsidRPr="00F327C8">
        <w:rPr>
          <w:rFonts w:ascii="Arial" w:eastAsia="Arial" w:hAnsi="Arial" w:cs="Arial"/>
          <w:b/>
          <w:bCs/>
          <w:rtl/>
        </w:rPr>
        <w:t xml:space="preserve"> </w:t>
      </w:r>
      <w:r w:rsidRPr="00F327C8">
        <w:rPr>
          <w:rFonts w:ascii="Arial" w:eastAsia="Arial" w:hAnsi="Arial" w:cs="Arial" w:hint="cs"/>
          <w:b/>
          <w:bCs/>
          <w:rtl/>
        </w:rPr>
        <w:t>التي</w:t>
      </w:r>
      <w:r w:rsidRPr="00F327C8">
        <w:rPr>
          <w:rFonts w:ascii="Arial" w:eastAsia="Arial" w:hAnsi="Arial" w:cs="Arial"/>
          <w:b/>
          <w:bCs/>
          <w:rtl/>
        </w:rPr>
        <w:t xml:space="preserve"> </w:t>
      </w:r>
      <w:r w:rsidRPr="00F327C8">
        <w:rPr>
          <w:rFonts w:ascii="Arial" w:eastAsia="Arial" w:hAnsi="Arial" w:cs="Arial" w:hint="cs"/>
          <w:b/>
          <w:bCs/>
          <w:rtl/>
        </w:rPr>
        <w:t>ما</w:t>
      </w:r>
      <w:r w:rsidRPr="00F327C8">
        <w:rPr>
          <w:rFonts w:ascii="Arial" w:eastAsia="Arial" w:hAnsi="Arial" w:cs="Arial"/>
          <w:b/>
          <w:bCs/>
          <w:rtl/>
        </w:rPr>
        <w:t xml:space="preserve"> </w:t>
      </w:r>
      <w:r w:rsidRPr="00F327C8">
        <w:rPr>
          <w:rFonts w:ascii="Arial" w:eastAsia="Arial" w:hAnsi="Arial" w:cs="Arial" w:hint="cs"/>
          <w:b/>
          <w:bCs/>
          <w:rtl/>
        </w:rPr>
        <w:t>تزال</w:t>
      </w:r>
      <w:r w:rsidRPr="00F327C8">
        <w:rPr>
          <w:rFonts w:ascii="Arial" w:eastAsia="Arial" w:hAnsi="Arial" w:cs="Arial"/>
          <w:b/>
          <w:bCs/>
          <w:rtl/>
        </w:rPr>
        <w:t xml:space="preserve"> </w:t>
      </w:r>
      <w:r w:rsidRPr="00F327C8">
        <w:rPr>
          <w:rFonts w:ascii="Arial" w:eastAsia="Arial" w:hAnsi="Arial" w:cs="Arial" w:hint="cs"/>
          <w:b/>
          <w:bCs/>
          <w:rtl/>
        </w:rPr>
        <w:t>قائمة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70"/>
        <w:gridCol w:w="2408"/>
        <w:gridCol w:w="6684"/>
      </w:tblGrid>
      <w:tr w:rsidR="00F327C8" w14:paraId="7F15203D" w14:textId="77777777" w:rsidTr="00585707">
        <w:tc>
          <w:tcPr>
            <w:tcW w:w="871" w:type="dxa"/>
          </w:tcPr>
          <w:p w14:paraId="156A682F" w14:textId="47D453DD" w:rsidR="00F327C8" w:rsidRPr="00F327C8" w:rsidRDefault="00F327C8" w:rsidP="00F327C8">
            <w:pPr>
              <w:bidi/>
              <w:jc w:val="center"/>
              <w:rPr>
                <w:b/>
                <w:bCs/>
              </w:rPr>
            </w:pPr>
            <w:r w:rsidRPr="00F327C8">
              <w:rPr>
                <w:rFonts w:hint="cs"/>
                <w:b/>
                <w:bCs/>
                <w:rtl/>
              </w:rPr>
              <w:t>م</w:t>
            </w:r>
          </w:p>
        </w:tc>
        <w:tc>
          <w:tcPr>
            <w:tcW w:w="2410" w:type="dxa"/>
          </w:tcPr>
          <w:p w14:paraId="2E2BA0ED" w14:textId="5FA2768A" w:rsidR="00F327C8" w:rsidRPr="00F327C8" w:rsidRDefault="00F327C8" w:rsidP="00F327C8">
            <w:pPr>
              <w:bidi/>
              <w:jc w:val="center"/>
              <w:rPr>
                <w:b/>
                <w:bCs/>
              </w:rPr>
            </w:pPr>
            <w:r w:rsidRPr="00F327C8">
              <w:rPr>
                <w:rFonts w:hint="cs"/>
                <w:b/>
                <w:bCs/>
                <w:rtl/>
              </w:rPr>
              <w:t>الملاحظة</w:t>
            </w:r>
            <w:r w:rsidRPr="00F327C8">
              <w:rPr>
                <w:b/>
                <w:bCs/>
                <w:rtl/>
              </w:rPr>
              <w:t xml:space="preserve"> </w:t>
            </w:r>
            <w:r w:rsidRPr="00F327C8">
              <w:rPr>
                <w:rFonts w:hint="cs"/>
                <w:b/>
                <w:bCs/>
                <w:rtl/>
              </w:rPr>
              <w:t>الجوهرية</w:t>
            </w:r>
          </w:p>
        </w:tc>
        <w:tc>
          <w:tcPr>
            <w:tcW w:w="6691" w:type="dxa"/>
          </w:tcPr>
          <w:p w14:paraId="5AC97EDF" w14:textId="04C2F45A" w:rsidR="00F327C8" w:rsidRPr="00F327C8" w:rsidRDefault="00F327C8" w:rsidP="00F327C8">
            <w:pPr>
              <w:bidi/>
              <w:jc w:val="center"/>
              <w:rPr>
                <w:b/>
                <w:bCs/>
              </w:rPr>
            </w:pPr>
            <w:r w:rsidRPr="00F327C8">
              <w:rPr>
                <w:rFonts w:hint="cs"/>
                <w:b/>
                <w:bCs/>
                <w:rtl/>
              </w:rPr>
              <w:t>الحكم</w:t>
            </w:r>
            <w:r w:rsidRPr="00F327C8">
              <w:rPr>
                <w:b/>
                <w:bCs/>
                <w:rtl/>
              </w:rPr>
              <w:t xml:space="preserve"> </w:t>
            </w:r>
            <w:r w:rsidRPr="00F327C8">
              <w:rPr>
                <w:rFonts w:hint="cs"/>
                <w:b/>
                <w:bCs/>
                <w:rtl/>
              </w:rPr>
              <w:t>المختصر</w:t>
            </w:r>
          </w:p>
        </w:tc>
      </w:tr>
      <w:tr w:rsidR="00F327C8" w14:paraId="12B30C8F" w14:textId="77777777" w:rsidTr="00585707">
        <w:tc>
          <w:tcPr>
            <w:tcW w:w="871" w:type="dxa"/>
          </w:tcPr>
          <w:p w14:paraId="6882C9FB" w14:textId="105951BA" w:rsidR="00F327C8" w:rsidRDefault="00F327C8" w:rsidP="00F327C8">
            <w:pPr>
              <w:bidi/>
              <w:jc w:val="both"/>
            </w:pPr>
            <w:r w:rsidRPr="00A128C4">
              <w:t>1</w:t>
            </w:r>
          </w:p>
        </w:tc>
        <w:tc>
          <w:tcPr>
            <w:tcW w:w="2410" w:type="dxa"/>
          </w:tcPr>
          <w:p w14:paraId="7C8B8BE7" w14:textId="334F6C42" w:rsidR="00F327C8" w:rsidRDefault="00F327C8" w:rsidP="00F327C8">
            <w:pPr>
              <w:bidi/>
              <w:jc w:val="both"/>
            </w:pPr>
            <w:r w:rsidRPr="00A128C4">
              <w:rPr>
                <w:rFonts w:hint="cs"/>
                <w:rtl/>
              </w:rPr>
              <w:t>منهجية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مراجعة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الأدبيات</w:t>
            </w:r>
          </w:p>
        </w:tc>
        <w:tc>
          <w:tcPr>
            <w:tcW w:w="6691" w:type="dxa"/>
          </w:tcPr>
          <w:p w14:paraId="10832870" w14:textId="51752588" w:rsidR="00F327C8" w:rsidRDefault="00F327C8" w:rsidP="00F327C8">
            <w:pPr>
              <w:bidi/>
              <w:jc w:val="both"/>
            </w:pPr>
            <w:r w:rsidRPr="00A128C4">
              <w:rPr>
                <w:rFonts w:hint="cs"/>
                <w:rtl/>
              </w:rPr>
              <w:t>إضافة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فقرة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المنهجية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تمثل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تقدمًا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مهمًا،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ويُستحسن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فقط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جعلها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أكثر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تركيزًا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بإبراز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منطق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الاختيار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والاستبعاد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والحدود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الزمنية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بصورة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أوضح</w:t>
            </w:r>
            <w:r w:rsidRPr="00A128C4">
              <w:t>.</w:t>
            </w:r>
          </w:p>
        </w:tc>
      </w:tr>
      <w:tr w:rsidR="00F327C8" w14:paraId="5BC8B42F" w14:textId="77777777" w:rsidTr="00585707">
        <w:tc>
          <w:tcPr>
            <w:tcW w:w="871" w:type="dxa"/>
          </w:tcPr>
          <w:p w14:paraId="79F58271" w14:textId="6FA91067" w:rsidR="00F327C8" w:rsidRDefault="00F327C8" w:rsidP="00F327C8">
            <w:pPr>
              <w:bidi/>
              <w:jc w:val="both"/>
            </w:pPr>
            <w:r w:rsidRPr="00A128C4">
              <w:t>2</w:t>
            </w:r>
          </w:p>
        </w:tc>
        <w:tc>
          <w:tcPr>
            <w:tcW w:w="2410" w:type="dxa"/>
          </w:tcPr>
          <w:p w14:paraId="5A9A279A" w14:textId="186C94ED" w:rsidR="00F327C8" w:rsidRDefault="00F327C8" w:rsidP="00F327C8">
            <w:pPr>
              <w:bidi/>
              <w:jc w:val="both"/>
            </w:pPr>
            <w:r w:rsidRPr="00A128C4">
              <w:rPr>
                <w:rFonts w:hint="cs"/>
                <w:rtl/>
              </w:rPr>
              <w:t>التركيز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التحليلي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للفصل</w:t>
            </w:r>
          </w:p>
        </w:tc>
        <w:tc>
          <w:tcPr>
            <w:tcW w:w="6691" w:type="dxa"/>
          </w:tcPr>
          <w:p w14:paraId="66EE3734" w14:textId="691B0821" w:rsidR="00F327C8" w:rsidRDefault="00F327C8" w:rsidP="00F327C8">
            <w:pPr>
              <w:bidi/>
              <w:jc w:val="both"/>
            </w:pPr>
            <w:r w:rsidRPr="00A128C4">
              <w:rPr>
                <w:rFonts w:hint="cs"/>
                <w:rtl/>
              </w:rPr>
              <w:t>أصبح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تنظيم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الفصل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أفضل،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إلا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أن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بعض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الأجزاء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لا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تزال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تستفيد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من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مزيد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من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التركيز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على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الأدبيات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التحليلية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المرتبطة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مباشرة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بعلاقات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النموذج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المقترح</w:t>
            </w:r>
            <w:r w:rsidRPr="00A128C4">
              <w:t>.</w:t>
            </w:r>
          </w:p>
        </w:tc>
      </w:tr>
      <w:tr w:rsidR="00F327C8" w14:paraId="35C89F2D" w14:textId="77777777" w:rsidTr="00585707">
        <w:tc>
          <w:tcPr>
            <w:tcW w:w="871" w:type="dxa"/>
          </w:tcPr>
          <w:p w14:paraId="3DB5574D" w14:textId="0A845F8F" w:rsidR="00F327C8" w:rsidRDefault="00F327C8" w:rsidP="00F327C8">
            <w:pPr>
              <w:bidi/>
              <w:jc w:val="both"/>
            </w:pPr>
            <w:r w:rsidRPr="00A128C4">
              <w:t>3</w:t>
            </w:r>
          </w:p>
        </w:tc>
        <w:tc>
          <w:tcPr>
            <w:tcW w:w="2410" w:type="dxa"/>
          </w:tcPr>
          <w:p w14:paraId="70E2F1D9" w14:textId="643E5DFC" w:rsidR="00F327C8" w:rsidRDefault="00F327C8" w:rsidP="00F327C8">
            <w:pPr>
              <w:bidi/>
              <w:jc w:val="both"/>
            </w:pPr>
            <w:r w:rsidRPr="00A128C4">
              <w:rPr>
                <w:rFonts w:hint="cs"/>
                <w:rtl/>
              </w:rPr>
              <w:t>الإطار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النظري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والربط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المفاهيمي</w:t>
            </w:r>
          </w:p>
        </w:tc>
        <w:tc>
          <w:tcPr>
            <w:tcW w:w="6691" w:type="dxa"/>
          </w:tcPr>
          <w:p w14:paraId="4D64F99B" w14:textId="23D40579" w:rsidR="00F327C8" w:rsidRDefault="00F327C8" w:rsidP="00F327C8">
            <w:pPr>
              <w:bidi/>
              <w:jc w:val="both"/>
            </w:pPr>
            <w:r w:rsidRPr="00A128C4">
              <w:rPr>
                <w:rFonts w:hint="cs"/>
                <w:rtl/>
              </w:rPr>
              <w:t>ظهر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تحسن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في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عرض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الأطر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النظرية،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ويُفضَّل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تقوية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الربط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التفسيري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المباشر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بين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الشراكات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والحوكمة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البيئية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وإدارة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الأداء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في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صياغة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أكثر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حسمًا</w:t>
            </w:r>
            <w:r w:rsidRPr="00A128C4">
              <w:t>.</w:t>
            </w:r>
          </w:p>
        </w:tc>
      </w:tr>
      <w:tr w:rsidR="00F327C8" w14:paraId="1CB4C714" w14:textId="77777777" w:rsidTr="00585707">
        <w:tc>
          <w:tcPr>
            <w:tcW w:w="871" w:type="dxa"/>
          </w:tcPr>
          <w:p w14:paraId="6C8F6274" w14:textId="7050BCE0" w:rsidR="00F327C8" w:rsidRDefault="00F327C8" w:rsidP="00F327C8">
            <w:pPr>
              <w:bidi/>
              <w:jc w:val="both"/>
            </w:pPr>
            <w:r w:rsidRPr="00A128C4">
              <w:t>4</w:t>
            </w:r>
          </w:p>
        </w:tc>
        <w:tc>
          <w:tcPr>
            <w:tcW w:w="2410" w:type="dxa"/>
          </w:tcPr>
          <w:p w14:paraId="53C0E590" w14:textId="73AC1DF6" w:rsidR="00F327C8" w:rsidRDefault="00F327C8" w:rsidP="00F327C8">
            <w:pPr>
              <w:bidi/>
              <w:jc w:val="both"/>
            </w:pPr>
            <w:r w:rsidRPr="00A128C4">
              <w:rPr>
                <w:rFonts w:hint="cs"/>
                <w:rtl/>
              </w:rPr>
              <w:t>الفجوة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البحثية</w:t>
            </w:r>
          </w:p>
        </w:tc>
        <w:tc>
          <w:tcPr>
            <w:tcW w:w="6691" w:type="dxa"/>
          </w:tcPr>
          <w:p w14:paraId="2A33B508" w14:textId="65809010" w:rsidR="00F327C8" w:rsidRDefault="00F327C8" w:rsidP="00F327C8">
            <w:pPr>
              <w:bidi/>
              <w:jc w:val="both"/>
            </w:pPr>
            <w:r w:rsidRPr="00A128C4">
              <w:rPr>
                <w:rFonts w:hint="cs"/>
                <w:rtl/>
              </w:rPr>
              <w:t>الفجوة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البحثية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أوضح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من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السابق،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ويمكن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تعزيزها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أكثر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بتفكيكها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إلى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فجوة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نظرية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ومنهجية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وسياقية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في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صياغة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ختامية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موجزة</w:t>
            </w:r>
            <w:r w:rsidRPr="00A128C4">
              <w:t>.</w:t>
            </w:r>
          </w:p>
        </w:tc>
      </w:tr>
      <w:tr w:rsidR="00F327C8" w14:paraId="002D40CC" w14:textId="77777777" w:rsidTr="00585707">
        <w:tc>
          <w:tcPr>
            <w:tcW w:w="871" w:type="dxa"/>
          </w:tcPr>
          <w:p w14:paraId="5E461591" w14:textId="4283C639" w:rsidR="00F327C8" w:rsidRDefault="00F327C8" w:rsidP="00F327C8">
            <w:pPr>
              <w:bidi/>
              <w:jc w:val="both"/>
            </w:pPr>
            <w:r w:rsidRPr="00A128C4">
              <w:t>5</w:t>
            </w:r>
          </w:p>
        </w:tc>
        <w:tc>
          <w:tcPr>
            <w:tcW w:w="2410" w:type="dxa"/>
          </w:tcPr>
          <w:p w14:paraId="41B64A92" w14:textId="5C4C6C0E" w:rsidR="00F327C8" w:rsidRDefault="00F327C8" w:rsidP="00F327C8">
            <w:pPr>
              <w:bidi/>
              <w:jc w:val="both"/>
            </w:pPr>
            <w:r w:rsidRPr="00A128C4">
              <w:rPr>
                <w:rFonts w:hint="cs"/>
                <w:rtl/>
              </w:rPr>
              <w:t>الضبط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اللغوي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والتوثيقي</w:t>
            </w:r>
          </w:p>
        </w:tc>
        <w:tc>
          <w:tcPr>
            <w:tcW w:w="6691" w:type="dxa"/>
          </w:tcPr>
          <w:p w14:paraId="0957964A" w14:textId="20ED98C3" w:rsidR="00F327C8" w:rsidRDefault="00F327C8" w:rsidP="00F327C8">
            <w:pPr>
              <w:bidi/>
              <w:jc w:val="both"/>
            </w:pPr>
            <w:r w:rsidRPr="00A128C4">
              <w:rPr>
                <w:rFonts w:hint="cs"/>
                <w:rtl/>
              </w:rPr>
              <w:t>تحتاج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النسخة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إلى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مراجعة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نهائية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للاقتصاد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اللغوي،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وتوحيد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المصطلحات،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وضبط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الإحالات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والتوثيق</w:t>
            </w:r>
            <w:r w:rsidRPr="00A128C4">
              <w:rPr>
                <w:rtl/>
              </w:rPr>
              <w:t xml:space="preserve"> </w:t>
            </w:r>
            <w:r w:rsidRPr="00A128C4">
              <w:rPr>
                <w:rFonts w:hint="cs"/>
                <w:rtl/>
              </w:rPr>
              <w:t>النهائي</w:t>
            </w:r>
            <w:r w:rsidRPr="00A128C4">
              <w:t>.</w:t>
            </w:r>
          </w:p>
        </w:tc>
      </w:tr>
    </w:tbl>
    <w:p w14:paraId="631B7027" w14:textId="77777777" w:rsidR="00A57F76" w:rsidRDefault="00A57F76" w:rsidP="00F327C8">
      <w:pPr>
        <w:bidi/>
        <w:jc w:val="both"/>
      </w:pPr>
    </w:p>
    <w:p w14:paraId="74CDA049" w14:textId="77777777" w:rsidR="00F327C8" w:rsidRDefault="00000000" w:rsidP="00F327C8">
      <w:pPr>
        <w:bidi/>
        <w:jc w:val="both"/>
      </w:pPr>
      <w:r>
        <w:rPr>
          <w:rFonts w:ascii="Arial" w:eastAsia="Arial" w:hAnsi="Arial"/>
          <w:b/>
          <w:sz w:val="24"/>
        </w:rPr>
        <w:t xml:space="preserve">ثالثًا: إرشادات </w:t>
      </w:r>
      <w:proofErr w:type="spellStart"/>
      <w:r>
        <w:rPr>
          <w:rFonts w:ascii="Arial" w:eastAsia="Arial" w:hAnsi="Arial"/>
          <w:b/>
          <w:sz w:val="24"/>
        </w:rPr>
        <w:t>الإغلاق</w:t>
      </w:r>
      <w:proofErr w:type="spellEnd"/>
    </w:p>
    <w:p w14:paraId="0F8AF527" w14:textId="77777777" w:rsidR="00F327C8" w:rsidRDefault="00F327C8" w:rsidP="00F327C8">
      <w:pPr>
        <w:bidi/>
        <w:jc w:val="both"/>
      </w:pPr>
      <w:r>
        <w:rPr>
          <w:rFonts w:cs="Arial"/>
          <w:rtl/>
        </w:rPr>
        <w:t xml:space="preserve">• </w:t>
      </w:r>
      <w:r>
        <w:rPr>
          <w:rFonts w:cs="Arial" w:hint="cs"/>
          <w:rtl/>
        </w:rPr>
        <w:t>إعادة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إحكام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تركيزًا</w:t>
      </w:r>
      <w:r>
        <w:rPr>
          <w:rFonts w:cs="Arial"/>
          <w:rtl/>
        </w:rPr>
        <w:t>.</w:t>
      </w:r>
    </w:p>
    <w:p w14:paraId="60EB8A8B" w14:textId="77777777" w:rsidR="00F327C8" w:rsidRDefault="00F327C8" w:rsidP="00F327C8">
      <w:pPr>
        <w:bidi/>
        <w:jc w:val="both"/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الوصف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السياقي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الزائد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لصالح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بالنموذج</w:t>
      </w:r>
      <w:r>
        <w:rPr>
          <w:rFonts w:cs="Arial"/>
          <w:rtl/>
        </w:rPr>
        <w:t>.</w:t>
      </w:r>
    </w:p>
    <w:p w14:paraId="472EEB3C" w14:textId="77777777" w:rsidR="00F327C8" w:rsidRDefault="00F327C8" w:rsidP="00F327C8">
      <w:pPr>
        <w:bidi/>
        <w:jc w:val="both"/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التفسيري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والحوكمة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>.</w:t>
      </w:r>
    </w:p>
    <w:p w14:paraId="6E03367C" w14:textId="77777777" w:rsidR="00F327C8" w:rsidRDefault="00F327C8" w:rsidP="00F327C8">
      <w:pPr>
        <w:bidi/>
        <w:jc w:val="both"/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صياغة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خاتمة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مركزة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وواضحة</w:t>
      </w:r>
      <w:r>
        <w:rPr>
          <w:rFonts w:cs="Arial"/>
          <w:rtl/>
        </w:rPr>
        <w:t>.</w:t>
      </w:r>
    </w:p>
    <w:p w14:paraId="4DCA81AF" w14:textId="0C4E1D26" w:rsidR="00F327C8" w:rsidRDefault="00F327C8" w:rsidP="00F327C8">
      <w:pPr>
        <w:bidi/>
        <w:jc w:val="both"/>
        <w:rPr>
          <w:rFonts w:ascii="Arial" w:eastAsia="Arial" w:hAnsi="Arial"/>
          <w:b/>
          <w:sz w:val="24"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والتوثيق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والاتساق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التحريري</w:t>
      </w:r>
      <w:r>
        <w:rPr>
          <w:rFonts w:cs="Arial"/>
          <w:rtl/>
        </w:rPr>
        <w:t>.</w:t>
      </w:r>
    </w:p>
    <w:p w14:paraId="3B9A6ABD" w14:textId="08981782" w:rsidR="00A57F76" w:rsidRDefault="00000000" w:rsidP="00F327C8">
      <w:pPr>
        <w:bidi/>
        <w:jc w:val="both"/>
      </w:pPr>
      <w:proofErr w:type="spellStart"/>
      <w:r>
        <w:rPr>
          <w:rFonts w:ascii="Arial" w:eastAsia="Arial" w:hAnsi="Arial"/>
          <w:b/>
          <w:sz w:val="24"/>
        </w:rPr>
        <w:t>رابعًا</w:t>
      </w:r>
      <w:proofErr w:type="spellEnd"/>
      <w:r>
        <w:rPr>
          <w:rFonts w:ascii="Arial" w:eastAsia="Arial" w:hAnsi="Arial"/>
          <w:b/>
          <w:sz w:val="24"/>
        </w:rPr>
        <w:t xml:space="preserve">: </w:t>
      </w:r>
      <w:proofErr w:type="spellStart"/>
      <w:r>
        <w:rPr>
          <w:rFonts w:ascii="Arial" w:eastAsia="Arial" w:hAnsi="Arial"/>
          <w:b/>
          <w:sz w:val="24"/>
        </w:rPr>
        <w:t>الخلاصة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التقويمية</w:t>
      </w:r>
      <w:proofErr w:type="spellEnd"/>
    </w:p>
    <w:p w14:paraId="2DFDBB3D" w14:textId="65140236" w:rsidR="00A57F76" w:rsidRDefault="00F327C8" w:rsidP="00F327C8">
      <w:pPr>
        <w:bidi/>
        <w:jc w:val="both"/>
      </w:pPr>
      <w:r w:rsidRPr="00F327C8">
        <w:rPr>
          <w:rFonts w:ascii="Arial" w:eastAsia="Arial" w:hAnsi="Arial" w:cs="Arial" w:hint="cs"/>
          <w:rtl/>
        </w:rPr>
        <w:t>استنادًا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إلى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المقارنة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بين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التقرير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السابق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والنسخة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الحالية،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يتبين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أن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الطالب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أجرى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تحسينات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جيدة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وملموسة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على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الفصل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الثاني،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وأن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النسخة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الحالية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أصبحت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أقرب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إلى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متطلبات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الإجازة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العلمية</w:t>
      </w:r>
      <w:r w:rsidRPr="00F327C8">
        <w:rPr>
          <w:rFonts w:ascii="Arial" w:eastAsia="Arial" w:hAnsi="Arial" w:cs="Arial"/>
          <w:rtl/>
        </w:rPr>
        <w:t xml:space="preserve">. </w:t>
      </w:r>
      <w:r w:rsidRPr="00F327C8">
        <w:rPr>
          <w:rFonts w:ascii="Arial" w:eastAsia="Arial" w:hAnsi="Arial" w:cs="Arial" w:hint="cs"/>
          <w:rtl/>
        </w:rPr>
        <w:t>وعليه،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أوصي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باعتماد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الفصل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مع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استكمال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التعديلات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البسيطة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والتحسينات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النهائية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المذكورة</w:t>
      </w:r>
      <w:r w:rsidRPr="00F327C8">
        <w:rPr>
          <w:rFonts w:ascii="Arial" w:eastAsia="Arial" w:hAnsi="Arial" w:cs="Arial"/>
          <w:rtl/>
        </w:rPr>
        <w:t xml:space="preserve"> </w:t>
      </w:r>
      <w:r w:rsidRPr="00F327C8">
        <w:rPr>
          <w:rFonts w:ascii="Arial" w:eastAsia="Arial" w:hAnsi="Arial" w:cs="Arial" w:hint="cs"/>
          <w:rtl/>
        </w:rPr>
        <w:t>أعلاه</w:t>
      </w:r>
      <w:r w:rsidRPr="00F327C8">
        <w:rPr>
          <w:rFonts w:ascii="Arial" w:eastAsia="Arial" w:hAnsi="Arial" w:cs="Arial"/>
          <w:rtl/>
        </w:rPr>
        <w:t>.</w:t>
      </w:r>
    </w:p>
    <w:sectPr w:rsidR="00A57F76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72450651">
    <w:abstractNumId w:val="8"/>
  </w:num>
  <w:num w:numId="2" w16cid:durableId="807473615">
    <w:abstractNumId w:val="6"/>
  </w:num>
  <w:num w:numId="3" w16cid:durableId="650990103">
    <w:abstractNumId w:val="5"/>
  </w:num>
  <w:num w:numId="4" w16cid:durableId="2065105837">
    <w:abstractNumId w:val="4"/>
  </w:num>
  <w:num w:numId="5" w16cid:durableId="757483381">
    <w:abstractNumId w:val="7"/>
  </w:num>
  <w:num w:numId="6" w16cid:durableId="1820420305">
    <w:abstractNumId w:val="3"/>
  </w:num>
  <w:num w:numId="7" w16cid:durableId="1389184039">
    <w:abstractNumId w:val="2"/>
  </w:num>
  <w:num w:numId="8" w16cid:durableId="641037991">
    <w:abstractNumId w:val="1"/>
  </w:num>
  <w:num w:numId="9" w16cid:durableId="1022240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S1AAEQC4iVdJSCU4uLM/PzQAoMawGnSu0kLAAAAA=="/>
  </w:docVars>
  <w:rsids>
    <w:rsidRoot w:val="00B47730"/>
    <w:rsid w:val="00034616"/>
    <w:rsid w:val="0006063C"/>
    <w:rsid w:val="0015074B"/>
    <w:rsid w:val="0029639D"/>
    <w:rsid w:val="00297EFE"/>
    <w:rsid w:val="00326F90"/>
    <w:rsid w:val="00A57F76"/>
    <w:rsid w:val="00AA1D8D"/>
    <w:rsid w:val="00B47730"/>
    <w:rsid w:val="00CB0664"/>
    <w:rsid w:val="00F327C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7729CC"/>
  <w14:defaultImageDpi w14:val="300"/>
  <w15:docId w15:val="{7AC1CA7E-1D33-4E93-8FB9-98D4E0E63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2</cp:revision>
  <dcterms:created xsi:type="dcterms:W3CDTF">2026-04-25T11:10:00Z</dcterms:created>
  <dcterms:modified xsi:type="dcterms:W3CDTF">2026-04-25T11:10:00Z</dcterms:modified>
  <cp:category/>
</cp:coreProperties>
</file>