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319B9" w14:textId="77777777" w:rsidR="00095084" w:rsidRDefault="00095084" w:rsidP="00095084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</w:rPr>
      </w:pPr>
    </w:p>
    <w:p w14:paraId="636C3115" w14:textId="77777777" w:rsidR="00095084" w:rsidRDefault="00095084" w:rsidP="00095084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</w:rPr>
      </w:pPr>
    </w:p>
    <w:p w14:paraId="21794B1E" w14:textId="3F8EC6C4" w:rsidR="006B3E13" w:rsidRPr="00095084" w:rsidRDefault="00095084" w:rsidP="00095084">
      <w:pPr>
        <w:jc w:val="center"/>
        <w:rPr>
          <w:rFonts w:ascii="Simplified Arabic" w:hAnsi="Simplified Arabic" w:cs="Simplified Arabic" w:hint="cs"/>
          <w:b/>
          <w:bCs/>
          <w:sz w:val="40"/>
          <w:szCs w:val="40"/>
        </w:rPr>
      </w:pPr>
      <w:r w:rsidRPr="00095084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إطار استراتيجي مقترح لتطوير إدارات الاتصال المؤسسي في الغرف التجارية السعودية وفق ممارسات التسويق الرقمي الحديثة: دراسة تطبيقية على غرفة جازان</w:t>
      </w:r>
    </w:p>
    <w:sectPr w:rsidR="006B3E13" w:rsidRPr="00095084" w:rsidSect="00EB585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81"/>
  <w:drawingGridVerticalSpacing w:val="18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4713"/>
    <w:rsid w:val="00095084"/>
    <w:rsid w:val="00424713"/>
    <w:rsid w:val="00455708"/>
    <w:rsid w:val="006B3E13"/>
    <w:rsid w:val="007203D3"/>
    <w:rsid w:val="00D70379"/>
    <w:rsid w:val="00EB585A"/>
    <w:rsid w:val="00EE483B"/>
    <w:rsid w:val="00F4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E9D484"/>
  <w15:chartTrackingRefBased/>
  <w15:docId w15:val="{B7350183-BA96-49F6-840B-6F82FA18D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4247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247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247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247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247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247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247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247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247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4247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247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247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24713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24713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2471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2471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2471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2471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247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247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247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247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247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2471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2471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24713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247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24713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42471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Wessam Ayman</dc:creator>
  <cp:keywords/>
  <dc:description/>
  <cp:lastModifiedBy>Wessam Ayman</cp:lastModifiedBy>
  <cp:revision>2</cp:revision>
  <dcterms:created xsi:type="dcterms:W3CDTF">2026-06-01T21:11:00Z</dcterms:created>
  <dcterms:modified xsi:type="dcterms:W3CDTF">2026-06-01T21:12:00Z</dcterms:modified>
</cp:coreProperties>
</file>