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AB3849" w14:textId="77777777" w:rsidR="00E25EE8" w:rsidRDefault="003D0154">
      <w:pPr>
        <w:bidi/>
        <w:jc w:val="center"/>
      </w:pPr>
      <w:r>
        <w:rPr>
          <w:b/>
          <w:sz w:val="30"/>
        </w:rPr>
        <w:t>التقرير</w:t>
      </w:r>
      <w:r>
        <w:rPr>
          <w:b/>
          <w:sz w:val="30"/>
        </w:rPr>
        <w:t xml:space="preserve"> </w:t>
      </w:r>
      <w:r>
        <w:rPr>
          <w:b/>
          <w:sz w:val="30"/>
        </w:rPr>
        <w:t>النهائي</w:t>
      </w:r>
      <w:r>
        <w:rPr>
          <w:b/>
          <w:sz w:val="30"/>
        </w:rPr>
        <w:t xml:space="preserve"> </w:t>
      </w:r>
      <w:r>
        <w:rPr>
          <w:b/>
          <w:sz w:val="30"/>
        </w:rPr>
        <w:t>لمراجعة</w:t>
      </w:r>
      <w:r>
        <w:rPr>
          <w:b/>
          <w:sz w:val="30"/>
        </w:rPr>
        <w:t xml:space="preserve"> </w:t>
      </w:r>
      <w:r>
        <w:rPr>
          <w:b/>
          <w:sz w:val="30"/>
        </w:rPr>
        <w:t>الفصل</w:t>
      </w:r>
      <w:r>
        <w:rPr>
          <w:b/>
          <w:sz w:val="30"/>
        </w:rPr>
        <w:t xml:space="preserve"> </w:t>
      </w:r>
      <w:r>
        <w:rPr>
          <w:b/>
          <w:sz w:val="30"/>
        </w:rPr>
        <w:t>الثاني</w:t>
      </w:r>
    </w:p>
    <w:p w14:paraId="529B3EE8" w14:textId="77777777" w:rsidR="00E25EE8" w:rsidRDefault="003D0154">
      <w:pPr>
        <w:bidi/>
        <w:jc w:val="center"/>
      </w:pPr>
      <w:r>
        <w:rPr>
          <w:b/>
          <w:sz w:val="30"/>
        </w:rPr>
        <w:t>الإطار</w:t>
      </w:r>
      <w:r>
        <w:rPr>
          <w:b/>
          <w:sz w:val="30"/>
        </w:rPr>
        <w:t xml:space="preserve"> </w:t>
      </w:r>
      <w:r>
        <w:rPr>
          <w:b/>
          <w:sz w:val="30"/>
        </w:rPr>
        <w:t>النظري</w:t>
      </w:r>
      <w:r>
        <w:rPr>
          <w:b/>
          <w:sz w:val="30"/>
        </w:rPr>
        <w:t xml:space="preserve"> </w:t>
      </w:r>
      <w:r>
        <w:rPr>
          <w:b/>
          <w:sz w:val="30"/>
        </w:rPr>
        <w:t>والدراسات</w:t>
      </w:r>
      <w:r>
        <w:rPr>
          <w:b/>
          <w:sz w:val="30"/>
        </w:rPr>
        <w:t xml:space="preserve"> </w:t>
      </w:r>
      <w:r>
        <w:rPr>
          <w:b/>
          <w:sz w:val="30"/>
        </w:rPr>
        <w:t>السابقة</w:t>
      </w:r>
    </w:p>
    <w:tbl>
      <w:tblPr>
        <w:tblStyle w:val="TableGrid"/>
        <w:bidiVisual/>
        <w:tblW w:w="0" w:type="auto"/>
        <w:jc w:val="center"/>
        <w:tblLook w:val="04A0" w:firstRow="1" w:lastRow="0" w:firstColumn="1" w:lastColumn="0" w:noHBand="0" w:noVBand="1"/>
      </w:tblPr>
      <w:tblGrid>
        <w:gridCol w:w="4873"/>
        <w:gridCol w:w="4873"/>
      </w:tblGrid>
      <w:tr w:rsidR="00406DE1" w14:paraId="307424A7" w14:textId="77777777" w:rsidTr="00406DE1">
        <w:trPr>
          <w:jc w:val="center"/>
        </w:trPr>
        <w:tc>
          <w:tcPr>
            <w:tcW w:w="4873" w:type="dxa"/>
            <w:shd w:val="clear" w:color="auto" w:fill="EDEDED"/>
            <w:vAlign w:val="center"/>
          </w:tcPr>
          <w:p w14:paraId="28C923D3" w14:textId="7E44B0EE" w:rsidR="00406DE1" w:rsidRDefault="00406DE1" w:rsidP="00406DE1">
            <w:pPr>
              <w:bidi/>
              <w:jc w:val="center"/>
            </w:pPr>
            <w:r w:rsidRPr="00C64099">
              <w:rPr>
                <w:rtl/>
              </w:rPr>
              <w:t>اسم الطالب</w:t>
            </w:r>
          </w:p>
        </w:tc>
        <w:tc>
          <w:tcPr>
            <w:tcW w:w="4873" w:type="dxa"/>
          </w:tcPr>
          <w:p w14:paraId="47700B73" w14:textId="612483F3" w:rsidR="00406DE1" w:rsidRDefault="00406DE1" w:rsidP="00406DE1">
            <w:pPr>
              <w:bidi/>
              <w:jc w:val="center"/>
            </w:pPr>
            <w:r w:rsidRPr="00C64099">
              <w:rPr>
                <w:rtl/>
              </w:rPr>
              <w:t>فيصل العنزي</w:t>
            </w:r>
          </w:p>
        </w:tc>
      </w:tr>
      <w:tr w:rsidR="00406DE1" w14:paraId="20921E28" w14:textId="77777777" w:rsidTr="00406DE1">
        <w:trPr>
          <w:jc w:val="center"/>
        </w:trPr>
        <w:tc>
          <w:tcPr>
            <w:tcW w:w="4873" w:type="dxa"/>
            <w:shd w:val="clear" w:color="auto" w:fill="EDEDED"/>
            <w:vAlign w:val="center"/>
          </w:tcPr>
          <w:p w14:paraId="72AEE764" w14:textId="4830C8DE" w:rsidR="00406DE1" w:rsidRDefault="00406DE1" w:rsidP="00406DE1">
            <w:pPr>
              <w:bidi/>
              <w:jc w:val="center"/>
            </w:pPr>
            <w:r w:rsidRPr="00C64099">
              <w:rPr>
                <w:rtl/>
              </w:rPr>
              <w:t>موضوع الرسالة</w:t>
            </w:r>
          </w:p>
        </w:tc>
        <w:tc>
          <w:tcPr>
            <w:tcW w:w="4873" w:type="dxa"/>
          </w:tcPr>
          <w:p w14:paraId="3AEFE788" w14:textId="3AB178F5" w:rsidR="00406DE1" w:rsidRDefault="00406DE1" w:rsidP="00406DE1">
            <w:pPr>
              <w:bidi/>
              <w:jc w:val="center"/>
            </w:pPr>
            <w:r w:rsidRPr="00C64099">
              <w:rPr>
                <w:rtl/>
              </w:rPr>
              <w:t>أثر ممارسات إدارة الموارد البشرية الإلكترونية على التميز المؤسسي: دراسة تطبيقية على القطاع الصحي السعودي</w:t>
            </w:r>
          </w:p>
        </w:tc>
      </w:tr>
      <w:tr w:rsidR="00406DE1" w14:paraId="3CA45CEF" w14:textId="77777777" w:rsidTr="00406DE1">
        <w:trPr>
          <w:jc w:val="center"/>
        </w:trPr>
        <w:tc>
          <w:tcPr>
            <w:tcW w:w="4873" w:type="dxa"/>
            <w:shd w:val="clear" w:color="auto" w:fill="EDEDED"/>
            <w:vAlign w:val="center"/>
          </w:tcPr>
          <w:p w14:paraId="209B9E87" w14:textId="795B6533" w:rsidR="00406DE1" w:rsidRDefault="00406DE1" w:rsidP="00406DE1">
            <w:pPr>
              <w:bidi/>
              <w:jc w:val="center"/>
            </w:pPr>
            <w:r w:rsidRPr="00C64099">
              <w:rPr>
                <w:rtl/>
              </w:rPr>
              <w:t>نوع المراجعة</w:t>
            </w:r>
          </w:p>
        </w:tc>
        <w:tc>
          <w:tcPr>
            <w:tcW w:w="4873" w:type="dxa"/>
          </w:tcPr>
          <w:p w14:paraId="0D1D6B27" w14:textId="1E652358" w:rsidR="00406DE1" w:rsidRDefault="00406DE1" w:rsidP="00406DE1">
            <w:pPr>
              <w:bidi/>
              <w:jc w:val="center"/>
            </w:pPr>
            <w:r w:rsidRPr="00C64099">
              <w:rPr>
                <w:rtl/>
              </w:rPr>
              <w:t>مقارنة بين تقرير المراجعة السابق والنسخة الحالية للفصل الثاني</w:t>
            </w:r>
          </w:p>
        </w:tc>
      </w:tr>
      <w:tr w:rsidR="00406DE1" w14:paraId="3F25E3B8" w14:textId="77777777" w:rsidTr="00406DE1">
        <w:trPr>
          <w:jc w:val="center"/>
        </w:trPr>
        <w:tc>
          <w:tcPr>
            <w:tcW w:w="4873" w:type="dxa"/>
            <w:shd w:val="clear" w:color="auto" w:fill="EDEDED"/>
            <w:vAlign w:val="center"/>
          </w:tcPr>
          <w:p w14:paraId="088E0549" w14:textId="6FE9FF6C" w:rsidR="00406DE1" w:rsidRDefault="00406DE1" w:rsidP="00406DE1">
            <w:pPr>
              <w:bidi/>
              <w:jc w:val="center"/>
            </w:pPr>
            <w:r w:rsidRPr="00C64099">
              <w:rPr>
                <w:rtl/>
              </w:rPr>
              <w:t>قرار المراجعة</w:t>
            </w:r>
          </w:p>
        </w:tc>
        <w:tc>
          <w:tcPr>
            <w:tcW w:w="4873" w:type="dxa"/>
          </w:tcPr>
          <w:p w14:paraId="4B6D676F" w14:textId="2660F5E5" w:rsidR="00406DE1" w:rsidRDefault="00406DE1" w:rsidP="00406DE1">
            <w:pPr>
              <w:bidi/>
              <w:jc w:val="center"/>
            </w:pPr>
            <w:r w:rsidRPr="00C64099">
              <w:rPr>
                <w:rtl/>
              </w:rPr>
              <w:t>تعديلات جوهرية مطلوبة</w:t>
            </w:r>
            <w:r w:rsidRPr="00C64099">
              <w:t xml:space="preserve"> (Major Revision)</w:t>
            </w:r>
          </w:p>
        </w:tc>
      </w:tr>
    </w:tbl>
    <w:p w14:paraId="2B9DCDE1" w14:textId="77777777" w:rsidR="00E25EE8" w:rsidRDefault="00E25EE8"/>
    <w:p w14:paraId="5FF007E1" w14:textId="77777777" w:rsidR="00E25EE8" w:rsidRDefault="003D0154" w:rsidP="00406DE1">
      <w:pPr>
        <w:bidi/>
        <w:spacing w:before="120" w:after="120"/>
      </w:pPr>
      <w:r>
        <w:rPr>
          <w:b/>
          <w:sz w:val="26"/>
        </w:rPr>
        <w:t>أولًا</w:t>
      </w:r>
      <w:r>
        <w:rPr>
          <w:b/>
          <w:sz w:val="26"/>
        </w:rPr>
        <w:t xml:space="preserve">: </w:t>
      </w:r>
      <w:r>
        <w:rPr>
          <w:b/>
          <w:sz w:val="26"/>
        </w:rPr>
        <w:t>التقدير</w:t>
      </w:r>
      <w:r>
        <w:rPr>
          <w:b/>
          <w:sz w:val="26"/>
        </w:rPr>
        <w:t xml:space="preserve"> </w:t>
      </w:r>
      <w:r>
        <w:rPr>
          <w:b/>
          <w:sz w:val="26"/>
        </w:rPr>
        <w:t>العام</w:t>
      </w:r>
    </w:p>
    <w:p w14:paraId="30440BE1" w14:textId="77777777" w:rsidR="00406DE1" w:rsidRDefault="00406DE1" w:rsidP="00406DE1">
      <w:pPr>
        <w:bidi/>
        <w:spacing w:before="120" w:after="120"/>
        <w:jc w:val="both"/>
        <w:rPr>
          <w:rFonts w:cs="Arial"/>
        </w:rPr>
      </w:pPr>
      <w:r w:rsidRPr="00406DE1">
        <w:rPr>
          <w:rFonts w:cs="Arial"/>
          <w:rtl/>
        </w:rPr>
        <w:t>تُظهر النسخة الحالية تحسنًا واضحًا مقارنة بتقرير المراجعة السابق؛ إذ أُضيفت معايير لاختيار الأدبيات واستبعادها، وتم تبني نظرية الموارد القائمة على المنظمة بوصفها أساسًا تفسيريًا، كما أُدرج جدول لتعريفات المتغيرات والقياس، وظهرت محاولة أوضح لصياغة الفجوة البحثية. ومع ذلك، فإن المعالجة الحالية ما تزال جزئية في بعض الجوانب الجوهرية، ولذلك لم يصل الفصل بعد إلى المستوى الأكاديمي المطلوب للاعتماد النهائي.</w:t>
      </w:r>
    </w:p>
    <w:p w14:paraId="27A13B04" w14:textId="2027C1D7" w:rsidR="00E25EE8" w:rsidRDefault="003D0154" w:rsidP="00406DE1">
      <w:pPr>
        <w:bidi/>
        <w:spacing w:before="120" w:after="120"/>
      </w:pPr>
      <w:proofErr w:type="spellStart"/>
      <w:r>
        <w:rPr>
          <w:b/>
          <w:sz w:val="26"/>
        </w:rPr>
        <w:t>ثانيًا</w:t>
      </w:r>
      <w:proofErr w:type="spellEnd"/>
      <w:r>
        <w:rPr>
          <w:b/>
          <w:sz w:val="26"/>
        </w:rPr>
        <w:t xml:space="preserve">: </w:t>
      </w:r>
      <w:proofErr w:type="spellStart"/>
      <w:r>
        <w:rPr>
          <w:b/>
          <w:sz w:val="26"/>
        </w:rPr>
        <w:t>الملاحظات</w:t>
      </w:r>
      <w:proofErr w:type="spellEnd"/>
      <w:r>
        <w:rPr>
          <w:b/>
          <w:sz w:val="26"/>
        </w:rPr>
        <w:t xml:space="preserve"> </w:t>
      </w:r>
      <w:proofErr w:type="spellStart"/>
      <w:r>
        <w:rPr>
          <w:b/>
          <w:sz w:val="26"/>
        </w:rPr>
        <w:t>الجوهرية</w:t>
      </w:r>
      <w:proofErr w:type="spellEnd"/>
      <w:r>
        <w:rPr>
          <w:b/>
          <w:sz w:val="26"/>
        </w:rPr>
        <w:t xml:space="preserve"> </w:t>
      </w:r>
      <w:proofErr w:type="spellStart"/>
      <w:r>
        <w:rPr>
          <w:b/>
          <w:sz w:val="26"/>
        </w:rPr>
        <w:t>التي</w:t>
      </w:r>
      <w:proofErr w:type="spellEnd"/>
      <w:r>
        <w:rPr>
          <w:b/>
          <w:sz w:val="26"/>
        </w:rPr>
        <w:t xml:space="preserve"> </w:t>
      </w:r>
      <w:r>
        <w:rPr>
          <w:b/>
          <w:sz w:val="26"/>
        </w:rPr>
        <w:t>ما</w:t>
      </w:r>
      <w:r>
        <w:rPr>
          <w:b/>
          <w:sz w:val="26"/>
        </w:rPr>
        <w:t xml:space="preserve"> </w:t>
      </w:r>
      <w:r>
        <w:rPr>
          <w:b/>
          <w:sz w:val="26"/>
        </w:rPr>
        <w:t>تزال</w:t>
      </w:r>
      <w:r>
        <w:rPr>
          <w:b/>
          <w:sz w:val="26"/>
        </w:rPr>
        <w:t xml:space="preserve"> </w:t>
      </w:r>
      <w:r>
        <w:rPr>
          <w:b/>
          <w:sz w:val="26"/>
        </w:rPr>
        <w:t>قائمة</w:t>
      </w:r>
    </w:p>
    <w:tbl>
      <w:tblPr>
        <w:tblStyle w:val="TableGrid"/>
        <w:bidiVisual/>
        <w:tblW w:w="0" w:type="auto"/>
        <w:jc w:val="center"/>
        <w:tblLook w:val="04A0" w:firstRow="1" w:lastRow="0" w:firstColumn="1" w:lastColumn="0" w:noHBand="0" w:noVBand="1"/>
      </w:tblPr>
      <w:tblGrid>
        <w:gridCol w:w="1248"/>
        <w:gridCol w:w="1684"/>
        <w:gridCol w:w="6512"/>
      </w:tblGrid>
      <w:tr w:rsidR="00E25EE8" w14:paraId="32D82B03" w14:textId="77777777" w:rsidTr="00406DE1">
        <w:trPr>
          <w:jc w:val="center"/>
        </w:trPr>
        <w:tc>
          <w:tcPr>
            <w:tcW w:w="1248" w:type="dxa"/>
            <w:shd w:val="clear" w:color="auto" w:fill="D9EAF7"/>
            <w:vAlign w:val="center"/>
          </w:tcPr>
          <w:p w14:paraId="6F61C930" w14:textId="77777777" w:rsidR="00E25EE8" w:rsidRDefault="003D0154">
            <w:pPr>
              <w:bidi/>
              <w:jc w:val="center"/>
            </w:pPr>
            <w:r>
              <w:rPr>
                <w:b/>
                <w:sz w:val="22"/>
              </w:rPr>
              <w:t>م</w:t>
            </w:r>
          </w:p>
        </w:tc>
        <w:tc>
          <w:tcPr>
            <w:tcW w:w="1684" w:type="dxa"/>
            <w:shd w:val="clear" w:color="auto" w:fill="D9EAF7"/>
            <w:vAlign w:val="center"/>
          </w:tcPr>
          <w:p w14:paraId="1570343F" w14:textId="77777777" w:rsidR="00E25EE8" w:rsidRDefault="003D0154">
            <w:pPr>
              <w:bidi/>
              <w:jc w:val="center"/>
            </w:pPr>
            <w:r>
              <w:rPr>
                <w:b/>
                <w:sz w:val="22"/>
              </w:rPr>
              <w:t>الملاحظة</w:t>
            </w:r>
            <w:r>
              <w:rPr>
                <w:b/>
                <w:sz w:val="22"/>
              </w:rPr>
              <w:t xml:space="preserve"> </w:t>
            </w:r>
            <w:r>
              <w:rPr>
                <w:b/>
                <w:sz w:val="22"/>
              </w:rPr>
              <w:t>الجوهرية</w:t>
            </w:r>
          </w:p>
        </w:tc>
        <w:tc>
          <w:tcPr>
            <w:tcW w:w="6512" w:type="dxa"/>
            <w:shd w:val="clear" w:color="auto" w:fill="D9EAF7"/>
            <w:vAlign w:val="center"/>
          </w:tcPr>
          <w:p w14:paraId="0C910777" w14:textId="77777777" w:rsidR="00E25EE8" w:rsidRDefault="003D0154">
            <w:pPr>
              <w:bidi/>
              <w:jc w:val="center"/>
            </w:pPr>
            <w:r>
              <w:rPr>
                <w:b/>
                <w:sz w:val="22"/>
              </w:rPr>
              <w:t>الحكم</w:t>
            </w:r>
            <w:r>
              <w:rPr>
                <w:b/>
                <w:sz w:val="22"/>
              </w:rPr>
              <w:t xml:space="preserve"> </w:t>
            </w:r>
            <w:r>
              <w:rPr>
                <w:b/>
                <w:sz w:val="22"/>
              </w:rPr>
              <w:t>المختصر</w:t>
            </w:r>
          </w:p>
        </w:tc>
      </w:tr>
      <w:tr w:rsidR="00406DE1" w14:paraId="692FDC4C" w14:textId="77777777" w:rsidTr="00406DE1">
        <w:trPr>
          <w:jc w:val="center"/>
        </w:trPr>
        <w:tc>
          <w:tcPr>
            <w:tcW w:w="1248" w:type="dxa"/>
            <w:vAlign w:val="center"/>
          </w:tcPr>
          <w:p w14:paraId="29F6D035" w14:textId="49B8ED91" w:rsidR="00406DE1" w:rsidRDefault="00406DE1" w:rsidP="00406DE1">
            <w:pPr>
              <w:bidi/>
              <w:jc w:val="center"/>
            </w:pPr>
            <w:r w:rsidRPr="00C80F8C">
              <w:t>1</w:t>
            </w:r>
          </w:p>
        </w:tc>
        <w:tc>
          <w:tcPr>
            <w:tcW w:w="1684" w:type="dxa"/>
            <w:vAlign w:val="center"/>
          </w:tcPr>
          <w:p w14:paraId="7C9E4AFB" w14:textId="56857F19" w:rsidR="00406DE1" w:rsidRDefault="00406DE1" w:rsidP="00406DE1">
            <w:pPr>
              <w:bidi/>
              <w:jc w:val="center"/>
            </w:pPr>
            <w:r w:rsidRPr="00C80F8C">
              <w:rPr>
                <w:rtl/>
              </w:rPr>
              <w:t>منهجية مراجعة الأدبيات</w:t>
            </w:r>
          </w:p>
        </w:tc>
        <w:tc>
          <w:tcPr>
            <w:tcW w:w="6512" w:type="dxa"/>
          </w:tcPr>
          <w:p w14:paraId="5FAF7532" w14:textId="24050DCC" w:rsidR="00406DE1" w:rsidRDefault="00406DE1" w:rsidP="00406DE1">
            <w:pPr>
              <w:bidi/>
              <w:jc w:val="both"/>
            </w:pPr>
            <w:r w:rsidRPr="00C80F8C">
              <w:rPr>
                <w:rtl/>
              </w:rPr>
              <w:t>أُضيفت معايير اختيار واستبعاد، لكنها لا تكفي وحدها لتشكيل منهج مراجعة أدبيات مكتمل؛ إذ لا تزال الفقرة المنهجية بحاجة إلى تحديد أوضح لقواعد البيانات، والإطار الزمني، والكلمات المفتاحية، ومنطق تنظيم الأدبيات داخل الفصل</w:t>
            </w:r>
            <w:r w:rsidRPr="00C80F8C">
              <w:t>.</w:t>
            </w:r>
          </w:p>
        </w:tc>
      </w:tr>
      <w:tr w:rsidR="00406DE1" w14:paraId="1CFBC3A0" w14:textId="77777777" w:rsidTr="00406DE1">
        <w:trPr>
          <w:jc w:val="center"/>
        </w:trPr>
        <w:tc>
          <w:tcPr>
            <w:tcW w:w="1248" w:type="dxa"/>
            <w:vAlign w:val="center"/>
          </w:tcPr>
          <w:p w14:paraId="6C234758" w14:textId="2018FF15" w:rsidR="00406DE1" w:rsidRDefault="00406DE1" w:rsidP="00406DE1">
            <w:pPr>
              <w:bidi/>
              <w:jc w:val="center"/>
            </w:pPr>
            <w:r w:rsidRPr="00C80F8C">
              <w:t>2</w:t>
            </w:r>
          </w:p>
        </w:tc>
        <w:tc>
          <w:tcPr>
            <w:tcW w:w="1684" w:type="dxa"/>
            <w:vAlign w:val="center"/>
          </w:tcPr>
          <w:p w14:paraId="2074DEDA" w14:textId="3622047F" w:rsidR="00406DE1" w:rsidRDefault="00406DE1" w:rsidP="00406DE1">
            <w:pPr>
              <w:bidi/>
              <w:jc w:val="center"/>
            </w:pPr>
            <w:r w:rsidRPr="00C80F8C">
              <w:rPr>
                <w:rtl/>
              </w:rPr>
              <w:t>الإطار النظري والآليات التفسيرية</w:t>
            </w:r>
          </w:p>
        </w:tc>
        <w:tc>
          <w:tcPr>
            <w:tcW w:w="6512" w:type="dxa"/>
          </w:tcPr>
          <w:p w14:paraId="3E96099E" w14:textId="469D5A1E" w:rsidR="00406DE1" w:rsidRDefault="00406DE1" w:rsidP="00406DE1">
            <w:pPr>
              <w:bidi/>
              <w:jc w:val="both"/>
            </w:pPr>
            <w:r w:rsidRPr="00C80F8C">
              <w:rPr>
                <w:rtl/>
              </w:rPr>
              <w:t>اعتماد نظرية الموارد القائمة على المنظمة يمثل تقدمًا جيدًا، لكن الربط التفسيري بين ممارسات إدارة الموارد البشرية الإلكترونية والتميز المؤسسي ما يزال بحاجة إلى تعميق أوضح لمسارات التأثير والآليات التي تنتقل عبرها العلاقة</w:t>
            </w:r>
            <w:r w:rsidRPr="00C80F8C">
              <w:t>.</w:t>
            </w:r>
          </w:p>
        </w:tc>
      </w:tr>
      <w:tr w:rsidR="00406DE1" w14:paraId="7CF1E38F" w14:textId="77777777" w:rsidTr="00406DE1">
        <w:trPr>
          <w:jc w:val="center"/>
        </w:trPr>
        <w:tc>
          <w:tcPr>
            <w:tcW w:w="1248" w:type="dxa"/>
            <w:vAlign w:val="center"/>
          </w:tcPr>
          <w:p w14:paraId="018C80B5" w14:textId="48B16D3E" w:rsidR="00406DE1" w:rsidRDefault="00406DE1" w:rsidP="00406DE1">
            <w:pPr>
              <w:bidi/>
              <w:jc w:val="center"/>
            </w:pPr>
            <w:r w:rsidRPr="00C80F8C">
              <w:t>3</w:t>
            </w:r>
          </w:p>
        </w:tc>
        <w:tc>
          <w:tcPr>
            <w:tcW w:w="1684" w:type="dxa"/>
            <w:vAlign w:val="center"/>
          </w:tcPr>
          <w:p w14:paraId="06326059" w14:textId="201FE0A1" w:rsidR="00406DE1" w:rsidRDefault="00406DE1" w:rsidP="00406DE1">
            <w:pPr>
              <w:bidi/>
              <w:jc w:val="center"/>
            </w:pPr>
            <w:r w:rsidRPr="00C80F8C">
              <w:rPr>
                <w:rtl/>
              </w:rPr>
              <w:t>التوليف النقدي للدراسات السابقة</w:t>
            </w:r>
          </w:p>
        </w:tc>
        <w:tc>
          <w:tcPr>
            <w:tcW w:w="6512" w:type="dxa"/>
          </w:tcPr>
          <w:p w14:paraId="55A6D979" w14:textId="550865D3" w:rsidR="00406DE1" w:rsidRDefault="00406DE1" w:rsidP="00406DE1">
            <w:pPr>
              <w:bidi/>
              <w:jc w:val="both"/>
            </w:pPr>
            <w:r w:rsidRPr="00C80F8C">
              <w:rPr>
                <w:rtl/>
              </w:rPr>
              <w:t>ما يزال العرض يغلب عليه الطابع الوصفي بحسب المتغيرات، ولم يتحول بالكامل إلى توليف تحليلي مقارن يبرز الاتفاق والتعارض والحدود المنهجية والسياقية بين الدراسات</w:t>
            </w:r>
            <w:r w:rsidRPr="00C80F8C">
              <w:t>.</w:t>
            </w:r>
          </w:p>
        </w:tc>
      </w:tr>
      <w:tr w:rsidR="00406DE1" w14:paraId="4F88CCAC" w14:textId="77777777" w:rsidTr="00406DE1">
        <w:trPr>
          <w:jc w:val="center"/>
        </w:trPr>
        <w:tc>
          <w:tcPr>
            <w:tcW w:w="1248" w:type="dxa"/>
            <w:vAlign w:val="center"/>
          </w:tcPr>
          <w:p w14:paraId="66B3D56A" w14:textId="690583FE" w:rsidR="00406DE1" w:rsidRDefault="00406DE1" w:rsidP="00406DE1">
            <w:pPr>
              <w:bidi/>
              <w:jc w:val="center"/>
            </w:pPr>
            <w:r w:rsidRPr="00C80F8C">
              <w:t>4</w:t>
            </w:r>
          </w:p>
        </w:tc>
        <w:tc>
          <w:tcPr>
            <w:tcW w:w="1684" w:type="dxa"/>
            <w:vAlign w:val="center"/>
          </w:tcPr>
          <w:p w14:paraId="1C0F3613" w14:textId="531FBBA0" w:rsidR="00406DE1" w:rsidRDefault="00406DE1" w:rsidP="00406DE1">
            <w:pPr>
              <w:bidi/>
              <w:jc w:val="center"/>
            </w:pPr>
            <w:r w:rsidRPr="00C80F8C">
              <w:rPr>
                <w:rtl/>
              </w:rPr>
              <w:t>الربط بين الفجوة والفرضيات والنموذج</w:t>
            </w:r>
          </w:p>
        </w:tc>
        <w:tc>
          <w:tcPr>
            <w:tcW w:w="6512" w:type="dxa"/>
          </w:tcPr>
          <w:p w14:paraId="0E9A4654" w14:textId="23A3FD80" w:rsidR="00406DE1" w:rsidRDefault="00406DE1" w:rsidP="00406DE1">
            <w:pPr>
              <w:bidi/>
              <w:jc w:val="both"/>
            </w:pPr>
            <w:r w:rsidRPr="00C80F8C">
              <w:rPr>
                <w:rtl/>
              </w:rPr>
              <w:t>الفجوة البحثية تحسنت مقارنة بالنسخة السابقة، لكنها ما تزال بحاجة إلى ربط مباشر وأكثر إحكامًا بأسئلة الدراسة وفرضياتها ونموذجها المفاهيمي</w:t>
            </w:r>
            <w:r w:rsidRPr="00C80F8C">
              <w:t>.</w:t>
            </w:r>
          </w:p>
        </w:tc>
      </w:tr>
      <w:tr w:rsidR="00406DE1" w14:paraId="0521E8E9" w14:textId="77777777" w:rsidTr="00406DE1">
        <w:trPr>
          <w:jc w:val="center"/>
        </w:trPr>
        <w:tc>
          <w:tcPr>
            <w:tcW w:w="1248" w:type="dxa"/>
            <w:vAlign w:val="center"/>
          </w:tcPr>
          <w:p w14:paraId="4E20B940" w14:textId="05B9DC54" w:rsidR="00406DE1" w:rsidRDefault="00406DE1" w:rsidP="00406DE1">
            <w:pPr>
              <w:bidi/>
              <w:jc w:val="center"/>
            </w:pPr>
            <w:r w:rsidRPr="00C80F8C">
              <w:t>5</w:t>
            </w:r>
          </w:p>
        </w:tc>
        <w:tc>
          <w:tcPr>
            <w:tcW w:w="1684" w:type="dxa"/>
            <w:vAlign w:val="center"/>
          </w:tcPr>
          <w:p w14:paraId="586FB320" w14:textId="0C7E5AE0" w:rsidR="00406DE1" w:rsidRDefault="00406DE1" w:rsidP="00406DE1">
            <w:pPr>
              <w:bidi/>
              <w:jc w:val="center"/>
            </w:pPr>
            <w:r w:rsidRPr="00C80F8C">
              <w:rPr>
                <w:rtl/>
              </w:rPr>
              <w:t>الضبط النهائي للقياس والتوثيق</w:t>
            </w:r>
          </w:p>
        </w:tc>
        <w:tc>
          <w:tcPr>
            <w:tcW w:w="6512" w:type="dxa"/>
          </w:tcPr>
          <w:p w14:paraId="5037BB86" w14:textId="15EEC40D" w:rsidR="00406DE1" w:rsidRDefault="00406DE1" w:rsidP="00406DE1">
            <w:pPr>
              <w:bidi/>
              <w:jc w:val="both"/>
            </w:pPr>
            <w:r w:rsidRPr="00C80F8C">
              <w:rPr>
                <w:rtl/>
              </w:rPr>
              <w:t>وجود جدول تعريفات وقياس يُعد نقطة قوة، لكنه يحتاج إلى مراجعة نهائية للتأكد من ثبات الأبعاد وتوافقها الكامل مع الأداة المقترحة، إلى جانب تدقيق لغوي وتوثيقي شامل</w:t>
            </w:r>
            <w:r w:rsidRPr="00C80F8C">
              <w:t>.</w:t>
            </w:r>
          </w:p>
        </w:tc>
      </w:tr>
    </w:tbl>
    <w:p w14:paraId="00F0F556" w14:textId="77777777" w:rsidR="00E25EE8" w:rsidRDefault="00E25EE8"/>
    <w:p w14:paraId="37008AAE" w14:textId="77777777" w:rsidR="00E25EE8" w:rsidRDefault="003D0154" w:rsidP="00406DE1">
      <w:pPr>
        <w:bidi/>
        <w:spacing w:before="120" w:after="120"/>
      </w:pPr>
      <w:r>
        <w:rPr>
          <w:b/>
          <w:sz w:val="26"/>
        </w:rPr>
        <w:t>ثالثًا</w:t>
      </w:r>
      <w:r>
        <w:rPr>
          <w:b/>
          <w:sz w:val="26"/>
        </w:rPr>
        <w:t xml:space="preserve">: </w:t>
      </w:r>
      <w:r>
        <w:rPr>
          <w:b/>
          <w:sz w:val="26"/>
        </w:rPr>
        <w:t>إرشادات</w:t>
      </w:r>
      <w:r>
        <w:rPr>
          <w:b/>
          <w:sz w:val="26"/>
        </w:rPr>
        <w:t xml:space="preserve"> </w:t>
      </w:r>
      <w:r>
        <w:rPr>
          <w:b/>
          <w:sz w:val="26"/>
        </w:rPr>
        <w:t>الإغلاق</w:t>
      </w:r>
    </w:p>
    <w:p w14:paraId="63A7B7C8" w14:textId="5EFF9FAB" w:rsidR="00406DE1" w:rsidRPr="00406DE1" w:rsidRDefault="00406DE1" w:rsidP="00406DE1">
      <w:pPr>
        <w:pStyle w:val="ListParagraph"/>
        <w:numPr>
          <w:ilvl w:val="0"/>
          <w:numId w:val="11"/>
        </w:numPr>
        <w:bidi/>
        <w:spacing w:before="120" w:after="120"/>
        <w:rPr>
          <w:sz w:val="22"/>
        </w:rPr>
      </w:pPr>
      <w:r w:rsidRPr="00406DE1">
        <w:rPr>
          <w:rFonts w:cs="Arial"/>
          <w:sz w:val="22"/>
          <w:rtl/>
        </w:rPr>
        <w:t>إعادة صياغة فقرة منهج مراجعة الأدبيات لتشمل قواعد البيانات، والفترة الزمنية، والكلمات المفتاحية، ومعايير الاختيار والاستبعاد، وآلية التنظيم.</w:t>
      </w:r>
    </w:p>
    <w:p w14:paraId="344264E0" w14:textId="4EAE550D" w:rsidR="00406DE1" w:rsidRPr="00406DE1" w:rsidRDefault="00406DE1" w:rsidP="00406DE1">
      <w:pPr>
        <w:pStyle w:val="ListParagraph"/>
        <w:numPr>
          <w:ilvl w:val="0"/>
          <w:numId w:val="11"/>
        </w:numPr>
        <w:bidi/>
        <w:spacing w:before="120" w:after="120"/>
        <w:rPr>
          <w:sz w:val="22"/>
        </w:rPr>
      </w:pPr>
      <w:r w:rsidRPr="00406DE1">
        <w:rPr>
          <w:rFonts w:cs="Arial"/>
          <w:sz w:val="22"/>
          <w:rtl/>
        </w:rPr>
        <w:t xml:space="preserve">تعميق قسم الإطار النظري بفقرة تفسيرية أو أكثر توضح لماذا وكيف تقود ممارسات </w:t>
      </w:r>
      <w:r w:rsidRPr="00406DE1">
        <w:rPr>
          <w:sz w:val="22"/>
        </w:rPr>
        <w:t>E-HRM</w:t>
      </w:r>
      <w:r w:rsidRPr="00406DE1">
        <w:rPr>
          <w:rFonts w:cs="Arial"/>
          <w:sz w:val="22"/>
          <w:rtl/>
        </w:rPr>
        <w:t xml:space="preserve"> إلى التميز المؤسسي.</w:t>
      </w:r>
    </w:p>
    <w:p w14:paraId="7224AA75" w14:textId="771E6063" w:rsidR="00406DE1" w:rsidRPr="00406DE1" w:rsidRDefault="00406DE1" w:rsidP="00406DE1">
      <w:pPr>
        <w:pStyle w:val="ListParagraph"/>
        <w:numPr>
          <w:ilvl w:val="0"/>
          <w:numId w:val="11"/>
        </w:numPr>
        <w:bidi/>
        <w:spacing w:before="120" w:after="120"/>
        <w:rPr>
          <w:sz w:val="22"/>
        </w:rPr>
      </w:pPr>
      <w:r w:rsidRPr="00406DE1">
        <w:rPr>
          <w:rFonts w:cs="Arial"/>
          <w:sz w:val="22"/>
          <w:rtl/>
        </w:rPr>
        <w:t>إعادة كتابة عرض الدراسات السابقة في صورة أكثر توليفًا، مع إبراز النتائج المتسقة والمتعارضة وحدود الأدلة.</w:t>
      </w:r>
    </w:p>
    <w:p w14:paraId="75DDD04C" w14:textId="77777777" w:rsidR="00406DE1" w:rsidRPr="00406DE1" w:rsidRDefault="00406DE1" w:rsidP="00406DE1">
      <w:pPr>
        <w:pStyle w:val="ListParagraph"/>
        <w:numPr>
          <w:ilvl w:val="0"/>
          <w:numId w:val="11"/>
        </w:numPr>
        <w:bidi/>
        <w:spacing w:before="120" w:after="120"/>
        <w:rPr>
          <w:sz w:val="22"/>
        </w:rPr>
      </w:pPr>
      <w:r w:rsidRPr="00406DE1">
        <w:rPr>
          <w:rFonts w:cs="Arial"/>
          <w:sz w:val="22"/>
          <w:rtl/>
        </w:rPr>
        <w:t>تقوية الفجوة البحثية بربطها المباشر بالأسئلة والفرضيات والنموذج المفاهيمي.</w:t>
      </w:r>
    </w:p>
    <w:p w14:paraId="05E0EC49" w14:textId="10C2951B" w:rsidR="00406DE1" w:rsidRPr="00406DE1" w:rsidRDefault="00406DE1" w:rsidP="00406DE1">
      <w:pPr>
        <w:pStyle w:val="ListParagraph"/>
        <w:numPr>
          <w:ilvl w:val="0"/>
          <w:numId w:val="11"/>
        </w:numPr>
        <w:bidi/>
        <w:spacing w:before="120" w:after="120"/>
        <w:rPr>
          <w:sz w:val="22"/>
        </w:rPr>
      </w:pPr>
      <w:r w:rsidRPr="00406DE1">
        <w:rPr>
          <w:rFonts w:cs="Arial"/>
          <w:sz w:val="22"/>
          <w:rtl/>
        </w:rPr>
        <w:t>تنفيذ تدقيق نهائي للغة والتوثيق والاتساق بين التعريفات والأبعاد وأداة القياس.</w:t>
      </w:r>
    </w:p>
    <w:p w14:paraId="46C575CC" w14:textId="630D0760" w:rsidR="00E25EE8" w:rsidRDefault="003D0154" w:rsidP="00406DE1">
      <w:pPr>
        <w:bidi/>
        <w:spacing w:before="120" w:after="120"/>
      </w:pPr>
      <w:proofErr w:type="spellStart"/>
      <w:r>
        <w:rPr>
          <w:b/>
          <w:sz w:val="26"/>
        </w:rPr>
        <w:t>ر</w:t>
      </w:r>
      <w:r>
        <w:rPr>
          <w:b/>
          <w:sz w:val="26"/>
        </w:rPr>
        <w:t>ابعًا</w:t>
      </w:r>
      <w:proofErr w:type="spellEnd"/>
      <w:r>
        <w:rPr>
          <w:b/>
          <w:sz w:val="26"/>
        </w:rPr>
        <w:t xml:space="preserve">: </w:t>
      </w:r>
      <w:proofErr w:type="spellStart"/>
      <w:r>
        <w:rPr>
          <w:b/>
          <w:sz w:val="26"/>
        </w:rPr>
        <w:t>الخلاصة</w:t>
      </w:r>
      <w:proofErr w:type="spellEnd"/>
      <w:r>
        <w:rPr>
          <w:b/>
          <w:sz w:val="26"/>
        </w:rPr>
        <w:t xml:space="preserve"> </w:t>
      </w:r>
      <w:proofErr w:type="spellStart"/>
      <w:r>
        <w:rPr>
          <w:b/>
          <w:sz w:val="26"/>
        </w:rPr>
        <w:t>التقويمية</w:t>
      </w:r>
      <w:proofErr w:type="spellEnd"/>
    </w:p>
    <w:p w14:paraId="2044DB91" w14:textId="3087FBEB" w:rsidR="00E25EE8" w:rsidRDefault="00406DE1" w:rsidP="00406DE1">
      <w:pPr>
        <w:bidi/>
        <w:spacing w:after="100"/>
        <w:jc w:val="both"/>
      </w:pPr>
      <w:r w:rsidRPr="00406DE1">
        <w:rPr>
          <w:rFonts w:cs="Arial"/>
          <w:rtl/>
        </w:rPr>
        <w:t>استنادًا إلى المقارنة بين تقرير المراجعة السابق والنسخة الحالية، يتبين أن الطالب أجرى تحسينات مهمة، إلا أن الفصل الثاني ما يزال بحاجة إلى استكمال عدد من التعديلات الجوهرية قبل اعتماده. وعليه، أوصي بإعادة تقديم الفصل بعد معالجة الملاحظات المشار إليها أعلاه.</w:t>
      </w:r>
    </w:p>
    <w:sectPr w:rsidR="00E25EE8" w:rsidSect="00034616">
      <w:pgSz w:w="12240" w:h="15840"/>
      <w:pgMar w:top="1134" w:right="1247" w:bottom="1020"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E0518F7"/>
    <w:multiLevelType w:val="hybridMultilevel"/>
    <w:tmpl w:val="8A18260A"/>
    <w:lvl w:ilvl="0" w:tplc="5258701E">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AF67E9D"/>
    <w:multiLevelType w:val="hybridMultilevel"/>
    <w:tmpl w:val="43B4C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458463">
    <w:abstractNumId w:val="8"/>
  </w:num>
  <w:num w:numId="2" w16cid:durableId="738138946">
    <w:abstractNumId w:val="6"/>
  </w:num>
  <w:num w:numId="3" w16cid:durableId="1817867501">
    <w:abstractNumId w:val="5"/>
  </w:num>
  <w:num w:numId="4" w16cid:durableId="921645779">
    <w:abstractNumId w:val="4"/>
  </w:num>
  <w:num w:numId="5" w16cid:durableId="2119331814">
    <w:abstractNumId w:val="7"/>
  </w:num>
  <w:num w:numId="6" w16cid:durableId="1258826062">
    <w:abstractNumId w:val="3"/>
  </w:num>
  <w:num w:numId="7" w16cid:durableId="1190027638">
    <w:abstractNumId w:val="2"/>
  </w:num>
  <w:num w:numId="8" w16cid:durableId="1984114703">
    <w:abstractNumId w:val="1"/>
  </w:num>
  <w:num w:numId="9" w16cid:durableId="484976315">
    <w:abstractNumId w:val="0"/>
  </w:num>
  <w:num w:numId="10" w16cid:durableId="1126196364">
    <w:abstractNumId w:val="10"/>
  </w:num>
  <w:num w:numId="11" w16cid:durableId="192468059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tLQwNTU2MbUwsrQ0NTNQ0lEKTi0uzszPAykwrAUAqAfMkywAAAA="/>
  </w:docVars>
  <w:rsids>
    <w:rsidRoot w:val="00B47730"/>
    <w:rsid w:val="00034616"/>
    <w:rsid w:val="0006063C"/>
    <w:rsid w:val="0015074B"/>
    <w:rsid w:val="0029639D"/>
    <w:rsid w:val="00326F90"/>
    <w:rsid w:val="003D0154"/>
    <w:rsid w:val="00406DE1"/>
    <w:rsid w:val="00AA1D8D"/>
    <w:rsid w:val="00B47730"/>
    <w:rsid w:val="00CB0664"/>
    <w:rsid w:val="00CE2CD1"/>
    <w:rsid w:val="00E25EE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20C587B"/>
  <w14:defaultImageDpi w14:val="300"/>
  <w15:docId w15:val="{96E5A997-9F59-4486-A2CE-CA03DF93D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eastAsia="Arial" w:hAnsi="Arial"/>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406</Words>
  <Characters>2316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2717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Fadi Abdelfattah</cp:lastModifiedBy>
  <cp:revision>2</cp:revision>
  <dcterms:created xsi:type="dcterms:W3CDTF">2013-12-23T23:15:00Z</dcterms:created>
  <dcterms:modified xsi:type="dcterms:W3CDTF">2026-04-05T09:37:00Z</dcterms:modified>
  <cp:category/>
</cp:coreProperties>
</file>