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0D429" w14:textId="77777777" w:rsidR="00196EBD" w:rsidRDefault="00000000">
      <w:pPr>
        <w:bidi/>
        <w:jc w:val="center"/>
      </w:pPr>
      <w:r>
        <w:rPr>
          <w:noProof/>
          <w:rtl/>
        </w:rPr>
        <w:drawing>
          <wp:inline distT="0" distB="0" distL="0" distR="0" wp14:anchorId="5F1B402D" wp14:editId="3379D62A">
            <wp:extent cx="1512000" cy="7059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ocean_logo_cropped.png"/>
                    <pic:cNvPicPr/>
                  </pic:nvPicPr>
                  <pic:blipFill>
                    <a:blip r:embed="rId8"/>
                    <a:stretch>
                      <a:fillRect/>
                    </a:stretch>
                  </pic:blipFill>
                  <pic:spPr>
                    <a:xfrm>
                      <a:off x="0" y="0"/>
                      <a:ext cx="1512000" cy="705926"/>
                    </a:xfrm>
                    <a:prstGeom prst="rect">
                      <a:avLst/>
                    </a:prstGeom>
                  </pic:spPr>
                </pic:pic>
              </a:graphicData>
            </a:graphic>
          </wp:inline>
        </w:drawing>
      </w:r>
    </w:p>
    <w:p w14:paraId="292F6995" w14:textId="77777777" w:rsidR="00452FAC" w:rsidRDefault="00452FAC">
      <w:pPr>
        <w:bidi/>
        <w:jc w:val="both"/>
        <w:rPr>
          <w:b/>
        </w:rPr>
      </w:pPr>
    </w:p>
    <w:p w14:paraId="5A7A6764" w14:textId="77777777" w:rsidR="00452FAC" w:rsidRDefault="00452FAC" w:rsidP="00452FAC">
      <w:pPr>
        <w:bidi/>
        <w:jc w:val="both"/>
        <w:rPr>
          <w:b/>
        </w:rPr>
      </w:pPr>
    </w:p>
    <w:p w14:paraId="6B47CCDC" w14:textId="1AF23F7D" w:rsidR="00196EBD" w:rsidRDefault="00000000" w:rsidP="00452FAC">
      <w:pPr>
        <w:bidi/>
        <w:jc w:val="both"/>
      </w:pPr>
      <w:r>
        <w:rPr>
          <w:b/>
          <w:rtl/>
        </w:rPr>
        <w:t xml:space="preserve">جامعة </w:t>
      </w:r>
      <w:proofErr w:type="spellStart"/>
      <w:r>
        <w:rPr>
          <w:b/>
          <w:rtl/>
        </w:rPr>
        <w:t>ميدأوشن</w:t>
      </w:r>
      <w:proofErr w:type="spellEnd"/>
    </w:p>
    <w:p w14:paraId="3C8AF4F4" w14:textId="77777777" w:rsidR="00196EBD" w:rsidRDefault="00000000">
      <w:pPr>
        <w:bidi/>
        <w:jc w:val="both"/>
      </w:pPr>
      <w:r>
        <w:rPr>
          <w:b/>
          <w:rtl/>
        </w:rPr>
        <w:t>كلية الإدارة</w:t>
      </w:r>
    </w:p>
    <w:p w14:paraId="39E4172C" w14:textId="77777777" w:rsidR="00196EBD" w:rsidRDefault="00000000">
      <w:pPr>
        <w:bidi/>
        <w:jc w:val="both"/>
      </w:pPr>
      <w:r>
        <w:rPr>
          <w:b/>
          <w:rtl/>
        </w:rPr>
        <w:t>قسم إدارة الأعمال - ماجستير إدارة الأعمال</w:t>
      </w:r>
    </w:p>
    <w:p w14:paraId="7E59C75A" w14:textId="77777777" w:rsidR="00196EBD" w:rsidRDefault="00196EBD">
      <w:pPr>
        <w:bidi/>
      </w:pPr>
    </w:p>
    <w:p w14:paraId="5541B5C4" w14:textId="77777777" w:rsidR="00196EBD" w:rsidRDefault="00196EBD">
      <w:pPr>
        <w:bidi/>
      </w:pPr>
    </w:p>
    <w:p w14:paraId="54E6F399" w14:textId="77777777" w:rsidR="00196EBD" w:rsidRDefault="00000000">
      <w:pPr>
        <w:bidi/>
        <w:jc w:val="both"/>
      </w:pPr>
      <w:r>
        <w:rPr>
          <w:b/>
          <w:rtl/>
        </w:rPr>
        <w:t>الإطار النظري</w:t>
      </w:r>
    </w:p>
    <w:p w14:paraId="3B1C14CA" w14:textId="77777777" w:rsidR="00196EBD" w:rsidRDefault="00000000">
      <w:pPr>
        <w:bidi/>
        <w:jc w:val="both"/>
      </w:pPr>
      <w:r>
        <w:rPr>
          <w:b/>
          <w:rtl/>
        </w:rPr>
        <w:t>الفصل الأول والفصل الثاني فقط</w:t>
      </w:r>
    </w:p>
    <w:p w14:paraId="3F566BEA" w14:textId="77777777" w:rsidR="00196EBD" w:rsidRDefault="00196EBD">
      <w:pPr>
        <w:bidi/>
      </w:pPr>
    </w:p>
    <w:p w14:paraId="7176C460" w14:textId="77777777" w:rsidR="00196EBD" w:rsidRDefault="00000000">
      <w:pPr>
        <w:bidi/>
        <w:jc w:val="both"/>
      </w:pPr>
      <w:r>
        <w:rPr>
          <w:b/>
          <w:rtl/>
        </w:rPr>
        <w:t>العلاقة بين التوسع في استخدام تقنيات الذكاء الاصطناعي وكفاءة قرارات الموافقات الطبية المسبقة</w:t>
      </w:r>
    </w:p>
    <w:p w14:paraId="745884F1" w14:textId="77777777" w:rsidR="00196EBD" w:rsidRDefault="00000000">
      <w:pPr>
        <w:bidi/>
        <w:jc w:val="both"/>
      </w:pPr>
      <w:r>
        <w:rPr>
          <w:b/>
          <w:rtl/>
        </w:rPr>
        <w:t>دراسة حالة طولية تطبيقية في شركة بوبا العربية للتأمين التعاوني بالمملكة العربية السعودية</w:t>
      </w:r>
    </w:p>
    <w:p w14:paraId="02F10B50" w14:textId="77777777" w:rsidR="00196EBD" w:rsidRDefault="00196EBD">
      <w:pPr>
        <w:bidi/>
      </w:pPr>
    </w:p>
    <w:p w14:paraId="744BB5FB" w14:textId="77777777" w:rsidR="00196EBD" w:rsidRDefault="00196EBD">
      <w:pPr>
        <w:bidi/>
      </w:pPr>
    </w:p>
    <w:p w14:paraId="179147B0" w14:textId="77777777" w:rsidR="00196EBD" w:rsidRDefault="00000000">
      <w:pPr>
        <w:bidi/>
        <w:jc w:val="both"/>
      </w:pPr>
      <w:r>
        <w:rPr>
          <w:b/>
          <w:rtl/>
        </w:rPr>
        <w:t xml:space="preserve">إعداد الطالب: محمد </w:t>
      </w:r>
      <w:proofErr w:type="gramStart"/>
      <w:r>
        <w:rPr>
          <w:b/>
          <w:rtl/>
        </w:rPr>
        <w:t>عبدالرحمن</w:t>
      </w:r>
      <w:proofErr w:type="gramEnd"/>
      <w:r>
        <w:rPr>
          <w:b/>
          <w:rtl/>
        </w:rPr>
        <w:t xml:space="preserve"> حسين عيسى</w:t>
      </w:r>
    </w:p>
    <w:p w14:paraId="3B77EBE7" w14:textId="1954F0ED" w:rsidR="00196EBD" w:rsidRDefault="00000000">
      <w:pPr>
        <w:bidi/>
        <w:jc w:val="both"/>
      </w:pPr>
      <w:r>
        <w:rPr>
          <w:rtl/>
        </w:rPr>
        <w:t>الرقم الأكاديمي: ................................................</w:t>
      </w:r>
    </w:p>
    <w:p w14:paraId="02A1C2E8" w14:textId="77777777" w:rsidR="00196EBD" w:rsidRDefault="00000000">
      <w:pPr>
        <w:bidi/>
        <w:jc w:val="both"/>
      </w:pPr>
      <w:r>
        <w:rPr>
          <w:rtl/>
        </w:rPr>
        <w:t>إشراف: ................................................</w:t>
      </w:r>
    </w:p>
    <w:p w14:paraId="12BEE46C" w14:textId="77777777" w:rsidR="00196EBD" w:rsidRDefault="00000000">
      <w:pPr>
        <w:bidi/>
        <w:jc w:val="both"/>
      </w:pPr>
      <w:r>
        <w:rPr>
          <w:rtl/>
        </w:rPr>
        <w:t>العام الجامعي: 2026</w:t>
      </w:r>
    </w:p>
    <w:p w14:paraId="404DC82C" w14:textId="77777777" w:rsidR="00196EBD" w:rsidRDefault="00196EBD">
      <w:pPr>
        <w:bidi/>
        <w:sectPr w:rsidR="00196EBD">
          <w:headerReference w:type="even" r:id="rId9"/>
          <w:headerReference w:type="default" r:id="rId10"/>
          <w:footerReference w:type="even" r:id="rId11"/>
          <w:footerReference w:type="default" r:id="rId12"/>
          <w:headerReference w:type="first" r:id="rId13"/>
          <w:footerReference w:type="first" r:id="rId14"/>
          <w:pgSz w:w="12240" w:h="15840"/>
          <w:pgMar w:top="1134" w:right="1701" w:bottom="1134" w:left="1134" w:header="454" w:footer="454" w:gutter="0"/>
          <w:cols w:space="720"/>
          <w:docGrid w:linePitch="360"/>
        </w:sectPr>
      </w:pPr>
    </w:p>
    <w:p w14:paraId="03050EAA" w14:textId="77777777" w:rsidR="00196EBD" w:rsidRPr="00452FAC" w:rsidRDefault="00000000">
      <w:pPr>
        <w:bidi/>
        <w:spacing w:before="3800"/>
        <w:jc w:val="both"/>
        <w:rPr>
          <w:sz w:val="32"/>
          <w:szCs w:val="32"/>
        </w:rPr>
      </w:pPr>
      <w:r w:rsidRPr="00452FAC">
        <w:rPr>
          <w:b/>
          <w:sz w:val="32"/>
          <w:szCs w:val="32"/>
          <w:rtl/>
        </w:rPr>
        <w:lastRenderedPageBreak/>
        <w:t>الفصل الأول</w:t>
      </w:r>
    </w:p>
    <w:p w14:paraId="74103897" w14:textId="77777777" w:rsidR="00196EBD" w:rsidRPr="00452FAC" w:rsidRDefault="00000000">
      <w:pPr>
        <w:bidi/>
        <w:jc w:val="both"/>
        <w:rPr>
          <w:szCs w:val="28"/>
        </w:rPr>
      </w:pPr>
      <w:r w:rsidRPr="00452FAC">
        <w:rPr>
          <w:b/>
          <w:szCs w:val="28"/>
          <w:rtl/>
        </w:rPr>
        <w:t>الإطار العام للدراسة</w:t>
      </w:r>
    </w:p>
    <w:p w14:paraId="2D57F8D6" w14:textId="77777777" w:rsidR="00196EBD" w:rsidRDefault="00000000">
      <w:pPr>
        <w:bidi/>
      </w:pPr>
      <w:r>
        <w:rPr>
          <w:rtl/>
        </w:rPr>
        <w:br w:type="page"/>
      </w:r>
    </w:p>
    <w:p w14:paraId="22F1FD97" w14:textId="77777777" w:rsidR="00196EBD" w:rsidRDefault="00000000">
      <w:pPr>
        <w:pStyle w:val="Heading2"/>
        <w:bidi/>
        <w:spacing w:before="240" w:after="120"/>
        <w:jc w:val="right"/>
      </w:pPr>
      <w:r>
        <w:rPr>
          <w:rFonts w:ascii="Times New Roman" w:eastAsia="Simplified Arabic" w:hAnsi="Times New Roman" w:cs="Simplified Arabic"/>
          <w:rtl/>
        </w:rPr>
        <w:lastRenderedPageBreak/>
        <w:t>1.1 المقدمة</w:t>
      </w:r>
    </w:p>
    <w:p w14:paraId="389A4726" w14:textId="77777777" w:rsidR="00196EBD" w:rsidRDefault="00000000">
      <w:pPr>
        <w:bidi/>
        <w:jc w:val="both"/>
      </w:pPr>
      <w:r>
        <w:rPr>
          <w:rtl/>
        </w:rPr>
        <w:t>لم يعد التحول الرقمي في القطاع الصحي مقتصراً على التطبيقات السريرية؛ فقد انتقل بصورة واضحة إلى العمليات الإدارية التي تؤثر في سرعة الوصول إلى الخدمة وكفاءة استخدام الموارد. ومن أكثر هذه العمليات حساسية عملية الموافقة الطبية المسبقة، لأنها تقع عند نقطة التقاء التغطية التأمينية والضرورة الطبية وسياسات الوثيقة والوقت التشغيلي. لذلك فإن تحسين هذه العملية لا يرتبط بخفض زمن المعالجة فحسب، بل يرتبط أيضاً باتساق القرار، وإمكانية تفسيره، وقدرة المؤسسة على التعامل مع الزيادة في حجم الطلبات من دون التأثير في سلامة القرار.</w:t>
      </w:r>
    </w:p>
    <w:p w14:paraId="11A8469D" w14:textId="77777777" w:rsidR="00196EBD" w:rsidRDefault="00000000">
      <w:pPr>
        <w:bidi/>
        <w:jc w:val="both"/>
      </w:pPr>
      <w:r>
        <w:rPr>
          <w:rtl/>
        </w:rPr>
        <w:t>أتاحت تقنيات الذكاء الاصطناعي والأتمتة فرصاً جديدة لإعادة تصميم الأعمال المتكررة. ففي بيئات التأمين الصحي يمكن استخدام الخوارزميات في تصنيف الطلبات، واستخراج المعلومات، والتحقق من اكتمال المستندات، ومطابقة بعض الشروط، واقتراح القرار أو إصداره في حالات محددة. ومع ذلك، فإن التوسع في هذه الأدوات يفرض تمييزاً مهماً بين الأتمتة القائمة على قواعد ثابتة وبين الذكاء الاصطناعي الذي يعتمد على البيانات والنماذج في الاستدلال أو التنبؤ؛ لأن الجمع بينهما في مؤشر واحد قد يؤدي إلى تقدير أثر التقنية بصورة غير دقيقة.</w:t>
      </w:r>
    </w:p>
    <w:p w14:paraId="7FA9A549" w14:textId="77777777" w:rsidR="00196EBD" w:rsidRDefault="00000000">
      <w:pPr>
        <w:bidi/>
        <w:jc w:val="both"/>
      </w:pPr>
      <w:r>
        <w:rPr>
          <w:rtl/>
        </w:rPr>
        <w:t>وفي المملكة العربية السعودية يتزامن هذا التحول مع توسع البنية الرقمية للتأمين الصحي. فقد أعلن مجلس الضمان الصحي في استراتيجيته 2025-2027 عن توجه نحو منظومة تقودها البيانات والتقنيات الذكية، مع تعزيز استخدام الذكاء الاصطناعي وجودة البيانات والحوكمة والكفاءة التشغيلية. كما أعلن المجلس في 2023 وصول منصة نفيس إلى 100 مليون معاملة تأمينية، وهو ما يعكس حجم الاعتماد المتزايد على التبادل الرقمي بين أطراف المنظومة الصحية (مجلس الضمان الصحي، 2023؛ 2025).</w:t>
      </w:r>
    </w:p>
    <w:p w14:paraId="2A36E0D3" w14:textId="77777777" w:rsidR="00196EBD" w:rsidRDefault="00000000">
      <w:pPr>
        <w:bidi/>
        <w:jc w:val="both"/>
      </w:pPr>
      <w:r>
        <w:rPr>
          <w:rtl/>
        </w:rPr>
        <w:t>ضمن هذا السياق بدأت بوبا العربية في مارس 2023 تطبيق أدوات للذكاء الاصطناعي تدريجياً في عدد من الخدمات المتكررة، ثم اتسع نطاق الاستخدام في مراحل لاحقة. وتوفر المؤشرات الداخلية المجمعة للفترة 2022-29 يوليو 2026 فرصة مناسبة لدراسة العلاقة بين هذا التوسع وبين مؤشرات الكفاءة التشغيلية، مع ضرورة مراعاة أن بعض المعالجة الآلية تعود إلى قواعد أتمتة تقليدية وليست إلى الذكاء الاصطناعي وحده (بوبا العربية، 2026). ومن هنا جاءت الدراسة الحالية لتقديم قراءة تطبيقية متوازنة لا تفترض مسبقاً أن ارتفاع الأتمتة يعني تحسناً تلقائياً في جودة القرار.</w:t>
      </w:r>
    </w:p>
    <w:p w14:paraId="165BC982" w14:textId="77777777" w:rsidR="00196EBD" w:rsidRDefault="00000000">
      <w:pPr>
        <w:pStyle w:val="Heading2"/>
        <w:bidi/>
        <w:spacing w:before="240" w:after="120"/>
        <w:jc w:val="right"/>
      </w:pPr>
      <w:r>
        <w:rPr>
          <w:rFonts w:ascii="Times New Roman" w:eastAsia="Simplified Arabic" w:hAnsi="Times New Roman" w:cs="Simplified Arabic"/>
          <w:rtl/>
        </w:rPr>
        <w:t>1.2 مشكلة الدراسة</w:t>
      </w:r>
    </w:p>
    <w:p w14:paraId="5A4E454F" w14:textId="77777777" w:rsidR="00196EBD" w:rsidRDefault="00000000">
      <w:pPr>
        <w:bidi/>
        <w:jc w:val="both"/>
      </w:pPr>
      <w:r>
        <w:rPr>
          <w:rtl/>
        </w:rPr>
        <w:t>تتمثل المشكلة البحثية في صعوبة تقدير العلاقة الفعلية بين التوسع في استخدام الذكاء الاصطناعي وبين كفاءة الموافقات الطبية المسبقة عند الاعتماد على مؤشرات تشغيلية مجمعة. فزيادة نسبة المعالجة الآلية قد تكون نتيجة لنمو استخدام نماذج الذكاء الاصطناعي، أو لتوسيع قواعد الأتمتة التقليدية، أو لتغير مزيج الخدمات والعقود؛ ومن ثم لا يمكن التعامل مع مؤشر المعالجة الآلية باعتباره قياساً خالصاً للذكاء الاصطناعي.</w:t>
      </w:r>
    </w:p>
    <w:p w14:paraId="07C5D3AD" w14:textId="77777777" w:rsidR="00196EBD" w:rsidRDefault="00000000">
      <w:pPr>
        <w:bidi/>
        <w:jc w:val="both"/>
      </w:pPr>
      <w:r>
        <w:rPr>
          <w:rtl/>
        </w:rPr>
        <w:t>وتشير القراءة الأولية للوحة العمليات إلى أن حجم الطلبات السنوي ارتفع من 14 مليون طلب في 2022 إلى 20 مليون طلب في 2025، بالتزامن مع ارتفاع حصة المعالجة الآلية من 56.1% إلى قرابة 68%. وفي الفترة نفسها ظل مؤشر زمن الاستجابة الكلي قريباً من 93%، بينما تراجع أداء المسار اليدوي وبقي معدل إعادة العمل دون تحسن مستمر واضح. هذه المؤشرات تفتح احتمالين متوازيين: الأول أن التوسع التقني ساعد على استيعاب النمو، والثاني أن جزءاً من التعقيد والضغط التشغيلي انتقل إلى الحالات التي بقيت في المسار البشري.</w:t>
      </w:r>
    </w:p>
    <w:p w14:paraId="4B563D82" w14:textId="77777777" w:rsidR="00196EBD" w:rsidRDefault="00000000">
      <w:pPr>
        <w:bidi/>
        <w:jc w:val="both"/>
      </w:pPr>
      <w:r>
        <w:rPr>
          <w:rtl/>
        </w:rPr>
        <w:t xml:space="preserve">لذلك لا تبحث الدراسة عن إثبات سببية مباشرة لا تسمح بها البيانات، وإنما تفحص نمط الارتباط بين التوسع في الذكاء الاصطناعي والأتمتة وبين مجموعة متوازنة من مؤشرات الكفاءة. كما تراعي التغيرات التشغيلية المصاحبة، ومنها نمو الحجم، وتغير بعض قواعد عدم </w:t>
      </w:r>
      <w:r>
        <w:rPr>
          <w:rtl/>
        </w:rPr>
        <w:lastRenderedPageBreak/>
        <w:t>الحاجة إلى موافقة مسبقة، واختلاف مزيج الطلبات. ويسمح هذا المنظور بإصدار حكم أكثر تحفظاً وقابلية للدفاع الأكاديمي من الحكم المبني على نسبة الأتمتة وحدها.</w:t>
      </w:r>
    </w:p>
    <w:p w14:paraId="46827DC4" w14:textId="77777777" w:rsidR="00196EBD" w:rsidRDefault="00000000">
      <w:pPr>
        <w:bidi/>
        <w:spacing w:before="120"/>
        <w:jc w:val="both"/>
      </w:pPr>
      <w:r>
        <w:rPr>
          <w:b/>
          <w:rtl/>
        </w:rPr>
        <w:t>السؤال الرئيس:</w:t>
      </w:r>
      <w:r>
        <w:rPr>
          <w:rtl/>
        </w:rPr>
        <w:t xml:space="preserve"> ما العلاقة بين التوسع التدريجي في استخدام تقنيات الذكاء الاصطناعي والأتمتة وبين كفاءة عمليات الموافقات الطبية المسبقة في بوبا العربية خلال الفترة 2022-2026؟</w:t>
      </w:r>
    </w:p>
    <w:p w14:paraId="171FA45E" w14:textId="77777777" w:rsidR="00196EBD" w:rsidRDefault="00000000">
      <w:pPr>
        <w:pStyle w:val="Heading2"/>
        <w:bidi/>
        <w:spacing w:before="240" w:after="120"/>
        <w:jc w:val="right"/>
      </w:pPr>
      <w:r>
        <w:rPr>
          <w:rFonts w:ascii="Times New Roman" w:eastAsia="Simplified Arabic" w:hAnsi="Times New Roman" w:cs="Simplified Arabic"/>
          <w:rtl/>
        </w:rPr>
        <w:t>1.3 تساؤلات الدراسة</w:t>
      </w:r>
    </w:p>
    <w:p w14:paraId="33F16DA9" w14:textId="77777777" w:rsidR="00196EBD" w:rsidRDefault="00000000">
      <w:pPr>
        <w:bidi/>
        <w:ind w:right="142" w:hanging="142"/>
        <w:jc w:val="both"/>
      </w:pPr>
      <w:r>
        <w:rPr>
          <w:b/>
          <w:rtl/>
        </w:rPr>
        <w:t xml:space="preserve">1. </w:t>
      </w:r>
      <w:r>
        <w:rPr>
          <w:rtl/>
        </w:rPr>
        <w:t>كيف تغير حجم الطلبات وحصة المعالجة الآلية بعد بدء تطبيق الذكاء الاصطناعي في مارس 2023؟</w:t>
      </w:r>
    </w:p>
    <w:p w14:paraId="5008B91F" w14:textId="77777777" w:rsidR="00196EBD" w:rsidRDefault="00000000">
      <w:pPr>
        <w:bidi/>
        <w:ind w:right="142" w:hanging="142"/>
        <w:jc w:val="both"/>
      </w:pPr>
      <w:r>
        <w:rPr>
          <w:b/>
          <w:rtl/>
        </w:rPr>
        <w:t xml:space="preserve">2. </w:t>
      </w:r>
      <w:r>
        <w:rPr>
          <w:rtl/>
        </w:rPr>
        <w:t>إلى أي مدى حافظ مؤشر زمن الاستجابة الكلي على استقراره مع نمو حجم الطلبات؟</w:t>
      </w:r>
    </w:p>
    <w:p w14:paraId="79B2B419" w14:textId="77777777" w:rsidR="00196EBD" w:rsidRDefault="00000000">
      <w:pPr>
        <w:bidi/>
        <w:ind w:right="142" w:hanging="142"/>
        <w:jc w:val="both"/>
      </w:pPr>
      <w:r>
        <w:rPr>
          <w:b/>
          <w:rtl/>
        </w:rPr>
        <w:t xml:space="preserve">3. </w:t>
      </w:r>
      <w:r>
        <w:rPr>
          <w:rtl/>
        </w:rPr>
        <w:t>كيف تغير أداء المسار اليدوي، ونسبة عدم الحاجة إلى موافقة مسبقة، والرفض، وإعادة العمل خلال فترة الدراسة؟</w:t>
      </w:r>
    </w:p>
    <w:p w14:paraId="57B41B1E" w14:textId="77777777" w:rsidR="00196EBD" w:rsidRDefault="00000000">
      <w:pPr>
        <w:bidi/>
        <w:ind w:right="142" w:hanging="142"/>
        <w:jc w:val="both"/>
      </w:pPr>
      <w:r>
        <w:rPr>
          <w:b/>
          <w:rtl/>
        </w:rPr>
        <w:t xml:space="preserve">4. </w:t>
      </w:r>
      <w:r>
        <w:rPr>
          <w:rtl/>
        </w:rPr>
        <w:t>هل توجد فروق ذات دلالة إحصائية بين حجم الطلبات وزمن الاستجابة في يناير-يوليو 2025 والفترة المناظرة من 2026؟</w:t>
      </w:r>
    </w:p>
    <w:p w14:paraId="33812770" w14:textId="77777777" w:rsidR="00196EBD" w:rsidRDefault="00000000">
      <w:pPr>
        <w:bidi/>
        <w:ind w:right="142" w:hanging="142"/>
        <w:jc w:val="both"/>
      </w:pPr>
      <w:r>
        <w:rPr>
          <w:b/>
          <w:rtl/>
        </w:rPr>
        <w:t xml:space="preserve">5. </w:t>
      </w:r>
      <w:r>
        <w:rPr>
          <w:rtl/>
        </w:rPr>
        <w:t xml:space="preserve">ما الاعتبارات التشغيلية </w:t>
      </w:r>
      <w:proofErr w:type="spellStart"/>
      <w:r>
        <w:rPr>
          <w:rtl/>
        </w:rPr>
        <w:t>والحوكمية</w:t>
      </w:r>
      <w:proofErr w:type="spellEnd"/>
      <w:r>
        <w:rPr>
          <w:rtl/>
        </w:rPr>
        <w:t xml:space="preserve"> التي ينبغي مراعاتها قبل توسيع استخدام الذكاء الاصطناعي إلى خدمات أكثر تعقيداً مثل التنويم؟</w:t>
      </w:r>
    </w:p>
    <w:p w14:paraId="7CD2CFD9" w14:textId="77777777" w:rsidR="00196EBD" w:rsidRDefault="00000000">
      <w:pPr>
        <w:pStyle w:val="Heading2"/>
        <w:bidi/>
        <w:spacing w:before="240" w:after="120"/>
        <w:jc w:val="right"/>
      </w:pPr>
      <w:r>
        <w:rPr>
          <w:rFonts w:ascii="Times New Roman" w:eastAsia="Simplified Arabic" w:hAnsi="Times New Roman" w:cs="Simplified Arabic"/>
          <w:rtl/>
        </w:rPr>
        <w:t>1.4 أهداف الدراسة</w:t>
      </w:r>
    </w:p>
    <w:p w14:paraId="3E7CA1B5" w14:textId="77777777" w:rsidR="00196EBD" w:rsidRDefault="00000000">
      <w:pPr>
        <w:bidi/>
        <w:ind w:right="142" w:hanging="142"/>
        <w:jc w:val="both"/>
      </w:pPr>
      <w:r>
        <w:rPr>
          <w:b/>
          <w:rtl/>
        </w:rPr>
        <w:t xml:space="preserve">1. </w:t>
      </w:r>
      <w:r>
        <w:rPr>
          <w:rtl/>
        </w:rPr>
        <w:t>تحليل اتجاهات حجم الطلبات وحصة المعالجة الآلية قبل بدء تطبيق الذكاء الاصطناعي في مارس 2023 وبعده.</w:t>
      </w:r>
    </w:p>
    <w:p w14:paraId="4E54698E" w14:textId="77777777" w:rsidR="00196EBD" w:rsidRDefault="00000000">
      <w:pPr>
        <w:bidi/>
        <w:ind w:right="142" w:hanging="142"/>
        <w:jc w:val="both"/>
      </w:pPr>
      <w:r>
        <w:rPr>
          <w:b/>
          <w:rtl/>
        </w:rPr>
        <w:t xml:space="preserve">2. </w:t>
      </w:r>
      <w:r>
        <w:rPr>
          <w:rtl/>
        </w:rPr>
        <w:t>تقييم استقرار زمن الاستجابة الكلي وتغير أداء المسار اليدوي في ظل نمو حجم الطلبات.</w:t>
      </w:r>
    </w:p>
    <w:p w14:paraId="17624D65" w14:textId="77777777" w:rsidR="00196EBD" w:rsidRDefault="00000000">
      <w:pPr>
        <w:bidi/>
        <w:ind w:right="142" w:hanging="142"/>
        <w:jc w:val="both"/>
      </w:pPr>
      <w:r>
        <w:rPr>
          <w:b/>
          <w:rtl/>
        </w:rPr>
        <w:t xml:space="preserve">3. </w:t>
      </w:r>
      <w:r>
        <w:rPr>
          <w:rtl/>
        </w:rPr>
        <w:t>تحليل اتجاهات عدم الحاجة إلى موافقة مسبقة والرفض وإعادة العمل وتفسيرها في ضوء التغيرات التشغيلية.</w:t>
      </w:r>
    </w:p>
    <w:p w14:paraId="313FE93E" w14:textId="77777777" w:rsidR="00196EBD" w:rsidRDefault="00000000">
      <w:pPr>
        <w:bidi/>
        <w:ind w:right="142" w:hanging="142"/>
        <w:jc w:val="both"/>
      </w:pPr>
      <w:r>
        <w:rPr>
          <w:b/>
          <w:rtl/>
        </w:rPr>
        <w:t xml:space="preserve">4. </w:t>
      </w:r>
      <w:r>
        <w:rPr>
          <w:rtl/>
        </w:rPr>
        <w:t>إجراء مقارنة زمنية متناظرة بين يناير-يوليو 2025 ويناير-يوليو 2026 لاختبار الفروق في الحجم وزمن الاستجابة.</w:t>
      </w:r>
    </w:p>
    <w:p w14:paraId="7BE3C949" w14:textId="77777777" w:rsidR="00196EBD" w:rsidRDefault="00000000">
      <w:pPr>
        <w:bidi/>
        <w:ind w:right="142" w:hanging="142"/>
        <w:jc w:val="both"/>
      </w:pPr>
      <w:r>
        <w:rPr>
          <w:b/>
          <w:rtl/>
        </w:rPr>
        <w:t xml:space="preserve">5. </w:t>
      </w:r>
      <w:r>
        <w:rPr>
          <w:rtl/>
        </w:rPr>
        <w:t>صياغة إطار للقياس والحوكمة يساعد الإدارة على التوسع المسؤول في استخدام الذكاء الاصطناعي في الموافقات الطبية.</w:t>
      </w:r>
    </w:p>
    <w:p w14:paraId="6CADE695" w14:textId="77777777" w:rsidR="00196EBD" w:rsidRDefault="00000000">
      <w:pPr>
        <w:pStyle w:val="Heading2"/>
        <w:bidi/>
        <w:spacing w:before="240" w:after="120"/>
        <w:jc w:val="right"/>
      </w:pPr>
      <w:r>
        <w:rPr>
          <w:rFonts w:ascii="Times New Roman" w:eastAsia="Simplified Arabic" w:hAnsi="Times New Roman" w:cs="Simplified Arabic"/>
          <w:rtl/>
        </w:rPr>
        <w:t>1.5 أهمية الدراسة</w:t>
      </w:r>
    </w:p>
    <w:p w14:paraId="6673E613" w14:textId="77777777" w:rsidR="00196EBD" w:rsidRDefault="00000000">
      <w:pPr>
        <w:pStyle w:val="Heading3"/>
        <w:bidi/>
        <w:spacing w:before="160" w:after="80"/>
        <w:jc w:val="right"/>
      </w:pPr>
      <w:r>
        <w:rPr>
          <w:rFonts w:ascii="Times New Roman" w:eastAsia="Simplified Arabic" w:hAnsi="Times New Roman" w:cs="Simplified Arabic"/>
          <w:rtl/>
        </w:rPr>
        <w:t>1.5.1 الأهمية العلمية</w:t>
      </w:r>
    </w:p>
    <w:p w14:paraId="074E622A" w14:textId="77777777" w:rsidR="00196EBD" w:rsidRDefault="00000000">
      <w:pPr>
        <w:bidi/>
        <w:jc w:val="both"/>
      </w:pPr>
      <w:r>
        <w:rPr>
          <w:rtl/>
        </w:rPr>
        <w:t>تنبع الأهمية العلمية من تناول الدراسة لتطبيق إداري غير سريري للذكاء الاصطناعي داخل قطاع التأمين الصحي، وهو مجال ما تزال الأدلة التطبيقية فيه أقل عدداً مقارنة بالتطبيقات التشخيصية والعلاجية. كما أن الدراسة لا تعتمد على اتجاهات الموظفين وحدها، بل تستند إلى مؤشرات تشغيلية ممتدة عبر عدة سنوات، بما يسمح بفهم التغير في القدرة الاستيعابية والأداء الزمني وجودة القرار بصورة أكثر ارتباطاً بالواقع التشغيلي.</w:t>
      </w:r>
    </w:p>
    <w:p w14:paraId="65189104" w14:textId="77777777" w:rsidR="00196EBD" w:rsidRDefault="00000000">
      <w:pPr>
        <w:bidi/>
        <w:jc w:val="both"/>
      </w:pPr>
      <w:r>
        <w:rPr>
          <w:rtl/>
        </w:rPr>
        <w:t xml:space="preserve">وتضيف الدراسة حالة تطبيقية من البيئة السعودية، كما تفصل منهجياً بين الذكاء الاصطناعي والأتمتة القائمة على القواعد، وتتعامل مع الكفاءة باعتبارها مفهوماً متعدد الأبعاد لا يختزل في معدل الأتمتة. وتساعد هذه المعالجة في توسيع النقاش الأكاديمي من سؤال «كم عدد الحالات التي تمت </w:t>
      </w:r>
      <w:proofErr w:type="spellStart"/>
      <w:r>
        <w:rPr>
          <w:rtl/>
        </w:rPr>
        <w:t>أتمتتها</w:t>
      </w:r>
      <w:proofErr w:type="spellEnd"/>
      <w:r>
        <w:rPr>
          <w:rtl/>
        </w:rPr>
        <w:t>؟» إلى سؤال أكثر عمقاً يتعلق بما إذا كان التوسع قد صاحبته قدرة أفضل على استيعاب الطلبات مع الحفاظ على جودة القرار.</w:t>
      </w:r>
    </w:p>
    <w:p w14:paraId="7A802349" w14:textId="77777777" w:rsidR="00196EBD" w:rsidRDefault="00000000">
      <w:pPr>
        <w:pStyle w:val="Heading3"/>
        <w:bidi/>
        <w:spacing w:before="160" w:after="80"/>
        <w:jc w:val="right"/>
      </w:pPr>
      <w:r>
        <w:rPr>
          <w:rFonts w:ascii="Times New Roman" w:eastAsia="Simplified Arabic" w:hAnsi="Times New Roman" w:cs="Simplified Arabic"/>
          <w:rtl/>
        </w:rPr>
        <w:lastRenderedPageBreak/>
        <w:t>1.5.2 الأهمية العملية</w:t>
      </w:r>
    </w:p>
    <w:p w14:paraId="20D6A9BF" w14:textId="77777777" w:rsidR="00196EBD" w:rsidRDefault="00000000">
      <w:pPr>
        <w:bidi/>
        <w:jc w:val="both"/>
      </w:pPr>
      <w:r>
        <w:rPr>
          <w:rtl/>
        </w:rPr>
        <w:t>توفر الدراسة للإدارة إطاراً يمكن استخدامه عند تقييم التوسع في أدوات الذكاء الاصطناعي، لأنها تجمع بين مؤشرات الحجم وزمن الاستجابة وإعادة العمل والمسار اليدوي بدلاً من الاعتماد على مؤشر منفرد. كما تساعد على تحديد إشارات الإنذار المبكر، مثل اتساع فجوة الأداء بين المسارين الآلي واليدوي أو ارتفاع تغيير القرار بعد صدوره.</w:t>
      </w:r>
    </w:p>
    <w:p w14:paraId="663AD289" w14:textId="77777777" w:rsidR="00196EBD" w:rsidRDefault="00000000">
      <w:pPr>
        <w:bidi/>
        <w:jc w:val="both"/>
      </w:pPr>
      <w:r>
        <w:rPr>
          <w:rtl/>
        </w:rPr>
        <w:t>وتكتسب النتائج المتوقعة أهمية خاصة عند الانتقال من الخدمات البسيطة والمتكررة إلى خدمات أعلى تعقيداً. فالتوسع في التنويم، على سبيل المثال، يحتاج إلى عتبات واضحة للتصعيد والمراجعة البشرية، ومؤشرات جودة مستقلة، وفصل دقيق بين القرار المباشر والتوصية الآلية. وبذلك يمكن للدراسة أن تدعم قراراً إدارياً يوازن بين الكفاءة والسرعة من جهة، والسلامة والحوكمة من جهة أخرى.</w:t>
      </w:r>
    </w:p>
    <w:p w14:paraId="79ABBCEA" w14:textId="77777777" w:rsidR="00196EBD" w:rsidRDefault="00000000">
      <w:pPr>
        <w:pStyle w:val="Heading2"/>
        <w:bidi/>
        <w:spacing w:before="240" w:after="120"/>
        <w:jc w:val="right"/>
      </w:pPr>
      <w:r>
        <w:rPr>
          <w:rFonts w:ascii="Times New Roman" w:eastAsia="Simplified Arabic" w:hAnsi="Times New Roman" w:cs="Simplified Arabic"/>
          <w:rtl/>
        </w:rPr>
        <w:t>1.6 فرضيات الدراسة</w:t>
      </w:r>
    </w:p>
    <w:p w14:paraId="4C7B5378" w14:textId="77777777" w:rsidR="00196EBD" w:rsidRDefault="00000000">
      <w:pPr>
        <w:bidi/>
        <w:jc w:val="both"/>
      </w:pPr>
      <w:r>
        <w:rPr>
          <w:rtl/>
        </w:rPr>
        <w:t>تنطلق الفرضيات من طبيعة البيانات المتاحة ومن تعريف الكفاءة بصورة متعددة الأبعاد. ولأن الدراسة لا تمتلك متغيراً مستقلاً نقياً يقيس حجم قرارات الذكاء الاصطناعي وحدها، فإن صياغة الفرضيات تركز على التوسع في الذكاء الاصطناعي والأتمتة بوصفه تدخلاً تشغيلياً تدريجياً، مع تجنب الادعاء السببي المباشر.</w:t>
      </w:r>
    </w:p>
    <w:p w14:paraId="323E032D" w14:textId="77777777" w:rsidR="00196EBD" w:rsidRDefault="00000000">
      <w:pPr>
        <w:bidi/>
        <w:jc w:val="both"/>
      </w:pPr>
      <w:r>
        <w:rPr>
          <w:b/>
          <w:rtl/>
        </w:rPr>
        <w:t>الفرضية الرئيسة:</w:t>
      </w:r>
      <w:r>
        <w:rPr>
          <w:rtl/>
        </w:rPr>
        <w:t xml:space="preserve"> يرتبط التوسع التدريجي في استخدام تقنيات الذكاء الاصطناعي والأتمتة بتحسن القدرة التشغيلية لعمليات الموافقات الطبية المسبقة، مع بقاء جودة القرار والضغط على المسار اليدوي عاملين حاسمين في تقييم الكفاءة الكلية.</w:t>
      </w:r>
    </w:p>
    <w:p w14:paraId="100CB45C" w14:textId="77777777" w:rsidR="00196EBD" w:rsidRDefault="00000000">
      <w:pPr>
        <w:bidi/>
        <w:ind w:right="255" w:hanging="142"/>
        <w:jc w:val="both"/>
      </w:pPr>
      <w:r>
        <w:rPr>
          <w:b/>
          <w:rtl/>
        </w:rPr>
        <w:t xml:space="preserve">• </w:t>
      </w:r>
      <w:r>
        <w:rPr>
          <w:rtl/>
        </w:rPr>
        <w:t>H1a: ترتفع حصة المعالجة الآلية بعد بدء تطبيق الذكاء الاصطناعي في مارس 2023.</w:t>
      </w:r>
    </w:p>
    <w:p w14:paraId="526FED2F" w14:textId="77777777" w:rsidR="00196EBD" w:rsidRDefault="00000000">
      <w:pPr>
        <w:bidi/>
        <w:ind w:right="255" w:hanging="142"/>
        <w:jc w:val="both"/>
      </w:pPr>
      <w:r>
        <w:rPr>
          <w:b/>
          <w:rtl/>
        </w:rPr>
        <w:t xml:space="preserve">• </w:t>
      </w:r>
      <w:r>
        <w:rPr>
          <w:rtl/>
        </w:rPr>
        <w:t>H1b: يرتبط التوسع في الأتمتة بالمحافظة على استقرار مؤشر زمن الاستجابة الكلي رغم نمو حجم الطلبات خلال السنوات الكاملة.</w:t>
      </w:r>
    </w:p>
    <w:p w14:paraId="2AEB1405" w14:textId="77777777" w:rsidR="00196EBD" w:rsidRDefault="00000000">
      <w:pPr>
        <w:bidi/>
        <w:ind w:right="255" w:hanging="142"/>
        <w:jc w:val="both"/>
      </w:pPr>
      <w:r>
        <w:rPr>
          <w:b/>
          <w:rtl/>
        </w:rPr>
        <w:t xml:space="preserve">• </w:t>
      </w:r>
      <w:r>
        <w:rPr>
          <w:rtl/>
        </w:rPr>
        <w:t>H1c: لا يصاحب التوسع في الأتمتة تدهور جوهري ومستمر في معدل إعادة العمل خلال السنوات الكاملة.</w:t>
      </w:r>
    </w:p>
    <w:p w14:paraId="176BC588" w14:textId="77777777" w:rsidR="00196EBD" w:rsidRDefault="00000000">
      <w:pPr>
        <w:bidi/>
        <w:ind w:right="255" w:hanging="142"/>
        <w:jc w:val="both"/>
      </w:pPr>
      <w:r>
        <w:rPr>
          <w:b/>
          <w:rtl/>
        </w:rPr>
        <w:t xml:space="preserve">• </w:t>
      </w:r>
      <w:r>
        <w:rPr>
          <w:rtl/>
        </w:rPr>
        <w:t>H1d: توجد فروق ذات دلالة إحصائية بين الحجم الشهري للطلبات في يناير-يوليو 2025 والفترة المناظرة من 2026.</w:t>
      </w:r>
    </w:p>
    <w:p w14:paraId="1C85B159" w14:textId="77777777" w:rsidR="00196EBD" w:rsidRDefault="00000000">
      <w:pPr>
        <w:bidi/>
        <w:ind w:right="255" w:hanging="142"/>
        <w:jc w:val="both"/>
      </w:pPr>
      <w:r>
        <w:rPr>
          <w:b/>
          <w:rtl/>
        </w:rPr>
        <w:t xml:space="preserve">• </w:t>
      </w:r>
      <w:r>
        <w:rPr>
          <w:rtl/>
        </w:rPr>
        <w:t>H1e: توجد فروق ذات دلالة إحصائية بين مؤشر زمن الاستجابة الشهري في يناير-يوليو 2025 والفترة المناظرة من 2026.</w:t>
      </w:r>
    </w:p>
    <w:p w14:paraId="4FF16CFC" w14:textId="77777777" w:rsidR="00196EBD" w:rsidRDefault="00000000">
      <w:pPr>
        <w:pStyle w:val="Heading2"/>
        <w:bidi/>
        <w:spacing w:before="240" w:after="120"/>
        <w:jc w:val="right"/>
      </w:pPr>
      <w:r>
        <w:rPr>
          <w:rFonts w:ascii="Times New Roman" w:eastAsia="Simplified Arabic" w:hAnsi="Times New Roman" w:cs="Simplified Arabic"/>
          <w:rtl/>
        </w:rPr>
        <w:t>1.7 التعريفات التشغيلية للمتغيرات</w:t>
      </w:r>
    </w:p>
    <w:p w14:paraId="7BEEEE96" w14:textId="77777777" w:rsidR="00196EBD" w:rsidRDefault="00000000">
      <w:pPr>
        <w:bidi/>
        <w:spacing w:before="120"/>
        <w:jc w:val="both"/>
      </w:pPr>
      <w:r>
        <w:rPr>
          <w:b/>
          <w:rtl/>
        </w:rPr>
        <w:t>الجدول 1-1: التعريفات التشغيلية للمتغيرات</w:t>
      </w:r>
    </w:p>
    <w:tbl>
      <w:tblPr>
        <w:tblStyle w:val="TableGrid"/>
        <w:bidiVisual/>
        <w:tblW w:w="0" w:type="auto"/>
        <w:jc w:val="center"/>
        <w:tblLook w:val="04A0" w:firstRow="1" w:lastRow="0" w:firstColumn="1" w:lastColumn="0" w:noHBand="0" w:noVBand="1"/>
      </w:tblPr>
      <w:tblGrid>
        <w:gridCol w:w="3395"/>
        <w:gridCol w:w="6210"/>
      </w:tblGrid>
      <w:tr w:rsidR="00196EBD" w14:paraId="51A55BC9" w14:textId="77777777">
        <w:trPr>
          <w:cantSplit/>
          <w:tblHeader/>
          <w:jc w:val="center"/>
        </w:trPr>
        <w:tc>
          <w:tcPr>
            <w:tcW w:w="3402" w:type="dxa"/>
            <w:shd w:val="clear" w:color="auto" w:fill="D9EAF7"/>
            <w:tcMar>
              <w:top w:w="80" w:type="dxa"/>
              <w:left w:w="100" w:type="dxa"/>
              <w:bottom w:w="80" w:type="dxa"/>
              <w:right w:w="100" w:type="dxa"/>
            </w:tcMar>
            <w:vAlign w:val="center"/>
          </w:tcPr>
          <w:p w14:paraId="1843F80A" w14:textId="77777777" w:rsidR="00196EBD" w:rsidRDefault="00000000">
            <w:pPr>
              <w:bidi/>
              <w:spacing w:after="0"/>
              <w:jc w:val="center"/>
            </w:pPr>
            <w:r>
              <w:rPr>
                <w:b/>
                <w:sz w:val="23"/>
                <w:rtl/>
              </w:rPr>
              <w:t>المتغير/المؤشر</w:t>
            </w:r>
          </w:p>
        </w:tc>
        <w:tc>
          <w:tcPr>
            <w:tcW w:w="6236" w:type="dxa"/>
            <w:shd w:val="clear" w:color="auto" w:fill="D9EAF7"/>
            <w:tcMar>
              <w:top w:w="80" w:type="dxa"/>
              <w:left w:w="100" w:type="dxa"/>
              <w:bottom w:w="80" w:type="dxa"/>
              <w:right w:w="100" w:type="dxa"/>
            </w:tcMar>
            <w:vAlign w:val="center"/>
          </w:tcPr>
          <w:p w14:paraId="028F61BE" w14:textId="77777777" w:rsidR="00196EBD" w:rsidRDefault="00000000">
            <w:pPr>
              <w:bidi/>
              <w:spacing w:after="0"/>
              <w:jc w:val="center"/>
            </w:pPr>
            <w:r>
              <w:rPr>
                <w:b/>
                <w:sz w:val="23"/>
                <w:rtl/>
              </w:rPr>
              <w:t>التعريف التشغيلي</w:t>
            </w:r>
          </w:p>
        </w:tc>
      </w:tr>
      <w:tr w:rsidR="00196EBD" w14:paraId="45396E4A" w14:textId="77777777">
        <w:trPr>
          <w:cantSplit/>
          <w:jc w:val="center"/>
        </w:trPr>
        <w:tc>
          <w:tcPr>
            <w:tcW w:w="3402" w:type="dxa"/>
            <w:tcMar>
              <w:top w:w="80" w:type="dxa"/>
              <w:left w:w="100" w:type="dxa"/>
              <w:bottom w:w="80" w:type="dxa"/>
              <w:right w:w="100" w:type="dxa"/>
            </w:tcMar>
            <w:vAlign w:val="center"/>
          </w:tcPr>
          <w:p w14:paraId="4FBF1CD7" w14:textId="77777777" w:rsidR="00196EBD" w:rsidRDefault="00000000">
            <w:pPr>
              <w:bidi/>
              <w:spacing w:after="0"/>
              <w:jc w:val="right"/>
            </w:pPr>
            <w:r>
              <w:rPr>
                <w:sz w:val="23"/>
                <w:rtl/>
              </w:rPr>
              <w:t>التوسع في الذكاء الاصطناعي والأتمتة</w:t>
            </w:r>
          </w:p>
        </w:tc>
        <w:tc>
          <w:tcPr>
            <w:tcW w:w="6236" w:type="dxa"/>
            <w:tcMar>
              <w:top w:w="80" w:type="dxa"/>
              <w:left w:w="100" w:type="dxa"/>
              <w:bottom w:w="80" w:type="dxa"/>
              <w:right w:w="100" w:type="dxa"/>
            </w:tcMar>
            <w:vAlign w:val="center"/>
          </w:tcPr>
          <w:p w14:paraId="71C24762" w14:textId="77777777" w:rsidR="00196EBD" w:rsidRDefault="00000000">
            <w:pPr>
              <w:bidi/>
              <w:spacing w:after="0"/>
              <w:jc w:val="right"/>
            </w:pPr>
            <w:r>
              <w:rPr>
                <w:sz w:val="23"/>
                <w:rtl/>
              </w:rPr>
              <w:t>مرحلة زمنية تبدأ في مارس 2023 وتتوسع تدريجياً. وتستخدم حصة المعالجة الآلية مؤشراً مسانداً، لا قياساً خالصاً للذكاء الاصطناعي.</w:t>
            </w:r>
          </w:p>
        </w:tc>
      </w:tr>
      <w:tr w:rsidR="00196EBD" w14:paraId="513F3FC3" w14:textId="77777777">
        <w:trPr>
          <w:cantSplit/>
          <w:jc w:val="center"/>
        </w:trPr>
        <w:tc>
          <w:tcPr>
            <w:tcW w:w="3402" w:type="dxa"/>
            <w:tcMar>
              <w:top w:w="80" w:type="dxa"/>
              <w:left w:w="100" w:type="dxa"/>
              <w:bottom w:w="80" w:type="dxa"/>
              <w:right w:w="100" w:type="dxa"/>
            </w:tcMar>
            <w:vAlign w:val="center"/>
          </w:tcPr>
          <w:p w14:paraId="4748F81B" w14:textId="77777777" w:rsidR="00196EBD" w:rsidRDefault="00000000">
            <w:pPr>
              <w:bidi/>
              <w:spacing w:after="0"/>
              <w:jc w:val="right"/>
            </w:pPr>
            <w:r>
              <w:rPr>
                <w:sz w:val="23"/>
                <w:rtl/>
              </w:rPr>
              <w:t>حصة المعالجة الآلية</w:t>
            </w:r>
          </w:p>
        </w:tc>
        <w:tc>
          <w:tcPr>
            <w:tcW w:w="6236" w:type="dxa"/>
            <w:tcMar>
              <w:top w:w="80" w:type="dxa"/>
              <w:left w:w="100" w:type="dxa"/>
              <w:bottom w:w="80" w:type="dxa"/>
              <w:right w:w="100" w:type="dxa"/>
            </w:tcMar>
            <w:vAlign w:val="center"/>
          </w:tcPr>
          <w:p w14:paraId="5562FAE0" w14:textId="77777777" w:rsidR="00196EBD" w:rsidRDefault="00000000">
            <w:pPr>
              <w:bidi/>
              <w:spacing w:after="0"/>
              <w:jc w:val="right"/>
            </w:pPr>
            <w:r>
              <w:rPr>
                <w:sz w:val="23"/>
                <w:rtl/>
              </w:rPr>
              <w:t>نسبة الطلبات التي عولجت آلياً، وتشمل تطبيقات الذكاء الاصطناعي والأتمتة القائمة على القواعد.</w:t>
            </w:r>
          </w:p>
        </w:tc>
      </w:tr>
      <w:tr w:rsidR="00196EBD" w14:paraId="4CB40C92" w14:textId="77777777">
        <w:trPr>
          <w:cantSplit/>
          <w:jc w:val="center"/>
        </w:trPr>
        <w:tc>
          <w:tcPr>
            <w:tcW w:w="3402" w:type="dxa"/>
            <w:tcMar>
              <w:top w:w="80" w:type="dxa"/>
              <w:left w:w="100" w:type="dxa"/>
              <w:bottom w:w="80" w:type="dxa"/>
              <w:right w:w="100" w:type="dxa"/>
            </w:tcMar>
            <w:vAlign w:val="center"/>
          </w:tcPr>
          <w:p w14:paraId="027DF442" w14:textId="77777777" w:rsidR="00196EBD" w:rsidRDefault="00000000">
            <w:pPr>
              <w:bidi/>
              <w:spacing w:after="0"/>
              <w:jc w:val="right"/>
            </w:pPr>
            <w:r>
              <w:rPr>
                <w:sz w:val="23"/>
                <w:rtl/>
              </w:rPr>
              <w:t>زمن الاستجابة الكلي (</w:t>
            </w:r>
            <w:proofErr w:type="spellStart"/>
            <w:r>
              <w:rPr>
                <w:sz w:val="23"/>
                <w:rtl/>
              </w:rPr>
              <w:t>Total</w:t>
            </w:r>
            <w:proofErr w:type="spellEnd"/>
            <w:r>
              <w:rPr>
                <w:sz w:val="23"/>
                <w:rtl/>
              </w:rPr>
              <w:t xml:space="preserve"> RT)</w:t>
            </w:r>
          </w:p>
        </w:tc>
        <w:tc>
          <w:tcPr>
            <w:tcW w:w="6236" w:type="dxa"/>
            <w:tcMar>
              <w:top w:w="80" w:type="dxa"/>
              <w:left w:w="100" w:type="dxa"/>
              <w:bottom w:w="80" w:type="dxa"/>
              <w:right w:w="100" w:type="dxa"/>
            </w:tcMar>
            <w:vAlign w:val="center"/>
          </w:tcPr>
          <w:p w14:paraId="35104857" w14:textId="77777777" w:rsidR="00196EBD" w:rsidRDefault="00000000">
            <w:pPr>
              <w:bidi/>
              <w:spacing w:after="0"/>
              <w:jc w:val="right"/>
            </w:pPr>
            <w:r>
              <w:rPr>
                <w:sz w:val="23"/>
                <w:rtl/>
              </w:rPr>
              <w:t>نسبة الالتزام بزمن الاستجابة المحدد لجميع الطلبات.</w:t>
            </w:r>
          </w:p>
        </w:tc>
      </w:tr>
      <w:tr w:rsidR="00196EBD" w14:paraId="3582344E" w14:textId="77777777">
        <w:trPr>
          <w:cantSplit/>
          <w:jc w:val="center"/>
        </w:trPr>
        <w:tc>
          <w:tcPr>
            <w:tcW w:w="3402" w:type="dxa"/>
            <w:tcMar>
              <w:top w:w="80" w:type="dxa"/>
              <w:left w:w="100" w:type="dxa"/>
              <w:bottom w:w="80" w:type="dxa"/>
              <w:right w:w="100" w:type="dxa"/>
            </w:tcMar>
            <w:vAlign w:val="center"/>
          </w:tcPr>
          <w:p w14:paraId="32531B26" w14:textId="77777777" w:rsidR="00196EBD" w:rsidRDefault="00000000">
            <w:pPr>
              <w:bidi/>
              <w:spacing w:after="0"/>
              <w:jc w:val="right"/>
            </w:pPr>
            <w:r>
              <w:rPr>
                <w:sz w:val="23"/>
                <w:rtl/>
              </w:rPr>
              <w:t>زمن الاستجابة اليدوي (</w:t>
            </w:r>
            <w:proofErr w:type="spellStart"/>
            <w:r>
              <w:rPr>
                <w:sz w:val="23"/>
                <w:rtl/>
              </w:rPr>
              <w:t>Manual</w:t>
            </w:r>
            <w:proofErr w:type="spellEnd"/>
            <w:r>
              <w:rPr>
                <w:sz w:val="23"/>
                <w:rtl/>
              </w:rPr>
              <w:t xml:space="preserve"> RT)</w:t>
            </w:r>
          </w:p>
        </w:tc>
        <w:tc>
          <w:tcPr>
            <w:tcW w:w="6236" w:type="dxa"/>
            <w:tcMar>
              <w:top w:w="80" w:type="dxa"/>
              <w:left w:w="100" w:type="dxa"/>
              <w:bottom w:w="80" w:type="dxa"/>
              <w:right w:w="100" w:type="dxa"/>
            </w:tcMar>
            <w:vAlign w:val="center"/>
          </w:tcPr>
          <w:p w14:paraId="3945600A" w14:textId="77777777" w:rsidR="00196EBD" w:rsidRDefault="00000000">
            <w:pPr>
              <w:bidi/>
              <w:spacing w:after="0"/>
              <w:jc w:val="right"/>
            </w:pPr>
            <w:r>
              <w:rPr>
                <w:sz w:val="23"/>
                <w:rtl/>
              </w:rPr>
              <w:t>نسبة الالتزام بزمن الاستجابة في الطلبات التي تتطلب معالجة بشرية.</w:t>
            </w:r>
          </w:p>
        </w:tc>
      </w:tr>
      <w:tr w:rsidR="00196EBD" w14:paraId="45C844F9" w14:textId="77777777">
        <w:trPr>
          <w:cantSplit/>
          <w:jc w:val="center"/>
        </w:trPr>
        <w:tc>
          <w:tcPr>
            <w:tcW w:w="3402" w:type="dxa"/>
            <w:tcMar>
              <w:top w:w="80" w:type="dxa"/>
              <w:left w:w="100" w:type="dxa"/>
              <w:bottom w:w="80" w:type="dxa"/>
              <w:right w:w="100" w:type="dxa"/>
            </w:tcMar>
            <w:vAlign w:val="center"/>
          </w:tcPr>
          <w:p w14:paraId="5F1D518D" w14:textId="77777777" w:rsidR="00196EBD" w:rsidRDefault="00000000">
            <w:pPr>
              <w:bidi/>
              <w:spacing w:after="0"/>
              <w:jc w:val="right"/>
            </w:pPr>
            <w:r>
              <w:rPr>
                <w:sz w:val="23"/>
                <w:rtl/>
              </w:rPr>
              <w:t>عدم الحاجة إلى موافقة مسبقة (NPR)</w:t>
            </w:r>
          </w:p>
        </w:tc>
        <w:tc>
          <w:tcPr>
            <w:tcW w:w="6236" w:type="dxa"/>
            <w:tcMar>
              <w:top w:w="80" w:type="dxa"/>
              <w:left w:w="100" w:type="dxa"/>
              <w:bottom w:w="80" w:type="dxa"/>
              <w:right w:w="100" w:type="dxa"/>
            </w:tcMar>
            <w:vAlign w:val="center"/>
          </w:tcPr>
          <w:p w14:paraId="02CE776D" w14:textId="77777777" w:rsidR="00196EBD" w:rsidRDefault="00000000">
            <w:pPr>
              <w:bidi/>
              <w:spacing w:after="0"/>
              <w:jc w:val="right"/>
            </w:pPr>
            <w:r>
              <w:rPr>
                <w:sz w:val="23"/>
                <w:rtl/>
              </w:rPr>
              <w:t>حالة لا تتطلب موافقة مسبقة وفق قواعد النظام؛ ولا تعد قرار رفض.</w:t>
            </w:r>
          </w:p>
        </w:tc>
      </w:tr>
      <w:tr w:rsidR="00196EBD" w14:paraId="52F4A2B3" w14:textId="77777777">
        <w:trPr>
          <w:cantSplit/>
          <w:jc w:val="center"/>
        </w:trPr>
        <w:tc>
          <w:tcPr>
            <w:tcW w:w="3402" w:type="dxa"/>
            <w:tcMar>
              <w:top w:w="80" w:type="dxa"/>
              <w:left w:w="100" w:type="dxa"/>
              <w:bottom w:w="80" w:type="dxa"/>
              <w:right w:w="100" w:type="dxa"/>
            </w:tcMar>
            <w:vAlign w:val="center"/>
          </w:tcPr>
          <w:p w14:paraId="2F0ADD07" w14:textId="77777777" w:rsidR="00196EBD" w:rsidRDefault="00000000">
            <w:pPr>
              <w:bidi/>
              <w:spacing w:after="0"/>
              <w:jc w:val="right"/>
            </w:pPr>
            <w:r>
              <w:rPr>
                <w:sz w:val="23"/>
                <w:rtl/>
              </w:rPr>
              <w:lastRenderedPageBreak/>
              <w:t>الرفض (</w:t>
            </w:r>
            <w:proofErr w:type="spellStart"/>
            <w:r>
              <w:rPr>
                <w:sz w:val="23"/>
                <w:rtl/>
              </w:rPr>
              <w:t>Rejection</w:t>
            </w:r>
            <w:proofErr w:type="spellEnd"/>
            <w:r>
              <w:rPr>
                <w:sz w:val="23"/>
                <w:rtl/>
              </w:rPr>
              <w:t>/</w:t>
            </w:r>
            <w:proofErr w:type="spellStart"/>
            <w:r>
              <w:rPr>
                <w:sz w:val="23"/>
                <w:rtl/>
              </w:rPr>
              <w:t>Volume</w:t>
            </w:r>
            <w:proofErr w:type="spellEnd"/>
            <w:r>
              <w:rPr>
                <w:sz w:val="23"/>
                <w:rtl/>
              </w:rPr>
              <w:t xml:space="preserve"> </w:t>
            </w:r>
            <w:proofErr w:type="spellStart"/>
            <w:r>
              <w:rPr>
                <w:sz w:val="23"/>
                <w:rtl/>
              </w:rPr>
              <w:t>Waste</w:t>
            </w:r>
            <w:proofErr w:type="spellEnd"/>
            <w:r>
              <w:rPr>
                <w:sz w:val="23"/>
                <w:rtl/>
              </w:rPr>
              <w:t>)</w:t>
            </w:r>
          </w:p>
        </w:tc>
        <w:tc>
          <w:tcPr>
            <w:tcW w:w="6236" w:type="dxa"/>
            <w:tcMar>
              <w:top w:w="80" w:type="dxa"/>
              <w:left w:w="100" w:type="dxa"/>
              <w:bottom w:w="80" w:type="dxa"/>
              <w:right w:w="100" w:type="dxa"/>
            </w:tcMar>
            <w:vAlign w:val="center"/>
          </w:tcPr>
          <w:p w14:paraId="4ECE147B" w14:textId="77777777" w:rsidR="00196EBD" w:rsidRDefault="00000000">
            <w:pPr>
              <w:bidi/>
              <w:spacing w:after="0"/>
              <w:jc w:val="right"/>
            </w:pPr>
            <w:r>
              <w:rPr>
                <w:sz w:val="23"/>
                <w:rtl/>
              </w:rPr>
              <w:t>نسبة الطلبات المرفوضة كما تظهر في لوحة العمليات، مع تفسيرها بحسب السياق التشغيلي.</w:t>
            </w:r>
          </w:p>
        </w:tc>
      </w:tr>
      <w:tr w:rsidR="00196EBD" w14:paraId="6D6B663C" w14:textId="77777777">
        <w:trPr>
          <w:cantSplit/>
          <w:jc w:val="center"/>
        </w:trPr>
        <w:tc>
          <w:tcPr>
            <w:tcW w:w="3402" w:type="dxa"/>
            <w:tcMar>
              <w:top w:w="80" w:type="dxa"/>
              <w:left w:w="100" w:type="dxa"/>
              <w:bottom w:w="80" w:type="dxa"/>
              <w:right w:w="100" w:type="dxa"/>
            </w:tcMar>
            <w:vAlign w:val="center"/>
          </w:tcPr>
          <w:p w14:paraId="0E129C13" w14:textId="77777777" w:rsidR="00196EBD" w:rsidRDefault="00000000">
            <w:pPr>
              <w:bidi/>
              <w:spacing w:after="0"/>
              <w:jc w:val="right"/>
            </w:pPr>
            <w:r>
              <w:rPr>
                <w:sz w:val="23"/>
                <w:rtl/>
              </w:rPr>
              <w:t>إعادة العمل (</w:t>
            </w:r>
            <w:proofErr w:type="spellStart"/>
            <w:r>
              <w:rPr>
                <w:sz w:val="23"/>
                <w:rtl/>
              </w:rPr>
              <w:t>Rework</w:t>
            </w:r>
            <w:proofErr w:type="spellEnd"/>
            <w:r>
              <w:rPr>
                <w:sz w:val="23"/>
                <w:rtl/>
              </w:rPr>
              <w:t>)</w:t>
            </w:r>
          </w:p>
        </w:tc>
        <w:tc>
          <w:tcPr>
            <w:tcW w:w="6236" w:type="dxa"/>
            <w:tcMar>
              <w:top w:w="80" w:type="dxa"/>
              <w:left w:w="100" w:type="dxa"/>
              <w:bottom w:w="80" w:type="dxa"/>
              <w:right w:w="100" w:type="dxa"/>
            </w:tcMar>
            <w:vAlign w:val="center"/>
          </w:tcPr>
          <w:p w14:paraId="7AFA3FB8" w14:textId="77777777" w:rsidR="00196EBD" w:rsidRDefault="00000000">
            <w:pPr>
              <w:bidi/>
              <w:spacing w:after="0"/>
              <w:jc w:val="right"/>
            </w:pPr>
            <w:r>
              <w:rPr>
                <w:sz w:val="23"/>
                <w:rtl/>
              </w:rPr>
              <w:t>حالة يتغير قرارها بعد القرار الأول نتيجة مراجعة لاحقة أو معلومات جديدة أو تصحيح.</w:t>
            </w:r>
          </w:p>
        </w:tc>
      </w:tr>
      <w:tr w:rsidR="00196EBD" w14:paraId="1180AEED" w14:textId="77777777">
        <w:trPr>
          <w:cantSplit/>
          <w:jc w:val="center"/>
        </w:trPr>
        <w:tc>
          <w:tcPr>
            <w:tcW w:w="3402" w:type="dxa"/>
            <w:tcMar>
              <w:top w:w="80" w:type="dxa"/>
              <w:left w:w="100" w:type="dxa"/>
              <w:bottom w:w="80" w:type="dxa"/>
              <w:right w:w="100" w:type="dxa"/>
            </w:tcMar>
            <w:vAlign w:val="center"/>
          </w:tcPr>
          <w:p w14:paraId="4C3DF752" w14:textId="77777777" w:rsidR="00196EBD" w:rsidRDefault="00000000">
            <w:pPr>
              <w:bidi/>
              <w:spacing w:after="0"/>
              <w:jc w:val="right"/>
            </w:pPr>
            <w:r>
              <w:rPr>
                <w:sz w:val="23"/>
                <w:rtl/>
              </w:rPr>
              <w:t>الكفاءة التشغيلية</w:t>
            </w:r>
          </w:p>
        </w:tc>
        <w:tc>
          <w:tcPr>
            <w:tcW w:w="6236" w:type="dxa"/>
            <w:tcMar>
              <w:top w:w="80" w:type="dxa"/>
              <w:left w:w="100" w:type="dxa"/>
              <w:bottom w:w="80" w:type="dxa"/>
              <w:right w:w="100" w:type="dxa"/>
            </w:tcMar>
            <w:vAlign w:val="center"/>
          </w:tcPr>
          <w:p w14:paraId="0045D172" w14:textId="77777777" w:rsidR="00196EBD" w:rsidRDefault="00000000">
            <w:pPr>
              <w:bidi/>
              <w:spacing w:after="0"/>
              <w:jc w:val="right"/>
            </w:pPr>
            <w:r>
              <w:rPr>
                <w:sz w:val="23"/>
                <w:rtl/>
              </w:rPr>
              <w:t>مفهوم مركب يجمع القدرة على استيعاب الحجم، والالتزام الزمني، واستقرار القرار وجودته؛ ولا يقاس بمؤشر منفرد.</w:t>
            </w:r>
          </w:p>
        </w:tc>
      </w:tr>
    </w:tbl>
    <w:p w14:paraId="10C36988" w14:textId="77777777" w:rsidR="00196EBD" w:rsidRDefault="00196EBD">
      <w:pPr>
        <w:bidi/>
      </w:pPr>
    </w:p>
    <w:p w14:paraId="33B4476D" w14:textId="77777777" w:rsidR="00196EBD" w:rsidRDefault="00000000">
      <w:pPr>
        <w:bidi/>
        <w:jc w:val="both"/>
      </w:pPr>
      <w:r>
        <w:rPr>
          <w:rtl/>
        </w:rPr>
        <w:t>المصدر: إعداد الباحث استناداً إلى تعريفات لوحة العمليات والإطار التحليلي للدراسة.</w:t>
      </w:r>
    </w:p>
    <w:p w14:paraId="2624F566" w14:textId="77777777" w:rsidR="00196EBD" w:rsidRDefault="00000000">
      <w:pPr>
        <w:pStyle w:val="Heading2"/>
        <w:bidi/>
        <w:spacing w:before="240" w:after="120"/>
        <w:jc w:val="right"/>
      </w:pPr>
      <w:r>
        <w:rPr>
          <w:rFonts w:ascii="Times New Roman" w:eastAsia="Simplified Arabic" w:hAnsi="Times New Roman" w:cs="Simplified Arabic"/>
          <w:rtl/>
        </w:rPr>
        <w:t>1.8 النظرية العلمية والنموذج النظري للدراسة</w:t>
      </w:r>
    </w:p>
    <w:p w14:paraId="72E71D13" w14:textId="77777777" w:rsidR="00196EBD" w:rsidRDefault="00000000">
      <w:pPr>
        <w:bidi/>
        <w:jc w:val="both"/>
      </w:pPr>
      <w:r>
        <w:rPr>
          <w:rtl/>
        </w:rPr>
        <w:t xml:space="preserve">يعتمد البحث على المنظور الاجتماعي-التقني بوصفه الإطار النظري الرئيس. ويفترض هذا المنظور أن أداء النظام لا ينتج عن التقنية منفردة، وإنما عن تفاعلها مع تصميم </w:t>
      </w:r>
      <w:proofErr w:type="gramStart"/>
      <w:r>
        <w:rPr>
          <w:rtl/>
        </w:rPr>
        <w:t>العمل</w:t>
      </w:r>
      <w:proofErr w:type="gramEnd"/>
      <w:r>
        <w:rPr>
          <w:rtl/>
        </w:rPr>
        <w:t xml:space="preserve"> والأفراد والقواعد والحوكمة. وقد أوضح </w:t>
      </w:r>
      <w:proofErr w:type="spellStart"/>
      <w:r>
        <w:rPr>
          <w:rtl/>
        </w:rPr>
        <w:t>Bostrom</w:t>
      </w:r>
      <w:proofErr w:type="spellEnd"/>
      <w:r>
        <w:rPr>
          <w:rtl/>
        </w:rPr>
        <w:t xml:space="preserve"> </w:t>
      </w:r>
      <w:proofErr w:type="spellStart"/>
      <w:r>
        <w:rPr>
          <w:rtl/>
        </w:rPr>
        <w:t>and</w:t>
      </w:r>
      <w:proofErr w:type="spellEnd"/>
      <w:r>
        <w:rPr>
          <w:rtl/>
        </w:rPr>
        <w:t xml:space="preserve"> </w:t>
      </w:r>
      <w:proofErr w:type="spellStart"/>
      <w:r>
        <w:rPr>
          <w:rtl/>
        </w:rPr>
        <w:t>Heinen</w:t>
      </w:r>
      <w:proofErr w:type="spellEnd"/>
      <w:r>
        <w:rPr>
          <w:rtl/>
        </w:rPr>
        <w:t xml:space="preserve"> (1977) أن نجاح نظم المعلومات يرتبط بمواءمة المكونات التقنية والاجتماعية داخل المنظمة. وتظهر أهمية هذا المنظور في الدراسة الحالية لأن نقل الحالات البسيطة إلى المسار الآلي قد يغيّر طبيعة العمل المتبقي لدى المراجعين البشر، فيبدو أداء المسار اليدوي أقل رغم أن السبب قد يكون زيادة تعقيد مزيج الحالات لا ضعف الكفاءة الفردية.</w:t>
      </w:r>
    </w:p>
    <w:p w14:paraId="275345A2" w14:textId="77777777" w:rsidR="00196EBD" w:rsidRDefault="00000000">
      <w:pPr>
        <w:bidi/>
        <w:jc w:val="both"/>
      </w:pPr>
      <w:r>
        <w:rPr>
          <w:rtl/>
        </w:rPr>
        <w:t xml:space="preserve">ويستخدم البحث منظور القدرات الديناميكية بصورة مساندة. فوفق </w:t>
      </w:r>
      <w:proofErr w:type="spellStart"/>
      <w:r>
        <w:rPr>
          <w:rtl/>
        </w:rPr>
        <w:t>Teece</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(1997)، لا تتحول التقنية إلى ميزة مؤسسية لمجرد امتلاكها؛ بل تتولد القيمة عندما تستطيع المنظمة استشعار فرص الاستخدام، وتخصيص الموارد، ثم إعادة تشكيل العمليات مع تغير البيئة. ومن ثم فإن التوسع الناجح في الذكاء الاصطناعي داخل الموافقات الطبية يقتضي قياس الأداء، والتعلم من حالات إعادة العمل والاعتراض، وتعديل عتبات التصعيد والنطاق والموارد بدلاً من التعامل مع الأتمتة كهدف مستقل.</w:t>
      </w:r>
    </w:p>
    <w:p w14:paraId="40A328B3" w14:textId="77777777" w:rsidR="00196EBD" w:rsidRDefault="00000000">
      <w:pPr>
        <w:bidi/>
        <w:jc w:val="both"/>
      </w:pPr>
      <w:r>
        <w:rPr>
          <w:rtl/>
        </w:rPr>
        <w:t>يتيح الجمع بين المنظورين تفسير نتائج الدراسة بصورة أكثر توازناً: فارتفاع حصة المعالجة الآلية قد يحسن القدرة الاستيعابية، لكن أثره النهائي على الكفاءة يعتمد على جودة البيانات، ووضوح قواعد القرار، وتكامل النظام مع سير العمل، ومهارة المستخدمين، ومستوى الإشراف البشري، وحجم وتعقيد الحالات.</w:t>
      </w:r>
    </w:p>
    <w:p w14:paraId="4E5D347E" w14:textId="77777777" w:rsidR="00196EBD" w:rsidRDefault="00000000">
      <w:pPr>
        <w:bidi/>
        <w:spacing w:before="40"/>
        <w:jc w:val="both"/>
      </w:pPr>
      <w:r>
        <w:rPr>
          <w:b/>
          <w:rtl/>
        </w:rPr>
        <w:t>الشكل 1-1: النموذج النظري للعلاقة بين التوسع التقني وكفاءة الموافقات الطبية</w:t>
      </w:r>
    </w:p>
    <w:tbl>
      <w:tblPr>
        <w:tblStyle w:val="TableGrid"/>
        <w:bidiVisual/>
        <w:tblW w:w="0" w:type="auto"/>
        <w:jc w:val="center"/>
        <w:tblLook w:val="04A0" w:firstRow="1" w:lastRow="0" w:firstColumn="1" w:lastColumn="0" w:noHBand="0" w:noVBand="1"/>
      </w:tblPr>
      <w:tblGrid>
        <w:gridCol w:w="3135"/>
        <w:gridCol w:w="3135"/>
        <w:gridCol w:w="3135"/>
      </w:tblGrid>
      <w:tr w:rsidR="00196EBD" w14:paraId="544D9518" w14:textId="77777777">
        <w:trPr>
          <w:cantSplit/>
          <w:tblHeader/>
          <w:jc w:val="center"/>
        </w:trPr>
        <w:tc>
          <w:tcPr>
            <w:tcW w:w="3135" w:type="dxa"/>
            <w:shd w:val="clear" w:color="auto" w:fill="D9EAF7"/>
            <w:vAlign w:val="center"/>
          </w:tcPr>
          <w:p w14:paraId="68B39AF7" w14:textId="77777777" w:rsidR="00196EBD" w:rsidRDefault="00000000">
            <w:pPr>
              <w:bidi/>
              <w:spacing w:after="0"/>
              <w:jc w:val="center"/>
            </w:pPr>
            <w:r>
              <w:rPr>
                <w:b/>
                <w:sz w:val="23"/>
                <w:rtl/>
              </w:rPr>
              <w:t>المتغير المستقل</w:t>
            </w:r>
          </w:p>
        </w:tc>
        <w:tc>
          <w:tcPr>
            <w:tcW w:w="3135" w:type="dxa"/>
            <w:shd w:val="clear" w:color="auto" w:fill="D9EAF7"/>
            <w:vAlign w:val="center"/>
          </w:tcPr>
          <w:p w14:paraId="4D4CE3BA" w14:textId="77777777" w:rsidR="00196EBD" w:rsidRDefault="00000000">
            <w:pPr>
              <w:bidi/>
              <w:spacing w:after="0"/>
              <w:jc w:val="center"/>
            </w:pPr>
            <w:r>
              <w:rPr>
                <w:b/>
                <w:sz w:val="23"/>
                <w:rtl/>
              </w:rPr>
              <w:t>آليات وعوامل وسيطة</w:t>
            </w:r>
          </w:p>
        </w:tc>
        <w:tc>
          <w:tcPr>
            <w:tcW w:w="3135" w:type="dxa"/>
            <w:shd w:val="clear" w:color="auto" w:fill="D9EAF7"/>
            <w:vAlign w:val="center"/>
          </w:tcPr>
          <w:p w14:paraId="19C922ED" w14:textId="77777777" w:rsidR="00196EBD" w:rsidRDefault="00000000">
            <w:pPr>
              <w:bidi/>
              <w:spacing w:after="0"/>
              <w:jc w:val="center"/>
            </w:pPr>
            <w:r>
              <w:rPr>
                <w:b/>
                <w:sz w:val="23"/>
                <w:rtl/>
              </w:rPr>
              <w:t>المتغير التابع</w:t>
            </w:r>
          </w:p>
        </w:tc>
      </w:tr>
      <w:tr w:rsidR="00196EBD" w14:paraId="24A1D70E" w14:textId="77777777">
        <w:trPr>
          <w:cantSplit/>
          <w:jc w:val="center"/>
        </w:trPr>
        <w:tc>
          <w:tcPr>
            <w:tcW w:w="3135" w:type="dxa"/>
            <w:tcMar>
              <w:top w:w="150" w:type="dxa"/>
              <w:left w:w="120" w:type="dxa"/>
              <w:bottom w:w="150" w:type="dxa"/>
              <w:right w:w="120" w:type="dxa"/>
            </w:tcMar>
            <w:vAlign w:val="center"/>
          </w:tcPr>
          <w:p w14:paraId="3F5D9FFF" w14:textId="77777777" w:rsidR="00196EBD" w:rsidRDefault="00000000">
            <w:pPr>
              <w:bidi/>
              <w:spacing w:after="0"/>
              <w:jc w:val="right"/>
            </w:pPr>
            <w:r>
              <w:rPr>
                <w:sz w:val="23"/>
                <w:rtl/>
              </w:rPr>
              <w:t>التوسع في استخدام الذكاء الاصطناعي والأتمتة</w:t>
            </w:r>
          </w:p>
        </w:tc>
        <w:tc>
          <w:tcPr>
            <w:tcW w:w="3135" w:type="dxa"/>
            <w:tcMar>
              <w:top w:w="150" w:type="dxa"/>
              <w:left w:w="120" w:type="dxa"/>
              <w:bottom w:w="150" w:type="dxa"/>
              <w:right w:w="120" w:type="dxa"/>
            </w:tcMar>
            <w:vAlign w:val="center"/>
          </w:tcPr>
          <w:p w14:paraId="05CFD128" w14:textId="77777777" w:rsidR="00196EBD" w:rsidRDefault="00000000">
            <w:pPr>
              <w:bidi/>
              <w:spacing w:after="0"/>
              <w:jc w:val="right"/>
            </w:pPr>
            <w:r>
              <w:rPr>
                <w:sz w:val="23"/>
                <w:rtl/>
              </w:rPr>
              <w:t>جودة البيانات والتكامل</w:t>
            </w:r>
            <w:r>
              <w:rPr>
                <w:sz w:val="23"/>
                <w:rtl/>
              </w:rPr>
              <w:br/>
              <w:t>التدريب والحوكمة</w:t>
            </w:r>
            <w:r>
              <w:rPr>
                <w:sz w:val="23"/>
                <w:rtl/>
              </w:rPr>
              <w:br/>
              <w:t>التصعيد والمراجعة البشرية</w:t>
            </w:r>
            <w:r>
              <w:rPr>
                <w:sz w:val="23"/>
                <w:rtl/>
              </w:rPr>
              <w:br/>
              <w:t>حجم وتعقيد الطلبات</w:t>
            </w:r>
          </w:p>
        </w:tc>
        <w:tc>
          <w:tcPr>
            <w:tcW w:w="3135" w:type="dxa"/>
            <w:tcMar>
              <w:top w:w="150" w:type="dxa"/>
              <w:left w:w="120" w:type="dxa"/>
              <w:bottom w:w="150" w:type="dxa"/>
              <w:right w:w="120" w:type="dxa"/>
            </w:tcMar>
            <w:vAlign w:val="center"/>
          </w:tcPr>
          <w:p w14:paraId="1097A501" w14:textId="77777777" w:rsidR="00196EBD" w:rsidRDefault="00000000">
            <w:pPr>
              <w:bidi/>
              <w:spacing w:after="0"/>
              <w:jc w:val="right"/>
            </w:pPr>
            <w:r>
              <w:rPr>
                <w:sz w:val="23"/>
                <w:rtl/>
              </w:rPr>
              <w:t>كفاءة الموافقات الطبية</w:t>
            </w:r>
            <w:r>
              <w:rPr>
                <w:sz w:val="23"/>
                <w:rtl/>
              </w:rPr>
              <w:br/>
              <w:t>القدرة الاستيعابية</w:t>
            </w:r>
            <w:r>
              <w:rPr>
                <w:sz w:val="23"/>
                <w:rtl/>
              </w:rPr>
              <w:br/>
              <w:t>زمن الاستجابة</w:t>
            </w:r>
            <w:r>
              <w:rPr>
                <w:sz w:val="23"/>
                <w:rtl/>
              </w:rPr>
              <w:br/>
              <w:t>استقرار القرار وإعادة العمل</w:t>
            </w:r>
          </w:p>
        </w:tc>
      </w:tr>
    </w:tbl>
    <w:p w14:paraId="6FC3F6B2" w14:textId="77777777" w:rsidR="00196EBD" w:rsidRDefault="00000000">
      <w:pPr>
        <w:bidi/>
        <w:jc w:val="both"/>
      </w:pPr>
      <w:r>
        <w:rPr>
          <w:rtl/>
        </w:rPr>
        <w:t>المصدر: إعداد الباحث استناداً إلى المنظور الاجتماعي-التقني ومنظور القدرات الديناميكية والدراسات السابقة.</w:t>
      </w:r>
    </w:p>
    <w:p w14:paraId="4BDBF6DC" w14:textId="77777777" w:rsidR="00196EBD" w:rsidRDefault="00000000">
      <w:pPr>
        <w:pStyle w:val="Heading2"/>
        <w:bidi/>
        <w:spacing w:before="240" w:after="120"/>
        <w:jc w:val="right"/>
      </w:pPr>
      <w:r>
        <w:rPr>
          <w:rFonts w:ascii="Times New Roman" w:eastAsia="Simplified Arabic" w:hAnsi="Times New Roman" w:cs="Simplified Arabic"/>
          <w:rtl/>
        </w:rPr>
        <w:lastRenderedPageBreak/>
        <w:t>1.9 حدود الدراسة ومحدداتها</w:t>
      </w:r>
    </w:p>
    <w:p w14:paraId="509A3AD9" w14:textId="77777777" w:rsidR="00196EBD" w:rsidRDefault="00000000">
      <w:pPr>
        <w:bidi/>
        <w:ind w:right="255" w:hanging="142"/>
        <w:jc w:val="both"/>
      </w:pPr>
      <w:r>
        <w:rPr>
          <w:b/>
          <w:rtl/>
        </w:rPr>
        <w:t xml:space="preserve">• </w:t>
      </w:r>
      <w:r>
        <w:rPr>
          <w:rtl/>
        </w:rPr>
        <w:t>الحدود الموضوعية: تركز الدراسة على العلاقة بين التوسع في الذكاء الاصطناعي والأتمتة وبين كفاءة عمليات الموافقات الطبية المسبقة، ولا تتناول جميع تطبيقات الذكاء الاصطناعي في الشركة.</w:t>
      </w:r>
    </w:p>
    <w:p w14:paraId="47D08A5F" w14:textId="77777777" w:rsidR="00196EBD" w:rsidRDefault="00000000">
      <w:pPr>
        <w:bidi/>
        <w:ind w:right="255" w:hanging="142"/>
        <w:jc w:val="both"/>
      </w:pPr>
      <w:r>
        <w:rPr>
          <w:b/>
          <w:rtl/>
        </w:rPr>
        <w:t xml:space="preserve">• </w:t>
      </w:r>
      <w:r>
        <w:rPr>
          <w:rtl/>
        </w:rPr>
        <w:t>الحدود المكانية: قسم الموافقات الطبية في شركة بوبا العربية للتأمين التعاوني بالمملكة العربية السعودية.</w:t>
      </w:r>
    </w:p>
    <w:p w14:paraId="26593BCD" w14:textId="77777777" w:rsidR="00196EBD" w:rsidRDefault="00000000">
      <w:pPr>
        <w:bidi/>
        <w:ind w:right="255" w:hanging="142"/>
        <w:jc w:val="both"/>
      </w:pPr>
      <w:r>
        <w:rPr>
          <w:b/>
          <w:rtl/>
        </w:rPr>
        <w:t xml:space="preserve">• </w:t>
      </w:r>
      <w:r>
        <w:rPr>
          <w:rtl/>
        </w:rPr>
        <w:t>الحدود الزمنية: المؤشرات التشغيلية من يناير 2022 حتى 29 يوليو 2026.</w:t>
      </w:r>
    </w:p>
    <w:p w14:paraId="4857E06B" w14:textId="77777777" w:rsidR="00196EBD" w:rsidRDefault="00000000">
      <w:pPr>
        <w:bidi/>
        <w:ind w:right="255" w:hanging="142"/>
        <w:jc w:val="both"/>
      </w:pPr>
      <w:r>
        <w:rPr>
          <w:b/>
          <w:rtl/>
        </w:rPr>
        <w:t xml:space="preserve">• </w:t>
      </w:r>
      <w:r>
        <w:rPr>
          <w:rtl/>
        </w:rPr>
        <w:t>الحدود المنهجية: تعتمد الدراسة على مؤشرات تشغيلية مجمعة، ولا يتوفر في النسخة الحالية ملف معاملات خام أو مؤشر مستقل يفصل جميع قرارات الذكاء الاصطناعي عن الأتمتة القائمة على القواعد؛ لذلك تستخدم الدراسة لغة الارتباط ولا تدعي إثبات السببية.</w:t>
      </w:r>
    </w:p>
    <w:p w14:paraId="6E494482" w14:textId="77777777" w:rsidR="00196EBD" w:rsidRDefault="00000000">
      <w:pPr>
        <w:bidi/>
        <w:ind w:right="255" w:hanging="142"/>
        <w:jc w:val="both"/>
      </w:pPr>
      <w:r>
        <w:rPr>
          <w:b/>
          <w:rtl/>
        </w:rPr>
        <w:t xml:space="preserve">• </w:t>
      </w:r>
      <w:r>
        <w:rPr>
          <w:rtl/>
        </w:rPr>
        <w:t>حدود السرية: لا تتضمن الدراسة بيانات تعريفية على مستوى العضو أو مقدم الخدمة، ولا تعرض صوراً داخلية للوحة العمليات.</w:t>
      </w:r>
    </w:p>
    <w:p w14:paraId="0BD60EB0" w14:textId="77777777" w:rsidR="00196EBD" w:rsidRDefault="00000000">
      <w:pPr>
        <w:bidi/>
        <w:ind w:right="255" w:hanging="142"/>
        <w:jc w:val="both"/>
      </w:pPr>
      <w:r>
        <w:rPr>
          <w:b/>
          <w:rtl/>
        </w:rPr>
        <w:t xml:space="preserve">• </w:t>
      </w:r>
      <w:r>
        <w:rPr>
          <w:rtl/>
        </w:rPr>
        <w:t>محددات التفسير: قد تؤثر تغيرات العقود، والموارد البشرية، ومزيج الخدمات، وقواعد NPR، والموسمية، والأعطال التقنية في بعض المؤشرات خلال فترة الدراسة.</w:t>
      </w:r>
    </w:p>
    <w:p w14:paraId="2DFE394D" w14:textId="77777777" w:rsidR="00196EBD" w:rsidRDefault="00000000">
      <w:pPr>
        <w:pStyle w:val="Heading2"/>
        <w:bidi/>
        <w:spacing w:before="240" w:after="120"/>
        <w:jc w:val="right"/>
      </w:pPr>
      <w:r>
        <w:rPr>
          <w:rFonts w:ascii="Times New Roman" w:eastAsia="Simplified Arabic" w:hAnsi="Times New Roman" w:cs="Simplified Arabic"/>
          <w:rtl/>
        </w:rPr>
        <w:t>1.10 خلاصة الفصل</w:t>
      </w:r>
    </w:p>
    <w:p w14:paraId="0CE8FDC4" w14:textId="77777777" w:rsidR="00196EBD" w:rsidRDefault="00000000">
      <w:pPr>
        <w:bidi/>
        <w:jc w:val="both"/>
      </w:pPr>
      <w:r>
        <w:rPr>
          <w:rtl/>
        </w:rPr>
        <w:t>حدد الفصل الأول المشكلة البحثية وأهداف الدراسة وأسئلتها وفرضياتها وحدودها، وبيّن أن تقييم أثر التوسع التقني يحتاج إلى أكثر من متابعة نسبة المعالجة الآلية. كما وضع المنظور الاجتماعي-التقني ومنظور القدرات الديناميكية أساساً تفسيرياً يربط التقنية بتصميم العمل والحوكمة والتعلم المؤسسي. وينتقل الفصل الثاني إلى مراجعة الأدبيات بصورة أعمق، وتحديد المتغيرين المستقل والتابع، ومناقشة الدراسات السابقة والفجوة التي تستهدفها الدراسة الحالية.</w:t>
      </w:r>
    </w:p>
    <w:p w14:paraId="615C03EB" w14:textId="77777777" w:rsidR="00196EBD" w:rsidRPr="00452FAC" w:rsidRDefault="00000000">
      <w:pPr>
        <w:pageBreakBefore/>
        <w:bidi/>
        <w:spacing w:before="3800"/>
        <w:jc w:val="both"/>
        <w:rPr>
          <w:sz w:val="32"/>
          <w:szCs w:val="32"/>
        </w:rPr>
      </w:pPr>
      <w:r w:rsidRPr="00452FAC">
        <w:rPr>
          <w:b/>
          <w:sz w:val="32"/>
          <w:szCs w:val="32"/>
          <w:rtl/>
        </w:rPr>
        <w:lastRenderedPageBreak/>
        <w:t>الفصل الثاني</w:t>
      </w:r>
    </w:p>
    <w:p w14:paraId="220F45A9" w14:textId="77777777" w:rsidR="00196EBD" w:rsidRPr="00452FAC" w:rsidRDefault="00000000">
      <w:pPr>
        <w:bidi/>
        <w:jc w:val="both"/>
        <w:rPr>
          <w:szCs w:val="28"/>
        </w:rPr>
      </w:pPr>
      <w:r w:rsidRPr="00452FAC">
        <w:rPr>
          <w:b/>
          <w:szCs w:val="28"/>
          <w:rtl/>
        </w:rPr>
        <w:t>مراجعة الأدبيات والإطار النظري</w:t>
      </w:r>
    </w:p>
    <w:p w14:paraId="3EF01E77" w14:textId="77777777" w:rsidR="00196EBD" w:rsidRDefault="00000000">
      <w:pPr>
        <w:bidi/>
      </w:pPr>
      <w:r>
        <w:rPr>
          <w:rtl/>
        </w:rPr>
        <w:br w:type="page"/>
      </w:r>
    </w:p>
    <w:p w14:paraId="1CCD8C4E" w14:textId="77777777" w:rsidR="00196EBD" w:rsidRDefault="00000000">
      <w:pPr>
        <w:pStyle w:val="Heading2"/>
        <w:bidi/>
        <w:spacing w:before="240" w:after="120"/>
        <w:jc w:val="right"/>
      </w:pPr>
      <w:r>
        <w:rPr>
          <w:rFonts w:ascii="Times New Roman" w:eastAsia="Simplified Arabic" w:hAnsi="Times New Roman" w:cs="Simplified Arabic"/>
          <w:rtl/>
        </w:rPr>
        <w:lastRenderedPageBreak/>
        <w:t>2.1 مقدمة الفصل</w:t>
      </w:r>
    </w:p>
    <w:p w14:paraId="148C5458" w14:textId="77777777" w:rsidR="00196EBD" w:rsidRDefault="00000000">
      <w:pPr>
        <w:bidi/>
        <w:jc w:val="both"/>
      </w:pPr>
      <w:r>
        <w:rPr>
          <w:rtl/>
        </w:rPr>
        <w:t>يهدف هذا الفصل إلى بناء الأساس النظري الذي يفسر العلاقة بين التوسع في استخدام الذكاء الاصطناعي وبين كفاءة عمليات الموافقات الطبية المسبقة. ويبدأ بتوضيح الفرق بين الذكاء الاصطناعي والأتمتة القائمة على القواعد، ثم يعرض طبيعة عملية الموافقة المسبقة بوصفها عملية قرار إداري-طبي متعددة الخطوات. بعد ذلك يحدد المتغير المستقل والمتغير التابع ومؤشرات قياسهما، قبل الانتقال إلى الأدبيات المتعلقة بالذكاء الاصطناعي في الرعاية الصحية والتأمين الصحي والموافقات المسبقة.</w:t>
      </w:r>
    </w:p>
    <w:p w14:paraId="668C7CCC" w14:textId="77777777" w:rsidR="00196EBD" w:rsidRDefault="00000000">
      <w:pPr>
        <w:bidi/>
        <w:jc w:val="both"/>
      </w:pPr>
      <w:r>
        <w:rPr>
          <w:rtl/>
        </w:rPr>
        <w:t xml:space="preserve">ولا تقتصر المراجعة على عرض فوائد التقنية، بل تشمل أيضاً </w:t>
      </w:r>
      <w:proofErr w:type="gramStart"/>
      <w:r>
        <w:rPr>
          <w:rtl/>
        </w:rPr>
        <w:t>مخاطر</w:t>
      </w:r>
      <w:proofErr w:type="gramEnd"/>
      <w:r>
        <w:rPr>
          <w:rtl/>
        </w:rPr>
        <w:t xml:space="preserve"> الاعتماد المفرط على الخوارزميات، وقابلية التفسير، والتحيز، والحاجة إلى المراجعة البشرية. ويختتم الفصل بمقارنة تحليلية للدراسات السابقة وتحديد أوجه الاتفاق والاختلاف والفجوة البحثية، بحيث تكون العلاقة بين الأدبيات وتصميم الدراسة الحالية واضحة وقابلة للتتبع.</w:t>
      </w:r>
    </w:p>
    <w:p w14:paraId="369C8D3B" w14:textId="77777777" w:rsidR="00196EBD" w:rsidRDefault="00000000">
      <w:pPr>
        <w:pStyle w:val="Heading2"/>
        <w:bidi/>
        <w:spacing w:before="240" w:after="120"/>
        <w:jc w:val="right"/>
      </w:pPr>
      <w:r>
        <w:rPr>
          <w:rFonts w:ascii="Times New Roman" w:eastAsia="Simplified Arabic" w:hAnsi="Times New Roman" w:cs="Simplified Arabic"/>
          <w:rtl/>
        </w:rPr>
        <w:t>2.2 مفهوم الذكاء الاصطناعي والأتمتة في دعم القرار</w:t>
      </w:r>
    </w:p>
    <w:p w14:paraId="2EE2D239" w14:textId="77777777" w:rsidR="00196EBD" w:rsidRDefault="00000000">
      <w:pPr>
        <w:bidi/>
        <w:jc w:val="both"/>
      </w:pPr>
      <w:r>
        <w:rPr>
          <w:rtl/>
        </w:rPr>
        <w:t xml:space="preserve">يشير الذكاء الاصطناعي في السياق الإداري إلى نظم تستخدم البيانات والخوارزميات لتنفيذ مهام تتطلب عادةً </w:t>
      </w:r>
      <w:proofErr w:type="gramStart"/>
      <w:r>
        <w:rPr>
          <w:rtl/>
        </w:rPr>
        <w:t>تصنيفاً</w:t>
      </w:r>
      <w:proofErr w:type="gramEnd"/>
      <w:r>
        <w:rPr>
          <w:rtl/>
        </w:rPr>
        <w:t xml:space="preserve"> أو استدلالاً أو تنبؤاً أو اقتراح قرار. أما الأتمتة التقليدية فتعتمد على قواعد وشروط مبرمجة مسبقاً، بحيث تكون العلاقة بين المدخل والنتيجة محددة سلفاً. وفي التطبيق العملي قد يعمل النوعان داخل المسار نفسه؛ لذلك فإن التمييز بينهما ليس مسألة لغوية، بل مسألة قياس تؤثر مباشرة في تفسير النتائج.</w:t>
      </w:r>
    </w:p>
    <w:p w14:paraId="4EA79A9D" w14:textId="77777777" w:rsidR="00196EBD" w:rsidRDefault="00000000">
      <w:pPr>
        <w:bidi/>
        <w:jc w:val="both"/>
      </w:pPr>
      <w:r>
        <w:rPr>
          <w:rtl/>
        </w:rPr>
        <w:t>تزداد أهمية هذا التمييز في أنظمة الموافقات الطبية. فمطابقة حد مالي محدد أو شرط وثيقة واضح مثال على أتمتة قائمة على قاعدة، بينما تصنيف مستندات غير منظمة أو تقدير احتمال تأخر الطلب أو تقديم توصية اعتماداً على نمط تعلم من البيانات أقرب إلى تطبيقات الذكاء الاصطناعي. ويؤدي دمج المخرجات المختلفة تحت مسمى «المعالجة الآلية» إلى خطر نسبة أثر القواعد التقليدية إلى الذكاء الاصطناعي، ولذلك تستخدم الدراسة حصة المعالجة الآلية مؤشراً مسانداً ولا تعاملها كمتغير نقي.</w:t>
      </w:r>
    </w:p>
    <w:p w14:paraId="0EE364EF" w14:textId="77777777" w:rsidR="00196EBD" w:rsidRDefault="00000000">
      <w:pPr>
        <w:bidi/>
        <w:jc w:val="both"/>
      </w:pPr>
      <w:r>
        <w:rPr>
          <w:rtl/>
        </w:rPr>
        <w:t>وتشير أدبيات الرعاية الصحية إلى أن قيمة الذكاء الاصطناعي لا تعتمد على الأداء التقني فقط، بل على جودة البيانات، وملاءمة المهمة، وطريقة دمج النظام في سير العمل، وقدرة المستخدم على فهم المخرجات والتدخل عند الحاجة (</w:t>
      </w:r>
      <w:proofErr w:type="spellStart"/>
      <w:r>
        <w:rPr>
          <w:rtl/>
        </w:rPr>
        <w:t>Jiang</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2017; </w:t>
      </w:r>
      <w:proofErr w:type="spellStart"/>
      <w:r>
        <w:rPr>
          <w:rtl/>
        </w:rPr>
        <w:t>Davenport</w:t>
      </w:r>
      <w:proofErr w:type="spellEnd"/>
      <w:r>
        <w:rPr>
          <w:rtl/>
        </w:rPr>
        <w:t xml:space="preserve"> &amp; </w:t>
      </w:r>
      <w:proofErr w:type="spellStart"/>
      <w:r>
        <w:rPr>
          <w:rtl/>
        </w:rPr>
        <w:t>Kalakota</w:t>
      </w:r>
      <w:proofErr w:type="spellEnd"/>
      <w:r>
        <w:rPr>
          <w:rtl/>
        </w:rPr>
        <w:t>, 2019). وهذه الفكرة تعد أساساً مهماً عند الانتقال من تطبيقات دعم القرار إلى قرارات قد تؤثر في توقيت حصول المريض على خدمة صحية.</w:t>
      </w:r>
    </w:p>
    <w:p w14:paraId="44A3EDE1" w14:textId="77777777" w:rsidR="00196EBD" w:rsidRDefault="00000000">
      <w:pPr>
        <w:pStyle w:val="Heading2"/>
        <w:bidi/>
        <w:spacing w:before="240" w:after="120"/>
        <w:jc w:val="right"/>
      </w:pPr>
      <w:r>
        <w:rPr>
          <w:rFonts w:ascii="Times New Roman" w:eastAsia="Simplified Arabic" w:hAnsi="Times New Roman" w:cs="Simplified Arabic"/>
          <w:rtl/>
        </w:rPr>
        <w:t>2.3 طبيعة عملية الموافقة الطبية المسبقة</w:t>
      </w:r>
    </w:p>
    <w:p w14:paraId="5FE9AE66" w14:textId="77777777" w:rsidR="00196EBD" w:rsidRDefault="00000000">
      <w:pPr>
        <w:bidi/>
        <w:jc w:val="both"/>
      </w:pPr>
      <w:r>
        <w:rPr>
          <w:rtl/>
        </w:rPr>
        <w:t>الموافقة الطبية المسبقة هي عملية تسبق تقديم بعض الخدمات للتحقق من أهلية العضو، والتغطية، وشروط الوثيقة، وملاءمة الخدمة، وتوافر المعلومات اللازمة لاتخاذ القرار. وقد تنتهي العملية بالموافقة أو الرفض أو اعتبار الخدمة غير محتاجة إلى موافقة مسبقة أو طلب معلومات إضافية. ويعني ذلك أن القرار النهائي ليس نتاج خطوة واحدة، بل نتيجة سلسلة من عمليات التحقق والتقييم والتواصل.</w:t>
      </w:r>
    </w:p>
    <w:p w14:paraId="22D45AD8" w14:textId="77777777" w:rsidR="00196EBD" w:rsidRDefault="00000000">
      <w:pPr>
        <w:bidi/>
        <w:jc w:val="both"/>
      </w:pPr>
      <w:r>
        <w:rPr>
          <w:rtl/>
        </w:rPr>
        <w:t>من منظور العمليات، يمكن تقسيم المسار إلى خمس حلقات مترابطة: استقبال الطلب وتصنيفه، التحقق من التغطية والقواعد، مراجعة المعلومات السريرية، إصدار القرار، ثم المراجعة اللاحقة أو الاعتراض عند الحاجة. ويختلف الدور الممكن للذكاء الاصطناعي من حلقة إلى أخرى؛ فقد يكون مناسباً للاستخراج والتصنيف في مرحلة الاستقبال، بينما تتطلب القرارات المعقدة أو عالية الخطورة مستوى أكبر من الإشراف البشري.</w:t>
      </w:r>
    </w:p>
    <w:p w14:paraId="47ADD780" w14:textId="77777777" w:rsidR="00196EBD" w:rsidRDefault="00000000">
      <w:pPr>
        <w:bidi/>
        <w:jc w:val="both"/>
      </w:pPr>
      <w:r>
        <w:rPr>
          <w:rtl/>
        </w:rPr>
        <w:t xml:space="preserve">تمثل الموافقة الطبية المسبقة عبئاً إدارياً ملموساً على مقدمي الخدمة والدافعين، وقد يمتد أثرها إلى توقيت الحصول على الرعاية. وفي مسح متعدد الأطراف شمل 1005 مرضى و1010 من العاملين لدى مقدمي الخدمة و115 من العاملين لدى دافعين خاصين، وجد </w:t>
      </w:r>
      <w:proofErr w:type="spellStart"/>
      <w:r>
        <w:rPr>
          <w:rtl/>
        </w:rPr>
        <w:t>Sahni</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(2024) اختلافاً بين الأطراف في تقدير حجم العبء، كما أفاد 65% من ممثلي الدافعين بأن مؤسساتهم تخطط لإدخال </w:t>
      </w:r>
      <w:r>
        <w:rPr>
          <w:rtl/>
        </w:rPr>
        <w:lastRenderedPageBreak/>
        <w:t>الذكاء الاصطناعي في العملية خلال ثلاث إلى خمس سنوات. وتبرز هذه النتيجة أن تقييم التقنية ينبغي أن يجمع بين تخفيف العبء، وجودة القرار، وجاهزية البنية التشغيلية والحوكمة.</w:t>
      </w:r>
    </w:p>
    <w:p w14:paraId="73312AD4" w14:textId="77777777" w:rsidR="00196EBD" w:rsidRDefault="00000000">
      <w:pPr>
        <w:pStyle w:val="Heading2"/>
        <w:bidi/>
        <w:spacing w:before="240" w:after="120"/>
        <w:jc w:val="right"/>
      </w:pPr>
      <w:r>
        <w:rPr>
          <w:rFonts w:ascii="Times New Roman" w:eastAsia="Simplified Arabic" w:hAnsi="Times New Roman" w:cs="Simplified Arabic"/>
          <w:rtl/>
        </w:rPr>
        <w:t>2.4 المتغير المستقل: التوسع في استخدام الذكاء الاصطناعي والأتمتة</w:t>
      </w:r>
    </w:p>
    <w:p w14:paraId="40450558" w14:textId="77777777" w:rsidR="00196EBD" w:rsidRDefault="00000000">
      <w:pPr>
        <w:bidi/>
        <w:jc w:val="both"/>
      </w:pPr>
      <w:r>
        <w:rPr>
          <w:rtl/>
        </w:rPr>
        <w:t>يمثل المتغير المستقل التفسيري في الدراسة التوسع التدريجي في استخدام الذكاء الاصطناعي والأتمتة داخل مسار الموافقات الطبية. ويُعرّف زمنياً ببدء تطبيق أدوات الذكاء الاصطناعي في مارس 2023 ثم اتساع نطاقها في السنوات اللاحقة. ونظراً إلى أن لوحة العمليات لا تفصل في كل الفترات بين المعالجة القائمة على الذكاء الاصطناعي وبين القواعد التقليدية، تستخدم الدراسة المرحلة الزمنية وحصة المعالجة الآلية كمؤشرين على مستوى التعرض للتوسع التقني.</w:t>
      </w:r>
    </w:p>
    <w:p w14:paraId="32EAE466" w14:textId="77777777" w:rsidR="00196EBD" w:rsidRDefault="00000000">
      <w:pPr>
        <w:bidi/>
        <w:jc w:val="both"/>
      </w:pPr>
      <w:r>
        <w:rPr>
          <w:rtl/>
        </w:rPr>
        <w:t>وتفرض هذه الصياغة قدراً من التحفظ المنهجي. فارتفاع حصة المعالجة الآلية لا يثبت بمفرده أن الذكاء الاصطناعي هو سبب التغير في مؤشرات الأداء، لكنه يتيح تحليل ما إذا كان التوسع في المسار الآلي قد تزامن مع استيعاب نمو أكبر أو تغير في زمن الاستجابة أو إعادة العمل. وتساعد المقارنة الزمنية قبل وبعد مارس 2023 والمقارنة المتناظرة بين 2025 و2026 في وصف الاتجاه، بينما يبقى الاستدلال السببي خارج حدود البيانات المتاحة.</w:t>
      </w:r>
    </w:p>
    <w:p w14:paraId="7848F850" w14:textId="77777777" w:rsidR="00196EBD" w:rsidRDefault="00000000">
      <w:pPr>
        <w:pStyle w:val="Heading2"/>
        <w:bidi/>
        <w:spacing w:before="240" w:after="120"/>
        <w:jc w:val="right"/>
      </w:pPr>
      <w:r>
        <w:rPr>
          <w:rFonts w:ascii="Times New Roman" w:eastAsia="Simplified Arabic" w:hAnsi="Times New Roman" w:cs="Simplified Arabic"/>
          <w:rtl/>
        </w:rPr>
        <w:t>2.5 المتغير التابع: كفاءة قرارات الموافقات الطبية المسبقة</w:t>
      </w:r>
    </w:p>
    <w:p w14:paraId="226B1E68" w14:textId="77777777" w:rsidR="00196EBD" w:rsidRDefault="00000000">
      <w:pPr>
        <w:bidi/>
        <w:jc w:val="both"/>
      </w:pPr>
      <w:r>
        <w:rPr>
          <w:rtl/>
        </w:rPr>
        <w:t>لا تُعرّف الكفاءة في هذه الدراسة باعتبارها السرعة وحدها. فالقرار الذي يصدر بسرعة ثم يحتاج إلى تعديل متكرر لا يمثل كفاءة مستدامة، كما أن ارتفاع الأتمتة مع تدهور المسار اليدوي قد يخفي انتقال الحالات الأكثر تعقيداً إلى المراجعين البشر. لذلك يُبنى المتغير التابع على أربعة أبعاد مترابطة: القدرة الاستيعابية، والأداء الزمني، واستقرار القرار، وسلامة المسار التشغيلي.</w:t>
      </w:r>
    </w:p>
    <w:p w14:paraId="027A53AD" w14:textId="77777777" w:rsidR="00196EBD" w:rsidRDefault="00000000">
      <w:pPr>
        <w:bidi/>
        <w:jc w:val="both"/>
      </w:pPr>
      <w:r>
        <w:rPr>
          <w:rtl/>
        </w:rPr>
        <w:t>تقاس القدرة الاستيعابية بحجم الطلبات وحصة المعالجة الآلية، بينما يقاس الأداء الزمني بمؤشر زمن الاستجابة الكلي واليدوي. ويستخدم معدل إعادة العمل مؤشراً على استقرار القرار، في حين تساعد نسب عدم الحاجة إلى موافقة مسبقة والرفض على تفسير كيفية تغير مسار القرارات. ويسمح هذا البناء المتعدد الأبعاد بالتمييز بين التوسع التشغيلي الحقيقي وبين مجرد نقل العمل من قناة إلى أخرى.</w:t>
      </w:r>
    </w:p>
    <w:p w14:paraId="29E8C9CC" w14:textId="77777777" w:rsidR="00196EBD" w:rsidRDefault="00000000">
      <w:pPr>
        <w:pStyle w:val="Heading2"/>
        <w:bidi/>
        <w:spacing w:before="240" w:after="120"/>
        <w:jc w:val="right"/>
      </w:pPr>
      <w:r>
        <w:rPr>
          <w:rFonts w:ascii="Times New Roman" w:eastAsia="Simplified Arabic" w:hAnsi="Times New Roman" w:cs="Simplified Arabic"/>
          <w:rtl/>
        </w:rPr>
        <w:t>2.6 الذكاء الاصطناعي في الرعاية الصحية والتأمين الصحي</w:t>
      </w:r>
    </w:p>
    <w:p w14:paraId="6292688F" w14:textId="77777777" w:rsidR="00196EBD" w:rsidRDefault="00000000">
      <w:pPr>
        <w:bidi/>
        <w:jc w:val="both"/>
      </w:pPr>
      <w:r>
        <w:rPr>
          <w:rtl/>
        </w:rPr>
        <w:t xml:space="preserve">تُظهر الأدبيات الصحية أن أفضل استخدام للذكاء الاصطناعي لا يقوم على استبدال المختص، بل على توزيع المهام بين الإنسان والنظام وفق طبيعة القرار. وقد أشار </w:t>
      </w:r>
      <w:proofErr w:type="spellStart"/>
      <w:r>
        <w:rPr>
          <w:rtl/>
        </w:rPr>
        <w:t>Topol</w:t>
      </w:r>
      <w:proofErr w:type="spellEnd"/>
      <w:r>
        <w:rPr>
          <w:rtl/>
        </w:rPr>
        <w:t xml:space="preserve"> (2019) إلى قيمة التكامل بين قدرات الإنسان والحوسبة، بينما أوضح </w:t>
      </w:r>
      <w:proofErr w:type="spellStart"/>
      <w:r>
        <w:rPr>
          <w:rtl/>
        </w:rPr>
        <w:t>Davenport</w:t>
      </w:r>
      <w:proofErr w:type="spellEnd"/>
      <w:r>
        <w:rPr>
          <w:rtl/>
        </w:rPr>
        <w:t xml:space="preserve"> </w:t>
      </w:r>
      <w:proofErr w:type="spellStart"/>
      <w:r>
        <w:rPr>
          <w:rtl/>
        </w:rPr>
        <w:t>and</w:t>
      </w:r>
      <w:proofErr w:type="spellEnd"/>
      <w:r>
        <w:rPr>
          <w:rtl/>
        </w:rPr>
        <w:t xml:space="preserve"> </w:t>
      </w:r>
      <w:proofErr w:type="spellStart"/>
      <w:r>
        <w:rPr>
          <w:rtl/>
        </w:rPr>
        <w:t>Kalakota</w:t>
      </w:r>
      <w:proofErr w:type="spellEnd"/>
      <w:r>
        <w:rPr>
          <w:rtl/>
        </w:rPr>
        <w:t xml:space="preserve"> (2019) أن التطبيقات الإدارية تمثل أحد المسارات المهمة لاستخدام الذكاء الاصطناعي في الصحة. وتدعم هذه الرؤية فكرة توجيه الأتمتة نحو المهام ذات الحجم المرتفع والقواعد الواضحة، مع الاحتفاظ بمراجعة بشرية للحالات الغامضة أو عالية الخطورة.</w:t>
      </w:r>
    </w:p>
    <w:p w14:paraId="25C21170" w14:textId="77777777" w:rsidR="00196EBD" w:rsidRDefault="00000000">
      <w:pPr>
        <w:bidi/>
        <w:jc w:val="both"/>
      </w:pPr>
      <w:r>
        <w:rPr>
          <w:rtl/>
        </w:rPr>
        <w:t xml:space="preserve">كما تؤكد أدبيات التعلم العميق أن الأداء المرتفع في بيئة اختبار لا يضمن النجاح التشغيلي ما لم يتحقق التكامل مع سير العمل وتتم مراقبة الأخطاء </w:t>
      </w:r>
      <w:proofErr w:type="spellStart"/>
      <w:r>
        <w:rPr>
          <w:rtl/>
        </w:rPr>
        <w:t>والانحيازات</w:t>
      </w:r>
      <w:proofErr w:type="spellEnd"/>
      <w:r>
        <w:rPr>
          <w:rtl/>
        </w:rPr>
        <w:t xml:space="preserve"> على أرض الواقع (</w:t>
      </w:r>
      <w:proofErr w:type="spellStart"/>
      <w:r>
        <w:rPr>
          <w:rtl/>
        </w:rPr>
        <w:t>Esteva</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2019). وفي السياق التأميني تصبح هذه النقطة أكثر أهمية لأن قرار التغطية يجمع بين بيانات سريرية وسياسات وثيقة وقيود تعاقدية، وقد يؤدي الخطأ إلى تأخير الخدمة أو رفضها أو زيادة العمل التصحيحي.</w:t>
      </w:r>
    </w:p>
    <w:p w14:paraId="2123C736" w14:textId="77777777" w:rsidR="00196EBD" w:rsidRDefault="00000000">
      <w:pPr>
        <w:bidi/>
        <w:jc w:val="both"/>
      </w:pPr>
      <w:r>
        <w:rPr>
          <w:rtl/>
        </w:rPr>
        <w:t>وفي السعودية، يوفر توجه مجلس الضمان الصحي نحو البيانات والذكاء الاصطناعي والحوكمة سياقاً مؤسسياً داعماً للتحول الرقمي (مجلس الضمان الصحي، 2025). غير أن الانتقال من التوجه الاستراتيجي إلى قيمة تشغيلية يتطلب مؤشرات تفصل بين السرعة والجودة، وهذا ما تركز عليه الدراسة الحالية.</w:t>
      </w:r>
    </w:p>
    <w:p w14:paraId="749E2E11" w14:textId="77777777" w:rsidR="00196EBD" w:rsidRDefault="00000000">
      <w:pPr>
        <w:pStyle w:val="Heading2"/>
        <w:bidi/>
        <w:spacing w:before="240" w:after="120"/>
        <w:jc w:val="right"/>
      </w:pPr>
      <w:r>
        <w:rPr>
          <w:rFonts w:ascii="Times New Roman" w:eastAsia="Simplified Arabic" w:hAnsi="Times New Roman" w:cs="Simplified Arabic"/>
          <w:rtl/>
        </w:rPr>
        <w:lastRenderedPageBreak/>
        <w:t>2.7 الذكاء الاصطناعي في الموافقات الطبية المسبقة</w:t>
      </w:r>
    </w:p>
    <w:p w14:paraId="735A3F01" w14:textId="77777777" w:rsidR="00196EBD" w:rsidRDefault="00000000">
      <w:pPr>
        <w:bidi/>
        <w:jc w:val="both"/>
      </w:pPr>
      <w:r>
        <w:rPr>
          <w:rtl/>
        </w:rPr>
        <w:t xml:space="preserve">تشير الدراسات المباشرة في مجال الموافقات المسبقة إلى وجود فرصة حقيقية لتحسين الكفاءة، لكنها لا تقدم دليلاً موحداً على أن الأتمتة الكاملة هي الحل الأفضل. فقد استخدم </w:t>
      </w:r>
      <w:proofErr w:type="spellStart"/>
      <w:r>
        <w:rPr>
          <w:rtl/>
        </w:rPr>
        <w:t>Choudhury</w:t>
      </w:r>
      <w:proofErr w:type="spellEnd"/>
      <w:r>
        <w:rPr>
          <w:rtl/>
        </w:rPr>
        <w:t xml:space="preserve"> </w:t>
      </w:r>
      <w:proofErr w:type="spellStart"/>
      <w:r>
        <w:rPr>
          <w:rtl/>
        </w:rPr>
        <w:t>and</w:t>
      </w:r>
      <w:proofErr w:type="spellEnd"/>
      <w:r>
        <w:rPr>
          <w:rtl/>
        </w:rPr>
        <w:t xml:space="preserve"> </w:t>
      </w:r>
      <w:proofErr w:type="spellStart"/>
      <w:r>
        <w:rPr>
          <w:rtl/>
        </w:rPr>
        <w:t>Perumalla</w:t>
      </w:r>
      <w:proofErr w:type="spellEnd"/>
      <w:r>
        <w:rPr>
          <w:rtl/>
        </w:rPr>
        <w:t xml:space="preserve"> (2021) التحليلات التنبؤية للتنبؤ المبكر بمسار الرعاية بعد الخروج بهدف تقليل التأخير المرتبط بالموافقة، وأظهرت الدراسة إمكانية استخدام التعلم الآلي للتدخل قبل وصول العملية إلى نقطة الانتظار. وتفيد هذه النتيجة بأن قيمة الذكاء الاصطناعي قد تتحقق من خلال التنبؤ وإدارة سير العمل، لا من خلال إصدار قرار نهائي فقط.</w:t>
      </w:r>
    </w:p>
    <w:p w14:paraId="682FFAE1" w14:textId="77777777" w:rsidR="00196EBD" w:rsidRDefault="00000000">
      <w:pPr>
        <w:bidi/>
        <w:jc w:val="both"/>
      </w:pPr>
      <w:r>
        <w:rPr>
          <w:rtl/>
        </w:rPr>
        <w:t xml:space="preserve">وقدم </w:t>
      </w:r>
      <w:proofErr w:type="spellStart"/>
      <w:r>
        <w:rPr>
          <w:rtl/>
        </w:rPr>
        <w:t>Lenert</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(2023) تصوراً يميز بين الأتمتة القائمة على قواعد ثابتة وبين نهج يعتمد على الذكاء الاصطناعي لمحاكاة تقدير الخبراء. وركزت المقالة على البيانات المعيارية، وقابلية التفسير، والتحقق المستقل، والمراجعة البشرية. وبرغم طبيعتها المفاهيمية، فإن أهميتها للدراسة الحالية تكمن في وضعها إطاراً واضحاً لنظام موافقات متمركز حول الإنسان، بدلاً من افتراض أن القرار الآلي الكامل يمثل المرحلة الأكثر تقدماً بالضرورة.</w:t>
      </w:r>
    </w:p>
    <w:p w14:paraId="13B86AC6" w14:textId="77777777" w:rsidR="00196EBD" w:rsidRDefault="00000000">
      <w:pPr>
        <w:bidi/>
        <w:jc w:val="both"/>
      </w:pPr>
      <w:r>
        <w:rPr>
          <w:rtl/>
        </w:rPr>
        <w:t xml:space="preserve">وفي 2024، ناقش </w:t>
      </w:r>
      <w:proofErr w:type="spellStart"/>
      <w:r>
        <w:rPr>
          <w:rtl/>
        </w:rPr>
        <w:t>Mello</w:t>
      </w:r>
      <w:proofErr w:type="spellEnd"/>
      <w:r>
        <w:rPr>
          <w:rtl/>
        </w:rPr>
        <w:t xml:space="preserve"> </w:t>
      </w:r>
      <w:proofErr w:type="spellStart"/>
      <w:r>
        <w:rPr>
          <w:rtl/>
        </w:rPr>
        <w:t>and</w:t>
      </w:r>
      <w:proofErr w:type="spellEnd"/>
      <w:r>
        <w:rPr>
          <w:rtl/>
        </w:rPr>
        <w:t xml:space="preserve"> </w:t>
      </w:r>
      <w:proofErr w:type="spellStart"/>
      <w:r>
        <w:rPr>
          <w:rtl/>
        </w:rPr>
        <w:t>Rose</w:t>
      </w:r>
      <w:proofErr w:type="spellEnd"/>
      <w:r>
        <w:rPr>
          <w:rtl/>
        </w:rPr>
        <w:t xml:space="preserve"> استخدام أدوات الذكاء الاصطناعي في قرارات التغطية الصحية، مع التركيز على </w:t>
      </w:r>
      <w:proofErr w:type="gramStart"/>
      <w:r>
        <w:rPr>
          <w:rtl/>
        </w:rPr>
        <w:t>مخاطر</w:t>
      </w:r>
      <w:proofErr w:type="gramEnd"/>
      <w:r>
        <w:rPr>
          <w:rtl/>
        </w:rPr>
        <w:t xml:space="preserve"> الغموض والاعتماد غير المنضبط على المخرجات الخوارزمية. ويؤكد هذا المنظور أن جودة القرار لا يمكن استنتاجها من السرعة وحدها؛ لذلك تتعامل الدراسة الحالية مع إعادة العمل، والتصعيد، وإمكان المراجعة البشرية بوصفها مؤشرات موازية للأداء الزمني.</w:t>
      </w:r>
    </w:p>
    <w:p w14:paraId="24E4EA06" w14:textId="77777777" w:rsidR="00196EBD" w:rsidRDefault="00000000">
      <w:pPr>
        <w:bidi/>
        <w:jc w:val="both"/>
      </w:pPr>
      <w:r>
        <w:rPr>
          <w:rtl/>
        </w:rPr>
        <w:t xml:space="preserve">وتظهر الأدلة الأحدث توسعاً فعلياً في تطبيقات السوق. فقد وثق </w:t>
      </w:r>
      <w:proofErr w:type="spellStart"/>
      <w:r>
        <w:rPr>
          <w:rtl/>
        </w:rPr>
        <w:t>Kunze</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(2025) انتشار منتجات توليدية في الأعمال الصحية، ومنها منصات للموافقات المسبقة، مع الإشارة إلى قيود تتعلق بالرقابة التنظيمية والانحياز والتكامل والثقة في المخرجات. كما رأى </w:t>
      </w:r>
      <w:proofErr w:type="spellStart"/>
      <w:r>
        <w:rPr>
          <w:rtl/>
        </w:rPr>
        <w:t>Keng</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(2025) أن الأتمتة والذكاء الاصطناعي يمكن أن يخففا العبء الإداري في </w:t>
      </w:r>
      <w:proofErr w:type="spellStart"/>
      <w:r>
        <w:rPr>
          <w:rtl/>
        </w:rPr>
        <w:t>prior</w:t>
      </w:r>
      <w:proofErr w:type="spellEnd"/>
      <w:r>
        <w:rPr>
          <w:rtl/>
        </w:rPr>
        <w:t xml:space="preserve"> </w:t>
      </w:r>
      <w:proofErr w:type="spellStart"/>
      <w:r>
        <w:rPr>
          <w:rtl/>
        </w:rPr>
        <w:t>authorization</w:t>
      </w:r>
      <w:proofErr w:type="spellEnd"/>
      <w:r>
        <w:rPr>
          <w:rtl/>
        </w:rPr>
        <w:t xml:space="preserve"> والتوثيق وقياس الجودة، بشرط أن يعاد تصميم سير العمل بدلاً من إضافة طبقة تقنية فوق عملية معقدة بالفعل.</w:t>
      </w:r>
    </w:p>
    <w:p w14:paraId="7CF2B594" w14:textId="77777777" w:rsidR="00196EBD" w:rsidRDefault="00000000">
      <w:pPr>
        <w:bidi/>
        <w:jc w:val="both"/>
      </w:pPr>
      <w:r>
        <w:rPr>
          <w:rtl/>
        </w:rPr>
        <w:t xml:space="preserve">وفي 2026 أصبح النقاش أكثر ارتباطاً بحوكمة مراجعة الاستخدام لدى شركات التأمين. فقد أوضح </w:t>
      </w:r>
      <w:proofErr w:type="spellStart"/>
      <w:r>
        <w:rPr>
          <w:rtl/>
        </w:rPr>
        <w:t>Mello</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(2026) أن الذكاء الاصطناعي قد يرفع الكفاءة، لكنه قد يضخم عيوب العملية إذا غابت الشفافية وفهم المستخدم وآليات الرقابة. كما ناقش </w:t>
      </w:r>
      <w:proofErr w:type="spellStart"/>
      <w:r>
        <w:rPr>
          <w:rtl/>
        </w:rPr>
        <w:t>Raza</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(2026) </w:t>
      </w:r>
      <w:proofErr w:type="gramStart"/>
      <w:r>
        <w:rPr>
          <w:rtl/>
        </w:rPr>
        <w:t>مخاطر</w:t>
      </w:r>
      <w:proofErr w:type="gramEnd"/>
      <w:r>
        <w:rPr>
          <w:rtl/>
        </w:rPr>
        <w:t xml:space="preserve"> استخدام الخوارزميات في مراجعة الموافقات ضمن </w:t>
      </w:r>
      <w:proofErr w:type="spellStart"/>
      <w:r>
        <w:rPr>
          <w:rtl/>
        </w:rPr>
        <w:t>Medicare</w:t>
      </w:r>
      <w:proofErr w:type="spellEnd"/>
      <w:r>
        <w:rPr>
          <w:rtl/>
        </w:rPr>
        <w:t xml:space="preserve"> </w:t>
      </w:r>
      <w:proofErr w:type="spellStart"/>
      <w:r>
        <w:rPr>
          <w:rtl/>
        </w:rPr>
        <w:t>Advantage</w:t>
      </w:r>
      <w:proofErr w:type="spellEnd"/>
      <w:r>
        <w:rPr>
          <w:rtl/>
        </w:rPr>
        <w:t>، ولا سيما الرفض واسع النطاق ونقص الشفافية. ويعزز ذلك فرضية الدراسة الحالية بأن التوسع المسؤول يحتاج إلى قياس مستقل للجودة وإبقاء الحكم البشري في الحالات التي لا تحتمل قراراً آلياً غير قابل للمراجعة.</w:t>
      </w:r>
    </w:p>
    <w:p w14:paraId="062CE0F6" w14:textId="77777777" w:rsidR="00196EBD" w:rsidRDefault="00000000">
      <w:pPr>
        <w:pStyle w:val="Heading2"/>
        <w:bidi/>
        <w:spacing w:before="240" w:after="120"/>
        <w:jc w:val="right"/>
      </w:pPr>
      <w:r>
        <w:rPr>
          <w:rFonts w:ascii="Times New Roman" w:eastAsia="Simplified Arabic" w:hAnsi="Times New Roman" w:cs="Simplified Arabic"/>
          <w:rtl/>
        </w:rPr>
        <w:t>2.8 الحوكمة والمراجعة البشرية</w:t>
      </w:r>
    </w:p>
    <w:p w14:paraId="02BEE9F4" w14:textId="77777777" w:rsidR="00196EBD" w:rsidRDefault="00000000">
      <w:pPr>
        <w:bidi/>
        <w:jc w:val="both"/>
      </w:pPr>
      <w:r>
        <w:rPr>
          <w:rtl/>
        </w:rPr>
        <w:t xml:space="preserve">تعد الحوكمة جزءاً من الكفاءة وليست قيداً خارجياً عليها. فالنظام الذي يوفر قراراً أسرع لكنه لا يسمح بتفسيره أو الاعتراض عليه قد يرفع مؤشرات السرعة على المدى القصير بينما يزيد </w:t>
      </w:r>
      <w:proofErr w:type="gramStart"/>
      <w:r>
        <w:rPr>
          <w:rtl/>
        </w:rPr>
        <w:t>مخاطر</w:t>
      </w:r>
      <w:proofErr w:type="gramEnd"/>
      <w:r>
        <w:rPr>
          <w:rtl/>
        </w:rPr>
        <w:t xml:space="preserve"> التصحيح والشكاوى وعدم الثقة. ولهذا تضع منظمة الصحة العالمية مبادئ تشمل حماية الاستقلال البشري، والسلامة، والشفافية وقابلية التفسير، والمساءلة، والإنصاف، والاستدامة عند استخدام الذكاء الاصطناعي في الصحة (</w:t>
      </w:r>
      <w:proofErr w:type="spellStart"/>
      <w:r>
        <w:rPr>
          <w:rtl/>
        </w:rPr>
        <w:t>World</w:t>
      </w:r>
      <w:proofErr w:type="spellEnd"/>
      <w:r>
        <w:rPr>
          <w:rtl/>
        </w:rPr>
        <w:t xml:space="preserve"> Health </w:t>
      </w:r>
      <w:proofErr w:type="spellStart"/>
      <w:r>
        <w:rPr>
          <w:rtl/>
        </w:rPr>
        <w:t>Organization</w:t>
      </w:r>
      <w:proofErr w:type="spellEnd"/>
      <w:r>
        <w:rPr>
          <w:rtl/>
        </w:rPr>
        <w:t>, 2021; 2023).</w:t>
      </w:r>
    </w:p>
    <w:p w14:paraId="7121EC09" w14:textId="77777777" w:rsidR="00196EBD" w:rsidRDefault="00000000">
      <w:pPr>
        <w:bidi/>
        <w:jc w:val="both"/>
      </w:pPr>
      <w:r>
        <w:rPr>
          <w:rtl/>
        </w:rPr>
        <w:t>وتترجم هذه المبادئ عملياً إلى مجموعة ضوابط داخل الموافقات الطبية: توثيق مصدر البيانات والقواعد وإصدارات النموذج، وإتاحة مسار اعتراض واضح، ومراقبة الأداء حسب نوع الخدمة والخطورة، وقياس الخطأ وتغير القرار والتصعيد، وتحديد المسؤولية النهائية، واستخدام مراجعة بشرية أعلى في الحالات المعقدة أو عالية الخطورة. ويعد تطبيق هذه الضوابط ضرورياً قبل الانتقال من التوصية إلى القرار المباشر في خدمات مثل التنويم.</w:t>
      </w:r>
    </w:p>
    <w:p w14:paraId="3D691088" w14:textId="77777777" w:rsidR="00196EBD" w:rsidRDefault="00000000">
      <w:pPr>
        <w:bidi/>
        <w:ind w:right="255" w:hanging="142"/>
        <w:jc w:val="both"/>
      </w:pPr>
      <w:r>
        <w:rPr>
          <w:b/>
          <w:rtl/>
        </w:rPr>
        <w:t xml:space="preserve">• </w:t>
      </w:r>
      <w:r>
        <w:rPr>
          <w:rtl/>
        </w:rPr>
        <w:t>الفصل بين قرار الذكاء الاصطناعي المباشر، وتوصية الذكاء الاصطناعي، والأتمتة القائمة على القواعد، والمعالجة اليدوية في القياس والتدقيق.</w:t>
      </w:r>
    </w:p>
    <w:p w14:paraId="02ABF42C" w14:textId="77777777" w:rsidR="00196EBD" w:rsidRDefault="00000000">
      <w:pPr>
        <w:bidi/>
        <w:ind w:right="255" w:hanging="142"/>
        <w:jc w:val="both"/>
      </w:pPr>
      <w:r>
        <w:rPr>
          <w:b/>
          <w:rtl/>
        </w:rPr>
        <w:lastRenderedPageBreak/>
        <w:t xml:space="preserve">• </w:t>
      </w:r>
      <w:r>
        <w:rPr>
          <w:rtl/>
        </w:rPr>
        <w:t>استخدام عتبات تصعيد واضحة للحالات ناقصة المعلومات أو عالية الخطورة أو غير المعتادة.</w:t>
      </w:r>
    </w:p>
    <w:p w14:paraId="19C2E965" w14:textId="77777777" w:rsidR="00196EBD" w:rsidRDefault="00000000">
      <w:pPr>
        <w:bidi/>
        <w:ind w:right="255" w:hanging="142"/>
        <w:jc w:val="both"/>
      </w:pPr>
      <w:r>
        <w:rPr>
          <w:b/>
          <w:rtl/>
        </w:rPr>
        <w:t xml:space="preserve">• </w:t>
      </w:r>
      <w:r>
        <w:rPr>
          <w:rtl/>
        </w:rPr>
        <w:t xml:space="preserve">تدقيق عينات من الموافقات والرفض </w:t>
      </w:r>
      <w:proofErr w:type="spellStart"/>
      <w:r>
        <w:rPr>
          <w:rtl/>
        </w:rPr>
        <w:t>وNPR</w:t>
      </w:r>
      <w:proofErr w:type="spellEnd"/>
      <w:r>
        <w:rPr>
          <w:rtl/>
        </w:rPr>
        <w:t xml:space="preserve"> الآلية ومراجعة أسباب الاختلاف بين النظام والمراجع البشري.</w:t>
      </w:r>
    </w:p>
    <w:p w14:paraId="65807E04" w14:textId="77777777" w:rsidR="00196EBD" w:rsidRDefault="00000000">
      <w:pPr>
        <w:bidi/>
        <w:ind w:right="255" w:hanging="142"/>
        <w:jc w:val="both"/>
      </w:pPr>
      <w:r>
        <w:rPr>
          <w:b/>
          <w:rtl/>
        </w:rPr>
        <w:t xml:space="preserve">• </w:t>
      </w:r>
      <w:r>
        <w:rPr>
          <w:rtl/>
        </w:rPr>
        <w:t xml:space="preserve">مراقبة </w:t>
      </w:r>
      <w:proofErr w:type="spellStart"/>
      <w:r>
        <w:rPr>
          <w:rtl/>
        </w:rPr>
        <w:t>Rework</w:t>
      </w:r>
      <w:proofErr w:type="spellEnd"/>
      <w:r>
        <w:rPr>
          <w:rtl/>
        </w:rPr>
        <w:t xml:space="preserve"> والاعتراضات وأخطاء السياسة أو الضرورة الطبية حسب نوع الخدمة وإصدار النموذج.</w:t>
      </w:r>
    </w:p>
    <w:p w14:paraId="0D6F4463" w14:textId="77777777" w:rsidR="00196EBD" w:rsidRDefault="00000000">
      <w:pPr>
        <w:bidi/>
        <w:ind w:right="255" w:hanging="142"/>
        <w:jc w:val="both"/>
      </w:pPr>
      <w:r>
        <w:rPr>
          <w:b/>
          <w:rtl/>
        </w:rPr>
        <w:t xml:space="preserve">• </w:t>
      </w:r>
      <w:r>
        <w:rPr>
          <w:rtl/>
        </w:rPr>
        <w:t>تحديث تدريب المستخدمين ومسؤولياتهم كلما تغير نطاق النظام أو طريقة اتخاذ القرار.</w:t>
      </w:r>
    </w:p>
    <w:p w14:paraId="009F30C8" w14:textId="77777777" w:rsidR="00196EBD" w:rsidRDefault="00000000">
      <w:pPr>
        <w:pStyle w:val="Heading2"/>
        <w:bidi/>
        <w:spacing w:before="240" w:after="120"/>
        <w:jc w:val="right"/>
      </w:pPr>
      <w:r>
        <w:rPr>
          <w:rFonts w:ascii="Times New Roman" w:eastAsia="Simplified Arabic" w:hAnsi="Times New Roman" w:cs="Simplified Arabic"/>
          <w:rtl/>
        </w:rPr>
        <w:t>2.9 الإطار النظري للدراسة</w:t>
      </w:r>
    </w:p>
    <w:p w14:paraId="761F1F93" w14:textId="77777777" w:rsidR="00196EBD" w:rsidRDefault="00000000">
      <w:pPr>
        <w:pStyle w:val="Heading3"/>
        <w:bidi/>
        <w:spacing w:before="160" w:after="80"/>
        <w:jc w:val="right"/>
      </w:pPr>
      <w:r>
        <w:rPr>
          <w:rFonts w:ascii="Times New Roman" w:eastAsia="Simplified Arabic" w:hAnsi="Times New Roman" w:cs="Simplified Arabic"/>
          <w:rtl/>
        </w:rPr>
        <w:t>2.9.1 المنظور الاجتماعي-التقني</w:t>
      </w:r>
    </w:p>
    <w:p w14:paraId="230B5014" w14:textId="77777777" w:rsidR="00196EBD" w:rsidRDefault="00000000">
      <w:pPr>
        <w:bidi/>
        <w:jc w:val="both"/>
      </w:pPr>
      <w:r>
        <w:rPr>
          <w:rtl/>
        </w:rPr>
        <w:t xml:space="preserve">يفسر المنظور الاجتماعي-التقني الأداء باعتباره نتيجة للتفاعل بين النظام التقني والنظام الاجتماعي داخل المنظمة. وبناءً عليه، فإن أثر الذكاء الاصطناعي على الموافقات الطبية لا يمكن تقييمه بمعزل عن تصميم العمل، وتوزيع الحالات، وعدد الموظفين، ومستوى التدريب، وقواعد التصعيد. فإذا انتقلت الطلبات السهلة إلى المسار الآلي، فإن متوسط تعقيد الحالات اليدوية يرتفع، وقد ينخفض أداء المسار اليدوي حتى مع تحسن القدرة الكلية. هذه العلاقة تفسر أهمية تحليل </w:t>
      </w:r>
      <w:proofErr w:type="spellStart"/>
      <w:r>
        <w:rPr>
          <w:rtl/>
        </w:rPr>
        <w:t>Total</w:t>
      </w:r>
      <w:proofErr w:type="spellEnd"/>
      <w:r>
        <w:rPr>
          <w:rtl/>
        </w:rPr>
        <w:t xml:space="preserve"> RT </w:t>
      </w:r>
      <w:proofErr w:type="spellStart"/>
      <w:r>
        <w:rPr>
          <w:rtl/>
        </w:rPr>
        <w:t>وManual</w:t>
      </w:r>
      <w:proofErr w:type="spellEnd"/>
      <w:r>
        <w:rPr>
          <w:rtl/>
        </w:rPr>
        <w:t xml:space="preserve"> RT معاً بدلاً من استخدام المؤشر الكلي وحده (</w:t>
      </w:r>
      <w:proofErr w:type="spellStart"/>
      <w:r>
        <w:rPr>
          <w:rtl/>
        </w:rPr>
        <w:t>Bostrom</w:t>
      </w:r>
      <w:proofErr w:type="spellEnd"/>
      <w:r>
        <w:rPr>
          <w:rtl/>
        </w:rPr>
        <w:t xml:space="preserve"> &amp; </w:t>
      </w:r>
      <w:proofErr w:type="spellStart"/>
      <w:r>
        <w:rPr>
          <w:rtl/>
        </w:rPr>
        <w:t>Heinen</w:t>
      </w:r>
      <w:proofErr w:type="spellEnd"/>
      <w:r>
        <w:rPr>
          <w:rtl/>
        </w:rPr>
        <w:t>, 1977).</w:t>
      </w:r>
    </w:p>
    <w:p w14:paraId="040BD015" w14:textId="77777777" w:rsidR="00196EBD" w:rsidRDefault="00000000">
      <w:pPr>
        <w:pStyle w:val="Heading3"/>
        <w:bidi/>
        <w:spacing w:before="160" w:after="80"/>
        <w:jc w:val="right"/>
      </w:pPr>
      <w:r>
        <w:rPr>
          <w:rFonts w:ascii="Times New Roman" w:eastAsia="Simplified Arabic" w:hAnsi="Times New Roman" w:cs="Simplified Arabic"/>
          <w:rtl/>
        </w:rPr>
        <w:t>2.9.2 منظور القدرات الديناميكية</w:t>
      </w:r>
    </w:p>
    <w:p w14:paraId="543A6DAD" w14:textId="77777777" w:rsidR="00196EBD" w:rsidRDefault="00000000">
      <w:pPr>
        <w:bidi/>
        <w:jc w:val="both"/>
      </w:pPr>
      <w:r>
        <w:rPr>
          <w:rtl/>
        </w:rPr>
        <w:t>يركز منظور القدرات الديناميكية على قدرة المؤسسة على إعادة تشكيل مواردها وعملياتها استجابة للتغير. وفي هذه الدراسة يظهر ذلك في الانتقال التدريجي من خدمات بسيطة إلى نطاق أوسع، وفي الحاجة إلى التعلم من الأخطاء وإعادة العمل قبل الانتقال إلى خدمات أكثر تعقيداً. ومن ثم لا تقاس القدرة المؤسسية بنسبة الأتمتة وحدها، بل بقدرة المنظمة على اختيار الاستخدام المناسب، وقياس الأثر، ثم تعديل النطاق والحوكمة والموارد عند ظهور إشارات جديدة (</w:t>
      </w:r>
      <w:proofErr w:type="spellStart"/>
      <w:r>
        <w:rPr>
          <w:rtl/>
        </w:rPr>
        <w:t>Teece</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1997).</w:t>
      </w:r>
    </w:p>
    <w:p w14:paraId="608E5A97" w14:textId="77777777" w:rsidR="00196EBD" w:rsidRDefault="00000000">
      <w:pPr>
        <w:pStyle w:val="Heading3"/>
        <w:bidi/>
        <w:spacing w:before="160" w:after="80"/>
        <w:jc w:val="right"/>
      </w:pPr>
      <w:r>
        <w:rPr>
          <w:rFonts w:ascii="Times New Roman" w:eastAsia="Simplified Arabic" w:hAnsi="Times New Roman" w:cs="Simplified Arabic"/>
          <w:rtl/>
        </w:rPr>
        <w:t>2.9.3 تكامل النظريتين في الدراسة الحالية</w:t>
      </w:r>
    </w:p>
    <w:p w14:paraId="50363D67" w14:textId="77777777" w:rsidR="00196EBD" w:rsidRDefault="00000000">
      <w:pPr>
        <w:bidi/>
        <w:jc w:val="both"/>
      </w:pPr>
      <w:r>
        <w:rPr>
          <w:rtl/>
        </w:rPr>
        <w:t>يستخدم البحث المنظور الاجتماعي-التقني لتفسير كيفية تغير الأداء داخل سير العمل، ويستخدم القدرات الديناميكية لتفسير قدرة المنظمة على تطوير استخدام الذكاء الاصطناعي على مراحل. ويؤدي الجمع بينهما إلى توقع رئيس: قد يرفع التوسع التقني القدرة الاستيعابية، لكن استدامة الأثر تعتمد على جودة التكامل، والتعلم من التغيرات، وإعادة توزيع الموارد، وإبقاء الإنسان داخل الحلقة في الحالات التي تتطلب حكماً أكثر تعقيداً.</w:t>
      </w:r>
    </w:p>
    <w:p w14:paraId="4BDE7D7F" w14:textId="77777777" w:rsidR="00196EBD" w:rsidRDefault="00000000">
      <w:pPr>
        <w:pStyle w:val="Heading2"/>
        <w:bidi/>
        <w:spacing w:before="240" w:after="120"/>
        <w:jc w:val="right"/>
      </w:pPr>
      <w:r>
        <w:rPr>
          <w:rFonts w:ascii="Times New Roman" w:eastAsia="Simplified Arabic" w:hAnsi="Times New Roman" w:cs="Simplified Arabic"/>
          <w:rtl/>
        </w:rPr>
        <w:t>2.10 الدراسات السابقة</w:t>
      </w:r>
    </w:p>
    <w:p w14:paraId="31814C40" w14:textId="77777777" w:rsidR="00196EBD" w:rsidRDefault="00000000">
      <w:pPr>
        <w:bidi/>
        <w:jc w:val="both"/>
      </w:pPr>
      <w:r>
        <w:rPr>
          <w:rtl/>
        </w:rPr>
        <w:t>تم اختيار الدراسات السابقة وفق صلتها بأحد ثلاثة محاور: الذكاء الاصطناعي في الموافقات المسبقة، العبء الإداري والأتمتة، وحوكمة قرارات التغطية. ويبين العرض التالي موضوع كل دراسة وطريقتها وأهم نتيجة يستفيد منها البحث الحالي.</w:t>
      </w:r>
    </w:p>
    <w:p w14:paraId="4857084B" w14:textId="77777777" w:rsidR="00196EBD" w:rsidRDefault="00000000">
      <w:pPr>
        <w:bidi/>
        <w:jc w:val="both"/>
      </w:pPr>
      <w:proofErr w:type="spellStart"/>
      <w:r>
        <w:rPr>
          <w:b/>
          <w:rtl/>
        </w:rPr>
        <w:t>Choudhury</w:t>
      </w:r>
      <w:proofErr w:type="spellEnd"/>
      <w:r>
        <w:rPr>
          <w:b/>
          <w:rtl/>
        </w:rPr>
        <w:t xml:space="preserve"> &amp; </w:t>
      </w:r>
      <w:proofErr w:type="spellStart"/>
      <w:r>
        <w:rPr>
          <w:b/>
          <w:rtl/>
        </w:rPr>
        <w:t>Perumalla</w:t>
      </w:r>
      <w:proofErr w:type="spellEnd"/>
      <w:r>
        <w:rPr>
          <w:b/>
          <w:rtl/>
        </w:rPr>
        <w:t xml:space="preserve"> (2021): </w:t>
      </w:r>
      <w:r>
        <w:rPr>
          <w:rtl/>
        </w:rPr>
        <w:t>دراسة تطبيقية استخدمت تحليلات تنبؤية وبيانات 1600 حالة للتنبؤ المبكر بمسار الرعاية بعد الخروج. أظهرت إمكانية استخدام التعلم الآلي لتقليل التأخير الناتج عن الموافقة عبر التدخل المبكر في سير العمل. تدعم قياس أثر AI على الزمن والقدرة التشغيلية، وتوضح أن القيمة قد تكون في إدارة المسار لا في القرار المباشر فقط.</w:t>
      </w:r>
    </w:p>
    <w:p w14:paraId="4DE6054E" w14:textId="77777777" w:rsidR="00196EBD" w:rsidRDefault="00000000">
      <w:pPr>
        <w:bidi/>
        <w:jc w:val="both"/>
      </w:pPr>
      <w:proofErr w:type="spellStart"/>
      <w:r>
        <w:rPr>
          <w:rtl/>
        </w:rPr>
        <w:t>Lenert</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(2023): مقالة مفاهيمية قارنت بين الأتمتة القائمة على قواعد ونهج ذكاء اصطناعي متمركز حول الإنسان في الموافقات المسبقة. ركزت على البيانات المعيارية وقابلية التفسير والتحقق المستقل والمراجعة البشرية. توفر أساساً نظرياً للفصل بين الأتمتة التقليدية والذكاء الاصطناعي ولتصميم الحوكمة البشرية.</w:t>
      </w:r>
    </w:p>
    <w:p w14:paraId="0C6655EF" w14:textId="77777777" w:rsidR="00196EBD" w:rsidRDefault="00000000">
      <w:pPr>
        <w:bidi/>
        <w:jc w:val="both"/>
      </w:pPr>
      <w:proofErr w:type="spellStart"/>
      <w:r>
        <w:rPr>
          <w:b/>
          <w:rtl/>
        </w:rPr>
        <w:lastRenderedPageBreak/>
        <w:t>Sahni</w:t>
      </w:r>
      <w:proofErr w:type="spellEnd"/>
      <w:r>
        <w:rPr>
          <w:b/>
          <w:rtl/>
        </w:rPr>
        <w:t xml:space="preserve"> </w:t>
      </w:r>
      <w:proofErr w:type="spellStart"/>
      <w:r>
        <w:rPr>
          <w:b/>
          <w:rtl/>
        </w:rPr>
        <w:t>et</w:t>
      </w:r>
      <w:proofErr w:type="spellEnd"/>
      <w:r>
        <w:rPr>
          <w:b/>
          <w:rtl/>
        </w:rPr>
        <w:t xml:space="preserve"> </w:t>
      </w:r>
      <w:proofErr w:type="spellStart"/>
      <w:r>
        <w:rPr>
          <w:b/>
          <w:rtl/>
        </w:rPr>
        <w:t>al</w:t>
      </w:r>
      <w:proofErr w:type="spellEnd"/>
      <w:r>
        <w:rPr>
          <w:b/>
          <w:rtl/>
        </w:rPr>
        <w:t xml:space="preserve">. (2024): </w:t>
      </w:r>
      <w:r>
        <w:rPr>
          <w:rtl/>
        </w:rPr>
        <w:t xml:space="preserve">مسح شمل 1005 مرضى و1010 من العاملين لدى مقدمي الخدمة و115 من العاملين لدى دافعين خاصين. أظهر عبئاً مرتفعاً وتبايناً في الإدراك؛ وذكر 65% من ممثلي الدافعين نية إدخال AI خلال 3-5 سنوات. يدعم أهمية الجمع بين الكفاءة </w:t>
      </w:r>
      <w:proofErr w:type="gramStart"/>
      <w:r>
        <w:rPr>
          <w:rtl/>
        </w:rPr>
        <w:t>التشغيلية</w:t>
      </w:r>
      <w:proofErr w:type="gramEnd"/>
      <w:r>
        <w:rPr>
          <w:rtl/>
        </w:rPr>
        <w:t xml:space="preserve"> والثقة والبنية التحتية والحوكمة.</w:t>
      </w:r>
    </w:p>
    <w:p w14:paraId="4CFB6812" w14:textId="77777777" w:rsidR="00196EBD" w:rsidRDefault="00000000">
      <w:pPr>
        <w:bidi/>
        <w:jc w:val="both"/>
      </w:pPr>
      <w:proofErr w:type="spellStart"/>
      <w:r>
        <w:rPr>
          <w:b/>
          <w:rtl/>
        </w:rPr>
        <w:t>Mello</w:t>
      </w:r>
      <w:proofErr w:type="spellEnd"/>
      <w:r>
        <w:rPr>
          <w:b/>
          <w:rtl/>
        </w:rPr>
        <w:t xml:space="preserve"> &amp; </w:t>
      </w:r>
      <w:proofErr w:type="spellStart"/>
      <w:r>
        <w:rPr>
          <w:b/>
          <w:rtl/>
        </w:rPr>
        <w:t>Rose</w:t>
      </w:r>
      <w:proofErr w:type="spellEnd"/>
      <w:r>
        <w:rPr>
          <w:b/>
          <w:rtl/>
        </w:rPr>
        <w:t xml:space="preserve"> (2024): </w:t>
      </w:r>
      <w:r>
        <w:rPr>
          <w:rtl/>
        </w:rPr>
        <w:t xml:space="preserve">تحليل سياساتي وقانوني لاستخدام AI في قرارات التغطية الصحية. حذر من الغموض والاعتماد المفرط على الخوارزميات، وأكد ضرورة الحكم البشري ومراعاة ظروف الفرد. يدعم استخدام </w:t>
      </w:r>
      <w:proofErr w:type="spellStart"/>
      <w:r>
        <w:rPr>
          <w:rtl/>
        </w:rPr>
        <w:t>Rework</w:t>
      </w:r>
      <w:proofErr w:type="spellEnd"/>
      <w:r>
        <w:rPr>
          <w:rtl/>
        </w:rPr>
        <w:t xml:space="preserve"> والتدقيق والتفسير كمؤشرات جودة موازية للسرعة.</w:t>
      </w:r>
    </w:p>
    <w:p w14:paraId="63D467DC" w14:textId="77777777" w:rsidR="00196EBD" w:rsidRDefault="00000000">
      <w:pPr>
        <w:bidi/>
        <w:jc w:val="both"/>
      </w:pPr>
      <w:proofErr w:type="spellStart"/>
      <w:r>
        <w:rPr>
          <w:b/>
          <w:rtl/>
        </w:rPr>
        <w:t>Kunze</w:t>
      </w:r>
      <w:proofErr w:type="spellEnd"/>
      <w:r>
        <w:rPr>
          <w:b/>
          <w:rtl/>
        </w:rPr>
        <w:t xml:space="preserve"> </w:t>
      </w:r>
      <w:proofErr w:type="spellStart"/>
      <w:r>
        <w:rPr>
          <w:b/>
          <w:rtl/>
        </w:rPr>
        <w:t>et</w:t>
      </w:r>
      <w:proofErr w:type="spellEnd"/>
      <w:r>
        <w:rPr>
          <w:b/>
          <w:rtl/>
        </w:rPr>
        <w:t xml:space="preserve"> </w:t>
      </w:r>
      <w:proofErr w:type="spellStart"/>
      <w:r>
        <w:rPr>
          <w:b/>
          <w:rtl/>
        </w:rPr>
        <w:t>al</w:t>
      </w:r>
      <w:proofErr w:type="spellEnd"/>
      <w:r>
        <w:rPr>
          <w:b/>
          <w:rtl/>
        </w:rPr>
        <w:t xml:space="preserve">. (2025): </w:t>
      </w:r>
      <w:r>
        <w:rPr>
          <w:rtl/>
        </w:rPr>
        <w:t xml:space="preserve">مراجعة للتطبيقات التجارية للذكاء الاصطناعي التوليدي في سير العمل الصحي. حددت </w:t>
      </w:r>
      <w:proofErr w:type="spellStart"/>
      <w:r>
        <w:rPr>
          <w:rtl/>
        </w:rPr>
        <w:t>prior</w:t>
      </w:r>
      <w:proofErr w:type="spellEnd"/>
      <w:r>
        <w:rPr>
          <w:rtl/>
        </w:rPr>
        <w:t xml:space="preserve"> </w:t>
      </w:r>
      <w:proofErr w:type="spellStart"/>
      <w:r>
        <w:rPr>
          <w:rtl/>
        </w:rPr>
        <w:t>authorization</w:t>
      </w:r>
      <w:proofErr w:type="spellEnd"/>
      <w:r>
        <w:rPr>
          <w:rtl/>
        </w:rPr>
        <w:t xml:space="preserve"> ضمن التطبيقات الناشئة، مع </w:t>
      </w:r>
      <w:proofErr w:type="gramStart"/>
      <w:r>
        <w:rPr>
          <w:rtl/>
        </w:rPr>
        <w:t>مخاطر</w:t>
      </w:r>
      <w:proofErr w:type="gramEnd"/>
      <w:r>
        <w:rPr>
          <w:rtl/>
        </w:rPr>
        <w:t xml:space="preserve"> </w:t>
      </w:r>
      <w:proofErr w:type="gramStart"/>
      <w:r>
        <w:rPr>
          <w:rtl/>
        </w:rPr>
        <w:t>تنظيمية</w:t>
      </w:r>
      <w:proofErr w:type="gramEnd"/>
      <w:r>
        <w:rPr>
          <w:rtl/>
        </w:rPr>
        <w:t xml:space="preserve"> وانحياز وتكامل وثقة. توضح أن الانتقال إلى التشغيل يتطلب جاهزية تنظيمية وتقنية وليس نموذجاً جيداً فقط.</w:t>
      </w:r>
    </w:p>
    <w:p w14:paraId="66A13D49" w14:textId="77777777" w:rsidR="00196EBD" w:rsidRDefault="00000000">
      <w:pPr>
        <w:bidi/>
        <w:jc w:val="both"/>
      </w:pPr>
      <w:proofErr w:type="spellStart"/>
      <w:r>
        <w:rPr>
          <w:rtl/>
        </w:rPr>
        <w:t>Keng</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(2025): مقالة تحليلية حول استراتيجيات الأتمتة والذكاء الاصطناعي لخفض العبء الإداري. اعتبرت الموافقة المسبقة من المجالات المرشحة للتحسين عبر إعادة تصميم العمليات واستخدام أدوات معلوماتية. تدعم تفسير الذكاء الاصطناعي كأداة لإعادة تصميم العملية، لا كقرار تقني معزول.</w:t>
      </w:r>
    </w:p>
    <w:p w14:paraId="52B8F59B" w14:textId="77777777" w:rsidR="00196EBD" w:rsidRDefault="00000000">
      <w:pPr>
        <w:bidi/>
        <w:jc w:val="both"/>
      </w:pPr>
      <w:proofErr w:type="spellStart"/>
      <w:r>
        <w:rPr>
          <w:b/>
          <w:rtl/>
        </w:rPr>
        <w:t>Mello</w:t>
      </w:r>
      <w:proofErr w:type="spellEnd"/>
      <w:r>
        <w:rPr>
          <w:b/>
          <w:rtl/>
        </w:rPr>
        <w:t xml:space="preserve"> </w:t>
      </w:r>
      <w:proofErr w:type="spellStart"/>
      <w:r>
        <w:rPr>
          <w:b/>
          <w:rtl/>
        </w:rPr>
        <w:t>et</w:t>
      </w:r>
      <w:proofErr w:type="spellEnd"/>
      <w:r>
        <w:rPr>
          <w:b/>
          <w:rtl/>
        </w:rPr>
        <w:t xml:space="preserve"> </w:t>
      </w:r>
      <w:proofErr w:type="spellStart"/>
      <w:r>
        <w:rPr>
          <w:b/>
          <w:rtl/>
        </w:rPr>
        <w:t>al</w:t>
      </w:r>
      <w:proofErr w:type="spellEnd"/>
      <w:r>
        <w:rPr>
          <w:b/>
          <w:rtl/>
        </w:rPr>
        <w:t xml:space="preserve">. (2026): </w:t>
      </w:r>
      <w:r>
        <w:rPr>
          <w:rtl/>
        </w:rPr>
        <w:t xml:space="preserve">تحليل متخصص في استخدام AI داخل health </w:t>
      </w:r>
      <w:proofErr w:type="spellStart"/>
      <w:r>
        <w:rPr>
          <w:rtl/>
        </w:rPr>
        <w:t>insurance</w:t>
      </w:r>
      <w:proofErr w:type="spellEnd"/>
      <w:r>
        <w:rPr>
          <w:rtl/>
        </w:rPr>
        <w:t xml:space="preserve"> </w:t>
      </w:r>
      <w:proofErr w:type="spellStart"/>
      <w:r>
        <w:rPr>
          <w:rtl/>
        </w:rPr>
        <w:t>utilization</w:t>
      </w:r>
      <w:proofErr w:type="spellEnd"/>
      <w:r>
        <w:rPr>
          <w:rtl/>
        </w:rPr>
        <w:t xml:space="preserve"> </w:t>
      </w:r>
      <w:proofErr w:type="spellStart"/>
      <w:r>
        <w:rPr>
          <w:rtl/>
        </w:rPr>
        <w:t>review</w:t>
      </w:r>
      <w:proofErr w:type="spellEnd"/>
      <w:r>
        <w:rPr>
          <w:rtl/>
        </w:rPr>
        <w:t xml:space="preserve">. بيّن فرص الكفاءة مقابل </w:t>
      </w:r>
      <w:proofErr w:type="gramStart"/>
      <w:r>
        <w:rPr>
          <w:rtl/>
        </w:rPr>
        <w:t>مخاطر</w:t>
      </w:r>
      <w:proofErr w:type="gramEnd"/>
      <w:r>
        <w:rPr>
          <w:rtl/>
        </w:rPr>
        <w:t xml:space="preserve"> </w:t>
      </w:r>
      <w:proofErr w:type="spellStart"/>
      <w:r>
        <w:rPr>
          <w:rtl/>
        </w:rPr>
        <w:t>automation</w:t>
      </w:r>
      <w:proofErr w:type="spellEnd"/>
      <w:r>
        <w:rPr>
          <w:rtl/>
        </w:rPr>
        <w:t xml:space="preserve"> </w:t>
      </w:r>
      <w:proofErr w:type="spellStart"/>
      <w:r>
        <w:rPr>
          <w:rtl/>
        </w:rPr>
        <w:t>bias</w:t>
      </w:r>
      <w:proofErr w:type="spellEnd"/>
      <w:r>
        <w:rPr>
          <w:rtl/>
        </w:rPr>
        <w:t xml:space="preserve"> والغموض وضعف الحوكمة المؤسسية. يرتبط مباشرة بسؤال الدراسة حول التوسع المسؤول والحاجة إلى مؤشرات جودة وحوكمة.</w:t>
      </w:r>
    </w:p>
    <w:p w14:paraId="1CB31E37" w14:textId="77777777" w:rsidR="00196EBD" w:rsidRDefault="00000000">
      <w:pPr>
        <w:bidi/>
        <w:jc w:val="both"/>
      </w:pPr>
      <w:proofErr w:type="spellStart"/>
      <w:r>
        <w:rPr>
          <w:b/>
          <w:rtl/>
        </w:rPr>
        <w:t>Raza</w:t>
      </w:r>
      <w:proofErr w:type="spellEnd"/>
      <w:r>
        <w:rPr>
          <w:b/>
          <w:rtl/>
        </w:rPr>
        <w:t xml:space="preserve"> </w:t>
      </w:r>
      <w:proofErr w:type="spellStart"/>
      <w:r>
        <w:rPr>
          <w:b/>
          <w:rtl/>
        </w:rPr>
        <w:t>et</w:t>
      </w:r>
      <w:proofErr w:type="spellEnd"/>
      <w:r>
        <w:rPr>
          <w:b/>
          <w:rtl/>
        </w:rPr>
        <w:t xml:space="preserve"> </w:t>
      </w:r>
      <w:proofErr w:type="spellStart"/>
      <w:r>
        <w:rPr>
          <w:b/>
          <w:rtl/>
        </w:rPr>
        <w:t>al</w:t>
      </w:r>
      <w:proofErr w:type="spellEnd"/>
      <w:r>
        <w:rPr>
          <w:b/>
          <w:rtl/>
        </w:rPr>
        <w:t xml:space="preserve">. (2026): </w:t>
      </w:r>
      <w:r>
        <w:rPr>
          <w:rtl/>
        </w:rPr>
        <w:t xml:space="preserve">مقالة </w:t>
      </w:r>
      <w:proofErr w:type="spellStart"/>
      <w:r>
        <w:rPr>
          <w:rtl/>
        </w:rPr>
        <w:t>Perspective</w:t>
      </w:r>
      <w:proofErr w:type="spellEnd"/>
      <w:r>
        <w:rPr>
          <w:rtl/>
        </w:rPr>
        <w:t xml:space="preserve"> حول استخدام AI في </w:t>
      </w:r>
      <w:proofErr w:type="spellStart"/>
      <w:r>
        <w:rPr>
          <w:rtl/>
        </w:rPr>
        <w:t>prior</w:t>
      </w:r>
      <w:proofErr w:type="spellEnd"/>
      <w:r>
        <w:rPr>
          <w:rtl/>
        </w:rPr>
        <w:t xml:space="preserve"> </w:t>
      </w:r>
      <w:proofErr w:type="spellStart"/>
      <w:r>
        <w:rPr>
          <w:rtl/>
        </w:rPr>
        <w:t>authorization</w:t>
      </w:r>
      <w:proofErr w:type="spellEnd"/>
      <w:r>
        <w:rPr>
          <w:rtl/>
        </w:rPr>
        <w:t xml:space="preserve"> داخل </w:t>
      </w:r>
      <w:proofErr w:type="spellStart"/>
      <w:r>
        <w:rPr>
          <w:rtl/>
        </w:rPr>
        <w:t>Medicare</w:t>
      </w:r>
      <w:proofErr w:type="spellEnd"/>
      <w:r>
        <w:rPr>
          <w:rtl/>
        </w:rPr>
        <w:t xml:space="preserve"> </w:t>
      </w:r>
      <w:proofErr w:type="spellStart"/>
      <w:r>
        <w:rPr>
          <w:rtl/>
        </w:rPr>
        <w:t>Advantage</w:t>
      </w:r>
      <w:proofErr w:type="spellEnd"/>
      <w:r>
        <w:rPr>
          <w:rtl/>
        </w:rPr>
        <w:t xml:space="preserve">. ناقشت </w:t>
      </w:r>
      <w:proofErr w:type="gramStart"/>
      <w:r>
        <w:rPr>
          <w:rtl/>
        </w:rPr>
        <w:t>مخاطر</w:t>
      </w:r>
      <w:proofErr w:type="gramEnd"/>
      <w:r>
        <w:rPr>
          <w:rtl/>
        </w:rPr>
        <w:t xml:space="preserve"> الرفض واسع النطاق ونقص الشفافية والعبء الناتج عن الاعتراضات. تدعم إبقاء المراجعة البشرية ووضوح أسباب القرار ضمن معايير التوسع.</w:t>
      </w:r>
    </w:p>
    <w:p w14:paraId="1E9AF4D5" w14:textId="77777777" w:rsidR="00196EBD" w:rsidRDefault="00000000">
      <w:pPr>
        <w:bidi/>
        <w:spacing w:before="120"/>
        <w:jc w:val="both"/>
      </w:pPr>
      <w:r>
        <w:rPr>
          <w:b/>
          <w:rtl/>
        </w:rPr>
        <w:t>الجدول 2-1: مقارنة تحليلية للدراسات السابقة</w:t>
      </w:r>
    </w:p>
    <w:tbl>
      <w:tblPr>
        <w:tblStyle w:val="TableGrid"/>
        <w:bidiVisual/>
        <w:tblW w:w="0" w:type="auto"/>
        <w:jc w:val="center"/>
        <w:tblLook w:val="04A0" w:firstRow="1" w:lastRow="0" w:firstColumn="1" w:lastColumn="0" w:noHBand="0" w:noVBand="1"/>
      </w:tblPr>
      <w:tblGrid>
        <w:gridCol w:w="2883"/>
        <w:gridCol w:w="3370"/>
        <w:gridCol w:w="3352"/>
      </w:tblGrid>
      <w:tr w:rsidR="00196EBD" w14:paraId="30D810DD" w14:textId="77777777">
        <w:trPr>
          <w:cantSplit/>
          <w:tblHeader/>
          <w:jc w:val="center"/>
        </w:trPr>
        <w:tc>
          <w:tcPr>
            <w:tcW w:w="2268" w:type="dxa"/>
            <w:shd w:val="clear" w:color="auto" w:fill="D9EAF7"/>
            <w:tcMar>
              <w:top w:w="80" w:type="dxa"/>
              <w:left w:w="100" w:type="dxa"/>
              <w:bottom w:w="80" w:type="dxa"/>
              <w:right w:w="100" w:type="dxa"/>
            </w:tcMar>
            <w:vAlign w:val="center"/>
          </w:tcPr>
          <w:p w14:paraId="39AF427B" w14:textId="77777777" w:rsidR="00196EBD" w:rsidRDefault="00000000">
            <w:pPr>
              <w:bidi/>
              <w:spacing w:after="0"/>
              <w:jc w:val="center"/>
            </w:pPr>
            <w:r>
              <w:rPr>
                <w:b/>
                <w:sz w:val="23"/>
                <w:rtl/>
              </w:rPr>
              <w:t>الدراسة</w:t>
            </w:r>
          </w:p>
        </w:tc>
        <w:tc>
          <w:tcPr>
            <w:tcW w:w="3685" w:type="dxa"/>
            <w:shd w:val="clear" w:color="auto" w:fill="D9EAF7"/>
            <w:tcMar>
              <w:top w:w="80" w:type="dxa"/>
              <w:left w:w="100" w:type="dxa"/>
              <w:bottom w:w="80" w:type="dxa"/>
              <w:right w:w="100" w:type="dxa"/>
            </w:tcMar>
            <w:vAlign w:val="center"/>
          </w:tcPr>
          <w:p w14:paraId="13963DE1" w14:textId="77777777" w:rsidR="00196EBD" w:rsidRDefault="00000000">
            <w:pPr>
              <w:bidi/>
              <w:spacing w:after="0"/>
              <w:jc w:val="center"/>
            </w:pPr>
            <w:r>
              <w:rPr>
                <w:b/>
                <w:sz w:val="23"/>
                <w:rtl/>
              </w:rPr>
              <w:t>التركيز/المنهج</w:t>
            </w:r>
          </w:p>
        </w:tc>
        <w:tc>
          <w:tcPr>
            <w:tcW w:w="3685" w:type="dxa"/>
            <w:shd w:val="clear" w:color="auto" w:fill="D9EAF7"/>
            <w:tcMar>
              <w:top w:w="80" w:type="dxa"/>
              <w:left w:w="100" w:type="dxa"/>
              <w:bottom w:w="80" w:type="dxa"/>
              <w:right w:w="100" w:type="dxa"/>
            </w:tcMar>
            <w:vAlign w:val="center"/>
          </w:tcPr>
          <w:p w14:paraId="05D0A860" w14:textId="77777777" w:rsidR="00196EBD" w:rsidRDefault="00000000">
            <w:pPr>
              <w:bidi/>
              <w:spacing w:after="0"/>
              <w:jc w:val="center"/>
            </w:pPr>
            <w:r>
              <w:rPr>
                <w:b/>
                <w:sz w:val="23"/>
                <w:rtl/>
              </w:rPr>
              <w:t>أهم ما يفيد الدراسة الحالية</w:t>
            </w:r>
          </w:p>
        </w:tc>
      </w:tr>
      <w:tr w:rsidR="00196EBD" w14:paraId="3426BDA0" w14:textId="77777777">
        <w:trPr>
          <w:cantSplit/>
          <w:jc w:val="center"/>
        </w:trPr>
        <w:tc>
          <w:tcPr>
            <w:tcW w:w="3135" w:type="dxa"/>
            <w:vAlign w:val="center"/>
          </w:tcPr>
          <w:p w14:paraId="6C0BCBA5" w14:textId="77777777" w:rsidR="00196EBD" w:rsidRDefault="00000000">
            <w:pPr>
              <w:bidi/>
              <w:spacing w:after="0"/>
              <w:jc w:val="right"/>
            </w:pPr>
            <w:proofErr w:type="spellStart"/>
            <w:r>
              <w:rPr>
                <w:sz w:val="23"/>
                <w:rtl/>
              </w:rPr>
              <w:t>Choudhury</w:t>
            </w:r>
            <w:proofErr w:type="spellEnd"/>
            <w:r>
              <w:rPr>
                <w:sz w:val="23"/>
                <w:rtl/>
              </w:rPr>
              <w:t xml:space="preserve"> &amp; </w:t>
            </w:r>
            <w:proofErr w:type="spellStart"/>
            <w:r>
              <w:rPr>
                <w:sz w:val="23"/>
                <w:rtl/>
              </w:rPr>
              <w:t>Perumalla</w:t>
            </w:r>
            <w:proofErr w:type="spellEnd"/>
            <w:r>
              <w:rPr>
                <w:sz w:val="23"/>
                <w:rtl/>
              </w:rPr>
              <w:t xml:space="preserve"> (2021)</w:t>
            </w:r>
          </w:p>
        </w:tc>
        <w:tc>
          <w:tcPr>
            <w:tcW w:w="3135" w:type="dxa"/>
            <w:vAlign w:val="center"/>
          </w:tcPr>
          <w:p w14:paraId="1B905F39" w14:textId="77777777" w:rsidR="00196EBD" w:rsidRDefault="00000000">
            <w:pPr>
              <w:bidi/>
              <w:spacing w:after="0"/>
              <w:jc w:val="right"/>
            </w:pPr>
            <w:r>
              <w:rPr>
                <w:sz w:val="23"/>
                <w:rtl/>
              </w:rPr>
              <w:t>دراسة تطبيقية استخدمت تحليلات تنبؤية وبيانات 1600 حالة للتنبؤ المبكر بمسار الرعاية بعد الخروج.</w:t>
            </w:r>
          </w:p>
        </w:tc>
        <w:tc>
          <w:tcPr>
            <w:tcW w:w="3135" w:type="dxa"/>
            <w:vAlign w:val="center"/>
          </w:tcPr>
          <w:p w14:paraId="0CA1BEF0" w14:textId="77777777" w:rsidR="00196EBD" w:rsidRDefault="00000000">
            <w:pPr>
              <w:bidi/>
              <w:spacing w:after="0"/>
              <w:jc w:val="right"/>
            </w:pPr>
            <w:r>
              <w:rPr>
                <w:sz w:val="23"/>
                <w:rtl/>
              </w:rPr>
              <w:t>تدعم قياس أثر التقنية على الزمن والقدرة التشغيلية، وتوضح أن القيمة قد تتحقق من إدارة المسار لا من القرار المباشر فقط.</w:t>
            </w:r>
          </w:p>
        </w:tc>
      </w:tr>
      <w:tr w:rsidR="00196EBD" w14:paraId="19F07A67" w14:textId="77777777">
        <w:trPr>
          <w:cantSplit/>
          <w:jc w:val="center"/>
        </w:trPr>
        <w:tc>
          <w:tcPr>
            <w:tcW w:w="3135" w:type="dxa"/>
            <w:vAlign w:val="center"/>
          </w:tcPr>
          <w:p w14:paraId="4D45850E" w14:textId="77777777" w:rsidR="00196EBD" w:rsidRDefault="00000000">
            <w:pPr>
              <w:bidi/>
              <w:spacing w:after="0"/>
              <w:jc w:val="right"/>
            </w:pPr>
            <w:proofErr w:type="spellStart"/>
            <w:r>
              <w:rPr>
                <w:sz w:val="23"/>
                <w:rtl/>
              </w:rPr>
              <w:t>Lenert</w:t>
            </w:r>
            <w:proofErr w:type="spellEnd"/>
            <w:r>
              <w:rPr>
                <w:sz w:val="23"/>
                <w:rtl/>
              </w:rPr>
              <w:t xml:space="preserve"> </w:t>
            </w:r>
            <w:proofErr w:type="spellStart"/>
            <w:r>
              <w:rPr>
                <w:sz w:val="23"/>
                <w:rtl/>
              </w:rPr>
              <w:t>et</w:t>
            </w:r>
            <w:proofErr w:type="spellEnd"/>
            <w:r>
              <w:rPr>
                <w:sz w:val="23"/>
                <w:rtl/>
              </w:rPr>
              <w:t xml:space="preserve"> </w:t>
            </w:r>
            <w:proofErr w:type="spellStart"/>
            <w:r>
              <w:rPr>
                <w:sz w:val="23"/>
                <w:rtl/>
              </w:rPr>
              <w:t>al</w:t>
            </w:r>
            <w:proofErr w:type="spellEnd"/>
            <w:r>
              <w:rPr>
                <w:sz w:val="23"/>
                <w:rtl/>
              </w:rPr>
              <w:t>. (2023)</w:t>
            </w:r>
          </w:p>
        </w:tc>
        <w:tc>
          <w:tcPr>
            <w:tcW w:w="3135" w:type="dxa"/>
            <w:vAlign w:val="center"/>
          </w:tcPr>
          <w:p w14:paraId="7F0E536E" w14:textId="77777777" w:rsidR="00196EBD" w:rsidRDefault="00000000">
            <w:pPr>
              <w:bidi/>
              <w:spacing w:after="0"/>
              <w:jc w:val="right"/>
            </w:pPr>
            <w:r>
              <w:rPr>
                <w:sz w:val="23"/>
                <w:rtl/>
              </w:rPr>
              <w:t>مقالة مفاهيمية قارنت بين الأتمتة القائمة على قواعد ونهج ذكاء اصطناعي متمركز حول الإنسان في الموافقات المسبقة.</w:t>
            </w:r>
          </w:p>
        </w:tc>
        <w:tc>
          <w:tcPr>
            <w:tcW w:w="3135" w:type="dxa"/>
            <w:vAlign w:val="center"/>
          </w:tcPr>
          <w:p w14:paraId="63A3B1FF" w14:textId="77777777" w:rsidR="00196EBD" w:rsidRDefault="00000000">
            <w:pPr>
              <w:bidi/>
              <w:spacing w:after="0"/>
              <w:jc w:val="right"/>
            </w:pPr>
            <w:r>
              <w:rPr>
                <w:sz w:val="23"/>
                <w:rtl/>
              </w:rPr>
              <w:t>توفر أساساً للفصل بين الأتمتة التقليدية والذكاء الاصطناعي ولتصميم المراجعة البشرية والحوكمة.</w:t>
            </w:r>
          </w:p>
        </w:tc>
      </w:tr>
      <w:tr w:rsidR="00196EBD" w14:paraId="5DF171BB" w14:textId="77777777">
        <w:trPr>
          <w:cantSplit/>
          <w:jc w:val="center"/>
        </w:trPr>
        <w:tc>
          <w:tcPr>
            <w:tcW w:w="3135" w:type="dxa"/>
            <w:vAlign w:val="center"/>
          </w:tcPr>
          <w:p w14:paraId="39947113" w14:textId="77777777" w:rsidR="00196EBD" w:rsidRDefault="00000000">
            <w:pPr>
              <w:bidi/>
              <w:spacing w:after="0"/>
              <w:jc w:val="right"/>
            </w:pPr>
            <w:proofErr w:type="spellStart"/>
            <w:r>
              <w:rPr>
                <w:sz w:val="23"/>
                <w:rtl/>
              </w:rPr>
              <w:t>Sahni</w:t>
            </w:r>
            <w:proofErr w:type="spellEnd"/>
            <w:r>
              <w:rPr>
                <w:sz w:val="23"/>
                <w:rtl/>
              </w:rPr>
              <w:t xml:space="preserve"> </w:t>
            </w:r>
            <w:proofErr w:type="spellStart"/>
            <w:r>
              <w:rPr>
                <w:sz w:val="23"/>
                <w:rtl/>
              </w:rPr>
              <w:t>et</w:t>
            </w:r>
            <w:proofErr w:type="spellEnd"/>
            <w:r>
              <w:rPr>
                <w:sz w:val="23"/>
                <w:rtl/>
              </w:rPr>
              <w:t xml:space="preserve"> </w:t>
            </w:r>
            <w:proofErr w:type="spellStart"/>
            <w:r>
              <w:rPr>
                <w:sz w:val="23"/>
                <w:rtl/>
              </w:rPr>
              <w:t>al</w:t>
            </w:r>
            <w:proofErr w:type="spellEnd"/>
            <w:r>
              <w:rPr>
                <w:sz w:val="23"/>
                <w:rtl/>
              </w:rPr>
              <w:t>. (2024)</w:t>
            </w:r>
          </w:p>
        </w:tc>
        <w:tc>
          <w:tcPr>
            <w:tcW w:w="3135" w:type="dxa"/>
            <w:vAlign w:val="center"/>
          </w:tcPr>
          <w:p w14:paraId="0EC2AD76" w14:textId="77777777" w:rsidR="00196EBD" w:rsidRDefault="00000000">
            <w:pPr>
              <w:bidi/>
              <w:spacing w:after="0"/>
              <w:jc w:val="right"/>
            </w:pPr>
            <w:r>
              <w:rPr>
                <w:sz w:val="23"/>
                <w:rtl/>
              </w:rPr>
              <w:t>مسح شمل 1005 مرضى و1010 من العاملين لدى مقدمي الخدمة و115 من العاملين لدى دافعين خاصين.</w:t>
            </w:r>
          </w:p>
        </w:tc>
        <w:tc>
          <w:tcPr>
            <w:tcW w:w="3135" w:type="dxa"/>
            <w:vAlign w:val="center"/>
          </w:tcPr>
          <w:p w14:paraId="5D854D40" w14:textId="77777777" w:rsidR="00196EBD" w:rsidRDefault="00000000">
            <w:pPr>
              <w:bidi/>
              <w:spacing w:after="0"/>
              <w:jc w:val="right"/>
            </w:pPr>
            <w:r>
              <w:rPr>
                <w:sz w:val="23"/>
                <w:rtl/>
              </w:rPr>
              <w:t>يبين حجم العبء الإداري ويبرز أهمية الثقة والبنية التحتية والحوكمة عند تبني الذكاء الاصطناعي.</w:t>
            </w:r>
          </w:p>
        </w:tc>
      </w:tr>
      <w:tr w:rsidR="00196EBD" w14:paraId="0E90FC1E" w14:textId="77777777">
        <w:trPr>
          <w:cantSplit/>
          <w:jc w:val="center"/>
        </w:trPr>
        <w:tc>
          <w:tcPr>
            <w:tcW w:w="3135" w:type="dxa"/>
            <w:vAlign w:val="center"/>
          </w:tcPr>
          <w:p w14:paraId="12A4F8D7" w14:textId="77777777" w:rsidR="00196EBD" w:rsidRDefault="00000000">
            <w:pPr>
              <w:bidi/>
              <w:spacing w:after="0"/>
              <w:jc w:val="right"/>
            </w:pPr>
            <w:proofErr w:type="spellStart"/>
            <w:r>
              <w:rPr>
                <w:sz w:val="23"/>
                <w:rtl/>
              </w:rPr>
              <w:t>Vatsal</w:t>
            </w:r>
            <w:proofErr w:type="spellEnd"/>
            <w:r>
              <w:rPr>
                <w:sz w:val="23"/>
                <w:rtl/>
              </w:rPr>
              <w:t xml:space="preserve"> </w:t>
            </w:r>
            <w:proofErr w:type="spellStart"/>
            <w:r>
              <w:rPr>
                <w:sz w:val="23"/>
                <w:rtl/>
              </w:rPr>
              <w:t>et</w:t>
            </w:r>
            <w:proofErr w:type="spellEnd"/>
            <w:r>
              <w:rPr>
                <w:sz w:val="23"/>
                <w:rtl/>
              </w:rPr>
              <w:t xml:space="preserve"> </w:t>
            </w:r>
            <w:proofErr w:type="spellStart"/>
            <w:r>
              <w:rPr>
                <w:sz w:val="23"/>
                <w:rtl/>
              </w:rPr>
              <w:t>al</w:t>
            </w:r>
            <w:proofErr w:type="spellEnd"/>
            <w:r>
              <w:rPr>
                <w:sz w:val="23"/>
                <w:rtl/>
              </w:rPr>
              <w:t>. (2024)</w:t>
            </w:r>
          </w:p>
        </w:tc>
        <w:tc>
          <w:tcPr>
            <w:tcW w:w="3135" w:type="dxa"/>
            <w:vAlign w:val="center"/>
          </w:tcPr>
          <w:p w14:paraId="5DEB04C7" w14:textId="77777777" w:rsidR="00196EBD" w:rsidRDefault="00000000">
            <w:pPr>
              <w:bidi/>
              <w:spacing w:after="0"/>
              <w:jc w:val="right"/>
            </w:pPr>
            <w:r>
              <w:rPr>
                <w:sz w:val="23"/>
                <w:rtl/>
              </w:rPr>
              <w:t>اختبار تقني لاستخدام GPT-4 في الإجابة عن أسئلة قائمة على إرشادات الموافقة المسبقة باستخدام سجلات منزوعة الهوية.</w:t>
            </w:r>
          </w:p>
        </w:tc>
        <w:tc>
          <w:tcPr>
            <w:tcW w:w="3135" w:type="dxa"/>
            <w:vAlign w:val="center"/>
          </w:tcPr>
          <w:p w14:paraId="1C233ABC" w14:textId="77777777" w:rsidR="00196EBD" w:rsidRDefault="00000000">
            <w:pPr>
              <w:bidi/>
              <w:spacing w:after="0"/>
              <w:jc w:val="right"/>
            </w:pPr>
            <w:r>
              <w:rPr>
                <w:sz w:val="23"/>
                <w:rtl/>
              </w:rPr>
              <w:t>يقدم دليلاً تطبيقياً على دعم التحقق من المعايير، مع أداء غير كامل يبرر استمرار التحقق البشري.</w:t>
            </w:r>
          </w:p>
        </w:tc>
      </w:tr>
      <w:tr w:rsidR="00196EBD" w14:paraId="14675437" w14:textId="77777777">
        <w:trPr>
          <w:cantSplit/>
          <w:jc w:val="center"/>
        </w:trPr>
        <w:tc>
          <w:tcPr>
            <w:tcW w:w="3135" w:type="dxa"/>
            <w:vAlign w:val="center"/>
          </w:tcPr>
          <w:p w14:paraId="6B24B8C1" w14:textId="77777777" w:rsidR="00196EBD" w:rsidRDefault="00000000">
            <w:pPr>
              <w:bidi/>
              <w:spacing w:after="0"/>
              <w:jc w:val="right"/>
            </w:pPr>
            <w:proofErr w:type="spellStart"/>
            <w:r>
              <w:rPr>
                <w:sz w:val="23"/>
                <w:rtl/>
              </w:rPr>
              <w:t>Mello</w:t>
            </w:r>
            <w:proofErr w:type="spellEnd"/>
            <w:r>
              <w:rPr>
                <w:sz w:val="23"/>
                <w:rtl/>
              </w:rPr>
              <w:t xml:space="preserve"> &amp; </w:t>
            </w:r>
            <w:proofErr w:type="spellStart"/>
            <w:r>
              <w:rPr>
                <w:sz w:val="23"/>
                <w:rtl/>
              </w:rPr>
              <w:t>Rose</w:t>
            </w:r>
            <w:proofErr w:type="spellEnd"/>
            <w:r>
              <w:rPr>
                <w:sz w:val="23"/>
                <w:rtl/>
              </w:rPr>
              <w:t xml:space="preserve"> (2024)</w:t>
            </w:r>
          </w:p>
        </w:tc>
        <w:tc>
          <w:tcPr>
            <w:tcW w:w="3135" w:type="dxa"/>
            <w:vAlign w:val="center"/>
          </w:tcPr>
          <w:p w14:paraId="7AD0A43E" w14:textId="77777777" w:rsidR="00196EBD" w:rsidRDefault="00000000">
            <w:pPr>
              <w:bidi/>
              <w:spacing w:after="0"/>
              <w:jc w:val="right"/>
            </w:pPr>
            <w:r>
              <w:rPr>
                <w:sz w:val="23"/>
                <w:rtl/>
              </w:rPr>
              <w:t>تحليل سياساتي وقانوني لاستخدام الذكاء الاصطناعي في قرارات التغطية الصحية.</w:t>
            </w:r>
          </w:p>
        </w:tc>
        <w:tc>
          <w:tcPr>
            <w:tcW w:w="3135" w:type="dxa"/>
            <w:vAlign w:val="center"/>
          </w:tcPr>
          <w:p w14:paraId="3139E086" w14:textId="77777777" w:rsidR="00196EBD" w:rsidRDefault="00000000">
            <w:pPr>
              <w:bidi/>
              <w:spacing w:after="0"/>
              <w:jc w:val="right"/>
            </w:pPr>
            <w:r>
              <w:rPr>
                <w:sz w:val="23"/>
                <w:rtl/>
              </w:rPr>
              <w:t>يدعم استخدام إعادة العمل والتدقيق والتفسير كمؤشرات جودة موازية للسرعة.</w:t>
            </w:r>
          </w:p>
        </w:tc>
      </w:tr>
      <w:tr w:rsidR="00196EBD" w14:paraId="5C22DC52" w14:textId="77777777">
        <w:trPr>
          <w:cantSplit/>
          <w:jc w:val="center"/>
        </w:trPr>
        <w:tc>
          <w:tcPr>
            <w:tcW w:w="3135" w:type="dxa"/>
            <w:vAlign w:val="center"/>
          </w:tcPr>
          <w:p w14:paraId="5B168C28" w14:textId="77777777" w:rsidR="00196EBD" w:rsidRDefault="00000000">
            <w:pPr>
              <w:bidi/>
              <w:spacing w:after="0"/>
              <w:jc w:val="right"/>
            </w:pPr>
            <w:proofErr w:type="spellStart"/>
            <w:r>
              <w:rPr>
                <w:sz w:val="23"/>
                <w:rtl/>
              </w:rPr>
              <w:lastRenderedPageBreak/>
              <w:t>Kunze</w:t>
            </w:r>
            <w:proofErr w:type="spellEnd"/>
            <w:r>
              <w:rPr>
                <w:sz w:val="23"/>
                <w:rtl/>
              </w:rPr>
              <w:t xml:space="preserve"> </w:t>
            </w:r>
            <w:proofErr w:type="spellStart"/>
            <w:r>
              <w:rPr>
                <w:sz w:val="23"/>
                <w:rtl/>
              </w:rPr>
              <w:t>et</w:t>
            </w:r>
            <w:proofErr w:type="spellEnd"/>
            <w:r>
              <w:rPr>
                <w:sz w:val="23"/>
                <w:rtl/>
              </w:rPr>
              <w:t xml:space="preserve"> </w:t>
            </w:r>
            <w:proofErr w:type="spellStart"/>
            <w:r>
              <w:rPr>
                <w:sz w:val="23"/>
                <w:rtl/>
              </w:rPr>
              <w:t>al</w:t>
            </w:r>
            <w:proofErr w:type="spellEnd"/>
            <w:r>
              <w:rPr>
                <w:sz w:val="23"/>
                <w:rtl/>
              </w:rPr>
              <w:t>. (2025)</w:t>
            </w:r>
          </w:p>
        </w:tc>
        <w:tc>
          <w:tcPr>
            <w:tcW w:w="3135" w:type="dxa"/>
            <w:vAlign w:val="center"/>
          </w:tcPr>
          <w:p w14:paraId="0B0BD3FE" w14:textId="77777777" w:rsidR="00196EBD" w:rsidRDefault="00000000">
            <w:pPr>
              <w:bidi/>
              <w:spacing w:after="0"/>
              <w:jc w:val="right"/>
            </w:pPr>
            <w:r>
              <w:rPr>
                <w:sz w:val="23"/>
                <w:rtl/>
              </w:rPr>
              <w:t>مراجعة للتطبيقات التجارية للذكاء الاصطناعي التوليدي في سير العمل الصحي.</w:t>
            </w:r>
          </w:p>
        </w:tc>
        <w:tc>
          <w:tcPr>
            <w:tcW w:w="3135" w:type="dxa"/>
            <w:vAlign w:val="center"/>
          </w:tcPr>
          <w:p w14:paraId="5FD07B9B" w14:textId="77777777" w:rsidR="00196EBD" w:rsidRDefault="00000000">
            <w:pPr>
              <w:bidi/>
              <w:spacing w:after="0"/>
              <w:jc w:val="right"/>
            </w:pPr>
            <w:r>
              <w:rPr>
                <w:sz w:val="23"/>
                <w:rtl/>
              </w:rPr>
              <w:t>توضح أن منصات الموافقات من التطبيقات الناشئة وأن نجاحها يتطلب جاهزية تنظيمية وتقنية.</w:t>
            </w:r>
          </w:p>
        </w:tc>
      </w:tr>
      <w:tr w:rsidR="00196EBD" w14:paraId="101496B5" w14:textId="77777777">
        <w:trPr>
          <w:cantSplit/>
          <w:jc w:val="center"/>
        </w:trPr>
        <w:tc>
          <w:tcPr>
            <w:tcW w:w="3135" w:type="dxa"/>
            <w:vAlign w:val="center"/>
          </w:tcPr>
          <w:p w14:paraId="406B2F06" w14:textId="77777777" w:rsidR="00196EBD" w:rsidRDefault="00000000">
            <w:pPr>
              <w:bidi/>
              <w:spacing w:after="0"/>
              <w:jc w:val="right"/>
            </w:pPr>
            <w:proofErr w:type="spellStart"/>
            <w:r>
              <w:rPr>
                <w:sz w:val="23"/>
                <w:rtl/>
              </w:rPr>
              <w:t>Keng</w:t>
            </w:r>
            <w:proofErr w:type="spellEnd"/>
            <w:r>
              <w:rPr>
                <w:sz w:val="23"/>
                <w:rtl/>
              </w:rPr>
              <w:t xml:space="preserve"> </w:t>
            </w:r>
            <w:proofErr w:type="spellStart"/>
            <w:r>
              <w:rPr>
                <w:sz w:val="23"/>
                <w:rtl/>
              </w:rPr>
              <w:t>et</w:t>
            </w:r>
            <w:proofErr w:type="spellEnd"/>
            <w:r>
              <w:rPr>
                <w:sz w:val="23"/>
                <w:rtl/>
              </w:rPr>
              <w:t xml:space="preserve"> </w:t>
            </w:r>
            <w:proofErr w:type="spellStart"/>
            <w:r>
              <w:rPr>
                <w:sz w:val="23"/>
                <w:rtl/>
              </w:rPr>
              <w:t>al</w:t>
            </w:r>
            <w:proofErr w:type="spellEnd"/>
            <w:r>
              <w:rPr>
                <w:sz w:val="23"/>
                <w:rtl/>
              </w:rPr>
              <w:t>. (2025)</w:t>
            </w:r>
          </w:p>
        </w:tc>
        <w:tc>
          <w:tcPr>
            <w:tcW w:w="3135" w:type="dxa"/>
            <w:vAlign w:val="center"/>
          </w:tcPr>
          <w:p w14:paraId="6AF7CEF8" w14:textId="77777777" w:rsidR="00196EBD" w:rsidRDefault="00000000">
            <w:pPr>
              <w:bidi/>
              <w:spacing w:after="0"/>
              <w:jc w:val="right"/>
            </w:pPr>
            <w:r>
              <w:rPr>
                <w:sz w:val="23"/>
                <w:rtl/>
              </w:rPr>
              <w:t>مقالة تحليلية عن الأتمتة والذكاء الاصطناعي لتقليل العبء الإداري.</w:t>
            </w:r>
          </w:p>
        </w:tc>
        <w:tc>
          <w:tcPr>
            <w:tcW w:w="3135" w:type="dxa"/>
            <w:vAlign w:val="center"/>
          </w:tcPr>
          <w:p w14:paraId="3FCBFF79" w14:textId="77777777" w:rsidR="00196EBD" w:rsidRDefault="00000000">
            <w:pPr>
              <w:bidi/>
              <w:spacing w:after="0"/>
              <w:jc w:val="right"/>
            </w:pPr>
            <w:r>
              <w:rPr>
                <w:sz w:val="23"/>
                <w:rtl/>
              </w:rPr>
              <w:t>تدعم إعادة تصميم العملية بدلاً من إضافة طبقة تقنية فوق سير عمل غير محسن.</w:t>
            </w:r>
          </w:p>
        </w:tc>
      </w:tr>
      <w:tr w:rsidR="00196EBD" w14:paraId="20B336E6" w14:textId="77777777">
        <w:trPr>
          <w:cantSplit/>
          <w:jc w:val="center"/>
        </w:trPr>
        <w:tc>
          <w:tcPr>
            <w:tcW w:w="3135" w:type="dxa"/>
            <w:vAlign w:val="center"/>
          </w:tcPr>
          <w:p w14:paraId="00E657C1" w14:textId="77777777" w:rsidR="00196EBD" w:rsidRDefault="00000000">
            <w:pPr>
              <w:bidi/>
              <w:spacing w:after="0"/>
              <w:jc w:val="right"/>
            </w:pPr>
            <w:proofErr w:type="spellStart"/>
            <w:r>
              <w:rPr>
                <w:sz w:val="23"/>
                <w:rtl/>
              </w:rPr>
              <w:t>Mello</w:t>
            </w:r>
            <w:proofErr w:type="spellEnd"/>
            <w:r>
              <w:rPr>
                <w:sz w:val="23"/>
                <w:rtl/>
              </w:rPr>
              <w:t xml:space="preserve"> </w:t>
            </w:r>
            <w:proofErr w:type="spellStart"/>
            <w:r>
              <w:rPr>
                <w:sz w:val="23"/>
                <w:rtl/>
              </w:rPr>
              <w:t>et</w:t>
            </w:r>
            <w:proofErr w:type="spellEnd"/>
            <w:r>
              <w:rPr>
                <w:sz w:val="23"/>
                <w:rtl/>
              </w:rPr>
              <w:t xml:space="preserve"> </w:t>
            </w:r>
            <w:proofErr w:type="spellStart"/>
            <w:r>
              <w:rPr>
                <w:sz w:val="23"/>
                <w:rtl/>
              </w:rPr>
              <w:t>al</w:t>
            </w:r>
            <w:proofErr w:type="spellEnd"/>
            <w:r>
              <w:rPr>
                <w:sz w:val="23"/>
                <w:rtl/>
              </w:rPr>
              <w:t>. (2026)</w:t>
            </w:r>
          </w:p>
        </w:tc>
        <w:tc>
          <w:tcPr>
            <w:tcW w:w="3135" w:type="dxa"/>
            <w:vAlign w:val="center"/>
          </w:tcPr>
          <w:p w14:paraId="1FC12ADB" w14:textId="77777777" w:rsidR="00196EBD" w:rsidRDefault="00000000">
            <w:pPr>
              <w:bidi/>
              <w:spacing w:after="0"/>
              <w:jc w:val="right"/>
            </w:pPr>
            <w:r>
              <w:rPr>
                <w:sz w:val="23"/>
                <w:rtl/>
              </w:rPr>
              <w:t>تحليل متخصص في استخدام الذكاء الاصطناعي في مراجعة الاستخدام لدى التأمين الصحي.</w:t>
            </w:r>
          </w:p>
        </w:tc>
        <w:tc>
          <w:tcPr>
            <w:tcW w:w="3135" w:type="dxa"/>
            <w:vAlign w:val="center"/>
          </w:tcPr>
          <w:p w14:paraId="5095DFB0" w14:textId="77777777" w:rsidR="00196EBD" w:rsidRDefault="00000000">
            <w:pPr>
              <w:bidi/>
              <w:spacing w:after="0"/>
              <w:jc w:val="right"/>
            </w:pPr>
            <w:r>
              <w:rPr>
                <w:sz w:val="23"/>
                <w:rtl/>
              </w:rPr>
              <w:t>يرتبط مباشرة بالتوسع المسؤول والحاجة إلى الشفافية ومؤشرات الجودة والحوكمة.</w:t>
            </w:r>
          </w:p>
        </w:tc>
      </w:tr>
      <w:tr w:rsidR="00196EBD" w14:paraId="4DD11BCC" w14:textId="77777777">
        <w:trPr>
          <w:cantSplit/>
          <w:jc w:val="center"/>
        </w:trPr>
        <w:tc>
          <w:tcPr>
            <w:tcW w:w="3135" w:type="dxa"/>
            <w:vAlign w:val="center"/>
          </w:tcPr>
          <w:p w14:paraId="164DCA28" w14:textId="77777777" w:rsidR="00196EBD" w:rsidRDefault="00000000">
            <w:pPr>
              <w:bidi/>
              <w:spacing w:after="0"/>
              <w:jc w:val="right"/>
            </w:pPr>
            <w:proofErr w:type="spellStart"/>
            <w:r>
              <w:rPr>
                <w:sz w:val="23"/>
                <w:rtl/>
              </w:rPr>
              <w:t>Raza</w:t>
            </w:r>
            <w:proofErr w:type="spellEnd"/>
            <w:r>
              <w:rPr>
                <w:sz w:val="23"/>
                <w:rtl/>
              </w:rPr>
              <w:t xml:space="preserve"> </w:t>
            </w:r>
            <w:proofErr w:type="spellStart"/>
            <w:r>
              <w:rPr>
                <w:sz w:val="23"/>
                <w:rtl/>
              </w:rPr>
              <w:t>et</w:t>
            </w:r>
            <w:proofErr w:type="spellEnd"/>
            <w:r>
              <w:rPr>
                <w:sz w:val="23"/>
                <w:rtl/>
              </w:rPr>
              <w:t xml:space="preserve"> </w:t>
            </w:r>
            <w:proofErr w:type="spellStart"/>
            <w:r>
              <w:rPr>
                <w:sz w:val="23"/>
                <w:rtl/>
              </w:rPr>
              <w:t>al</w:t>
            </w:r>
            <w:proofErr w:type="spellEnd"/>
            <w:r>
              <w:rPr>
                <w:sz w:val="23"/>
                <w:rtl/>
              </w:rPr>
              <w:t>. (2026)</w:t>
            </w:r>
          </w:p>
        </w:tc>
        <w:tc>
          <w:tcPr>
            <w:tcW w:w="3135" w:type="dxa"/>
            <w:vAlign w:val="center"/>
          </w:tcPr>
          <w:p w14:paraId="415127A3" w14:textId="77777777" w:rsidR="00196EBD" w:rsidRDefault="00000000">
            <w:pPr>
              <w:bidi/>
              <w:spacing w:after="0"/>
              <w:jc w:val="right"/>
            </w:pPr>
            <w:r>
              <w:rPr>
                <w:sz w:val="23"/>
                <w:rtl/>
              </w:rPr>
              <w:t xml:space="preserve">مقالة </w:t>
            </w:r>
            <w:proofErr w:type="spellStart"/>
            <w:r>
              <w:rPr>
                <w:sz w:val="23"/>
                <w:rtl/>
              </w:rPr>
              <w:t>Perspective</w:t>
            </w:r>
            <w:proofErr w:type="spellEnd"/>
            <w:r>
              <w:rPr>
                <w:sz w:val="23"/>
                <w:rtl/>
              </w:rPr>
              <w:t xml:space="preserve"> عن استخدام الذكاء الاصطناعي في مراجعة الموافقات ضمن </w:t>
            </w:r>
            <w:proofErr w:type="spellStart"/>
            <w:r>
              <w:rPr>
                <w:sz w:val="23"/>
                <w:rtl/>
              </w:rPr>
              <w:t>Medicare</w:t>
            </w:r>
            <w:proofErr w:type="spellEnd"/>
            <w:r>
              <w:rPr>
                <w:sz w:val="23"/>
                <w:rtl/>
              </w:rPr>
              <w:t xml:space="preserve"> </w:t>
            </w:r>
            <w:proofErr w:type="spellStart"/>
            <w:r>
              <w:rPr>
                <w:sz w:val="23"/>
                <w:rtl/>
              </w:rPr>
              <w:t>Advantage</w:t>
            </w:r>
            <w:proofErr w:type="spellEnd"/>
            <w:r>
              <w:rPr>
                <w:sz w:val="23"/>
                <w:rtl/>
              </w:rPr>
              <w:t>.</w:t>
            </w:r>
          </w:p>
        </w:tc>
        <w:tc>
          <w:tcPr>
            <w:tcW w:w="3135" w:type="dxa"/>
            <w:vAlign w:val="center"/>
          </w:tcPr>
          <w:p w14:paraId="616A8083" w14:textId="77777777" w:rsidR="00196EBD" w:rsidRDefault="00000000">
            <w:pPr>
              <w:bidi/>
              <w:spacing w:after="0"/>
              <w:jc w:val="right"/>
            </w:pPr>
            <w:r>
              <w:rPr>
                <w:sz w:val="23"/>
                <w:rtl/>
              </w:rPr>
              <w:t>تدعم إبقاء المراجعة البشرية ووضوح أسباب القرار ضمن معايير التوسع.</w:t>
            </w:r>
          </w:p>
        </w:tc>
      </w:tr>
    </w:tbl>
    <w:p w14:paraId="6A2444C3" w14:textId="77777777" w:rsidR="00196EBD" w:rsidRDefault="00196EBD">
      <w:pPr>
        <w:bidi/>
      </w:pPr>
    </w:p>
    <w:p w14:paraId="0C6EDD03" w14:textId="77777777" w:rsidR="00196EBD" w:rsidRDefault="00000000">
      <w:pPr>
        <w:bidi/>
        <w:jc w:val="both"/>
      </w:pPr>
      <w:r>
        <w:rPr>
          <w:rtl/>
        </w:rPr>
        <w:t>المصدر: إعداد الباحث استناداً إلى الدراسات المشار إليها في الجدول.</w:t>
      </w:r>
    </w:p>
    <w:p w14:paraId="14216C59" w14:textId="77777777" w:rsidR="00196EBD" w:rsidRDefault="00000000">
      <w:pPr>
        <w:pStyle w:val="Heading2"/>
        <w:bidi/>
        <w:spacing w:before="240" w:after="120"/>
        <w:jc w:val="right"/>
      </w:pPr>
      <w:r>
        <w:rPr>
          <w:rFonts w:ascii="Times New Roman" w:eastAsia="Simplified Arabic" w:hAnsi="Times New Roman" w:cs="Simplified Arabic"/>
          <w:rtl/>
        </w:rPr>
        <w:t>2.11 مناقشة الدراسات السابقة وأوجه الاتفاق والاختلاف</w:t>
      </w:r>
    </w:p>
    <w:p w14:paraId="614644E8" w14:textId="77777777" w:rsidR="00196EBD" w:rsidRDefault="00000000">
      <w:pPr>
        <w:bidi/>
        <w:jc w:val="both"/>
      </w:pPr>
      <w:r>
        <w:rPr>
          <w:rtl/>
        </w:rPr>
        <w:t xml:space="preserve">تتفق الدراسات السابقة على ثلاث نقاط رئيسة. أولاً، </w:t>
      </w:r>
      <w:proofErr w:type="spellStart"/>
      <w:r>
        <w:rPr>
          <w:rtl/>
        </w:rPr>
        <w:t>prior</w:t>
      </w:r>
      <w:proofErr w:type="spellEnd"/>
      <w:r>
        <w:rPr>
          <w:rtl/>
        </w:rPr>
        <w:t xml:space="preserve"> </w:t>
      </w:r>
      <w:proofErr w:type="spellStart"/>
      <w:r>
        <w:rPr>
          <w:rtl/>
        </w:rPr>
        <w:t>authorization</w:t>
      </w:r>
      <w:proofErr w:type="spellEnd"/>
      <w:r>
        <w:rPr>
          <w:rtl/>
        </w:rPr>
        <w:t xml:space="preserve"> عملية ذات عبء تشغيلي يجعلها مرشحة للأتمتة والتحسين المعلوماتي. ثانياً، تستطيع تقنيات الذكاء الاصطناعي دعم التصنيف والتنبؤ والمراجعة وتسريع بعض الخطوات، لكن فائدتها تعتمد على جودة البيانات والتكامل مع سير العمل. ثالثاً، لا تكفي السرعة وحدها لتقييم النجاح؛ إذ تبرز الحاجة إلى الشفافية وقابلية التفسير والمراجعة البشرية ومراقبة الأخطاء.</w:t>
      </w:r>
    </w:p>
    <w:p w14:paraId="5FCE696C" w14:textId="77777777" w:rsidR="00196EBD" w:rsidRDefault="00000000">
      <w:pPr>
        <w:bidi/>
        <w:jc w:val="both"/>
      </w:pPr>
      <w:r>
        <w:rPr>
          <w:rtl/>
        </w:rPr>
        <w:t xml:space="preserve">تختلف الدراسات في نوع الدليل الذي تقدمه. فقد اعتمد </w:t>
      </w:r>
      <w:proofErr w:type="spellStart"/>
      <w:r>
        <w:rPr>
          <w:rtl/>
        </w:rPr>
        <w:t>Choudhury</w:t>
      </w:r>
      <w:proofErr w:type="spellEnd"/>
      <w:r>
        <w:rPr>
          <w:rtl/>
        </w:rPr>
        <w:t xml:space="preserve"> </w:t>
      </w:r>
      <w:proofErr w:type="spellStart"/>
      <w:r>
        <w:rPr>
          <w:rtl/>
        </w:rPr>
        <w:t>and</w:t>
      </w:r>
      <w:proofErr w:type="spellEnd"/>
      <w:r>
        <w:rPr>
          <w:rtl/>
        </w:rPr>
        <w:t xml:space="preserve"> </w:t>
      </w:r>
      <w:proofErr w:type="spellStart"/>
      <w:r>
        <w:rPr>
          <w:rtl/>
        </w:rPr>
        <w:t>Perumalla</w:t>
      </w:r>
      <w:proofErr w:type="spellEnd"/>
      <w:r>
        <w:rPr>
          <w:rtl/>
        </w:rPr>
        <w:t xml:space="preserve"> (2021) على بيانات حالات وتطبيق تنبؤي، بينما قدم </w:t>
      </w:r>
      <w:proofErr w:type="spellStart"/>
      <w:r>
        <w:rPr>
          <w:rtl/>
        </w:rPr>
        <w:t>Lenert</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(2023) إطاراً مفاهيمياً، واستخدم </w:t>
      </w:r>
      <w:proofErr w:type="spellStart"/>
      <w:r>
        <w:rPr>
          <w:rtl/>
        </w:rPr>
        <w:t>Sahni</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(2024) مسحاً واسعاً لأصحاب المصلحة. وأضاف </w:t>
      </w:r>
      <w:proofErr w:type="spellStart"/>
      <w:r>
        <w:rPr>
          <w:rtl/>
        </w:rPr>
        <w:t>Vatsal</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(2024) اختباراً تقنياً مباشراً لقدرة نموذج لغوي كبير على الإجابة عن أسئلة قائمة على إرشادات الموافقة المسبقة. أما </w:t>
      </w:r>
      <w:proofErr w:type="spellStart"/>
      <w:r>
        <w:rPr>
          <w:rtl/>
        </w:rPr>
        <w:t>Mello</w:t>
      </w:r>
      <w:proofErr w:type="spellEnd"/>
      <w:r>
        <w:rPr>
          <w:rtl/>
        </w:rPr>
        <w:t xml:space="preserve"> </w:t>
      </w:r>
      <w:proofErr w:type="spellStart"/>
      <w:r>
        <w:rPr>
          <w:rtl/>
        </w:rPr>
        <w:t>and</w:t>
      </w:r>
      <w:proofErr w:type="spellEnd"/>
      <w:r>
        <w:rPr>
          <w:rtl/>
        </w:rPr>
        <w:t xml:space="preserve"> </w:t>
      </w:r>
      <w:proofErr w:type="spellStart"/>
      <w:r>
        <w:rPr>
          <w:rtl/>
        </w:rPr>
        <w:t>Rose</w:t>
      </w:r>
      <w:proofErr w:type="spellEnd"/>
      <w:r>
        <w:rPr>
          <w:rtl/>
        </w:rPr>
        <w:t xml:space="preserve"> (2024) والدراسات المنشورة في 2026 فركزت بصورة أكبر على المخاطر القانونية </w:t>
      </w:r>
      <w:proofErr w:type="spellStart"/>
      <w:r>
        <w:rPr>
          <w:rtl/>
        </w:rPr>
        <w:t>والحوكمية</w:t>
      </w:r>
      <w:proofErr w:type="spellEnd"/>
      <w:r>
        <w:rPr>
          <w:rtl/>
        </w:rPr>
        <w:t>، في حين تناولت دراسات 2025 انتشار التطبيقات وإمكانات تخفيف العبء الإداري. وهذا التنوع يبرر الحاجة إلى دراسة تشغيلية طولية تربط التوسع التقني بمؤشرات الأداء الفعلية.</w:t>
      </w:r>
    </w:p>
    <w:p w14:paraId="0CAF38B7" w14:textId="77777777" w:rsidR="00196EBD" w:rsidRDefault="00000000">
      <w:pPr>
        <w:bidi/>
        <w:jc w:val="both"/>
      </w:pPr>
      <w:r>
        <w:rPr>
          <w:rtl/>
        </w:rPr>
        <w:t>تختلف الدراسة الحالية عن معظم هذه الأعمال في أنها لا تختبر نموذجاً واحداً ولا تعتمد على آراء المستخدمين بوصفها المصدر الرئيس، بل تستخدم مؤشرات تشغيلية مجمعة ممتدة من 2022 إلى يوليو 2026 داخل شركة تأمين صحي. كما تميز صراحةً بين AI والأتمتة التقليدية، وتربط الكفاءة بالقدرة الاستيعابية وزمن الاستجابة الكلي واليدوي وإعادة العمل، وهو ما يسمح بتكوين صورة تشغيلية لا توفرها الدراسات التي تركز على قبول التقنية أو الأداء التقني للنموذج فقط.</w:t>
      </w:r>
    </w:p>
    <w:p w14:paraId="391F8E36" w14:textId="77777777" w:rsidR="00196EBD" w:rsidRDefault="00000000">
      <w:pPr>
        <w:pStyle w:val="Heading2"/>
        <w:bidi/>
        <w:spacing w:before="240" w:after="120"/>
        <w:jc w:val="right"/>
      </w:pPr>
      <w:r>
        <w:rPr>
          <w:rFonts w:ascii="Times New Roman" w:eastAsia="Simplified Arabic" w:hAnsi="Times New Roman" w:cs="Simplified Arabic"/>
          <w:rtl/>
        </w:rPr>
        <w:t>2.12 الفجوة البحثية وما تضيفه الدراسة الحالية</w:t>
      </w:r>
    </w:p>
    <w:p w14:paraId="0A9F7D45" w14:textId="77777777" w:rsidR="00196EBD" w:rsidRDefault="00000000">
      <w:pPr>
        <w:bidi/>
        <w:jc w:val="both"/>
      </w:pPr>
      <w:r>
        <w:rPr>
          <w:rtl/>
        </w:rPr>
        <w:t xml:space="preserve">رغم تسارع الأدبيات العالمية حول الذكاء الاصطناعي في </w:t>
      </w:r>
      <w:proofErr w:type="spellStart"/>
      <w:r>
        <w:rPr>
          <w:rtl/>
        </w:rPr>
        <w:t>prior</w:t>
      </w:r>
      <w:proofErr w:type="spellEnd"/>
      <w:r>
        <w:rPr>
          <w:rtl/>
        </w:rPr>
        <w:t xml:space="preserve"> </w:t>
      </w:r>
      <w:proofErr w:type="spellStart"/>
      <w:r>
        <w:rPr>
          <w:rtl/>
        </w:rPr>
        <w:t>authorization</w:t>
      </w:r>
      <w:proofErr w:type="spellEnd"/>
      <w:r>
        <w:rPr>
          <w:rtl/>
        </w:rPr>
        <w:t xml:space="preserve">، ما تزال هناك فجوة في الدراسات التي تستخدم بيانات تشغيلية طولية من شركة تأمين صحي في البيئة السعودية. كما أن جزءاً كبيراً من الأدبيات الحالية إما تصوري أو يركز على </w:t>
      </w:r>
      <w:r>
        <w:rPr>
          <w:rtl/>
        </w:rPr>
        <w:lastRenderedPageBreak/>
        <w:t>جوانب قانونية وأخلاقية أو على تجربة تقنية محددة، بينما تقل الدراسات التي تربط التوسع التقني بمؤشرات أداء تشغيلية متعددة عبر فترة زمنية طويلة.</w:t>
      </w:r>
    </w:p>
    <w:p w14:paraId="239576C4" w14:textId="77777777" w:rsidR="00196EBD" w:rsidRDefault="00000000">
      <w:pPr>
        <w:bidi/>
        <w:jc w:val="both"/>
      </w:pPr>
      <w:r>
        <w:rPr>
          <w:rtl/>
        </w:rPr>
        <w:t xml:space="preserve">وتتمثل الفجوة الثانية في الخلط بين AI والأتمتة. فبعض التحليلات تشير إلى «الأتمتة» باعتبارها مرادفاً للذكاء الاصطناعي، بينما قد تكون أجزاء كبيرة من العمل قائمة على قواعد ثابتة. الدراسة الحالية تتعامل مع هذه المشكلة صراحةً، فتستخدم حصة المعالجة الآلية كمؤشر داعم وتوضح أن عدم توفر AI </w:t>
      </w:r>
      <w:proofErr w:type="spellStart"/>
      <w:r>
        <w:rPr>
          <w:rtl/>
        </w:rPr>
        <w:t>Flag</w:t>
      </w:r>
      <w:proofErr w:type="spellEnd"/>
      <w:r>
        <w:rPr>
          <w:rtl/>
        </w:rPr>
        <w:t xml:space="preserve"> تاريخي مستقل يحد من الاستدلال السببي.</w:t>
      </w:r>
    </w:p>
    <w:p w14:paraId="37FA079C" w14:textId="77777777" w:rsidR="00196EBD" w:rsidRDefault="00000000">
      <w:pPr>
        <w:bidi/>
        <w:jc w:val="both"/>
      </w:pPr>
      <w:r>
        <w:rPr>
          <w:rtl/>
        </w:rPr>
        <w:t xml:space="preserve">أما الإضافة الثالثة فهي الجمع بين منظور القدرة الاستيعابية ومنظور جودة القرار. فبدلاً من اعتبار ارتفاع الأتمتة أو استقرار RT دليلاً كافياً، تراقب الدراسة أيضاً أداء المسار اليدوي </w:t>
      </w:r>
      <w:proofErr w:type="spellStart"/>
      <w:r>
        <w:rPr>
          <w:rtl/>
        </w:rPr>
        <w:t>وRework</w:t>
      </w:r>
      <w:proofErr w:type="spellEnd"/>
      <w:r>
        <w:rPr>
          <w:rtl/>
        </w:rPr>
        <w:t xml:space="preserve"> </w:t>
      </w:r>
      <w:proofErr w:type="spellStart"/>
      <w:r>
        <w:rPr>
          <w:rtl/>
        </w:rPr>
        <w:t>وNPR</w:t>
      </w:r>
      <w:proofErr w:type="spellEnd"/>
      <w:r>
        <w:rPr>
          <w:rtl/>
        </w:rPr>
        <w:t xml:space="preserve"> والرفض. وتسمح هذه المقاربة بتحديد ما إذا كان التوسع قد صاحبته ضغوط خفية على الحالات الأكثر تعقيداً، وهو سؤال إداري مهم قبل توسيع التقنية إلى التنويم أو خدمات أعلى خطورة.</w:t>
      </w:r>
    </w:p>
    <w:p w14:paraId="0E02AD50" w14:textId="77777777" w:rsidR="00196EBD" w:rsidRDefault="00000000">
      <w:pPr>
        <w:pStyle w:val="Heading2"/>
        <w:bidi/>
        <w:spacing w:before="240" w:after="120"/>
        <w:jc w:val="right"/>
      </w:pPr>
      <w:r>
        <w:rPr>
          <w:rFonts w:ascii="Times New Roman" w:eastAsia="Simplified Arabic" w:hAnsi="Times New Roman" w:cs="Simplified Arabic"/>
          <w:rtl/>
        </w:rPr>
        <w:t>2.13 خلاصة الفصل</w:t>
      </w:r>
    </w:p>
    <w:p w14:paraId="17BF8E09" w14:textId="77777777" w:rsidR="00196EBD" w:rsidRDefault="00000000">
      <w:pPr>
        <w:bidi/>
        <w:jc w:val="both"/>
      </w:pPr>
      <w:r>
        <w:rPr>
          <w:rtl/>
        </w:rPr>
        <w:t xml:space="preserve">أوضحت مراجعة الأدبيات أن الذكاء الاصطناعي يمكن أن يسهم في تخفيف العبء وتسريع بعض مراحل </w:t>
      </w:r>
      <w:proofErr w:type="spellStart"/>
      <w:r>
        <w:rPr>
          <w:rtl/>
        </w:rPr>
        <w:t>prior</w:t>
      </w:r>
      <w:proofErr w:type="spellEnd"/>
      <w:r>
        <w:rPr>
          <w:rtl/>
        </w:rPr>
        <w:t xml:space="preserve"> </w:t>
      </w:r>
      <w:proofErr w:type="spellStart"/>
      <w:r>
        <w:rPr>
          <w:rtl/>
        </w:rPr>
        <w:t>authorization</w:t>
      </w:r>
      <w:proofErr w:type="spellEnd"/>
      <w:r>
        <w:rPr>
          <w:rtl/>
        </w:rPr>
        <w:t>، إلا أن النتائج تعتمد على جودة البيانات والتكامل مع سير العمل والحوكمة والمراجعة البشرية. كما دعمت الأدبيات استخدام المنظور الاجتماعي-التقني والقدرات الديناميكية لتفسير العلاقة بين التقنية والأداء التنظيمي. ويؤسس ذلك للجزء التطبيقي من البحث الذي سيختبر الاتجاهات الفعلية في مؤشرات الحجم وزمن الاستجابة وإعادة العمل داخل بوبا العربية مع مراعاة حدود الاستدلال السببي.</w:t>
      </w:r>
    </w:p>
    <w:p w14:paraId="2AB8BD0C" w14:textId="77777777" w:rsidR="00196EBD" w:rsidRDefault="00000000">
      <w:pPr>
        <w:pageBreakBefore/>
        <w:bidi/>
        <w:jc w:val="both"/>
      </w:pPr>
      <w:r>
        <w:rPr>
          <w:b/>
          <w:rtl/>
        </w:rPr>
        <w:lastRenderedPageBreak/>
        <w:t>المراجع المستخدمة في الفصلين الأول والثاني</w:t>
      </w:r>
    </w:p>
    <w:p w14:paraId="0C393DAB" w14:textId="77777777" w:rsidR="00196EBD" w:rsidRDefault="00000000">
      <w:pPr>
        <w:pStyle w:val="Heading2"/>
        <w:bidi/>
        <w:spacing w:before="240" w:after="120"/>
        <w:jc w:val="right"/>
      </w:pPr>
      <w:r>
        <w:rPr>
          <w:rFonts w:ascii="Times New Roman" w:eastAsia="Simplified Arabic" w:hAnsi="Times New Roman" w:cs="Simplified Arabic"/>
          <w:rtl/>
        </w:rPr>
        <w:t>المراجع العربية والمؤسسية السعودية</w:t>
      </w:r>
    </w:p>
    <w:p w14:paraId="0AFF8777" w14:textId="77777777" w:rsidR="00196EBD" w:rsidRDefault="00000000">
      <w:pPr>
        <w:bidi/>
        <w:jc w:val="both"/>
      </w:pPr>
      <w:r>
        <w:rPr>
          <w:rtl/>
        </w:rPr>
        <w:t>بوبا العربية. (2026). لوحة عمليات الموافقات الطبية: مؤشرات تشغيلية مجمعة للفترة 2022-29 يوليو 2026 [مصدر داخلي غير منشور].</w:t>
      </w:r>
    </w:p>
    <w:p w14:paraId="07FC9881" w14:textId="77777777" w:rsidR="00196EBD" w:rsidRDefault="00000000">
      <w:pPr>
        <w:bidi/>
        <w:jc w:val="both"/>
      </w:pPr>
      <w:r>
        <w:rPr>
          <w:rtl/>
        </w:rPr>
        <w:t>مجلس الضمان الصحي. (2023، 14 مارس). احتفاء مجلس الضمان الصحي بإنجاز منصة نفيس 100 مليون معاملة تأمينية. تم الاسترجاع في 22 أغسطس 2026 من موقع مجلس الضمان الصحي.</w:t>
      </w:r>
    </w:p>
    <w:p w14:paraId="00735027" w14:textId="77777777" w:rsidR="00196EBD" w:rsidRDefault="00000000">
      <w:pPr>
        <w:bidi/>
        <w:jc w:val="both"/>
      </w:pPr>
      <w:r>
        <w:rPr>
          <w:rtl/>
        </w:rPr>
        <w:t>مجلس الضمان الصحي. (2025، 20 يوليو). مجلس الضمان الصحي يطلق استراتيجيته 2025-2027. تم الاسترجاع في 22 أغسطس 2026 من موقع مجلس الضمان الصحي.</w:t>
      </w:r>
    </w:p>
    <w:p w14:paraId="62D69FFD" w14:textId="77777777" w:rsidR="00196EBD" w:rsidRDefault="00000000">
      <w:pPr>
        <w:pStyle w:val="Heading2"/>
        <w:bidi/>
        <w:spacing w:before="240" w:after="120"/>
        <w:jc w:val="right"/>
      </w:pPr>
      <w:r>
        <w:rPr>
          <w:rFonts w:ascii="Times New Roman" w:eastAsia="Simplified Arabic" w:hAnsi="Times New Roman" w:cs="Simplified Arabic"/>
          <w:rtl/>
        </w:rPr>
        <w:t>المراجع الأجنبية</w:t>
      </w:r>
    </w:p>
    <w:p w14:paraId="5EC4931D" w14:textId="77777777" w:rsidR="00196EBD" w:rsidRDefault="00000000">
      <w:pPr>
        <w:ind w:left="340" w:hanging="340"/>
      </w:pPr>
      <w:r>
        <w:rPr>
          <w:sz w:val="24"/>
        </w:rPr>
        <w:t>Bostrom, R. P., &amp; Heinen, J. S. (1977). MIS problems and failures: A socio-technical perspective. Part I: The causes. MIS Quarterly, 1(3), 17-32.</w:t>
      </w:r>
    </w:p>
    <w:p w14:paraId="364C9B8C" w14:textId="77777777" w:rsidR="00196EBD" w:rsidRDefault="00000000">
      <w:pPr>
        <w:ind w:left="340" w:hanging="340"/>
      </w:pPr>
      <w:r>
        <w:rPr>
          <w:sz w:val="24"/>
        </w:rPr>
        <w:t xml:space="preserve">Choudhury, A., &amp; </w:t>
      </w:r>
      <w:proofErr w:type="spellStart"/>
      <w:r>
        <w:rPr>
          <w:sz w:val="24"/>
        </w:rPr>
        <w:t>Perumalla</w:t>
      </w:r>
      <w:proofErr w:type="spellEnd"/>
      <w:r>
        <w:rPr>
          <w:sz w:val="24"/>
        </w:rPr>
        <w:t>, S. (2021). Using machine learning to minimize delays caused by prior authorization: A brief report. Cogent Engineering, 8(1), 1944961. https://doi.org/10.1080/23311916.2021.1944961</w:t>
      </w:r>
    </w:p>
    <w:p w14:paraId="33F825CC" w14:textId="77777777" w:rsidR="00196EBD" w:rsidRDefault="00000000">
      <w:pPr>
        <w:ind w:left="340" w:hanging="340"/>
      </w:pPr>
      <w:r>
        <w:rPr>
          <w:sz w:val="24"/>
        </w:rPr>
        <w:t xml:space="preserve">Davenport, T. H., &amp; </w:t>
      </w:r>
      <w:proofErr w:type="spellStart"/>
      <w:r>
        <w:rPr>
          <w:sz w:val="24"/>
        </w:rPr>
        <w:t>Kalakota</w:t>
      </w:r>
      <w:proofErr w:type="spellEnd"/>
      <w:r>
        <w:rPr>
          <w:sz w:val="24"/>
        </w:rPr>
        <w:t>, R. (2019). The potential for artificial intelligence in healthcare. Future Healthcare Journal, 6(2), 94-98. https://doi.org/10.7861/futurehosp.6-2-94</w:t>
      </w:r>
    </w:p>
    <w:p w14:paraId="51CED814" w14:textId="77777777" w:rsidR="00196EBD" w:rsidRDefault="00000000">
      <w:pPr>
        <w:ind w:left="340" w:hanging="340"/>
      </w:pPr>
      <w:r>
        <w:rPr>
          <w:sz w:val="24"/>
        </w:rPr>
        <w:t xml:space="preserve">Esteva, A., Robicquet, A., Ramsundar, B., Kuleshov, V., DePristo, M., </w:t>
      </w:r>
      <w:proofErr w:type="gramStart"/>
      <w:r>
        <w:rPr>
          <w:sz w:val="24"/>
        </w:rPr>
        <w:t>Chou, K.</w:t>
      </w:r>
      <w:proofErr w:type="gramEnd"/>
      <w:r>
        <w:rPr>
          <w:sz w:val="24"/>
        </w:rPr>
        <w:t>, Cui, C., Corrado, G., Thrun, S., &amp; Dean, J. (2019). A guide to deep learning in healthcare. Nature Medicine, 25, 24-29. https://doi.org/10.1038/s41591-018-0316-z</w:t>
      </w:r>
    </w:p>
    <w:p w14:paraId="0744505C" w14:textId="77777777" w:rsidR="00196EBD" w:rsidRDefault="00000000">
      <w:pPr>
        <w:ind w:left="340" w:hanging="340"/>
      </w:pPr>
      <w:r>
        <w:rPr>
          <w:sz w:val="24"/>
        </w:rPr>
        <w:t>Jiang, F., Jiang, Y., Zhi, H., Dong, Y., Li, H., Ma, S., Wang, Y., Dong, Q., Shen, H., &amp; Wang, Y. (2017). Artificial intelligence in healthcare: Past, present and future. Stroke and Vascular Neurology, 2(4), 230-243. https://doi.org/10.1136/svn-2017-000101</w:t>
      </w:r>
    </w:p>
    <w:p w14:paraId="62CB8BC6" w14:textId="77777777" w:rsidR="00196EBD" w:rsidRDefault="00000000">
      <w:pPr>
        <w:ind w:left="340" w:hanging="340"/>
      </w:pPr>
      <w:r>
        <w:rPr>
          <w:sz w:val="24"/>
        </w:rPr>
        <w:t>Keng, C., DiGiorgio, A., Ehrenfeld, J. M., Spear, J., &amp; Miller, B. J. (2025). Unburdening patients and clinicians through automation and artificial intelligence: Informatics strategies for reducing administrative burden. Journal of Medical Systems, 49, 128. https://doi.org/10.1007/s10916-025-02265-1</w:t>
      </w:r>
    </w:p>
    <w:p w14:paraId="35BE072B" w14:textId="77777777" w:rsidR="00196EBD" w:rsidRDefault="00000000">
      <w:pPr>
        <w:ind w:left="340" w:hanging="340"/>
      </w:pPr>
      <w:r>
        <w:rPr>
          <w:sz w:val="24"/>
        </w:rPr>
        <w:t xml:space="preserve">Kunze, K. N., </w:t>
      </w:r>
      <w:proofErr w:type="spellStart"/>
      <w:r>
        <w:rPr>
          <w:sz w:val="24"/>
        </w:rPr>
        <w:t>Bepple</w:t>
      </w:r>
      <w:proofErr w:type="spellEnd"/>
      <w:r>
        <w:rPr>
          <w:sz w:val="24"/>
        </w:rPr>
        <w:t>, J., Bedi, A., Ramkumar, P. N., &amp; Pean, C. A. (2025). Commercial products using generative artificial intelligence include ambient scribes, automated documentation and scheduling, revenue cycle management, patient engagement and education, and prior authorization platforms. Arthroscopy, 41(11), 4950-4955. https://doi.org/10.1016/j.arthro.2025.05.021</w:t>
      </w:r>
    </w:p>
    <w:p w14:paraId="5625C719" w14:textId="77777777" w:rsidR="00196EBD" w:rsidRDefault="00000000">
      <w:pPr>
        <w:ind w:left="340" w:hanging="340"/>
      </w:pPr>
      <w:r>
        <w:rPr>
          <w:sz w:val="24"/>
        </w:rPr>
        <w:t>Lenert, L. A., Lane, S., &amp; Wehbe, R. (2023). Could an artificial intelligence approach to prior authorization be more human? Journal of the American Medical Informatics Association, 30(5), 989-994. https://doi.org/10.1093/jamia/ocad016</w:t>
      </w:r>
    </w:p>
    <w:p w14:paraId="0253F90E" w14:textId="77777777" w:rsidR="00196EBD" w:rsidRDefault="00000000">
      <w:pPr>
        <w:ind w:left="340" w:hanging="340"/>
      </w:pPr>
      <w:r>
        <w:rPr>
          <w:sz w:val="24"/>
        </w:rPr>
        <w:t>Mello, M. M., &amp; Rose, S. (2024). Denial-Artificial intelligence tools and health insurance coverage decisions. JAMA Health Forum, 5(3), e240622. https://doi.org/10.1001/jamahealthforum.2024.0622</w:t>
      </w:r>
    </w:p>
    <w:p w14:paraId="6A8641EF" w14:textId="77777777" w:rsidR="00196EBD" w:rsidRDefault="00000000">
      <w:pPr>
        <w:ind w:left="340" w:hanging="340"/>
      </w:pPr>
      <w:r>
        <w:rPr>
          <w:sz w:val="24"/>
        </w:rPr>
        <w:lastRenderedPageBreak/>
        <w:t xml:space="preserve">Mello, M. M., </w:t>
      </w:r>
      <w:proofErr w:type="spellStart"/>
      <w:r>
        <w:rPr>
          <w:sz w:val="24"/>
        </w:rPr>
        <w:t>Trotsyuk</w:t>
      </w:r>
      <w:proofErr w:type="spellEnd"/>
      <w:r>
        <w:rPr>
          <w:sz w:val="24"/>
        </w:rPr>
        <w:t>, A. A., Mahamadou, A. J. D., &amp; Char, D. (2026). The AI arms race in health insurance utilization review: Promises of efficiency and risks of supercharged flaws. Health Affairs, 45(1), 6-13. https://doi.org/10.1377/hlthaff.2025.00897</w:t>
      </w:r>
    </w:p>
    <w:p w14:paraId="3B9C6257" w14:textId="77777777" w:rsidR="00196EBD" w:rsidRDefault="00000000">
      <w:pPr>
        <w:ind w:left="340" w:hanging="340"/>
      </w:pPr>
      <w:r>
        <w:rPr>
          <w:sz w:val="24"/>
        </w:rPr>
        <w:t xml:space="preserve">Raza, S., Gerke, S., Silcox, C., Hendricks-Sturrup, R., &amp; Shachar, C. (2026). Medicare advantage becoming a disadvantage with use of artificial intelligence in prior authorization review. </w:t>
      </w:r>
      <w:proofErr w:type="spellStart"/>
      <w:r>
        <w:rPr>
          <w:sz w:val="24"/>
        </w:rPr>
        <w:t>npj</w:t>
      </w:r>
      <w:proofErr w:type="spellEnd"/>
      <w:r>
        <w:rPr>
          <w:sz w:val="24"/>
        </w:rPr>
        <w:t xml:space="preserve"> Digital Medicine, 9, 208. https://doi.org/10.1038/s41746-026-02387-x</w:t>
      </w:r>
    </w:p>
    <w:p w14:paraId="79757F64" w14:textId="77777777" w:rsidR="00196EBD" w:rsidRDefault="00000000">
      <w:pPr>
        <w:ind w:left="340" w:hanging="340"/>
      </w:pPr>
      <w:r>
        <w:rPr>
          <w:sz w:val="24"/>
        </w:rPr>
        <w:t>Sahni, N. R., Istvan, B., Stafford, C., &amp; Cutler, D. (2024). Perceptions of prior authorization burden and solutions. Health Affairs Scholar, 2(9), qxae096. https://doi.org/10.1093/haschl/qxae096</w:t>
      </w:r>
    </w:p>
    <w:p w14:paraId="2BA50CBA" w14:textId="77777777" w:rsidR="00196EBD" w:rsidRDefault="00000000">
      <w:pPr>
        <w:ind w:left="340" w:hanging="340"/>
      </w:pPr>
      <w:r>
        <w:rPr>
          <w:sz w:val="24"/>
        </w:rPr>
        <w:t xml:space="preserve">Teece, D. J., Pisano, G., &amp; </w:t>
      </w:r>
      <w:proofErr w:type="spellStart"/>
      <w:r>
        <w:rPr>
          <w:sz w:val="24"/>
        </w:rPr>
        <w:t>Shuen</w:t>
      </w:r>
      <w:proofErr w:type="spellEnd"/>
      <w:r>
        <w:rPr>
          <w:sz w:val="24"/>
        </w:rPr>
        <w:t>, A. (1997). Dynamic capabilities and strategic management. Strategic Management Journal, 18(7), 509-533.</w:t>
      </w:r>
    </w:p>
    <w:p w14:paraId="75E5F689" w14:textId="77777777" w:rsidR="00196EBD" w:rsidRDefault="00000000">
      <w:pPr>
        <w:ind w:left="340" w:hanging="340"/>
      </w:pPr>
      <w:r>
        <w:rPr>
          <w:sz w:val="24"/>
        </w:rPr>
        <w:t>Topol, E. J. (2019). High-performance medicine: The convergence of human and artificial intelligence. Nature Medicine, 25, 44-56. https://doi.org/10.1038/s41591-018-0300-7</w:t>
      </w:r>
    </w:p>
    <w:p w14:paraId="122FE41A" w14:textId="77777777" w:rsidR="00196EBD" w:rsidRDefault="00000000">
      <w:r>
        <w:rPr>
          <w:sz w:val="24"/>
        </w:rPr>
        <w:t>Vatsal, S., Singh, A., &amp; Tafreshi, S. (2024). Can GPT improve the state of prior authorization via guideline based automated question answering? In AI for Health Equity and Fairness: Leveraging AI to Address Social Determinants of Health (pp. 147-158). Springer. https://doi.org/10.1007/978-3-031-63592-2_12</w:t>
      </w:r>
    </w:p>
    <w:p w14:paraId="524E7683" w14:textId="77777777" w:rsidR="00196EBD" w:rsidRDefault="00000000">
      <w:pPr>
        <w:ind w:left="340" w:hanging="340"/>
      </w:pPr>
      <w:r>
        <w:rPr>
          <w:sz w:val="24"/>
        </w:rPr>
        <w:t>World Health Organization. (2021). Ethics and governance of artificial intelligence for health: WHO guidance. World Health Organization.</w:t>
      </w:r>
    </w:p>
    <w:p w14:paraId="27255ADB" w14:textId="77777777" w:rsidR="00196EBD" w:rsidRDefault="00000000">
      <w:pPr>
        <w:ind w:left="340" w:hanging="340"/>
        <w:rPr>
          <w:sz w:val="24"/>
          <w:rtl/>
        </w:rPr>
      </w:pPr>
      <w:r>
        <w:rPr>
          <w:sz w:val="24"/>
        </w:rPr>
        <w:t>World Health Organization. (2023). Regulatory considerations on artificial intelligence for health. World Health Organization.</w:t>
      </w:r>
    </w:p>
    <w:p w14:paraId="42883989" w14:textId="77777777" w:rsidR="005B0027" w:rsidRDefault="005B0027">
      <w:pPr>
        <w:ind w:left="340" w:hanging="340"/>
        <w:rPr>
          <w:sz w:val="24"/>
          <w:rtl/>
        </w:rPr>
      </w:pPr>
    </w:p>
    <w:p w14:paraId="3DF6CFE6" w14:textId="77777777" w:rsidR="005B0027" w:rsidRDefault="005B0027">
      <w:pPr>
        <w:ind w:left="340" w:hanging="340"/>
        <w:rPr>
          <w:sz w:val="24"/>
          <w:rtl/>
        </w:rPr>
      </w:pPr>
    </w:p>
    <w:p w14:paraId="5118DAEA" w14:textId="77777777" w:rsidR="005B0027" w:rsidRDefault="005B0027">
      <w:pPr>
        <w:ind w:left="340" w:hanging="340"/>
        <w:rPr>
          <w:sz w:val="24"/>
          <w:rtl/>
        </w:rPr>
      </w:pPr>
    </w:p>
    <w:p w14:paraId="42B84EA9" w14:textId="77777777" w:rsidR="005B0027" w:rsidRDefault="005B0027">
      <w:pPr>
        <w:ind w:left="340" w:hanging="340"/>
        <w:rPr>
          <w:sz w:val="24"/>
          <w:rtl/>
        </w:rPr>
      </w:pPr>
    </w:p>
    <w:p w14:paraId="496BE0C7" w14:textId="77777777" w:rsidR="005B0027" w:rsidRDefault="005B0027">
      <w:pPr>
        <w:ind w:left="340" w:hanging="340"/>
        <w:rPr>
          <w:sz w:val="24"/>
          <w:rtl/>
        </w:rPr>
      </w:pPr>
    </w:p>
    <w:p w14:paraId="3AAE74B2" w14:textId="77777777" w:rsidR="005B0027" w:rsidRDefault="005B0027">
      <w:pPr>
        <w:ind w:left="340" w:hanging="340"/>
        <w:rPr>
          <w:sz w:val="24"/>
          <w:rtl/>
        </w:rPr>
      </w:pPr>
    </w:p>
    <w:p w14:paraId="3EA7036F" w14:textId="77777777" w:rsidR="005B0027" w:rsidRDefault="005B0027">
      <w:pPr>
        <w:ind w:left="340" w:hanging="340"/>
        <w:rPr>
          <w:sz w:val="24"/>
          <w:rtl/>
        </w:rPr>
      </w:pPr>
    </w:p>
    <w:p w14:paraId="12722DF3" w14:textId="77777777" w:rsidR="005B0027" w:rsidRDefault="005B0027">
      <w:pPr>
        <w:ind w:left="340" w:hanging="340"/>
        <w:rPr>
          <w:sz w:val="24"/>
          <w:rtl/>
        </w:rPr>
      </w:pPr>
    </w:p>
    <w:p w14:paraId="1E9B2DE5" w14:textId="77777777" w:rsidR="005B0027" w:rsidRDefault="005B0027">
      <w:pPr>
        <w:ind w:left="340" w:hanging="340"/>
        <w:rPr>
          <w:sz w:val="24"/>
          <w:rtl/>
        </w:rPr>
      </w:pPr>
    </w:p>
    <w:p w14:paraId="210A78FC" w14:textId="77777777" w:rsidR="005B0027" w:rsidRDefault="005B0027">
      <w:pPr>
        <w:ind w:left="340" w:hanging="340"/>
        <w:rPr>
          <w:sz w:val="24"/>
          <w:rtl/>
        </w:rPr>
      </w:pPr>
    </w:p>
    <w:p w14:paraId="30A60AC8" w14:textId="77777777" w:rsidR="005B0027" w:rsidRDefault="005B0027">
      <w:pPr>
        <w:ind w:left="340" w:hanging="340"/>
        <w:rPr>
          <w:sz w:val="24"/>
          <w:rtl/>
        </w:rPr>
      </w:pPr>
    </w:p>
    <w:p w14:paraId="0ED9E902" w14:textId="77777777" w:rsidR="005B0027" w:rsidRDefault="005B0027">
      <w:pPr>
        <w:ind w:left="340" w:hanging="340"/>
        <w:rPr>
          <w:sz w:val="24"/>
          <w:rtl/>
        </w:rPr>
      </w:pPr>
    </w:p>
    <w:p w14:paraId="3D27165B" w14:textId="77777777" w:rsidR="005B0027" w:rsidRDefault="005B0027">
      <w:pPr>
        <w:ind w:left="340" w:hanging="340"/>
        <w:rPr>
          <w:sz w:val="24"/>
          <w:rtl/>
        </w:rPr>
      </w:pPr>
    </w:p>
    <w:p w14:paraId="2CD3C7D4" w14:textId="77777777" w:rsidR="005B0027" w:rsidRDefault="005B0027">
      <w:pPr>
        <w:ind w:left="340" w:hanging="340"/>
        <w:rPr>
          <w:sz w:val="24"/>
          <w:rtl/>
        </w:rPr>
      </w:pPr>
    </w:p>
    <w:p w14:paraId="1E515082" w14:textId="77777777" w:rsidR="005B0027" w:rsidRDefault="005B0027">
      <w:pPr>
        <w:ind w:left="340" w:hanging="340"/>
        <w:rPr>
          <w:sz w:val="24"/>
          <w:rtl/>
        </w:rPr>
      </w:pPr>
    </w:p>
    <w:p w14:paraId="478AD7E6" w14:textId="77777777" w:rsidR="005B0027" w:rsidRDefault="005B0027">
      <w:pPr>
        <w:ind w:left="340" w:hanging="340"/>
        <w:rPr>
          <w:sz w:val="24"/>
          <w:rtl/>
        </w:rPr>
      </w:pPr>
    </w:p>
    <w:p w14:paraId="19FB8EBE" w14:textId="77777777" w:rsidR="005B0027" w:rsidRDefault="005B0027">
      <w:pPr>
        <w:ind w:left="340" w:hanging="340"/>
      </w:pPr>
    </w:p>
    <w:sectPr w:rsidR="005B0027" w:rsidSect="00034616">
      <w:footerReference w:type="default" r:id="rId15"/>
      <w:pgSz w:w="12240" w:h="15840"/>
      <w:pgMar w:top="1134" w:right="1701" w:bottom="1134" w:left="1134" w:header="454" w:footer="45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E55D2" w14:textId="77777777" w:rsidR="00901988" w:rsidRDefault="00901988">
      <w:pPr>
        <w:spacing w:after="0"/>
      </w:pPr>
      <w:r>
        <w:separator/>
      </w:r>
    </w:p>
  </w:endnote>
  <w:endnote w:type="continuationSeparator" w:id="0">
    <w:p w14:paraId="5C5AF79C" w14:textId="77777777" w:rsidR="00901988" w:rsidRDefault="0090198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5139C" w14:textId="6EA70288" w:rsidR="00E451F6" w:rsidRDefault="005B0027">
    <w:pPr>
      <w:pStyle w:val="Footer"/>
    </w:pPr>
    <w:r>
      <w:rPr>
        <w:noProof/>
      </w:rPr>
      <mc:AlternateContent>
        <mc:Choice Requires="wps">
          <w:drawing>
            <wp:anchor distT="0" distB="0" distL="0" distR="0" simplePos="0" relativeHeight="251659264" behindDoc="0" locked="0" layoutInCell="1" allowOverlap="1" wp14:anchorId="181907C1" wp14:editId="10F8E1AA">
              <wp:simplePos x="635" y="635"/>
              <wp:positionH relativeFrom="page">
                <wp:align>center</wp:align>
              </wp:positionH>
              <wp:positionV relativeFrom="page">
                <wp:align>bottom</wp:align>
              </wp:positionV>
              <wp:extent cx="525780" cy="345440"/>
              <wp:effectExtent l="0" t="0" r="7620" b="0"/>
              <wp:wrapNone/>
              <wp:docPr id="574619276" name="Text Box 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5780" cy="345440"/>
                      </a:xfrm>
                      <a:prstGeom prst="rect">
                        <a:avLst/>
                      </a:prstGeom>
                      <a:noFill/>
                      <a:ln>
                        <a:noFill/>
                      </a:ln>
                    </wps:spPr>
                    <wps:txbx>
                      <w:txbxContent>
                        <w:p w14:paraId="49738913" w14:textId="705E73B1" w:rsidR="005B0027" w:rsidRPr="005B0027" w:rsidRDefault="005B0027" w:rsidP="005B0027">
                          <w:pPr>
                            <w:spacing w:after="0"/>
                            <w:rPr>
                              <w:rFonts w:ascii="Aptos" w:eastAsia="Aptos" w:hAnsi="Aptos" w:cs="Aptos"/>
                              <w:noProof/>
                              <w:color w:val="000000"/>
                              <w:sz w:val="20"/>
                              <w:szCs w:val="20"/>
                            </w:rPr>
                          </w:pPr>
                          <w:r w:rsidRPr="005B0027">
                            <w:rPr>
                              <w:rFonts w:ascii="Aptos" w:eastAsia="Aptos" w:hAnsi="Aptos" w:cs="Aptos"/>
                              <w:noProof/>
                              <w:color w:val="000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81907C1" id="_x0000_t202" coordsize="21600,21600" o:spt="202" path="m,l,21600r21600,l21600,xe">
              <v:stroke joinstyle="miter"/>
              <v:path gradientshapeok="t" o:connecttype="rect"/>
            </v:shapetype>
            <v:shape id="Text Box 9" o:spid="_x0000_s1026" type="#_x0000_t202" alt="Public" style="position:absolute;left:0;text-align:left;margin-left:0;margin-top:0;width:41.4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" filled="f" stroked="f">
              <v:fill o:detectmouseclick="t"/>
              <v:textbox style="mso-fit-shape-to-text:t" inset="0,0,0,15pt">
                <w:txbxContent>
                  <w:p w14:paraId="49738913" w14:textId="705E73B1" w:rsidR="005B0027" w:rsidRPr="005B0027" w:rsidRDefault="005B0027" w:rsidP="005B0027">
                    <w:pPr>
                      <w:spacing w:after="0"/>
                      <w:rPr>
                        <w:rFonts w:ascii="Aptos" w:eastAsia="Aptos" w:hAnsi="Aptos" w:cs="Aptos"/>
                        <w:noProof/>
                        <w:color w:val="000000"/>
                        <w:sz w:val="20"/>
                        <w:szCs w:val="20"/>
                      </w:rPr>
                    </w:pPr>
                    <w:r w:rsidRPr="005B0027">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6F6E0" w14:textId="16582CBE" w:rsidR="00E451F6" w:rsidRDefault="005B0027">
    <w:pPr>
      <w:pStyle w:val="Footer"/>
    </w:pPr>
    <w:r>
      <w:rPr>
        <w:noProof/>
      </w:rPr>
      <mc:AlternateContent>
        <mc:Choice Requires="wps">
          <w:drawing>
            <wp:anchor distT="0" distB="0" distL="0" distR="0" simplePos="0" relativeHeight="251660288" behindDoc="0" locked="0" layoutInCell="1" allowOverlap="1" wp14:anchorId="4FB93AEE" wp14:editId="1E499821">
              <wp:simplePos x="723900" y="9563100"/>
              <wp:positionH relativeFrom="page">
                <wp:align>center</wp:align>
              </wp:positionH>
              <wp:positionV relativeFrom="page">
                <wp:align>bottom</wp:align>
              </wp:positionV>
              <wp:extent cx="525780" cy="345440"/>
              <wp:effectExtent l="0" t="0" r="7620" b="0"/>
              <wp:wrapNone/>
              <wp:docPr id="691657055" name="Text Box 10"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5780" cy="345440"/>
                      </a:xfrm>
                      <a:prstGeom prst="rect">
                        <a:avLst/>
                      </a:prstGeom>
                      <a:noFill/>
                      <a:ln>
                        <a:noFill/>
                      </a:ln>
                    </wps:spPr>
                    <wps:txbx>
                      <w:txbxContent>
                        <w:p w14:paraId="50459A7A" w14:textId="194417FC" w:rsidR="005B0027" w:rsidRPr="005B0027" w:rsidRDefault="005B0027" w:rsidP="005B0027">
                          <w:pPr>
                            <w:spacing w:after="0"/>
                            <w:rPr>
                              <w:rFonts w:ascii="Aptos" w:eastAsia="Aptos" w:hAnsi="Aptos" w:cs="Aptos"/>
                              <w:noProof/>
                              <w:color w:val="000000"/>
                              <w:sz w:val="20"/>
                              <w:szCs w:val="20"/>
                            </w:rPr>
                          </w:pPr>
                          <w:r w:rsidRPr="005B0027">
                            <w:rPr>
                              <w:rFonts w:ascii="Aptos" w:eastAsia="Aptos" w:hAnsi="Aptos" w:cs="Aptos"/>
                              <w:noProof/>
                              <w:color w:val="000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93AEE" id="_x0000_t202" coordsize="21600,21600" o:spt="202" path="m,l,21600r21600,l21600,xe">
              <v:stroke joinstyle="miter"/>
              <v:path gradientshapeok="t" o:connecttype="rect"/>
            </v:shapetype>
            <v:shape id="Text Box 10" o:spid="_x0000_s1027" type="#_x0000_t202" alt="Public" style="position:absolute;left:0;text-align:left;margin-left:0;margin-top:0;width:41.4pt;height:27.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" filled="f" stroked="f">
              <v:fill o:detectmouseclick="t"/>
              <v:textbox style="mso-fit-shape-to-text:t" inset="0,0,0,15pt">
                <w:txbxContent>
                  <w:p w14:paraId="50459A7A" w14:textId="194417FC" w:rsidR="005B0027" w:rsidRPr="005B0027" w:rsidRDefault="005B0027" w:rsidP="005B0027">
                    <w:pPr>
                      <w:spacing w:after="0"/>
                      <w:rPr>
                        <w:rFonts w:ascii="Aptos" w:eastAsia="Aptos" w:hAnsi="Aptos" w:cs="Aptos"/>
                        <w:noProof/>
                        <w:color w:val="000000"/>
                        <w:sz w:val="20"/>
                        <w:szCs w:val="20"/>
                      </w:rPr>
                    </w:pPr>
                    <w:r w:rsidRPr="005B0027">
                      <w:rPr>
                        <w:rFonts w:ascii="Aptos" w:eastAsia="Aptos" w:hAnsi="Aptos" w:cs="Aptos"/>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FEF45" w14:textId="14D7EDB2" w:rsidR="00E451F6" w:rsidRDefault="005B0027">
    <w:pPr>
      <w:pStyle w:val="Footer"/>
    </w:pPr>
    <w:r>
      <w:rPr>
        <w:noProof/>
      </w:rPr>
      <mc:AlternateContent>
        <mc:Choice Requires="wps">
          <w:drawing>
            <wp:anchor distT="0" distB="0" distL="0" distR="0" simplePos="0" relativeHeight="251658240" behindDoc="0" locked="0" layoutInCell="1" allowOverlap="1" wp14:anchorId="3AC69457" wp14:editId="742AAF23">
              <wp:simplePos x="635" y="635"/>
              <wp:positionH relativeFrom="page">
                <wp:align>center</wp:align>
              </wp:positionH>
              <wp:positionV relativeFrom="page">
                <wp:align>bottom</wp:align>
              </wp:positionV>
              <wp:extent cx="525780" cy="345440"/>
              <wp:effectExtent l="0" t="0" r="7620" b="0"/>
              <wp:wrapNone/>
              <wp:docPr id="423883771" name="Text Box 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5780" cy="345440"/>
                      </a:xfrm>
                      <a:prstGeom prst="rect">
                        <a:avLst/>
                      </a:prstGeom>
                      <a:noFill/>
                      <a:ln>
                        <a:noFill/>
                      </a:ln>
                    </wps:spPr>
                    <wps:txbx>
                      <w:txbxContent>
                        <w:p w14:paraId="76CD6472" w14:textId="409372E8" w:rsidR="005B0027" w:rsidRPr="005B0027" w:rsidRDefault="005B0027" w:rsidP="005B0027">
                          <w:pPr>
                            <w:spacing w:after="0"/>
                            <w:rPr>
                              <w:rFonts w:ascii="Aptos" w:eastAsia="Aptos" w:hAnsi="Aptos" w:cs="Aptos"/>
                              <w:noProof/>
                              <w:color w:val="000000"/>
                              <w:sz w:val="20"/>
                              <w:szCs w:val="20"/>
                            </w:rPr>
                          </w:pPr>
                          <w:r w:rsidRPr="005B0027">
                            <w:rPr>
                              <w:rFonts w:ascii="Aptos" w:eastAsia="Aptos" w:hAnsi="Aptos" w:cs="Aptos"/>
                              <w:noProof/>
                              <w:color w:val="000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AC69457" id="_x0000_t202" coordsize="21600,21600" o:spt="202" path="m,l,21600r21600,l21600,xe">
              <v:stroke joinstyle="miter"/>
              <v:path gradientshapeok="t" o:connecttype="rect"/>
            </v:shapetype>
            <v:shape id="Text Box 8" o:spid="_x0000_s1028" type="#_x0000_t202" alt="Public" style="position:absolute;left:0;text-align:left;margin-left:0;margin-top:0;width:41.4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" filled="f" stroked="f">
              <v:fill o:detectmouseclick="t"/>
              <v:textbox style="mso-fit-shape-to-text:t" inset="0,0,0,15pt">
                <w:txbxContent>
                  <w:p w14:paraId="76CD6472" w14:textId="409372E8" w:rsidR="005B0027" w:rsidRPr="005B0027" w:rsidRDefault="005B0027" w:rsidP="005B0027">
                    <w:pPr>
                      <w:spacing w:after="0"/>
                      <w:rPr>
                        <w:rFonts w:ascii="Aptos" w:eastAsia="Aptos" w:hAnsi="Aptos" w:cs="Aptos"/>
                        <w:noProof/>
                        <w:color w:val="000000"/>
                        <w:sz w:val="20"/>
                        <w:szCs w:val="20"/>
                      </w:rPr>
                    </w:pPr>
                    <w:r w:rsidRPr="005B0027">
                      <w:rPr>
                        <w:rFonts w:ascii="Aptos" w:eastAsia="Aptos" w:hAnsi="Aptos" w:cs="Aptos"/>
                        <w:noProof/>
                        <w:color w:val="000000"/>
                        <w:sz w:val="20"/>
                        <w:szCs w:val="20"/>
                      </w:rPr>
                      <w:t>Public</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0C3C4" w14:textId="16A0D1E7" w:rsidR="00196EBD" w:rsidRDefault="005B0027">
    <w:pPr>
      <w:pStyle w:val="Footer"/>
      <w:jc w:val="center"/>
    </w:pPr>
    <w:r>
      <w:rPr>
        <w:noProof/>
        <w:sz w:val="24"/>
        <w:rtl/>
        <w:lang w:val="ar-SA"/>
      </w:rPr>
      <mc:AlternateContent>
        <mc:Choice Requires="wps">
          <w:drawing>
            <wp:anchor distT="0" distB="0" distL="0" distR="0" simplePos="0" relativeHeight="251661312" behindDoc="0" locked="0" layoutInCell="1" allowOverlap="1" wp14:anchorId="32A140F1" wp14:editId="5942AC4F">
              <wp:simplePos x="723900" y="9610725"/>
              <wp:positionH relativeFrom="page">
                <wp:align>center</wp:align>
              </wp:positionH>
              <wp:positionV relativeFrom="page">
                <wp:align>bottom</wp:align>
              </wp:positionV>
              <wp:extent cx="525780" cy="345440"/>
              <wp:effectExtent l="0" t="0" r="7620" b="0"/>
              <wp:wrapNone/>
              <wp:docPr id="2051062096" name="Text Box 1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5780" cy="345440"/>
                      </a:xfrm>
                      <a:prstGeom prst="rect">
                        <a:avLst/>
                      </a:prstGeom>
                      <a:noFill/>
                      <a:ln>
                        <a:noFill/>
                      </a:ln>
                    </wps:spPr>
                    <wps:txbx>
                      <w:txbxContent>
                        <w:p w14:paraId="4D342B75" w14:textId="6574028A" w:rsidR="005B0027" w:rsidRPr="005B0027" w:rsidRDefault="005B0027" w:rsidP="005B0027">
                          <w:pPr>
                            <w:spacing w:after="0"/>
                            <w:rPr>
                              <w:rFonts w:ascii="Aptos" w:eastAsia="Aptos" w:hAnsi="Aptos" w:cs="Aptos"/>
                              <w:noProof/>
                              <w:color w:val="000000"/>
                              <w:sz w:val="20"/>
                              <w:szCs w:val="20"/>
                            </w:rPr>
                          </w:pPr>
                          <w:r w:rsidRPr="005B0027">
                            <w:rPr>
                              <w:rFonts w:ascii="Aptos" w:eastAsia="Aptos" w:hAnsi="Aptos" w:cs="Aptos"/>
                              <w:noProof/>
                              <w:color w:val="000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2A140F1" id="_x0000_t202" coordsize="21600,21600" o:spt="202" path="m,l,21600r21600,l21600,xe">
              <v:stroke joinstyle="miter"/>
              <v:path gradientshapeok="t" o:connecttype="rect"/>
            </v:shapetype>
            <v:shape id="Text Box 11" o:spid="_x0000_s1029" type="#_x0000_t202" alt="Public" style="position:absolute;left:0;text-align:left;margin-left:0;margin-top:0;width:41.4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" filled="f" stroked="f">
              <v:fill o:detectmouseclick="t"/>
              <v:textbox style="mso-fit-shape-to-text:t" inset="0,0,0,15pt">
                <w:txbxContent>
                  <w:p w14:paraId="4D342B75" w14:textId="6574028A" w:rsidR="005B0027" w:rsidRPr="005B0027" w:rsidRDefault="005B0027" w:rsidP="005B0027">
                    <w:pPr>
                      <w:spacing w:after="0"/>
                      <w:rPr>
                        <w:rFonts w:ascii="Aptos" w:eastAsia="Aptos" w:hAnsi="Aptos" w:cs="Aptos"/>
                        <w:noProof/>
                        <w:color w:val="000000"/>
                        <w:sz w:val="20"/>
                        <w:szCs w:val="20"/>
                      </w:rPr>
                    </w:pPr>
                    <w:r w:rsidRPr="005B0027">
                      <w:rPr>
                        <w:rFonts w:ascii="Aptos" w:eastAsia="Aptos" w:hAnsi="Aptos" w:cs="Aptos"/>
                        <w:noProof/>
                        <w:color w:val="000000"/>
                        <w:sz w:val="20"/>
                        <w:szCs w:val="20"/>
                      </w:rPr>
                      <w:t>Public</w:t>
                    </w:r>
                  </w:p>
                </w:txbxContent>
              </v:textbox>
              <w10:wrap anchorx="page" anchory="page"/>
            </v:shape>
          </w:pict>
        </mc:Fallback>
      </mc:AlternateContent>
    </w:r>
    <w:r w:rsidR="00E451F6">
      <w:rPr>
        <w:sz w:val="24"/>
        <w:rtl/>
      </w:rPr>
      <w:fldChar w:fldCharType="begin"/>
    </w:r>
    <w:r w:rsidR="00E451F6">
      <w:rPr>
        <w:sz w:val="24"/>
        <w:rtl/>
      </w:rPr>
      <w:instrText xml:space="preserve"> PAGE </w:instrText>
    </w:r>
    <w:r w:rsidR="00E451F6">
      <w:rPr>
        <w:sz w:val="24"/>
        <w:rtl/>
      </w:rPr>
      <w:fldChar w:fldCharType="separate"/>
    </w:r>
    <w:r w:rsidR="00452FAC">
      <w:rPr>
        <w:noProof/>
        <w:sz w:val="24"/>
      </w:rPr>
      <w:t>1</w:t>
    </w:r>
    <w:r w:rsidR="00E451F6">
      <w:rPr>
        <w:sz w:val="24"/>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B6309" w14:textId="77777777" w:rsidR="00901988" w:rsidRDefault="00901988">
      <w:pPr>
        <w:spacing w:after="0"/>
      </w:pPr>
      <w:r>
        <w:separator/>
      </w:r>
    </w:p>
  </w:footnote>
  <w:footnote w:type="continuationSeparator" w:id="0">
    <w:p w14:paraId="7D8DFE3A" w14:textId="77777777" w:rsidR="00901988" w:rsidRDefault="0090198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18B1F" w14:textId="5839312E" w:rsidR="00E451F6" w:rsidRDefault="00E451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D9246" w14:textId="27F40A3B" w:rsidR="00E451F6" w:rsidRDefault="00E451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EC98A" w14:textId="5B3C00B5" w:rsidR="00E451F6" w:rsidRDefault="00E45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38516515">
    <w:abstractNumId w:val="8"/>
  </w:num>
  <w:num w:numId="2" w16cid:durableId="1826697311">
    <w:abstractNumId w:val="6"/>
  </w:num>
  <w:num w:numId="3" w16cid:durableId="258174388">
    <w:abstractNumId w:val="5"/>
  </w:num>
  <w:num w:numId="4" w16cid:durableId="938028881">
    <w:abstractNumId w:val="4"/>
  </w:num>
  <w:num w:numId="5" w16cid:durableId="5834576">
    <w:abstractNumId w:val="7"/>
  </w:num>
  <w:num w:numId="6" w16cid:durableId="2057318655">
    <w:abstractNumId w:val="3"/>
  </w:num>
  <w:num w:numId="7" w16cid:durableId="1510171018">
    <w:abstractNumId w:val="2"/>
  </w:num>
  <w:num w:numId="8" w16cid:durableId="1442263070">
    <w:abstractNumId w:val="1"/>
  </w:num>
  <w:num w:numId="9" w16cid:durableId="581835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96EBD"/>
    <w:rsid w:val="00295E7F"/>
    <w:rsid w:val="0029639D"/>
    <w:rsid w:val="00326F90"/>
    <w:rsid w:val="00452FAC"/>
    <w:rsid w:val="005B0027"/>
    <w:rsid w:val="00901988"/>
    <w:rsid w:val="009E0139"/>
    <w:rsid w:val="00AA1D8D"/>
    <w:rsid w:val="00B47730"/>
    <w:rsid w:val="00CB0664"/>
    <w:rsid w:val="00E451F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CC9FC8"/>
  <w14:defaultImageDpi w14:val="300"/>
  <w15:docId w15:val="{34B94A5C-8522-4653-A2D1-985DAAACC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40" w:lineRule="auto"/>
      <w:ind w:firstLine="283"/>
    </w:pPr>
    <w:rPr>
      <w:rFonts w:ascii="Times New Roman" w:eastAsia="Simplified Arabic" w:hAnsi="Times New Roman" w:cs="Simplified Arabic"/>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4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3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3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283"/>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4fa21473-1e0c-4ec9-a48c-5e6a72e2f32d}" enabled="1" method="Privileged" siteId="{dd9a2cf7-de66-4049-8a86-f6d911676671}" contentBits="2" removed="0"/>
</clbl:labelList>
</file>

<file path=docProps/app.xml><?xml version="1.0" encoding="utf-8"?>
<Properties xmlns="http://schemas.openxmlformats.org/officeDocument/2006/extended-properties" xmlns:vt="http://schemas.openxmlformats.org/officeDocument/2006/docPropsVTypes">
  <Template>Normal</Template>
  <TotalTime>18</TotalTime>
  <Pages>18</Pages>
  <Words>5217</Words>
  <Characters>29741</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الإطار النظري - الفصل الأول والثاني - ماجستير إدارة الأعمال</vt:lpstr>
    </vt:vector>
  </TitlesOfParts>
  <Manager/>
  <Company/>
  <LinksUpToDate>false</LinksUpToDate>
  <CharactersWithSpaces>34889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الإطار النظري - الفصل الأول والثاني - ماجستير إدارة الأعمال</dc:title>
  <dc:subject>Midocean University MBA Research - Theoretical Framework</dc:subject>
  <dc:creator>Mohamed Abdulrahman Hussain Eisa</dc:creator>
  <cp:keywords/>
  <dc:description>generated by python-docx</dc:description>
  <cp:lastModifiedBy>Mohamed Eisa</cp:lastModifiedBy>
  <cp:revision>3</cp:revision>
  <dcterms:created xsi:type="dcterms:W3CDTF">2013-12-23T23:15:00Z</dcterms:created>
  <dcterms:modified xsi:type="dcterms:W3CDTF">2026-08-22T19:42:00Z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1943f3fb,223ffe8c,2939d95f,7a40b950</vt:lpwstr>
  </property>
  <property fmtid="{D5CDD505-2E9C-101B-9397-08002B2CF9AE}" pid="3" name="ClassificationContentMarkingFooterFontProps">
    <vt:lpwstr>#000000,10,Aptos</vt:lpwstr>
  </property>
  <property fmtid="{D5CDD505-2E9C-101B-9397-08002B2CF9AE}" pid="4" name="ClassificationContentMarkingFooterText">
    <vt:lpwstr>Public</vt:lpwstr>
  </property>
</Properties>
</file>