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DC743E" w14:textId="77777777" w:rsidR="00491E5B" w:rsidRDefault="00E91EBB">
      <w:pPr>
        <w:pStyle w:val="Title"/>
        <w:tabs>
          <w:tab w:val="right" w:pos="9927"/>
        </w:tabs>
        <w:bidi/>
        <w:spacing w:line="420" w:lineRule="auto"/>
        <w:ind w:left="0" w:right="142"/>
        <w:jc w:val="both"/>
        <w:rPr>
          <w:b/>
          <w:bCs/>
          <w:rtl/>
        </w:rPr>
      </w:pPr>
      <w:r>
        <w:rPr>
          <w:rFonts w:ascii="Times New Roman" w:eastAsia="Times New Roman" w:hAnsi="Times New Roman" w:cs="Times New Roman"/>
          <w:noProof/>
          <w:color w:val="1C1C1C"/>
          <w:sz w:val="24"/>
          <w:szCs w:val="24"/>
        </w:rPr>
        <w:drawing>
          <wp:anchor distT="0" distB="0" distL="114300" distR="114300" simplePos="0" relativeHeight="251662336" behindDoc="0" locked="0" layoutInCell="1" allowOverlap="1" wp14:anchorId="21CA5183" wp14:editId="69A5CAAE">
            <wp:simplePos x="0" y="0"/>
            <wp:positionH relativeFrom="margin">
              <wp:align>left</wp:align>
            </wp:positionH>
            <wp:positionV relativeFrom="paragraph">
              <wp:posOffset>8255</wp:posOffset>
            </wp:positionV>
            <wp:extent cx="2346325" cy="1108710"/>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logo&#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3360" behindDoc="0" locked="0" layoutInCell="1" allowOverlap="1" wp14:anchorId="185D68FA" wp14:editId="52910AA6">
                <wp:simplePos x="0" y="0"/>
                <wp:positionH relativeFrom="margin">
                  <wp:align>right</wp:align>
                </wp:positionH>
                <wp:positionV relativeFrom="paragraph">
                  <wp:posOffset>2540</wp:posOffset>
                </wp:positionV>
                <wp:extent cx="1907540" cy="914400"/>
                <wp:effectExtent l="0" t="0" r="16510" b="19050"/>
                <wp:wrapNone/>
                <wp:docPr id="2036171770" name="Rectangle 53"/>
                <wp:cNvGraphicFramePr/>
                <a:graphic xmlns:a="http://schemas.openxmlformats.org/drawingml/2006/main">
                  <a:graphicData uri="http://schemas.microsoft.com/office/word/2010/wordprocessingShape">
                    <wps:wsp>
                      <wps:cNvSpPr/>
                      <wps:spPr>
                        <a:xfrm>
                          <a:off x="0" y="0"/>
                          <a:ext cx="190754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B570536" w14:textId="77777777" w:rsidR="00491E5B" w:rsidRDefault="00E91EBB">
                            <w:pPr>
                              <w:jc w:val="center"/>
                              <w:rPr>
                                <w:b/>
                                <w:bCs/>
                                <w:sz w:val="28"/>
                                <w:szCs w:val="28"/>
                                <w:rtl/>
                                <w:lang w:bidi="ar-EG"/>
                              </w:rPr>
                            </w:pPr>
                            <w:r>
                              <w:rPr>
                                <w:rFonts w:hint="cs"/>
                                <w:b/>
                                <w:bCs/>
                                <w:sz w:val="28"/>
                                <w:szCs w:val="28"/>
                                <w:rtl/>
                                <w:lang w:bidi="ar-EG"/>
                              </w:rPr>
                              <w:t xml:space="preserve">جامعة ميد اوشن </w:t>
                            </w:r>
                          </w:p>
                          <w:p w14:paraId="546FE3F3" w14:textId="77777777" w:rsidR="00491E5B" w:rsidRDefault="00E91EBB">
                            <w:pPr>
                              <w:jc w:val="center"/>
                              <w:rPr>
                                <w:sz w:val="28"/>
                                <w:szCs w:val="28"/>
                                <w:lang w:bidi="ar-EG"/>
                              </w:rPr>
                            </w:pPr>
                            <w:r>
                              <w:rPr>
                                <w:rFonts w:hint="cs"/>
                                <w:b/>
                                <w:bCs/>
                                <w:sz w:val="28"/>
                                <w:szCs w:val="28"/>
                                <w:rtl/>
                                <w:lang w:bidi="ar-EG"/>
                              </w:rPr>
                              <w:t>برنامج الدكتوراة</w:t>
                            </w:r>
                            <w:r>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53" o:spid="_x0000_s1026" o:spt="1" style="position:absolute;left:0pt;margin-top:0.2pt;height:72pt;width:150.2pt;mso-position-horizontal:right;mso-position-horizontal-relative:margin;z-index:251669504;v-text-anchor:middle;mso-width-relative:page;mso-height-relative:page;" fillcolor="#FFFFFF" filled="t" stroked="t" coordsize="21600,21600" o:gfxdata="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mAfj79QAAAAFAQAADwAAAAAAAAABACAAAAAi&#10;AAAAZHJzL2Rvd25yZXYueG1sUEsBAhQAFAAAAAgAh07iQMgCE7yAAgAAOgUAAA4AAAAAAAAAAQAg&#10;AAAAIwEAAGRycy9lMm9Eb2MueG1sUEsFBgAAAAAGAAYAWQEAABUGAAAAAA==&#10;">
                <v:fill on="t" focussize="0,0"/>
                <v:stroke weight="1pt" color="#FFFFFF" miterlimit="8" joinstyle="miter"/>
                <v:imagedata o:title=""/>
                <o:lock v:ext="edit" aspectratio="f"/>
                <v:textbox>
                  <w:txbxContent>
                    <w:p w14:paraId="66876FCB">
                      <w:pPr>
                        <w:jc w:val="center"/>
                        <w:rPr>
                          <w:b/>
                          <w:bCs/>
                          <w:sz w:val="28"/>
                          <w:szCs w:val="28"/>
                          <w:rtl/>
                          <w:lang w:bidi="ar-EG"/>
                        </w:rPr>
                      </w:pPr>
                      <w:r>
                        <w:rPr>
                          <w:rFonts w:hint="cs"/>
                          <w:b/>
                          <w:bCs/>
                          <w:sz w:val="28"/>
                          <w:szCs w:val="28"/>
                          <w:rtl/>
                          <w:lang w:bidi="ar-EG"/>
                        </w:rPr>
                        <w:t xml:space="preserve">جامعة ميد اوشن </w:t>
                      </w:r>
                    </w:p>
                    <w:p w14:paraId="74D8A578">
                      <w:pPr>
                        <w:jc w:val="center"/>
                        <w:rPr>
                          <w:sz w:val="28"/>
                          <w:szCs w:val="28"/>
                          <w:lang w:bidi="ar-EG"/>
                        </w:rPr>
                      </w:pPr>
                      <w:r>
                        <w:rPr>
                          <w:rFonts w:hint="cs"/>
                          <w:b/>
                          <w:bCs/>
                          <w:sz w:val="28"/>
                          <w:szCs w:val="28"/>
                          <w:rtl/>
                          <w:lang w:bidi="ar-EG"/>
                        </w:rPr>
                        <w:t>برنامج الدكتوراة</w:t>
                      </w:r>
                      <w:r>
                        <w:rPr>
                          <w:rFonts w:hint="cs"/>
                          <w:sz w:val="28"/>
                          <w:szCs w:val="28"/>
                          <w:rtl/>
                          <w:lang w:bidi="ar-EG"/>
                        </w:rPr>
                        <w:t xml:space="preserve"> </w:t>
                      </w:r>
                    </w:p>
                  </w:txbxContent>
                </v:textbox>
              </v:rect>
            </w:pict>
          </mc:Fallback>
        </mc:AlternateContent>
      </w:r>
    </w:p>
    <w:p w14:paraId="14643A94" w14:textId="77777777" w:rsidR="00491E5B" w:rsidRDefault="00491E5B"/>
    <w:p w14:paraId="64280140" w14:textId="77777777" w:rsidR="00491E5B" w:rsidRDefault="00491E5B"/>
    <w:p w14:paraId="6DC4EB02" w14:textId="77777777" w:rsidR="00491E5B" w:rsidRDefault="00491E5B"/>
    <w:p w14:paraId="3678A81C" w14:textId="77777777" w:rsidR="00491E5B" w:rsidRDefault="00491E5B"/>
    <w:p w14:paraId="4DD601BA" w14:textId="77777777" w:rsidR="00491E5B" w:rsidRDefault="00491E5B"/>
    <w:p w14:paraId="260D2852" w14:textId="77777777" w:rsidR="00491E5B" w:rsidRDefault="00E91EBB">
      <w:pPr>
        <w:spacing w:after="80"/>
        <w:jc w:val="center"/>
        <w:rPr>
          <w:rFonts w:ascii="Times New Roman" w:eastAsia="Times New Roman" w:hAnsi="Times New Roman" w:cs="Times New Roman"/>
          <w:b/>
          <w:bCs/>
          <w:color w:val="1C1C1C"/>
          <w:sz w:val="32"/>
          <w:szCs w:val="32"/>
          <w:lang w:bidi="ar-EG"/>
        </w:rPr>
      </w:pPr>
      <w:r>
        <w:rPr>
          <w:rFonts w:ascii="Times New Roman" w:eastAsia="Arial Unicode MS" w:hAnsi="Times New Roman" w:cs="Times New Roman" w:hint="cs"/>
          <w:b/>
          <w:bCs/>
          <w:color w:val="000000"/>
          <w:sz w:val="36"/>
          <w:szCs w:val="36"/>
          <w:rtl/>
          <w:lang w:val="ar-SA" w:bidi="ar-EG"/>
        </w:rPr>
        <w:t>العنوان</w:t>
      </w:r>
    </w:p>
    <w:p w14:paraId="61D08CE8" w14:textId="77777777" w:rsidR="00491E5B" w:rsidRDefault="00E91EBB">
      <w:pPr>
        <w:jc w:val="center"/>
        <w:rPr>
          <w:rFonts w:asciiTheme="majorBidi" w:hAnsiTheme="majorBidi" w:cstheme="majorBidi"/>
          <w:b/>
          <w:bCs/>
          <w:sz w:val="32"/>
          <w:szCs w:val="32"/>
        </w:rPr>
      </w:pPr>
      <w:r>
        <w:rPr>
          <w:rFonts w:asciiTheme="majorBidi" w:hAnsiTheme="majorBidi" w:cstheme="majorBidi" w:hint="cs"/>
          <w:b/>
          <w:bCs/>
          <w:sz w:val="32"/>
          <w:szCs w:val="32"/>
          <w:rtl/>
        </w:rPr>
        <w:t>تطوير نموذج قيادي تكاملي قائم على الذكاء الاصطناعي التوليدي لدعم قرارات التمايز التعليمي وأثره على تحصيل طلاب المرحلة المتوسطة بالمدارس الحكومية بمدينة الرياض</w:t>
      </w:r>
    </w:p>
    <w:p w14:paraId="18BA8630" w14:textId="77777777" w:rsidR="00491E5B" w:rsidRDefault="00491E5B">
      <w:pPr>
        <w:spacing w:after="80"/>
        <w:rPr>
          <w:rFonts w:ascii="Times New Roman" w:eastAsia="Times New Roman" w:hAnsi="Times New Roman" w:cs="Times New Roman"/>
          <w:color w:val="1C1C1C"/>
          <w:sz w:val="28"/>
          <w:szCs w:val="28"/>
        </w:rPr>
      </w:pPr>
    </w:p>
    <w:p w14:paraId="46BA941D" w14:textId="77777777" w:rsidR="00491E5B" w:rsidRDefault="00491E5B">
      <w:pPr>
        <w:spacing w:after="80"/>
        <w:jc w:val="center"/>
        <w:rPr>
          <w:rFonts w:ascii="Times New Roman" w:eastAsia="Times New Roman" w:hAnsi="Times New Roman" w:cs="Times New Roman"/>
          <w:color w:val="1C1C1C"/>
          <w:sz w:val="32"/>
          <w:szCs w:val="32"/>
        </w:rPr>
      </w:pPr>
    </w:p>
    <w:p w14:paraId="7ED0EA9B" w14:textId="77777777" w:rsidR="00491E5B" w:rsidRDefault="00E91EBB">
      <w:pPr>
        <w:spacing w:after="80"/>
        <w:jc w:val="center"/>
        <w:rPr>
          <w:rFonts w:ascii="Times New Roman" w:eastAsia="Times New Roman" w:hAnsi="Times New Roman" w:cs="Times New Roman"/>
          <w:color w:val="1C1C1C"/>
          <w:sz w:val="32"/>
          <w:szCs w:val="32"/>
          <w:rtl/>
        </w:rPr>
      </w:pPr>
      <w:r>
        <w:rPr>
          <w:rFonts w:ascii="Times New Roman" w:eastAsia="Times New Roman" w:hAnsi="Times New Roman" w:cs="Times New Roman" w:hint="cs"/>
          <w:color w:val="1C1C1C"/>
          <w:sz w:val="32"/>
          <w:szCs w:val="32"/>
          <w:rtl/>
        </w:rPr>
        <w:t>إعداد</w:t>
      </w:r>
    </w:p>
    <w:p w14:paraId="2FC546DA" w14:textId="77777777" w:rsidR="00491E5B" w:rsidRDefault="00E91EBB">
      <w:pPr>
        <w:spacing w:after="60"/>
        <w:jc w:val="center"/>
        <w:rPr>
          <w:rFonts w:ascii="Times New Roman" w:eastAsia="Times New Roman" w:hAnsi="Times New Roman" w:cs="Times New Roman"/>
          <w:color w:val="1C1C1C"/>
          <w:sz w:val="28"/>
          <w:szCs w:val="28"/>
        </w:rPr>
      </w:pPr>
      <w:r>
        <w:rPr>
          <w:rFonts w:ascii="Simplified Arabic" w:eastAsia="Arial Unicode MS" w:hAnsi="Simplified Arabic" w:cs="Simplified Arabic"/>
          <w:b/>
          <w:bCs/>
          <w:color w:val="000000"/>
          <w:sz w:val="32"/>
          <w:szCs w:val="32"/>
          <w:u w:color="0000FF"/>
          <w:rtl/>
          <w:lang w:val="ar-SA"/>
        </w:rPr>
        <w:t>أحلام الحارثي</w:t>
      </w:r>
    </w:p>
    <w:p w14:paraId="3E3BED7D" w14:textId="77777777" w:rsidR="00491E5B" w:rsidRDefault="00491E5B">
      <w:pPr>
        <w:spacing w:after="60"/>
        <w:rPr>
          <w:rFonts w:ascii="Times New Roman" w:eastAsia="Times New Roman" w:hAnsi="Times New Roman" w:cs="Times New Roman"/>
          <w:color w:val="1C1C1C"/>
          <w:sz w:val="28"/>
          <w:szCs w:val="28"/>
          <w:rtl/>
        </w:rPr>
      </w:pPr>
    </w:p>
    <w:p w14:paraId="1C12BB84" w14:textId="77777777" w:rsidR="00491E5B" w:rsidRDefault="00491E5B">
      <w:pPr>
        <w:spacing w:after="60" w:line="276" w:lineRule="auto"/>
        <w:rPr>
          <w:rFonts w:ascii="Times New Roman" w:eastAsia="Times New Roman" w:hAnsi="Times New Roman" w:cs="Times New Roman"/>
          <w:color w:val="1C1C1C"/>
          <w:sz w:val="28"/>
          <w:szCs w:val="28"/>
        </w:rPr>
      </w:pPr>
      <w:bookmarkStart w:id="0" w:name="OLE_LINK2"/>
    </w:p>
    <w:p w14:paraId="15B06809" w14:textId="77777777" w:rsidR="00491E5B" w:rsidRDefault="00E91EBB">
      <w:pPr>
        <w:bidi/>
        <w:spacing w:after="60" w:line="276" w:lineRule="auto"/>
        <w:jc w:val="center"/>
        <w:rPr>
          <w:rFonts w:ascii="Times New Roman" w:eastAsia="Times New Roman" w:hAnsi="Times New Roman" w:cs="Times New Roman"/>
          <w:color w:val="1C1C1C"/>
          <w:sz w:val="28"/>
          <w:szCs w:val="28"/>
          <w:rtl/>
        </w:rPr>
      </w:pPr>
      <w:r>
        <w:rPr>
          <w:rFonts w:ascii="Times New Roman" w:eastAsia="Times New Roman" w:hAnsi="Times New Roman" w:cs="Times New Roman"/>
          <w:color w:val="1C1C1C"/>
          <w:sz w:val="28"/>
          <w:szCs w:val="28"/>
          <w:rtl/>
        </w:rPr>
        <w:t xml:space="preserve">رسالة مقدمة إلى </w:t>
      </w:r>
      <w:r>
        <w:rPr>
          <w:rFonts w:ascii="Times New Roman" w:eastAsia="Times New Roman" w:hAnsi="Times New Roman" w:cs="Times New Roman" w:hint="cs"/>
          <w:color w:val="1C1C1C"/>
          <w:sz w:val="28"/>
          <w:szCs w:val="28"/>
          <w:rtl/>
        </w:rPr>
        <w:t xml:space="preserve"> برنامج الدكتوراة</w:t>
      </w:r>
    </w:p>
    <w:p w14:paraId="2B93D3C6" w14:textId="77777777" w:rsidR="00491E5B" w:rsidRDefault="00E91EBB">
      <w:pPr>
        <w:bidi/>
        <w:spacing w:line="276"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lang w:val="af-ZA" w:bidi="ar-EG"/>
        </w:rPr>
        <w:t>العلوم الانسانية</w:t>
      </w:r>
      <w:r>
        <w:rPr>
          <w:rFonts w:ascii="Times New Roman" w:eastAsia="Times New Roman" w:hAnsi="Times New Roman" w:cs="Times New Roman" w:hint="cs"/>
          <w:b/>
          <w:bCs/>
          <w:color w:val="1C1C1C"/>
          <w:sz w:val="28"/>
          <w:szCs w:val="28"/>
          <w:rtl/>
        </w:rPr>
        <w:t>)</w:t>
      </w:r>
    </w:p>
    <w:bookmarkEnd w:id="0"/>
    <w:p w14:paraId="613016BD" w14:textId="77777777" w:rsidR="00491E5B" w:rsidRDefault="00491E5B">
      <w:pPr>
        <w:bidi/>
        <w:spacing w:line="276" w:lineRule="auto"/>
        <w:jc w:val="center"/>
        <w:rPr>
          <w:rFonts w:ascii="Times New Roman" w:eastAsia="Times New Roman" w:hAnsi="Times New Roman" w:cs="Times New Roman"/>
          <w:color w:val="1C1C1C"/>
          <w:sz w:val="28"/>
          <w:szCs w:val="28"/>
          <w:rtl/>
        </w:rPr>
      </w:pPr>
    </w:p>
    <w:p w14:paraId="0CE53943" w14:textId="77777777" w:rsidR="00491E5B" w:rsidRDefault="00491E5B">
      <w:pPr>
        <w:bidi/>
        <w:spacing w:line="276" w:lineRule="auto"/>
        <w:jc w:val="center"/>
        <w:rPr>
          <w:rFonts w:ascii="Times New Roman" w:eastAsia="Times New Roman" w:hAnsi="Times New Roman" w:cs="Times New Roman"/>
          <w:color w:val="1C1C1C"/>
          <w:sz w:val="28"/>
          <w:szCs w:val="28"/>
          <w:rtl/>
        </w:rPr>
      </w:pPr>
    </w:p>
    <w:p w14:paraId="50D288B2" w14:textId="77777777" w:rsidR="00491E5B" w:rsidRDefault="00491E5B">
      <w:pPr>
        <w:bidi/>
        <w:spacing w:line="276" w:lineRule="auto"/>
        <w:jc w:val="center"/>
        <w:rPr>
          <w:rFonts w:ascii="Times New Roman" w:eastAsia="Times New Roman" w:hAnsi="Times New Roman" w:cs="Times New Roman"/>
          <w:color w:val="1C1C1C"/>
          <w:sz w:val="28"/>
          <w:szCs w:val="28"/>
          <w:rtl/>
        </w:rPr>
      </w:pPr>
    </w:p>
    <w:p w14:paraId="37D2E7D6" w14:textId="77777777" w:rsidR="00491E5B" w:rsidRDefault="00E91EBB">
      <w:pPr>
        <w:tabs>
          <w:tab w:val="left" w:pos="3666"/>
        </w:tabs>
        <w:bidi/>
        <w:spacing w:line="360" w:lineRule="auto"/>
        <w:jc w:val="center"/>
        <w:rPr>
          <w:rFonts w:ascii="Traditional Arabic" w:eastAsia="Calibri" w:hAnsi="Traditional Arabic" w:cs="Traditional Arabic"/>
          <w:b/>
          <w:bCs/>
          <w:sz w:val="28"/>
          <w:szCs w:val="28"/>
          <w:lang w:bidi="ar-EG"/>
        </w:rPr>
        <w:sectPr w:rsidR="00491E5B">
          <w:footerReference w:type="default" r:id="rId10"/>
          <w:pgSz w:w="11910" w:h="16840"/>
          <w:pgMar w:top="1920" w:right="708" w:bottom="280" w:left="1133" w:header="720" w:footer="720" w:gutter="0"/>
          <w:cols w:space="720"/>
          <w:titlePg/>
        </w:sectPr>
      </w:pPr>
      <w:r>
        <w:rPr>
          <w:rFonts w:ascii="Times New Roman" w:eastAsia="Times New Roman" w:hAnsi="Times New Roman" w:cs="Times New Roman"/>
          <w:color w:val="1C1C1C"/>
          <w:sz w:val="28"/>
          <w:szCs w:val="28"/>
          <w:rtl/>
        </w:rPr>
        <w:t>العام الجامعي</w:t>
      </w:r>
      <w:r>
        <w:rPr>
          <w:rFonts w:ascii="Times New Roman" w:eastAsia="Times New Roman" w:hAnsi="Times New Roman" w:cs="Times New Roman"/>
          <w:color w:val="1C1C1C"/>
          <w:sz w:val="28"/>
          <w:szCs w:val="28"/>
        </w:rPr>
        <w:t>2026 </w:t>
      </w:r>
      <w:r>
        <w:rPr>
          <w:rFonts w:ascii="Times New Roman" w:eastAsia="Times New Roman" w:hAnsi="Times New Roman" w:cs="Times New Roman"/>
          <w:color w:val="1C1C1C"/>
          <w:sz w:val="28"/>
          <w:szCs w:val="28"/>
          <w:rtl/>
        </w:rPr>
        <w:t>م</w:t>
      </w:r>
      <w:r>
        <w:rPr>
          <w:rFonts w:ascii="Times New Roman" w:eastAsia="Times New Roman" w:hAnsi="Times New Roman" w:cs="Times New Roman"/>
          <w:b/>
          <w:bCs/>
          <w:color w:val="1C1C1C"/>
          <w:sz w:val="28"/>
          <w:szCs w:val="28"/>
          <w:rtl/>
        </w:rPr>
        <w:t> </w:t>
      </w:r>
      <w:r>
        <w:rPr>
          <w:rFonts w:ascii="Times New Roman" w:eastAsia="Times New Roman" w:hAnsi="Times New Roman" w:cs="Times New Roman"/>
          <w:b/>
          <w:bCs/>
          <w:color w:val="1C1C1C"/>
          <w:sz w:val="28"/>
          <w:szCs w:val="28"/>
        </w:rPr>
        <w:br/>
      </w:r>
      <w:r>
        <w:rPr>
          <w:rFonts w:ascii="Traditional Arabic" w:eastAsia="Calibri" w:hAnsi="Traditional Arabic" w:cs="Traditional Arabic"/>
          <w:b/>
          <w:bCs/>
          <w:sz w:val="28"/>
          <w:szCs w:val="28"/>
          <w:rtl/>
          <w:lang w:bidi="ar-EG"/>
        </w:rPr>
        <w:t xml:space="preserve">1447ه- </w:t>
      </w:r>
      <w:r>
        <w:rPr>
          <w:rFonts w:ascii="Traditional Arabic" w:eastAsia="Calibri" w:hAnsi="Traditional Arabic" w:cs="Traditional Arabic" w:hint="cs"/>
          <w:b/>
          <w:bCs/>
          <w:sz w:val="28"/>
          <w:szCs w:val="28"/>
          <w:rtl/>
          <w:lang w:bidi="ar-EG"/>
        </w:rPr>
        <w:t>1448ه</w:t>
      </w:r>
    </w:p>
    <w:p w14:paraId="3114C80C" w14:textId="77777777" w:rsidR="00491E5B" w:rsidRDefault="00491E5B">
      <w:pPr>
        <w:rPr>
          <w:rFonts w:ascii="Times New Roman" w:eastAsia="Times New Roman" w:hAnsi="Times New Roman" w:cs="Times New Roman"/>
          <w:color w:val="1C1C1C"/>
          <w:sz w:val="24"/>
          <w:szCs w:val="24"/>
        </w:rPr>
      </w:pPr>
    </w:p>
    <w:p w14:paraId="054B3CE5" w14:textId="77777777" w:rsidR="00491E5B" w:rsidRDefault="00491E5B">
      <w:pPr>
        <w:rPr>
          <w:rFonts w:ascii="Times New Roman" w:eastAsia="Times New Roman" w:hAnsi="Times New Roman" w:cs="Times New Roman"/>
          <w:color w:val="1C1C1C"/>
          <w:sz w:val="24"/>
          <w:szCs w:val="24"/>
        </w:rPr>
      </w:pPr>
    </w:p>
    <w:p w14:paraId="326BCA13" w14:textId="77777777" w:rsidR="00491E5B" w:rsidRDefault="00E91EBB">
      <w:pPr>
        <w:rPr>
          <w:rFonts w:ascii="Times New Roman" w:eastAsia="Times New Roman" w:hAnsi="Times New Roman" w:cs="Times New Roman"/>
          <w:color w:val="1C1C1C"/>
          <w:sz w:val="24"/>
          <w:szCs w:val="24"/>
        </w:rPr>
      </w:pPr>
      <w:r>
        <w:rPr>
          <w:rFonts w:ascii="Times New Roman" w:eastAsia="Times New Roman" w:hAnsi="Times New Roman" w:cs="Times New Roman"/>
          <w:noProof/>
          <w:color w:val="1C1C1C"/>
          <w:sz w:val="24"/>
          <w:szCs w:val="24"/>
        </w:rPr>
        <w:drawing>
          <wp:anchor distT="0" distB="0" distL="114300" distR="114300" simplePos="0" relativeHeight="251661312" behindDoc="0" locked="0" layoutInCell="1" allowOverlap="1" wp14:anchorId="21525541" wp14:editId="6E9D5502">
            <wp:simplePos x="0" y="0"/>
            <wp:positionH relativeFrom="column">
              <wp:posOffset>-167640</wp:posOffset>
            </wp:positionH>
            <wp:positionV relativeFrom="paragraph">
              <wp:posOffset>83820</wp:posOffset>
            </wp:positionV>
            <wp:extent cx="2346325" cy="1108710"/>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0288" behindDoc="0" locked="0" layoutInCell="1" allowOverlap="1" wp14:anchorId="24D328FC" wp14:editId="53D81DBE">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F6280DE" w14:textId="77777777" w:rsidR="00491E5B" w:rsidRDefault="00E91EBB">
                            <w:pPr>
                              <w:rPr>
                                <w:b/>
                                <w:bCs/>
                                <w:sz w:val="28"/>
                                <w:szCs w:val="28"/>
                                <w:rtl/>
                                <w:lang w:bidi="ar-EG"/>
                              </w:rPr>
                            </w:pPr>
                            <w:proofErr w:type="spellStart"/>
                            <w:r>
                              <w:rPr>
                                <w:b/>
                                <w:bCs/>
                                <w:sz w:val="28"/>
                                <w:szCs w:val="28"/>
                                <w:lang w:bidi="ar-EG"/>
                              </w:rPr>
                              <w:t>Midocean</w:t>
                            </w:r>
                            <w:proofErr w:type="spellEnd"/>
                            <w:r>
                              <w:rPr>
                                <w:b/>
                                <w:bCs/>
                                <w:sz w:val="28"/>
                                <w:szCs w:val="28"/>
                                <w:lang w:bidi="ar-EG"/>
                              </w:rPr>
                              <w:t xml:space="preserve"> University</w:t>
                            </w:r>
                          </w:p>
                          <w:p w14:paraId="50F67A85" w14:textId="77777777" w:rsidR="00491E5B" w:rsidRDefault="00E91EBB">
                            <w:pPr>
                              <w:rPr>
                                <w:b/>
                                <w:bCs/>
                                <w:sz w:val="28"/>
                                <w:szCs w:val="28"/>
                                <w:lang w:bidi="ar-EG"/>
                              </w:rPr>
                            </w:pPr>
                            <w:r>
                              <w:rPr>
                                <w:rFonts w:hint="cs"/>
                                <w:b/>
                                <w:bCs/>
                                <w:sz w:val="28"/>
                                <w:szCs w:val="28"/>
                                <w:rtl/>
                                <w:lang w:bidi="ar-EG"/>
                              </w:rPr>
                              <w:t xml:space="preserve">    </w:t>
                            </w:r>
                            <w:r>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9" o:spid="_x0000_s1026" o:spt="1" style="position:absolute;left:0pt;margin-left:349.2pt;margin-top:16.8pt;height:73.2pt;width:148.2pt;mso-wrap-distance-bottom:0pt;mso-wrap-distance-left:9pt;mso-wrap-distance-right:9pt;mso-wrap-distance-top:0pt;z-index:251666432;v-text-anchor:middle;mso-width-relative:page;mso-height-relative:page;" fillcolor="#FFFFFF" filled="t" stroked="t" coordsize="21600,21600" o:gfxdata="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CT34cA2AAAAAoBAAAPAAAAAAAAAAEAIAAAACIAAABkcnMv&#10;ZG93bnJldi54bWxQSwECFAAUAAAACACHTuJAf0ogVXUCAAAwBQAADgAAAAAAAAABACAAAAAnAQAA&#10;ZHJzL2Uyb0RvYy54bWxQSwUGAAAAAAYABgBZAQAADgYAAAAA&#10;">
                <v:fill on="t" focussize="0,0"/>
                <v:stroke weight="1pt" color="#FFFFFF" miterlimit="8" joinstyle="miter"/>
                <v:imagedata o:title=""/>
                <o:lock v:ext="edit" aspectratio="f"/>
                <v:textbox>
                  <w:txbxContent>
                    <w:p w14:paraId="3212D465">
                      <w:pPr>
                        <w:rPr>
                          <w:b/>
                          <w:bCs/>
                          <w:sz w:val="28"/>
                          <w:szCs w:val="28"/>
                          <w:rtl/>
                          <w:lang w:bidi="ar-EG"/>
                        </w:rPr>
                      </w:pPr>
                      <w:r>
                        <w:rPr>
                          <w:b/>
                          <w:bCs/>
                          <w:sz w:val="28"/>
                          <w:szCs w:val="28"/>
                          <w:lang w:bidi="ar-EG"/>
                        </w:rPr>
                        <w:t>Midocean University</w:t>
                      </w:r>
                    </w:p>
                    <w:p w14:paraId="176B070D">
                      <w:pPr>
                        <w:rPr>
                          <w:b/>
                          <w:bCs/>
                          <w:sz w:val="28"/>
                          <w:szCs w:val="28"/>
                          <w:lang w:bidi="ar-EG"/>
                        </w:rPr>
                      </w:pPr>
                      <w:r>
                        <w:rPr>
                          <w:rFonts w:hint="cs"/>
                          <w:b/>
                          <w:bCs/>
                          <w:sz w:val="28"/>
                          <w:szCs w:val="28"/>
                          <w:rtl/>
                          <w:lang w:bidi="ar-EG"/>
                        </w:rPr>
                        <w:t xml:space="preserve">    </w:t>
                      </w:r>
                      <w:r>
                        <w:rPr>
                          <w:b/>
                          <w:bCs/>
                          <w:sz w:val="28"/>
                          <w:szCs w:val="28"/>
                          <w:lang w:bidi="ar-EG"/>
                        </w:rPr>
                        <w:t>Ph.D. program</w:t>
                      </w:r>
                    </w:p>
                  </w:txbxContent>
                </v:textbox>
                <w10:wrap type="square"/>
              </v:rect>
            </w:pict>
          </mc:Fallback>
        </mc:AlternateContent>
      </w:r>
    </w:p>
    <w:p w14:paraId="6C340D2C" w14:textId="77777777" w:rsidR="00491E5B" w:rsidRDefault="00491E5B">
      <w:pPr>
        <w:spacing w:after="80"/>
        <w:jc w:val="center"/>
        <w:rPr>
          <w:rFonts w:asciiTheme="majorBidi" w:eastAsia="Times New Roman" w:hAnsiTheme="majorBidi" w:cstheme="majorBidi"/>
          <w:b/>
          <w:bCs/>
          <w:color w:val="1C1C1C"/>
          <w:sz w:val="36"/>
          <w:szCs w:val="36"/>
        </w:rPr>
      </w:pPr>
    </w:p>
    <w:p w14:paraId="23EA3BC2" w14:textId="77777777" w:rsidR="00491E5B" w:rsidRDefault="00491E5B">
      <w:pPr>
        <w:spacing w:after="80"/>
        <w:jc w:val="center"/>
        <w:rPr>
          <w:rFonts w:asciiTheme="majorBidi" w:eastAsia="Times New Roman" w:hAnsiTheme="majorBidi" w:cstheme="majorBidi"/>
          <w:b/>
          <w:bCs/>
          <w:color w:val="1C1C1C"/>
          <w:sz w:val="36"/>
          <w:szCs w:val="36"/>
        </w:rPr>
      </w:pPr>
    </w:p>
    <w:p w14:paraId="6C03552B" w14:textId="77777777" w:rsidR="00491E5B" w:rsidRDefault="00491E5B">
      <w:pPr>
        <w:spacing w:after="80"/>
        <w:jc w:val="center"/>
        <w:rPr>
          <w:rFonts w:asciiTheme="majorBidi" w:eastAsia="Times New Roman" w:hAnsiTheme="majorBidi" w:cstheme="majorBidi"/>
          <w:b/>
          <w:bCs/>
          <w:color w:val="1C1C1C"/>
          <w:sz w:val="36"/>
          <w:szCs w:val="36"/>
        </w:rPr>
      </w:pPr>
    </w:p>
    <w:p w14:paraId="56E74EB4" w14:textId="77777777" w:rsidR="00491E5B" w:rsidRDefault="00491E5B">
      <w:pPr>
        <w:spacing w:after="80"/>
        <w:jc w:val="center"/>
        <w:rPr>
          <w:rFonts w:asciiTheme="majorBidi" w:eastAsia="Times New Roman" w:hAnsiTheme="majorBidi" w:cstheme="majorBidi"/>
          <w:b/>
          <w:bCs/>
          <w:color w:val="1C1C1C"/>
          <w:sz w:val="36"/>
          <w:szCs w:val="36"/>
        </w:rPr>
      </w:pPr>
    </w:p>
    <w:p w14:paraId="02C32171" w14:textId="77777777" w:rsidR="00491E5B" w:rsidRDefault="00E91EBB">
      <w:pPr>
        <w:spacing w:after="80"/>
        <w:jc w:val="center"/>
        <w:rPr>
          <w:rFonts w:ascii="Times New Roman" w:eastAsia="Times New Roman" w:hAnsi="Times New Roman" w:cs="Times New Roman"/>
          <w:color w:val="1C1C1C"/>
          <w:sz w:val="28"/>
          <w:szCs w:val="28"/>
        </w:rPr>
      </w:pPr>
      <w:r>
        <w:rPr>
          <w:rFonts w:asciiTheme="majorBidi" w:eastAsia="Times New Roman" w:hAnsiTheme="majorBidi" w:cstheme="majorBidi"/>
          <w:b/>
          <w:bCs/>
          <w:color w:val="1C1C1C"/>
          <w:sz w:val="36"/>
          <w:szCs w:val="36"/>
        </w:rPr>
        <w:t xml:space="preserve">Study </w:t>
      </w:r>
      <w:r>
        <w:rPr>
          <w:rFonts w:asciiTheme="majorBidi" w:eastAsia="Times New Roman" w:hAnsiTheme="majorBidi" w:cstheme="majorBidi"/>
          <w:b/>
          <w:bCs/>
          <w:color w:val="1C1C1C"/>
          <w:sz w:val="36"/>
          <w:szCs w:val="36"/>
        </w:rPr>
        <w:t>Title</w:t>
      </w:r>
      <w:r>
        <w:rPr>
          <w:rFonts w:asciiTheme="majorBidi" w:eastAsia="Times New Roman" w:hAnsiTheme="majorBidi" w:cstheme="majorBidi"/>
          <w:b/>
          <w:bCs/>
          <w:color w:val="1C1C1C"/>
          <w:sz w:val="36"/>
          <w:szCs w:val="36"/>
        </w:rPr>
        <w:br/>
      </w:r>
      <w:r>
        <w:rPr>
          <w:rFonts w:asciiTheme="majorBidi" w:hAnsiTheme="majorBidi" w:cstheme="majorBidi"/>
          <w:b/>
          <w:bCs/>
          <w:sz w:val="28"/>
          <w:szCs w:val="28"/>
        </w:rPr>
        <w:t>Developing an Integrative Leadership Model Based on Generative Artificial Intelligence to Support Differentiated Instruction Decisions and Its Effect on Middle School Students’ Achievement in Public Schools in Riyadh City</w:t>
      </w:r>
    </w:p>
    <w:p w14:paraId="12E69B8F" w14:textId="77777777" w:rsidR="00491E5B" w:rsidRDefault="00491E5B">
      <w:pPr>
        <w:spacing w:after="80"/>
        <w:jc w:val="center"/>
        <w:rPr>
          <w:rFonts w:ascii="Times New Roman" w:eastAsia="Times New Roman" w:hAnsi="Times New Roman" w:cs="Times New Roman"/>
          <w:color w:val="1C1C1C"/>
          <w:sz w:val="28"/>
          <w:szCs w:val="28"/>
        </w:rPr>
      </w:pPr>
    </w:p>
    <w:p w14:paraId="33EA7693" w14:textId="77777777" w:rsidR="00491E5B" w:rsidRDefault="00491E5B">
      <w:pPr>
        <w:spacing w:after="80"/>
        <w:jc w:val="center"/>
        <w:rPr>
          <w:rFonts w:ascii="Times New Roman" w:eastAsia="Times New Roman" w:hAnsi="Times New Roman" w:cs="Times New Roman"/>
          <w:color w:val="1C1C1C"/>
          <w:sz w:val="28"/>
          <w:szCs w:val="28"/>
        </w:rPr>
      </w:pPr>
    </w:p>
    <w:p w14:paraId="44D3A3AB" w14:textId="77777777" w:rsidR="00491E5B" w:rsidRDefault="00E91EBB">
      <w:pPr>
        <w:spacing w:after="80"/>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Prepared by</w:t>
      </w:r>
    </w:p>
    <w:p w14:paraId="063AAECB" w14:textId="77777777" w:rsidR="00491E5B" w:rsidRDefault="00E91EBB">
      <w:pPr>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Pr>
          <w:rFonts w:ascii="Times New Roman" w:eastAsia="Times New Roman" w:hAnsi="Times New Roman" w:cs="Times New Roman"/>
          <w:color w:val="1C1C1C"/>
          <w:sz w:val="28"/>
          <w:szCs w:val="28"/>
        </w:rPr>
        <w:t xml:space="preserve"> </w:t>
      </w:r>
      <w:r>
        <w:rPr>
          <w:rFonts w:ascii="Times New Roman" w:eastAsia="Times New Roman" w:hAnsi="Times New Roman" w:cs="Times New Roman"/>
          <w:b/>
          <w:bCs/>
          <w:color w:val="1C1C1C"/>
          <w:sz w:val="28"/>
          <w:szCs w:val="28"/>
        </w:rPr>
        <w:t>AHLAM AL-HARTHI</w:t>
      </w:r>
      <w:r>
        <w:rPr>
          <w:rFonts w:ascii="Times New Roman" w:eastAsia="Calibri" w:hAnsi="Times New Roman" w:cs="Times New Roman" w:hint="cs"/>
          <w:b/>
          <w:bCs/>
          <w:kern w:val="2"/>
          <w:sz w:val="28"/>
          <w:szCs w:val="28"/>
          <w:rtl/>
          <w14:ligatures w14:val="standardContextual"/>
        </w:rPr>
        <w:t>(</w:t>
      </w:r>
    </w:p>
    <w:p w14:paraId="145042CB" w14:textId="77777777" w:rsidR="00491E5B" w:rsidRDefault="00491E5B">
      <w:pPr>
        <w:spacing w:after="80"/>
        <w:jc w:val="center"/>
        <w:rPr>
          <w:rFonts w:ascii="Times New Roman" w:eastAsia="Times New Roman" w:hAnsi="Times New Roman" w:cs="Times New Roman"/>
          <w:color w:val="1C1C1C"/>
          <w:sz w:val="28"/>
          <w:szCs w:val="28"/>
        </w:rPr>
      </w:pPr>
    </w:p>
    <w:p w14:paraId="661F1D31" w14:textId="77777777" w:rsidR="00491E5B" w:rsidRDefault="00491E5B">
      <w:pPr>
        <w:spacing w:after="60"/>
        <w:rPr>
          <w:rFonts w:ascii="Times New Roman" w:eastAsia="Times New Roman" w:hAnsi="Times New Roman" w:cs="Times New Roman"/>
          <w:color w:val="1C1C1C"/>
          <w:sz w:val="24"/>
          <w:szCs w:val="24"/>
        </w:rPr>
      </w:pPr>
    </w:p>
    <w:p w14:paraId="52AFCA86" w14:textId="77777777" w:rsidR="00491E5B" w:rsidRDefault="00491E5B">
      <w:pPr>
        <w:spacing w:after="60"/>
        <w:rPr>
          <w:rFonts w:ascii="Times New Roman" w:eastAsia="Times New Roman" w:hAnsi="Times New Roman" w:cs="Times New Roman"/>
          <w:color w:val="1C1C1C"/>
          <w:sz w:val="24"/>
          <w:szCs w:val="24"/>
        </w:rPr>
      </w:pPr>
    </w:p>
    <w:p w14:paraId="3CF95BD5" w14:textId="77777777" w:rsidR="00491E5B" w:rsidRDefault="00491E5B">
      <w:pPr>
        <w:spacing w:after="60" w:line="276" w:lineRule="auto"/>
        <w:jc w:val="center"/>
        <w:rPr>
          <w:rFonts w:ascii="Times New Roman" w:eastAsia="Times New Roman" w:hAnsi="Times New Roman" w:cs="Times New Roman"/>
          <w:color w:val="1C1C1C"/>
          <w:sz w:val="24"/>
          <w:szCs w:val="24"/>
        </w:rPr>
      </w:pPr>
    </w:p>
    <w:p w14:paraId="4544DC76" w14:textId="77777777" w:rsidR="00491E5B" w:rsidRDefault="00E91EBB">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A Dissertation submitted to Doctorate Program</w:t>
      </w:r>
    </w:p>
    <w:p w14:paraId="7DCA6BC9" w14:textId="77777777" w:rsidR="00491E5B" w:rsidRDefault="00E91EBB">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In partial fulfillment of the requirements for the Degree of</w:t>
      </w:r>
    </w:p>
    <w:p w14:paraId="599604D0" w14:textId="77777777" w:rsidR="00491E5B" w:rsidRDefault="00E91EBB">
      <w:pPr>
        <w:spacing w:line="276" w:lineRule="auto"/>
        <w:jc w:val="center"/>
        <w:rPr>
          <w:rFonts w:ascii="Times New Roman" w:eastAsia="Times New Roman" w:hAnsi="Times New Roman" w:cs="Times New Roman"/>
          <w:b/>
          <w:bCs/>
          <w:color w:val="1C1C1C"/>
          <w:sz w:val="24"/>
          <w:szCs w:val="24"/>
          <w:lang w:val="en"/>
        </w:rPr>
      </w:pPr>
      <w:r>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b/>
          <w:bCs/>
          <w:color w:val="1C1C1C"/>
          <w:sz w:val="24"/>
          <w:szCs w:val="24"/>
          <w:lang w:val="en"/>
        </w:rPr>
        <w:t>(Human Science)</w:t>
      </w:r>
    </w:p>
    <w:p w14:paraId="6B439712" w14:textId="77777777" w:rsidR="00491E5B" w:rsidRDefault="00491E5B">
      <w:pPr>
        <w:spacing w:line="276" w:lineRule="auto"/>
        <w:jc w:val="center"/>
        <w:rPr>
          <w:rFonts w:ascii="Times New Roman" w:eastAsia="Times New Roman" w:hAnsi="Times New Roman" w:cs="Times New Roman"/>
          <w:b/>
          <w:bCs/>
          <w:color w:val="1C1C1C"/>
          <w:sz w:val="24"/>
          <w:szCs w:val="24"/>
          <w:lang w:val="en"/>
        </w:rPr>
      </w:pPr>
    </w:p>
    <w:p w14:paraId="1B0782E1" w14:textId="77777777" w:rsidR="00491E5B" w:rsidRDefault="00491E5B">
      <w:pPr>
        <w:spacing w:line="276" w:lineRule="auto"/>
        <w:jc w:val="center"/>
        <w:rPr>
          <w:rFonts w:ascii="Times New Roman" w:eastAsia="Times New Roman" w:hAnsi="Times New Roman" w:cs="Times New Roman"/>
          <w:color w:val="1C1C1C"/>
          <w:sz w:val="24"/>
          <w:szCs w:val="24"/>
          <w:rtl/>
        </w:rPr>
      </w:pPr>
    </w:p>
    <w:p w14:paraId="0A34B673" w14:textId="77777777" w:rsidR="00491E5B" w:rsidRDefault="00491E5B">
      <w:pPr>
        <w:spacing w:line="276" w:lineRule="auto"/>
        <w:jc w:val="center"/>
        <w:rPr>
          <w:rFonts w:ascii="Times New Roman" w:eastAsia="Times New Roman" w:hAnsi="Times New Roman" w:cs="Times New Roman"/>
          <w:color w:val="1C1C1C"/>
          <w:sz w:val="24"/>
          <w:szCs w:val="24"/>
          <w:rtl/>
        </w:rPr>
      </w:pPr>
    </w:p>
    <w:p w14:paraId="234822E9" w14:textId="77777777" w:rsidR="00491E5B" w:rsidRDefault="00491E5B">
      <w:pPr>
        <w:spacing w:line="276" w:lineRule="auto"/>
        <w:jc w:val="center"/>
        <w:rPr>
          <w:rFonts w:ascii="Times New Roman" w:eastAsia="Times New Roman" w:hAnsi="Times New Roman" w:cs="Times New Roman"/>
          <w:color w:val="1C1C1C"/>
          <w:sz w:val="24"/>
          <w:szCs w:val="24"/>
          <w:rtl/>
        </w:rPr>
      </w:pPr>
    </w:p>
    <w:p w14:paraId="217002EA" w14:textId="77777777" w:rsidR="00491E5B" w:rsidRDefault="00E91EBB">
      <w:pPr>
        <w:bidi/>
        <w:spacing w:before="50" w:after="50"/>
        <w:ind w:left="-398" w:right="432"/>
        <w:jc w:val="center"/>
        <w:rPr>
          <w:rFonts w:ascii="Simplified Arabic" w:eastAsia="Arial Unicode MS" w:hAnsi="Simplified Arabic" w:cs="Simplified Arabic"/>
          <w:b/>
          <w:bCs/>
          <w:color w:val="000000"/>
          <w:sz w:val="28"/>
          <w:szCs w:val="28"/>
          <w:u w:color="548DD4"/>
          <w:rtl/>
          <w:lang w:val="ar-SA"/>
        </w:rPr>
      </w:pPr>
      <w:r>
        <w:rPr>
          <w:rFonts w:ascii="Times New Roman" w:eastAsia="Times New Roman" w:hAnsi="Times New Roman" w:cs="Times New Roman"/>
          <w:color w:val="1C1C1C"/>
          <w:sz w:val="24"/>
          <w:szCs w:val="24"/>
        </w:rPr>
        <w:t>Academic Year: 2026 AD</w:t>
      </w:r>
      <w:r>
        <w:rPr>
          <w:rFonts w:ascii="Times New Roman" w:eastAsia="Times New Roman" w:hAnsi="Times New Roman" w:cs="Times New Roman"/>
          <w:b/>
          <w:bCs/>
          <w:color w:val="1C1C1C"/>
          <w:sz w:val="24"/>
          <w:szCs w:val="24"/>
          <w:rtl/>
        </w:rPr>
        <w:t> </w:t>
      </w:r>
      <w:r>
        <w:rPr>
          <w:rFonts w:ascii="Times New Roman" w:eastAsia="Times New Roman" w:hAnsi="Times New Roman" w:cs="Times New Roman"/>
          <w:b/>
          <w:bCs/>
          <w:color w:val="1C1C1C"/>
          <w:sz w:val="24"/>
          <w:szCs w:val="24"/>
          <w:rtl/>
        </w:rPr>
        <w:br/>
      </w:r>
      <w:r>
        <w:rPr>
          <w:rFonts w:ascii="Times New Roman" w:eastAsia="Times New Roman" w:hAnsi="Times New Roman" w:cs="Times New Roman"/>
          <w:color w:val="1C1C1C"/>
          <w:sz w:val="24"/>
          <w:szCs w:val="24"/>
          <w:rtl/>
        </w:rPr>
        <w:t xml:space="preserve">1447–1448 </w:t>
      </w:r>
      <w:r>
        <w:rPr>
          <w:rFonts w:ascii="Times New Roman" w:eastAsia="Times New Roman" w:hAnsi="Times New Roman" w:cs="Times New Roman"/>
          <w:color w:val="1C1C1C"/>
          <w:sz w:val="24"/>
          <w:szCs w:val="24"/>
        </w:rPr>
        <w:t>AH</w:t>
      </w:r>
    </w:p>
    <w:p w14:paraId="612C7C4F" w14:textId="77777777" w:rsidR="00491E5B" w:rsidRDefault="00491E5B">
      <w:pPr>
        <w:tabs>
          <w:tab w:val="left" w:pos="3666"/>
        </w:tabs>
        <w:bidi/>
        <w:spacing w:line="360" w:lineRule="auto"/>
        <w:jc w:val="center"/>
        <w:rPr>
          <w:rFonts w:ascii="Traditional Arabic" w:eastAsia="Calibri" w:hAnsi="Traditional Arabic" w:cs="Traditional Arabic"/>
          <w:b/>
          <w:bCs/>
          <w:sz w:val="28"/>
          <w:szCs w:val="28"/>
          <w:rtl/>
          <w:lang w:bidi="ar-EG"/>
        </w:rPr>
      </w:pPr>
    </w:p>
    <w:p w14:paraId="02A9D079" w14:textId="77777777" w:rsidR="00491E5B" w:rsidRDefault="00491E5B">
      <w:pPr>
        <w:tabs>
          <w:tab w:val="right" w:pos="9927"/>
        </w:tabs>
        <w:bidi/>
        <w:spacing w:before="137"/>
        <w:ind w:right="142"/>
        <w:jc w:val="both"/>
        <w:rPr>
          <w:rFonts w:ascii="Traditional Arabic" w:eastAsia="Calibri" w:hAnsi="Traditional Arabic" w:cs="Traditional Arabic"/>
          <w:b/>
          <w:bCs/>
          <w:sz w:val="28"/>
          <w:szCs w:val="28"/>
          <w:lang w:bidi="ar-EG"/>
        </w:rPr>
      </w:pPr>
    </w:p>
    <w:p w14:paraId="47AF6967" w14:textId="77777777" w:rsidR="00491E5B" w:rsidRDefault="00491E5B">
      <w:pPr>
        <w:tabs>
          <w:tab w:val="right" w:pos="9927"/>
        </w:tabs>
        <w:bidi/>
        <w:spacing w:before="137"/>
        <w:ind w:right="142"/>
        <w:jc w:val="both"/>
        <w:rPr>
          <w:rFonts w:ascii="Traditional Arabic" w:hAnsi="Traditional Arabic" w:cs="Traditional Arabic"/>
          <w:w w:val="72"/>
          <w:sz w:val="32"/>
          <w:szCs w:val="32"/>
        </w:rPr>
      </w:pPr>
    </w:p>
    <w:p w14:paraId="2F6B7E25" w14:textId="77777777" w:rsidR="00491E5B" w:rsidRDefault="00491E5B">
      <w:pPr>
        <w:tabs>
          <w:tab w:val="right" w:pos="9927"/>
        </w:tabs>
        <w:bidi/>
        <w:spacing w:before="137"/>
        <w:ind w:left="3474" w:right="142"/>
        <w:jc w:val="both"/>
        <w:rPr>
          <w:rFonts w:ascii="Traditional Arabic" w:hAnsi="Traditional Arabic" w:cs="Traditional Arabic"/>
          <w:w w:val="72"/>
          <w:sz w:val="32"/>
          <w:szCs w:val="32"/>
        </w:rPr>
      </w:pPr>
    </w:p>
    <w:p w14:paraId="49D3273C" w14:textId="77777777" w:rsidR="00491E5B" w:rsidRDefault="00491E5B">
      <w:pPr>
        <w:tabs>
          <w:tab w:val="right" w:pos="9927"/>
        </w:tabs>
        <w:bidi/>
        <w:spacing w:before="137"/>
        <w:ind w:left="3474" w:right="142"/>
        <w:jc w:val="both"/>
        <w:rPr>
          <w:rFonts w:ascii="Traditional Arabic" w:hAnsi="Traditional Arabic" w:cs="Traditional Arabic"/>
          <w:w w:val="72"/>
          <w:sz w:val="32"/>
          <w:szCs w:val="32"/>
        </w:rPr>
      </w:pPr>
    </w:p>
    <w:p w14:paraId="449501D0" w14:textId="77777777" w:rsidR="00491E5B" w:rsidRDefault="00E91EBB">
      <w:pPr>
        <w:tabs>
          <w:tab w:val="right" w:pos="9927"/>
        </w:tabs>
        <w:bidi/>
        <w:spacing w:before="137"/>
        <w:ind w:left="3474" w:right="142"/>
        <w:jc w:val="both"/>
        <w:rPr>
          <w:rFonts w:ascii="Traditional Arabic" w:hAnsi="Traditional Arabic" w:cs="Traditional Arabic"/>
          <w:w w:val="72"/>
          <w:sz w:val="32"/>
          <w:szCs w:val="32"/>
        </w:rPr>
      </w:pPr>
      <w:r>
        <w:rPr>
          <w:rFonts w:ascii="Traditional Arabic" w:hAnsi="Traditional Arabic" w:cs="Traditional Arabic"/>
          <w:w w:val="72"/>
          <w:sz w:val="32"/>
          <w:szCs w:val="32"/>
        </w:rPr>
        <w:t xml:space="preserve">  </w:t>
      </w:r>
    </w:p>
    <w:p w14:paraId="23735A50" w14:textId="77777777" w:rsidR="00491E5B" w:rsidRDefault="00E91EBB">
      <w:pPr>
        <w:pStyle w:val="BodyText"/>
        <w:keepNext/>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noProof/>
          <w:sz w:val="28"/>
          <w:szCs w:val="28"/>
        </w:rPr>
        <w:lastRenderedPageBreak/>
        <mc:AlternateContent>
          <mc:Choice Requires="wps">
            <w:drawing>
              <wp:anchor distT="0" distB="0" distL="0" distR="0" simplePos="0" relativeHeight="251652096" behindDoc="0" locked="0" layoutInCell="1" allowOverlap="1" wp14:anchorId="24F9E5D4" wp14:editId="21F2CDC2">
                <wp:simplePos x="0" y="0"/>
                <wp:positionH relativeFrom="page">
                  <wp:posOffset>0</wp:posOffset>
                </wp:positionH>
                <wp:positionV relativeFrom="page">
                  <wp:posOffset>0</wp:posOffset>
                </wp:positionV>
                <wp:extent cx="657225" cy="1863090"/>
                <wp:effectExtent l="0" t="0" r="0" b="0"/>
                <wp:wrapNone/>
                <wp:docPr id="25" name="Graphic 25"/>
                <wp:cNvGraphicFramePr/>
                <a:graphic xmlns:a="http://schemas.openxmlformats.org/drawingml/2006/main">
                  <a:graphicData uri="http://schemas.microsoft.com/office/word/2010/wordprocessingShape">
                    <wps:wsp>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noAutofit/>
                      </wps:bodyPr>
                    </wps:wsp>
                  </a:graphicData>
                </a:graphic>
              </wp:anchor>
            </w:drawing>
          </mc:Choice>
          <mc:Fallback xmlns:wpsCustomData="http://www.wps.cn/officeDocument/2013/wpsCustomData">
            <w:pict>
              <v:shape id="Graphic 25" o:spid="_x0000_s1026" o:spt="100" style="position:absolute;left:0pt;margin-left:0pt;margin-top:0pt;height:146.7pt;width:51.75pt;mso-position-horizontal-relative:page;mso-position-vertical-relative:page;z-index:251659264;mso-width-relative:page;mso-height-relative:page;" filled="f" stroked="t" coordsize="657225,1863089" o:gfxdata="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Z6cUD1QAAAAUBAAAPAAAAAAAAAAEAIAAAACIAAABkcnMv&#10;ZG93bnJldi54bWxQSwECFAAUAAAACACHTuJAVcKG6gcEAADNCwAADgAAAAAAAAABACAAAAAkAQAA&#10;ZHJzL2Uyb0RvYy54bWxQSwUGAAAAAAYABgBZAQAAnQcAAAAA&#10;" path="m0,1862494l34052,1816058,62500,1775853,90333,1735256,117547,1694273,144140,1652912,170107,1611182,195445,1569088,220151,1526639,244221,1483841,267651,1440703,290439,1397232,312580,1353435,334072,1309320,354910,1264894,375092,1220164,394613,1175138,413470,1129824,431661,1084228,449180,1038358,466026,992222,482194,945827,497680,899181,512482,852290,526596,805163,540019,757806,552746,710228,564775,662435,576101,614435,586723,566235,596635,517844,605835,469267,614318,420513,622083,371590,629124,322504,635439,273262,641024,223874,645876,174345,649990,124683,653365,74896,655996,24990,656937,0e">
                <v:fill on="f" focussize="0,0"/>
                <v:stroke weight="2.2459842519685pt" color="#45CFFF" joinstyle="round"/>
                <v:imagedata o:title=""/>
                <o:lock v:ext="edit" aspectratio="f"/>
                <v:textbox inset="0mm,0mm,0mm,0mm"/>
              </v:shape>
            </w:pict>
          </mc:Fallback>
        </mc:AlternateContent>
      </w:r>
      <w:r>
        <w:rPr>
          <w:rFonts w:ascii="Traditional Arabic" w:hAnsi="Traditional Arabic" w:cs="Traditional Arabic"/>
          <w:noProof/>
          <w:sz w:val="28"/>
          <w:szCs w:val="28"/>
        </w:rPr>
        <mc:AlternateContent>
          <mc:Choice Requires="wps">
            <w:drawing>
              <wp:anchor distT="0" distB="0" distL="0" distR="0" simplePos="0" relativeHeight="251653120" behindDoc="0" locked="0" layoutInCell="1" allowOverlap="1" wp14:anchorId="7ACC59D9" wp14:editId="0C9FD9E3">
                <wp:simplePos x="0" y="0"/>
                <wp:positionH relativeFrom="page">
                  <wp:posOffset>0</wp:posOffset>
                </wp:positionH>
                <wp:positionV relativeFrom="page">
                  <wp:posOffset>10236200</wp:posOffset>
                </wp:positionV>
                <wp:extent cx="4340860" cy="455295"/>
                <wp:effectExtent l="0" t="0" r="0" b="0"/>
                <wp:wrapNone/>
                <wp:docPr id="26" name="Graphic 26"/>
                <wp:cNvGraphicFramePr/>
                <a:graphic xmlns:a="http://schemas.openxmlformats.org/drawingml/2006/main">
                  <a:graphicData uri="http://schemas.microsoft.com/office/word/2010/wordprocessingShape">
                    <wps:wsp>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noAutofit/>
                      </wps:bodyPr>
                    </wps:wsp>
                  </a:graphicData>
                </a:graphic>
              </wp:anchor>
            </w:drawing>
          </mc:Choice>
          <mc:Fallback xmlns:wpsCustomData="http://www.wps.cn/officeDocument/2013/wpsCustomData">
            <w:pict>
              <v:shape id="Graphic 26" o:spid="_x0000_s1026" o:spt="100" style="position:absolute;left:0pt;margin-left:0pt;margin-top:806pt;height:35.85pt;width:341.8pt;mso-position-horizontal-relative:page;mso-position-vertical-relative:page;z-index:251660288;mso-width-relative:page;mso-height-relative:page;" fillcolor="#45CFFF" filled="t" stroked="f" coordsize="4340860,455295" o:gfxdata="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" path="m2622604,0l0,0,0,455184,4340660,455184,4313139,439580,4270403,416138,4227350,393301,4183987,371074,4140320,349460,4096357,328461,4052103,308081,4007565,288324,3962750,269191,3917666,250687,3872317,232814,3826712,215576,3780856,198975,3734757,183015,3688421,167699,3641855,153030,3595065,139012,3548058,125646,3500842,112938,3453421,100888,3405804,89502,3357997,78781,3310006,68729,3261838,59349,3213500,50645,3164999,42619,3116341,35274,3067532,28614,3018581,22642,2969492,17361,2920274,12774,2870932,8883,2821473,5694,2771904,3207,2722232,1427,2672463,357,2622604,0xe">
                <v:fill on="t" opacity="43253f" focussize="0,0"/>
                <v:stroke on="f"/>
                <v:imagedata o:title=""/>
                <o:lock v:ext="edit" aspectratio="f"/>
                <v:textbox inset="0mm,0mm,0mm,0mm"/>
              </v:shape>
            </w:pict>
          </mc:Fallback>
        </mc:AlternateContent>
      </w:r>
      <w:r>
        <w:rPr>
          <w:rFonts w:ascii="Traditional Arabic" w:hAnsi="Traditional Arabic" w:cs="Traditional Arabic"/>
          <w:b/>
          <w:bCs/>
          <w:sz w:val="28"/>
          <w:szCs w:val="28"/>
          <w:rtl/>
        </w:rPr>
        <w:t>مقدمة الدراسة</w:t>
      </w:r>
    </w:p>
    <w:p w14:paraId="1B5C690F"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شهدت النظم التعليمية خلال السنوات الأخيرة توسعًا متسارعًا في استخدام تطبيقات الذكاء الاصطناعي، ولا سيما الذكاء الاصطناعي التوليدي، الذي يتيح إنتاج المحتوى وتحليل البيانات وتقديم تغذية راجعة واقتراح بدائل تعليمية تتناسب مع الاحتياجات المتنوعة للمتعلمين. وتؤكد إرشادات اليونسكو أن دمج هذه التطبيقات في التعليم يتطلب إطارًا إنسانيًا يضمن حماية البيانات، والتحقق التربوي والأخلاقي من المخرجات، وبناء القدرات المؤسسية والمهنية للمستخدمين (Miao &amp; Holmes, 2023). وتفيد هذه الإرشادات الدراسة الحالية في نقل الاهتمام من م</w:t>
      </w:r>
      <w:r>
        <w:rPr>
          <w:rFonts w:ascii="Traditional Arabic" w:hAnsi="Traditional Arabic" w:cs="Traditional Arabic"/>
          <w:sz w:val="28"/>
          <w:szCs w:val="28"/>
          <w:rtl/>
        </w:rPr>
        <w:t>جرد إتاحة الأداة إلى حوكمة استخدامها داخل المدرسة، بما يبرر بناء نموذج قيادي يحدد المسؤوليات وإجراءات المراجعة البشرية قبل اعتماد أي قرار تعليمي.</w:t>
      </w:r>
    </w:p>
    <w:p w14:paraId="43372E8E"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وتدعم الدراسات الحديثة إمكانات الذكاء الاصطناعي التوليدي في تخصيص المواد والأنشطة وفق مستويات معرفة الطلاب، وفي مساعدة المعلمين على تصميم الخطط والدروس والتقويمات. فقد بينت دراسة Jauhiainen and Garagorry Guerra (2024) إمكانية إنتاج مواد تعليمية متدرجة ومتكيفة، وأظهرت دراسة Moundridou et al. (2024) فائدته في توليد أفكار وأنشطة وأسئلة لخطط الدروس، بينما كشفت دراسة Cheah et al. (2025) أن الاستخدام الفعلي يتأثر بالتدريب والدعم المدرسي، مع استمرار مخاطر الدقة والخصوصية ونقص السياسات. ويكشف تحليل هذه النتائج أن ا</w:t>
      </w:r>
      <w:r>
        <w:rPr>
          <w:rFonts w:ascii="Traditional Arabic" w:hAnsi="Traditional Arabic" w:cs="Traditional Arabic"/>
          <w:sz w:val="28"/>
          <w:szCs w:val="28"/>
          <w:rtl/>
        </w:rPr>
        <w:t>لتقنية تقدم قدرة عملية على التخصيص والتخطيط، لكنها لا تضمن وحدها جودة القرار أو سلامته؛ ولذلك يلزم إطار قيادي ينظم الاستخدام ويربطه بأهداف التعلم والمتابعة الصفية.</w:t>
      </w:r>
    </w:p>
    <w:p w14:paraId="3701C9B7"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وفي مقابل التطور التقني، تؤكد أدبيات القيادة التعليمية أن أثر قائد المدرسة في تعلم الطلاب يحدث غالبًا بصورة غير مباشرة، من خلال تحديد أهداف المدرسة، وإدارة البرنامج التعليمي، ومتابعة التدريس، وتنمية المعلمين مهنيًا، وتوفير مناخ داعم للتعلم. ويعد نموذج هالينجر ومورفي، بأبعاده الثلاثة: تحديد رسالة المدرسة، وإدارة البرنامج التعليمي، وتعزيز مناخ التعلم المدرسي، أساسًا مهمًا لهذا التوجه (Hallinger &amp; Murphy, 1985). كما أظهرت مراجعة Hallinger et al. (2025a) اتساع استخدام مقياس PIMRS في 791 وثيقة بحثية من 65 دولة، </w:t>
      </w:r>
      <w:r>
        <w:rPr>
          <w:rFonts w:ascii="Traditional Arabic" w:hAnsi="Traditional Arabic" w:cs="Traditional Arabic"/>
          <w:sz w:val="28"/>
          <w:szCs w:val="28"/>
          <w:rtl/>
        </w:rPr>
        <w:t>لكنها بينت أن النماذج الأحادية والثنائية المتغير ما تزال تمثل قرابة 80 في المئة من البحوث، في حين توصل التحليل البعدي لـ Hallinger et al. (2025b) إلى علاقة متوسطة بين القيادة التعليمية وفاعلية المعلمين. وتشير هذه النتائج إلى استمرار صلاحية النموذج، مع حاجة البحث الحديث إلى اختبار مسارات أكثر تكاملًا توضح كيف ينتقل أثر القيادة عبر قرارات المعلمين وممارساتهم إلى نواتج الطلاب.</w:t>
      </w:r>
    </w:p>
    <w:p w14:paraId="5AA439EF"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ويعزز تقرير اليونسكو العالمي لرصد التعليم 2024/2025 هذا الاتجاه؛ إذ حدد أربعة أبعاد مركزية للقيادة التعليمية الفاعلة هي: وضع التوقعات، والتركيز على التعلم، وتعزيز التعاون، وتنمية الأفراد، وأظهر أن 18 في المئة فقط من برامج إعداد القيادات المدرسية التي جرت مراجعتها غطت الأبعاد الأربعة مجتمعة (UNESCO, 2024). كما أشار تقرير معهد اليونسكو لتقنيات المعلومات في التعليم إلى أن إمكانات الذكاء الاصطناعي في المدارس ما تزال غير مستثمرة بصورة كافية، وأن توظيفها يتطلب جاهزية مؤسسية ودعمًا مستمرًا للمعلمين والقيادات (UNES</w:t>
      </w:r>
      <w:r>
        <w:rPr>
          <w:rFonts w:ascii="Traditional Arabic" w:hAnsi="Traditional Arabic" w:cs="Traditional Arabic"/>
          <w:sz w:val="28"/>
          <w:szCs w:val="28"/>
          <w:rtl/>
        </w:rPr>
        <w:t>CO IITE, 2022). ويبين تحليل التقريرين أن فجوة الجاهزية ليست تقنية فقط، بل قيادية وتنظيمية أيضًا، وهو ما يدعم الحاجة إلى نموذج يدمج القيادة التعليمية مع آليات الاستخدام المسؤول للذكاء الاصطناعي.</w:t>
      </w:r>
    </w:p>
    <w:p w14:paraId="694F7876"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tl/>
        </w:rPr>
      </w:pPr>
      <w:r>
        <w:rPr>
          <w:rFonts w:ascii="Traditional Arabic" w:hAnsi="Traditional Arabic" w:cs="Traditional Arabic"/>
          <w:sz w:val="28"/>
          <w:szCs w:val="28"/>
          <w:rtl/>
        </w:rPr>
        <w:t>ويمثل التمايز التعليمي أحد المداخل التي تستهدف الاستجابة للفروق بين الطلاب من خلال تعديل المحتوى، وعمليات التعلم، والمنتجات التعليمية، وبيئة التعلم استنادًا إلى استعداداتهم واهتماماتهم وملفات تعلمهم. غير أن تطبيقه داخل الصفوف يظل مهمة معقدة تتطلب أدوات تشخيصية، ووقتًا للتخطيط، وتنمية مهنية، ومتابعة من القيادة المدرسية. فقد بينت مراجعة Eikeland and Ohna (2022) تعدد صور التمايز ومفاهيمه، بينما أظهر التحليل البعدي الذي أجراه Kahmann et al. (2022) أثرًا متوسطًا لبرامج التنمية المهنية في معارف المعلمين واتجاهاته</w:t>
      </w:r>
      <w:r>
        <w:rPr>
          <w:rFonts w:ascii="Traditional Arabic" w:hAnsi="Traditional Arabic" w:cs="Traditional Arabic"/>
          <w:sz w:val="28"/>
          <w:szCs w:val="28"/>
          <w:rtl/>
        </w:rPr>
        <w:t>م وممارساتهم، من دون أثر عام ثابت في تعلم الطلاب. ويعني ذلك أن تحسين معرفة المعلم لا يكفي بمفرده، بل ينبغي ربط التشخيص بالقرار والتنفيذ والمتابعة وقياس التحصيل.</w:t>
      </w:r>
    </w:p>
    <w:p w14:paraId="28CD43A0"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وفي السياق السعودي، توفر الاختبارات الوطنية (نافس) التي تنفذها هيئة تقويم التعليم والتدريب مؤشرات معيارية عن مستويات التحصيل يمكن الإفادة منها في تشخيص جوانب القوة والاحتياج ومتابعة التحسن (هيئة تقويم التعليم والتدريب، د.ت.). وتكمن دلالة هذه المؤشرات للدراسة الحالية في أنها تمثل مدخلًا لاتخاذ قرارات مبنية على البيانات، لكنها لا تحدد بذاتها كيفية تحويل البيانات إلى بدائل تعليمية متمايزة أو كيفية توزيع المسؤوليات بين القيادة المدرسية والمعلمين؛ ومن ثم تبرز الحاجة إلى نموذج إجرائي ينظم هذا التحويل ويربطه بالمم</w:t>
      </w:r>
      <w:r>
        <w:rPr>
          <w:rFonts w:ascii="Traditional Arabic" w:hAnsi="Traditional Arabic" w:cs="Traditional Arabic"/>
          <w:sz w:val="28"/>
          <w:szCs w:val="28"/>
          <w:rtl/>
        </w:rPr>
        <w:t>ارسات الصفية.</w:t>
      </w:r>
    </w:p>
    <w:p w14:paraId="65A81528"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وتكشف مراجعة الدراسات عن ثلاثة اتجاهات رئيسة: تناول الاتجاه الأول إمكانات الذكاء الاصطناعي التوليدي في تخصيص المحتوى وتخطيط التدريس، وركز الاتجاه الثاني على أثر القيادة التعليمية في المعلمين والممارسات التدريسية، بينما بحث الاتجاه الثالث فاعلية التمايز التعليمي والصعوبات المرتبطة بتطبيقه. ومع ذلك، لم تتضح دراسة ميدانية اختبرت نموذجًا قياديًا تكامليًا مستندًا إلى نموذج هالينجر ومورفي، يوظف الذكاء الاصطناعي التوليدي في دعم قرارات التمايز، ويطبق على مستوى القيادة المدرسية والمعلمين، ثم يقيس أثره على تحصيل الطل</w:t>
      </w:r>
      <w:r>
        <w:rPr>
          <w:rFonts w:ascii="Traditional Arabic" w:hAnsi="Traditional Arabic" w:cs="Traditional Arabic"/>
          <w:sz w:val="28"/>
          <w:szCs w:val="28"/>
          <w:rtl/>
        </w:rPr>
        <w:t>اب في البيئة السعودية. وتشير المراجع الحديثة، مثل إرشادات اليونسكو للذكاء الاصطناعي التوليدي (Miao &amp; Holmes, 2023)، وتقرير القيادة في التعليم (UNESCO, 2024)، ومراجع هالينجر الحديثة (Hallinger et al., 2025a, 2025b)، إلى الحاجة إلى أطر تنظيمية ونماذج تطبيقية متعددة المستويات ومحددة السياق؛ وتمثل هذه الحاجة الفجوة التي تستهدفها الدراسة الحالية.</w:t>
      </w:r>
    </w:p>
    <w:p w14:paraId="7C409D08" w14:textId="77777777" w:rsidR="00491E5B" w:rsidRDefault="00E91EBB">
      <w:pPr>
        <w:pStyle w:val="BodyText"/>
        <w:keepNext/>
        <w:tabs>
          <w:tab w:val="right" w:pos="9927"/>
        </w:tabs>
        <w:bidi/>
        <w:ind w:right="142"/>
        <w:jc w:val="both"/>
        <w:rPr>
          <w:rFonts w:ascii="Traditional Arabic" w:hAnsi="Traditional Arabic" w:cs="Traditional Arabic"/>
          <w:b/>
          <w:bCs/>
          <w:w w:val="89"/>
          <w:sz w:val="32"/>
          <w:szCs w:val="32"/>
        </w:rPr>
      </w:pPr>
      <w:r>
        <w:rPr>
          <w:rFonts w:ascii="Traditional Arabic" w:hAnsi="Traditional Arabic" w:cs="Traditional Arabic"/>
          <w:b/>
          <w:bCs/>
          <w:w w:val="89"/>
          <w:sz w:val="32"/>
          <w:szCs w:val="32"/>
          <w:rtl/>
        </w:rPr>
        <w:t>مشكلة الدراسة</w:t>
      </w:r>
    </w:p>
    <w:p w14:paraId="55D545A0"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أظهرت الدراسات المتعلقة بالذكاء الاصطناعي التوليدي قدرته على إنتاج مواد تعليمية متكيفة، وتقديم اقتراحات لتخطيط الدروس والتقويم، ومساعدة المعلمين في الاستجابة لتفاوت مستويات الطلاب. إلا أن هذه الدراسات ركزت في جانب كبير منها على الاستخدام المباشر للأداة من جانب المعلم أو المتعلم، ولم تركز بالقدر نفسه على الدور التنظيمي والقيادي المطلوب لضمان توظيفها بصورة منهجية وآمنة داخل المدرسة</w:t>
      </w:r>
      <w:r>
        <w:rPr>
          <w:rFonts w:ascii="Traditional Arabic" w:hAnsi="Traditional Arabic" w:cs="Traditional Arabic"/>
          <w:w w:val="89"/>
          <w:sz w:val="28"/>
          <w:szCs w:val="28"/>
        </w:rPr>
        <w:t>.</w:t>
      </w:r>
    </w:p>
    <w:p w14:paraId="71DCDF6B"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وتتأكد أهمية المشكلة محليًا من اتساع مجتمع الدراسة؛ إذ تُظهر أحدث بيانات وزارة التعليم المفتوحة لعام 2024 أن الإدارة العامة للتعليم بمنطقة الرياض تضم 562 مدرسة حكومية في المرحلة المتوسطة، منها 264 مدرسة للبنين و298 مدرسة للبنات، ويلتحق بها 220,873 طالبًا وطالبة (وزارة التعليم، 2024). ويعكس هذا الحجم تنوعًا تنظيميًا وتعليميًا يستلزم نموذجًا واضحًا وقابلًا للتطبيق على مستوى المدرسة، مع مراعاة اختلاف الاحتياجات والموارد ونتائج التحصيل.</w:t>
      </w:r>
    </w:p>
    <w:p w14:paraId="4173F2F9"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وعلى المستوى الدولي، أظهرت دراسة Berkovich (2025) على 302 من القيادات المدرسية في المدارس العامة أن 60.3 في المئة استخدموا الذكاء الاصطناعي التوليدي في تطوير برامج تعليمية، و57.3 في المئة في إعداد خطط أو موارد للفرق التدريسية، و40.4 في المئة في تحليل بيانات تحصيل الطلاب لتحديد الاتجاهات ومجالات التحسين. ومع أن هذه النسب تكشف حضورًا متناميًا للذكاء الاصطناعي في مهام القيادة التعليمية، فإن الدراسة اعتمدت عينة ملائمة وتصميمًا وصفيًا ولم تقيس أثر الاستخدام في التحصيل؛ وهو ما يؤكد الحاجة إلى اختبار تجريبي يربط ا</w:t>
      </w:r>
      <w:r>
        <w:rPr>
          <w:rFonts w:ascii="Traditional Arabic" w:hAnsi="Traditional Arabic" w:cs="Traditional Arabic"/>
          <w:w w:val="89"/>
          <w:sz w:val="28"/>
          <w:szCs w:val="28"/>
          <w:rtl/>
        </w:rPr>
        <w:t>لاستخدام القيادي المنظم بقرارات التمايز ونتائج تعلم الطلاب.</w:t>
      </w:r>
    </w:p>
    <w:p w14:paraId="183D11E7"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وفي المقابل، بينت دراسات القيادة التعليمية أن ممارسات قائد المدرسة تؤثر في تعلم الطلاب بصورة غير مباشرة من خلال تطوير أداء المعلمين، ومتابعة التدريس، وتوجيه القرارات التعليمية، ودعم استخدام البيانات. كما أظهرت دراسات التمايز التعليمي أن المعلمين يواجهون صعوبات في تشخيص الاحتياجات الفردية، وإعداد أنشطة متعددة، وإدارة الوقت، وتقويم أثر الاستراتيجيات المتمايزة. وتوفر المؤشرات الوطنية بيانات مهمة عن التحصيل، غير أن الاستفادة منها تتطلب آلية قيادية تحولها إلى قرارات تعليمية قابلة للتنفيذ والمتابعة.</w:t>
      </w:r>
    </w:p>
    <w:p w14:paraId="79E47D6B"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وبتحليل الاتجاهات السابقة يتضح أن كل اتجاه تناول جانبًا منفصلًا من المشكلة؛ إذ تناولت دراسات الذكاء الاصطناعي إمكانات التقنية، وتناولت دراسات القيادة أدوار قائد المدرسة، وتناولت دراسات التمايز الممارسات الصفية. ولم تقدم الدراسات التي تمت مراجعتها نموذجًا تطبيقيًا يجمع هذه الجوانب في تسلسل يبدأ بالقيادة المدرسية، ثم دعم المعلمين في اتخاذ قرارات التمايز وتنفيذها، وينتهي بقياس نواتج تعلم الطلاب في المدارس الحكومية السعودية</w:t>
      </w:r>
      <w:r>
        <w:rPr>
          <w:rFonts w:ascii="Traditional Arabic" w:hAnsi="Traditional Arabic" w:cs="Traditional Arabic"/>
          <w:w w:val="89"/>
          <w:sz w:val="28"/>
          <w:szCs w:val="28"/>
        </w:rPr>
        <w:t>.</w:t>
      </w:r>
    </w:p>
    <w:p w14:paraId="4DAC5C0B" w14:textId="77777777" w:rsidR="00491E5B" w:rsidRDefault="00E91EBB">
      <w:pPr>
        <w:pStyle w:val="BodyText"/>
        <w:tabs>
          <w:tab w:val="right" w:pos="9927"/>
        </w:tabs>
        <w:bidi/>
        <w:ind w:right="142"/>
        <w:jc w:val="both"/>
        <w:rPr>
          <w:rFonts w:ascii="Traditional Arabic" w:hAnsi="Traditional Arabic" w:cs="Traditional Arabic"/>
          <w:sz w:val="28"/>
          <w:szCs w:val="28"/>
        </w:rPr>
      </w:pPr>
      <w:r>
        <w:rPr>
          <w:rFonts w:ascii="Traditional Arabic" w:hAnsi="Traditional Arabic" w:cs="Traditional Arabic"/>
          <w:w w:val="89"/>
          <w:sz w:val="28"/>
          <w:szCs w:val="28"/>
          <w:rtl/>
        </w:rPr>
        <w:t>وعليه، تتمثل مشكلة الدراسة في الحاجة إلى بناء نموذج قيادي تكاملي مقترح، مستند إلى نموذج هالينجر ومورفي، يوظف الذكاء الاصطناعي التوليدي وفق ضوابط تربوية وأخلاقية، ويدعم القيادات المدرسية والمعلمين في اتخاذ قرارات التمايز التعليمي، مع التحقق تجريبيًا من أثر تطبيقه في ممارسات المعلمين وتحصيل الطلاب</w:t>
      </w:r>
      <w:r>
        <w:rPr>
          <w:rFonts w:ascii="Traditional Arabic" w:hAnsi="Traditional Arabic" w:cs="Traditional Arabic"/>
          <w:w w:val="89"/>
          <w:sz w:val="28"/>
          <w:szCs w:val="28"/>
        </w:rPr>
        <w:t>.</w:t>
      </w:r>
    </w:p>
    <w:p w14:paraId="6853FAAB" w14:textId="77777777" w:rsidR="00491E5B" w:rsidRDefault="00E91EBB">
      <w:pPr>
        <w:pStyle w:val="BodyText"/>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ومن هنا تتحدد مشكلة الدراسة في السؤال الرئيسي الآتي :</w:t>
      </w:r>
    </w:p>
    <w:p w14:paraId="78C468CE" w14:textId="77777777" w:rsidR="00491E5B" w:rsidRDefault="00E91EBB">
      <w:pPr>
        <w:pStyle w:val="BodyText"/>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lastRenderedPageBreak/>
        <w:t>ما</w:t>
      </w:r>
      <w:r>
        <w:rPr>
          <w:rFonts w:ascii="Traditional Arabic" w:hAnsi="Traditional Arabic" w:cs="Traditional Arabic"/>
          <w:sz w:val="28"/>
          <w:szCs w:val="28"/>
          <w:rtl/>
        </w:rPr>
        <w:t xml:space="preserve"> أثر تطبيق نموذج قيادي تكاملي مقترح مستند إلى نموذج هالينجر ومورفي وقائم على الذكاء الاصطناعي التوليدي في قرارات التمايز التعليمي لدى المعلمين وفي تحصيل طلاب المرحلة المتوسطة بالمدارس الحكومية بمدينة الرياض؟</w:t>
      </w:r>
    </w:p>
    <w:p w14:paraId="21F59C40" w14:textId="77777777" w:rsidR="00491E5B" w:rsidRDefault="00E91EBB">
      <w:pPr>
        <w:pStyle w:val="BodyText"/>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ويتفرع من هذا السؤال الأسئلة التالية :</w:t>
      </w:r>
    </w:p>
    <w:p w14:paraId="66780F00"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ما المتطلبات النظرية والتنظيمية والتقنية والأخلاقية اللازمة لبناء النموذج القيادي التكاملي المقترح؟ </w:t>
      </w:r>
    </w:p>
    <w:p w14:paraId="26E46558"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ما درجة صلاحية النموذج القيادي التكاملي المقترح وملاءمته للتطبيق من وجهة نظر الخبراء والمحكمين؟ </w:t>
      </w:r>
    </w:p>
    <w:p w14:paraId="23109B7D"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ما أثر تطبيق النموذج المقترح في قرارات التمايز التعليمي لدى المعلمين؟ </w:t>
      </w:r>
    </w:p>
    <w:p w14:paraId="4F29DEEE"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ما أثر تطبيق النموذج المقترح في مستوى تنفيذ المعلمين لممارسات التمايز التعليمي داخل الصفوف؟ </w:t>
      </w:r>
    </w:p>
    <w:p w14:paraId="145A261B"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rtl/>
        </w:rPr>
        <w:t>ما أثر تطبيق النموذج المقترح في التحصيل الدراسي لطلاب المرحلة المتوسطة؟</w:t>
      </w:r>
    </w:p>
    <w:p w14:paraId="6174A4E3" w14:textId="77777777" w:rsidR="00491E5B" w:rsidRDefault="00E91EBB">
      <w:pPr>
        <w:keepNext/>
        <w:tabs>
          <w:tab w:val="right" w:pos="9927"/>
        </w:tabs>
        <w:bidi/>
        <w:ind w:right="142"/>
        <w:jc w:val="both"/>
        <w:rPr>
          <w:rFonts w:ascii="Traditional Arabic" w:hAnsi="Traditional Arabic" w:cs="Traditional Arabic"/>
          <w:b/>
          <w:bCs/>
          <w:sz w:val="32"/>
          <w:szCs w:val="32"/>
        </w:rPr>
      </w:pPr>
      <w:r>
        <w:rPr>
          <w:rFonts w:ascii="Traditional Arabic" w:hAnsi="Traditional Arabic" w:cs="Traditional Arabic"/>
          <w:b/>
          <w:bCs/>
          <w:w w:val="78"/>
          <w:sz w:val="32"/>
          <w:szCs w:val="32"/>
          <w:rtl/>
        </w:rPr>
        <w:t>أﻫﻤﻴﺔ</w:t>
      </w:r>
      <w:r>
        <w:rPr>
          <w:rFonts w:ascii="Traditional Arabic" w:hAnsi="Traditional Arabic" w:cs="Traditional Arabic"/>
          <w:b/>
          <w:bCs/>
          <w:spacing w:val="-71"/>
          <w:w w:val="78"/>
          <w:sz w:val="32"/>
          <w:szCs w:val="32"/>
          <w:rtl/>
        </w:rPr>
        <w:t xml:space="preserve"> </w:t>
      </w:r>
      <w:r>
        <w:rPr>
          <w:rFonts w:ascii="Traditional Arabic" w:hAnsi="Traditional Arabic" w:cs="Traditional Arabic"/>
          <w:b/>
          <w:bCs/>
          <w:w w:val="78"/>
          <w:sz w:val="32"/>
          <w:szCs w:val="32"/>
          <w:rtl/>
        </w:rPr>
        <w:t>ا</w:t>
      </w:r>
      <w:r>
        <w:rPr>
          <w:rFonts w:ascii="Traditional Arabic" w:hAnsi="Traditional Arabic" w:cs="Traditional Arabic" w:hint="cs"/>
          <w:b/>
          <w:bCs/>
          <w:w w:val="78"/>
          <w:sz w:val="32"/>
          <w:szCs w:val="32"/>
          <w:rtl/>
        </w:rPr>
        <w:t xml:space="preserve"> </w:t>
      </w:r>
      <w:r>
        <w:rPr>
          <w:rFonts w:ascii="Traditional Arabic" w:hAnsi="Traditional Arabic" w:cs="Traditional Arabic"/>
          <w:b/>
          <w:bCs/>
          <w:w w:val="78"/>
          <w:sz w:val="32"/>
          <w:szCs w:val="32"/>
          <w:rtl/>
        </w:rPr>
        <w:t>ﻟﺪراﺳﺔ</w:t>
      </w:r>
      <w:r>
        <w:rPr>
          <w:rFonts w:ascii="Traditional Arabic" w:hAnsi="Traditional Arabic" w:cs="Traditional Arabic" w:hint="cs"/>
          <w:b/>
          <w:bCs/>
          <w:w w:val="78"/>
          <w:sz w:val="32"/>
          <w:szCs w:val="32"/>
          <w:rtl/>
        </w:rPr>
        <w:t xml:space="preserve"> </w:t>
      </w:r>
      <w:r>
        <w:rPr>
          <w:rFonts w:ascii="Traditional Arabic" w:hAnsi="Traditional Arabic" w:cs="Traditional Arabic"/>
          <w:b/>
          <w:bCs/>
          <w:spacing w:val="-70"/>
          <w:w w:val="78"/>
          <w:sz w:val="32"/>
          <w:szCs w:val="32"/>
          <w:rtl/>
        </w:rPr>
        <w:t xml:space="preserve"> </w:t>
      </w:r>
      <w:r>
        <w:rPr>
          <w:rFonts w:ascii="Traditional Arabic" w:hAnsi="Traditional Arabic" w:cs="Traditional Arabic"/>
          <w:b/>
          <w:bCs/>
          <w:w w:val="78"/>
          <w:sz w:val="32"/>
          <w:szCs w:val="32"/>
        </w:rPr>
        <w:t>)</w:t>
      </w:r>
      <w:r>
        <w:rPr>
          <w:rFonts w:ascii="Traditional Arabic" w:hAnsi="Traditional Arabic" w:cs="Traditional Arabic" w:hint="cs"/>
          <w:b/>
          <w:bCs/>
          <w:w w:val="78"/>
          <w:sz w:val="32"/>
          <w:szCs w:val="32"/>
          <w:rtl/>
        </w:rPr>
        <w:t xml:space="preserve"> </w:t>
      </w:r>
      <w:r>
        <w:rPr>
          <w:rFonts w:ascii="Traditional Arabic" w:hAnsi="Traditional Arabic" w:cs="Traditional Arabic"/>
          <w:b/>
          <w:bCs/>
          <w:w w:val="78"/>
          <w:sz w:val="32"/>
          <w:szCs w:val="32"/>
          <w:rtl/>
        </w:rPr>
        <w:t>اﻟﻨﻈﺮﻳﺔ</w:t>
      </w:r>
      <w:r>
        <w:rPr>
          <w:rFonts w:ascii="Traditional Arabic" w:hAnsi="Traditional Arabic" w:cs="Traditional Arabic" w:hint="cs"/>
          <w:b/>
          <w:bCs/>
          <w:w w:val="78"/>
          <w:sz w:val="32"/>
          <w:szCs w:val="32"/>
          <w:rtl/>
        </w:rPr>
        <w:t xml:space="preserve"> </w:t>
      </w:r>
      <w:r>
        <w:rPr>
          <w:rFonts w:ascii="Traditional Arabic" w:hAnsi="Traditional Arabic" w:cs="Traditional Arabic"/>
          <w:b/>
          <w:bCs/>
          <w:spacing w:val="-71"/>
          <w:w w:val="78"/>
          <w:sz w:val="32"/>
          <w:szCs w:val="32"/>
          <w:rtl/>
        </w:rPr>
        <w:t xml:space="preserve"> </w:t>
      </w:r>
      <w:r>
        <w:rPr>
          <w:rFonts w:ascii="Traditional Arabic" w:hAnsi="Traditional Arabic" w:cs="Traditional Arabic"/>
          <w:b/>
          <w:bCs/>
          <w:w w:val="78"/>
          <w:sz w:val="32"/>
          <w:szCs w:val="32"/>
          <w:rtl/>
        </w:rPr>
        <w:t>و</w:t>
      </w:r>
      <w:r>
        <w:rPr>
          <w:rFonts w:ascii="Traditional Arabic" w:hAnsi="Traditional Arabic" w:cs="Traditional Arabic" w:hint="cs"/>
          <w:b/>
          <w:bCs/>
          <w:w w:val="78"/>
          <w:sz w:val="32"/>
          <w:szCs w:val="32"/>
          <w:rtl/>
        </w:rPr>
        <w:t xml:space="preserve"> </w:t>
      </w:r>
      <w:r>
        <w:rPr>
          <w:rFonts w:ascii="Traditional Arabic" w:hAnsi="Traditional Arabic" w:cs="Traditional Arabic"/>
          <w:b/>
          <w:bCs/>
          <w:w w:val="78"/>
          <w:sz w:val="32"/>
          <w:szCs w:val="32"/>
          <w:rtl/>
        </w:rPr>
        <w:t>اﻟﺘﻄﺒﻴﻘﻴﺔ</w:t>
      </w:r>
      <w:r>
        <w:rPr>
          <w:rFonts w:ascii="Traditional Arabic" w:hAnsi="Traditional Arabic" w:cs="Traditional Arabic" w:hint="cs"/>
          <w:b/>
          <w:bCs/>
          <w:w w:val="78"/>
          <w:sz w:val="32"/>
          <w:szCs w:val="32"/>
          <w:rtl/>
        </w:rPr>
        <w:t xml:space="preserve">   ) </w:t>
      </w:r>
      <w:r>
        <w:rPr>
          <w:rFonts w:ascii="Traditional Arabic" w:hAnsi="Traditional Arabic" w:cs="Traditional Arabic"/>
          <w:b/>
          <w:bCs/>
          <w:w w:val="78"/>
          <w:sz w:val="32"/>
          <w:szCs w:val="32"/>
        </w:rPr>
        <w:t>:</w:t>
      </w:r>
    </w:p>
    <w:p w14:paraId="52E67274" w14:textId="77777777" w:rsidR="00491E5B" w:rsidRDefault="00E91EBB">
      <w:pPr>
        <w:keepNext/>
        <w:tabs>
          <w:tab w:val="right" w:pos="9927"/>
        </w:tabs>
        <w:bidi/>
        <w:ind w:left="96"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الأهمية النظرية</w:t>
      </w:r>
    </w:p>
    <w:p w14:paraId="6DC1ABBF" w14:textId="77777777" w:rsidR="00491E5B" w:rsidRDefault="00E91EBB">
      <w:pPr>
        <w:tabs>
          <w:tab w:val="right" w:pos="9927"/>
        </w:tabs>
        <w:bidi/>
        <w:ind w:left="96" w:right="142"/>
        <w:rPr>
          <w:rFonts w:ascii="Traditional Arabic" w:hAnsi="Traditional Arabic" w:cs="Traditional Arabic"/>
          <w:sz w:val="28"/>
          <w:szCs w:val="28"/>
        </w:rPr>
      </w:pPr>
      <w:r>
        <w:rPr>
          <w:rFonts w:ascii="Traditional Arabic" w:hAnsi="Traditional Arabic" w:cs="Traditional Arabic"/>
          <w:sz w:val="28"/>
          <w:szCs w:val="28"/>
          <w:rtl/>
        </w:rPr>
        <w:t>1.إثراء الأدبيات التربوية المتعلقة بتوظيف الذكاء الاصطناعي التوليدي في التعليم.</w:t>
      </w:r>
    </w:p>
    <w:p w14:paraId="39E6B5E6"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2.تقديم إطار نظري يربط بين نموذج هالينجر ومورفي للقيادة التعليمية والذكاء الاصطناعي التوليدي والتمايز التعليمي.</w:t>
      </w:r>
    </w:p>
    <w:p w14:paraId="62DD079A"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3. تطوير نموذج قيادي تكاملي مقترح مستند إلى نموذج هالينجر ومورفي ومتكيف مع متطلبات الذكاء الاصطناعي التوليدي والتحول الرقمي في التعليم.</w:t>
      </w:r>
    </w:p>
    <w:p w14:paraId="547990FC" w14:textId="77777777" w:rsidR="00491E5B" w:rsidRDefault="00E91EBB">
      <w:pPr>
        <w:keepNext/>
        <w:tabs>
          <w:tab w:val="right" w:pos="9927"/>
        </w:tabs>
        <w:bidi/>
        <w:ind w:left="96"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الأهمية التطبيقية</w:t>
      </w:r>
    </w:p>
    <w:p w14:paraId="56BBFEEB"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1. تقديم نموذج قيادي تكاملي مقترح مستند إلى نموذج هالينجر ومورفي وقائم على الذكاء الاصطناعي التوليدي يدعم القيادة المدرسية وقرارات التمايز التعليمي، ويسهم في تحسين الممارسات التعليمية.</w:t>
      </w:r>
    </w:p>
    <w:p w14:paraId="052F6261"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2. تمكين القيادة المدرسية من دعم المعلمين في تطبيق التمايز التعليمي بصورة أكثر فاعلية من خلال قرارات تعليمية قائمة على تحليل البيانات ومقترحات الذكاء الاصطناعي التوليدي.</w:t>
      </w:r>
    </w:p>
    <w:p w14:paraId="05DDD106" w14:textId="77777777" w:rsidR="00491E5B" w:rsidRDefault="00E91EBB">
      <w:pPr>
        <w:tabs>
          <w:tab w:val="right" w:pos="9927"/>
        </w:tabs>
        <w:bidi/>
        <w:ind w:left="96" w:right="142"/>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 xml:space="preserve">3.مساعدة صانعي القرار في وزارة التعليم في تطوير سياسات توظيف الذكاء الاصطناعي في المدارس ضمن نموذج قيادي </w:t>
      </w:r>
      <w:r>
        <w:rPr>
          <w:rFonts w:ascii="Traditional Arabic" w:hAnsi="Traditional Arabic" w:cs="Traditional Arabic" w:hint="cs"/>
          <w:sz w:val="28"/>
          <w:szCs w:val="28"/>
          <w:highlight w:val="yellow"/>
          <w:rtl/>
        </w:rPr>
        <w:t>تكاملي مقترح وواضح</w:t>
      </w:r>
      <w:r>
        <w:rPr>
          <w:rFonts w:ascii="Traditional Arabic" w:hAnsi="Traditional Arabic" w:cs="Traditional Arabic"/>
          <w:sz w:val="28"/>
          <w:szCs w:val="28"/>
          <w:highlight w:val="yellow"/>
          <w:rtl/>
        </w:rPr>
        <w:t>.</w:t>
      </w:r>
    </w:p>
    <w:p w14:paraId="29A885FC" w14:textId="77777777" w:rsidR="00491E5B" w:rsidRDefault="00E91EBB">
      <w:pPr>
        <w:keepNext/>
        <w:tabs>
          <w:tab w:val="right" w:pos="9927"/>
        </w:tabs>
        <w:bidi/>
        <w:ind w:left="96" w:right="142"/>
        <w:jc w:val="both"/>
        <w:rPr>
          <w:rFonts w:ascii="Traditional Arabic" w:hAnsi="Traditional Arabic" w:cs="Traditional Arabic"/>
          <w:b/>
          <w:bCs/>
          <w:sz w:val="32"/>
          <w:szCs w:val="32"/>
          <w:rtl/>
        </w:rPr>
      </w:pPr>
      <w:r>
        <w:rPr>
          <w:rFonts w:ascii="Traditional Arabic" w:hAnsi="Traditional Arabic" w:cs="Traditional Arabic"/>
          <w:b/>
          <w:bCs/>
          <w:w w:val="80"/>
          <w:sz w:val="32"/>
          <w:szCs w:val="32"/>
          <w:rtl/>
        </w:rPr>
        <w:t>أﻫﺪاف</w:t>
      </w:r>
      <w:r>
        <w:rPr>
          <w:rFonts w:ascii="Traditional Arabic" w:hAnsi="Traditional Arabic" w:cs="Traditional Arabic" w:hint="cs"/>
          <w:b/>
          <w:bCs/>
          <w:w w:val="80"/>
          <w:sz w:val="32"/>
          <w:szCs w:val="32"/>
          <w:rtl/>
        </w:rPr>
        <w:t xml:space="preserve">  </w:t>
      </w:r>
      <w:r>
        <w:rPr>
          <w:rFonts w:ascii="Traditional Arabic" w:hAnsi="Traditional Arabic" w:cs="Traditional Arabic"/>
          <w:b/>
          <w:bCs/>
          <w:spacing w:val="-75"/>
          <w:w w:val="80"/>
          <w:sz w:val="32"/>
          <w:szCs w:val="32"/>
          <w:rtl/>
        </w:rPr>
        <w:t xml:space="preserve"> </w:t>
      </w:r>
      <w:r>
        <w:rPr>
          <w:rFonts w:ascii="Traditional Arabic" w:hAnsi="Traditional Arabic" w:cs="Traditional Arabic"/>
          <w:b/>
          <w:bCs/>
          <w:w w:val="80"/>
          <w:sz w:val="32"/>
          <w:szCs w:val="32"/>
          <w:rtl/>
        </w:rPr>
        <w:t>اﻟﺪراﺳﺔ</w:t>
      </w:r>
      <w:r>
        <w:rPr>
          <w:rFonts w:ascii="Traditional Arabic" w:hAnsi="Traditional Arabic" w:cs="Traditional Arabic"/>
          <w:b/>
          <w:bCs/>
          <w:w w:val="80"/>
          <w:sz w:val="32"/>
          <w:szCs w:val="32"/>
        </w:rPr>
        <w:t>:</w:t>
      </w:r>
    </w:p>
    <w:p w14:paraId="4128CDDE"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تحديد المتطلبات النظرية والتنظيمية والتقنية والأخلاقية لبناء نموذج قيادي تكاملي قائم على الذكاء الاصطناعي التوليدي</w:t>
      </w:r>
      <w:r>
        <w:rPr>
          <w:rFonts w:ascii="Traditional Arabic" w:hAnsi="Traditional Arabic" w:cs="Traditional Arabic"/>
          <w:sz w:val="28"/>
          <w:szCs w:val="28"/>
          <w:highlight w:val="yellow"/>
        </w:rPr>
        <w:t xml:space="preserve">. </w:t>
      </w:r>
    </w:p>
    <w:p w14:paraId="556E95C3"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بناء نموذج قيادي تكاملي مقترح مستند إلى أبعاد نموذج هالينجر ومورفي لدعم قرارات التمايز التعليمي</w:t>
      </w:r>
      <w:r>
        <w:rPr>
          <w:rFonts w:ascii="Traditional Arabic" w:hAnsi="Traditional Arabic" w:cs="Traditional Arabic"/>
          <w:sz w:val="28"/>
          <w:szCs w:val="28"/>
          <w:highlight w:val="yellow"/>
        </w:rPr>
        <w:t xml:space="preserve">. </w:t>
      </w:r>
    </w:p>
    <w:p w14:paraId="0E744B0F"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التحقق من صلاحية النموذج المقترح وملاءمته للتطبيق من خلال عرضه على مجموعة من الخبراء والمحكمين</w:t>
      </w:r>
      <w:r>
        <w:rPr>
          <w:rFonts w:ascii="Traditional Arabic" w:hAnsi="Traditional Arabic" w:cs="Traditional Arabic"/>
          <w:sz w:val="28"/>
          <w:szCs w:val="28"/>
          <w:highlight w:val="yellow"/>
        </w:rPr>
        <w:t xml:space="preserve">. </w:t>
      </w:r>
    </w:p>
    <w:p w14:paraId="1E704389"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قياس أثر تطبيق النموذج المقترح في قرارات التمايز التعليمي لدى المعلمين</w:t>
      </w:r>
      <w:r>
        <w:rPr>
          <w:rFonts w:ascii="Traditional Arabic" w:hAnsi="Traditional Arabic" w:cs="Traditional Arabic"/>
          <w:sz w:val="28"/>
          <w:szCs w:val="28"/>
          <w:highlight w:val="yellow"/>
        </w:rPr>
        <w:t xml:space="preserve">. </w:t>
      </w:r>
    </w:p>
    <w:p w14:paraId="53DBA461"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قياس أثر تطبيق النموذج المقترح في تنفيذ ممارسات التمايز التعليمي داخل الصفوف</w:t>
      </w:r>
      <w:r>
        <w:rPr>
          <w:rFonts w:ascii="Traditional Arabic" w:hAnsi="Traditional Arabic" w:cs="Traditional Arabic"/>
          <w:sz w:val="28"/>
          <w:szCs w:val="28"/>
          <w:highlight w:val="yellow"/>
        </w:rPr>
        <w:t xml:space="preserve">. </w:t>
      </w:r>
    </w:p>
    <w:p w14:paraId="2C3DED43"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w w:val="82"/>
          <w:sz w:val="28"/>
          <w:szCs w:val="28"/>
          <w:rtl/>
        </w:rPr>
      </w:pPr>
      <w:r>
        <w:rPr>
          <w:rFonts w:ascii="Traditional Arabic" w:hAnsi="Traditional Arabic" w:cs="Traditional Arabic"/>
          <w:sz w:val="28"/>
          <w:szCs w:val="28"/>
          <w:highlight w:val="yellow"/>
          <w:rtl/>
        </w:rPr>
        <w:t>قياس أثر تطبيق النموذج المقترح في تحصيل طلاب المرحلة المتوسطة</w:t>
      </w:r>
      <w:r>
        <w:rPr>
          <w:rFonts w:ascii="Traditional Arabic" w:hAnsi="Traditional Arabic" w:cs="Traditional Arabic"/>
          <w:sz w:val="28"/>
          <w:szCs w:val="28"/>
          <w:highlight w:val="yellow"/>
        </w:rPr>
        <w:t>.</w:t>
      </w:r>
    </w:p>
    <w:p w14:paraId="5EC3FCE1" w14:textId="77777777" w:rsidR="00491E5B" w:rsidRDefault="00491E5B">
      <w:pPr>
        <w:pStyle w:val="ListParagraph"/>
        <w:tabs>
          <w:tab w:val="right" w:pos="9927"/>
        </w:tabs>
        <w:bidi/>
        <w:ind w:right="142"/>
        <w:jc w:val="both"/>
        <w:rPr>
          <w:rFonts w:ascii="Traditional Arabic" w:hAnsi="Traditional Arabic" w:cs="Traditional Arabic"/>
          <w:w w:val="82"/>
          <w:sz w:val="28"/>
          <w:szCs w:val="28"/>
          <w:rtl/>
        </w:rPr>
      </w:pPr>
    </w:p>
    <w:p w14:paraId="1FC91FE7" w14:textId="77777777" w:rsidR="00491E5B" w:rsidRDefault="00E91EBB">
      <w:pPr>
        <w:keepNext/>
        <w:tabs>
          <w:tab w:val="right" w:pos="9927"/>
        </w:tabs>
        <w:bidi/>
        <w:ind w:left="96" w:right="142"/>
        <w:jc w:val="both"/>
        <w:rPr>
          <w:rFonts w:ascii="Traditional Arabic" w:hAnsi="Traditional Arabic" w:cs="Traditional Arabic"/>
          <w:b/>
          <w:bCs/>
          <w:sz w:val="32"/>
          <w:szCs w:val="32"/>
        </w:rPr>
      </w:pPr>
      <w:r>
        <w:rPr>
          <w:rFonts w:ascii="Traditional Arabic" w:hAnsi="Traditional Arabic" w:cs="Traditional Arabic"/>
          <w:b/>
          <w:bCs/>
          <w:w w:val="82"/>
          <w:sz w:val="32"/>
          <w:szCs w:val="32"/>
          <w:rtl/>
        </w:rPr>
        <w:t>ﻓﺮﺿﻴﺎت</w:t>
      </w:r>
      <w:r>
        <w:rPr>
          <w:rFonts w:ascii="Traditional Arabic" w:hAnsi="Traditional Arabic" w:cs="Traditional Arabic" w:hint="cs"/>
          <w:b/>
          <w:bCs/>
          <w:w w:val="82"/>
          <w:sz w:val="32"/>
          <w:szCs w:val="32"/>
          <w:rtl/>
        </w:rPr>
        <w:t xml:space="preserve"> </w:t>
      </w:r>
      <w:r>
        <w:rPr>
          <w:rFonts w:ascii="Traditional Arabic" w:hAnsi="Traditional Arabic" w:cs="Traditional Arabic"/>
          <w:b/>
          <w:bCs/>
          <w:spacing w:val="-80"/>
          <w:w w:val="82"/>
          <w:sz w:val="32"/>
          <w:szCs w:val="32"/>
          <w:rtl/>
        </w:rPr>
        <w:t xml:space="preserve"> </w:t>
      </w:r>
      <w:r>
        <w:rPr>
          <w:rFonts w:ascii="Traditional Arabic" w:hAnsi="Traditional Arabic" w:cs="Traditional Arabic"/>
          <w:b/>
          <w:bCs/>
          <w:w w:val="82"/>
          <w:sz w:val="32"/>
          <w:szCs w:val="32"/>
          <w:rtl/>
        </w:rPr>
        <w:t>اﻟﺪراﺳﺔ</w:t>
      </w:r>
      <w:r>
        <w:rPr>
          <w:rFonts w:ascii="Traditional Arabic" w:hAnsi="Traditional Arabic" w:cs="Traditional Arabic"/>
          <w:b/>
          <w:bCs/>
          <w:w w:val="82"/>
          <w:sz w:val="32"/>
          <w:szCs w:val="32"/>
        </w:rPr>
        <w:t>:</w:t>
      </w:r>
    </w:p>
    <w:p w14:paraId="01D9A46F" w14:textId="77777777" w:rsidR="00491E5B" w:rsidRDefault="00E91EBB">
      <w:pPr>
        <w:pStyle w:val="ListParagraph"/>
        <w:numPr>
          <w:ilvl w:val="0"/>
          <w:numId w:val="2"/>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توجد فروق ذات دلالة إحصائية عند مستوى الدلالة </w:t>
      </w:r>
      <m:oMath>
        <m:r>
          <w:rPr>
            <w:rFonts w:ascii="Cambria Math" w:hAnsi="Cambria Math" w:cs="Traditional Arabic"/>
            <w:sz w:val="28"/>
            <w:szCs w:val="28"/>
          </w:rPr>
          <m:t>α</m:t>
        </m:r>
        <m:r>
          <w:rPr>
            <w:rFonts w:ascii="Cambria Math" w:hAnsi="Cambria Math" w:cs="Traditional Arabic"/>
            <w:sz w:val="28"/>
            <w:szCs w:val="28"/>
          </w:rPr>
          <m:t>≤0.05</m:t>
        </m:r>
      </m:oMath>
      <w:r>
        <w:rPr>
          <w:rFonts w:ascii="Traditional Arabic" w:hAnsi="Traditional Arabic" w:cs="Traditional Arabic"/>
          <w:sz w:val="28"/>
          <w:szCs w:val="28"/>
          <w:rtl/>
        </w:rPr>
        <w:t>بين متوسطي درجات معلمي المجموعتين التجريبية والضابطة في القياس البعدي لمقياس قرارات التمايز التعليمي، بعد ضبط درجات القياس القبلي، لصالح المجموعة التجريبية</w:t>
      </w:r>
      <w:r>
        <w:rPr>
          <w:rFonts w:ascii="Traditional Arabic" w:hAnsi="Traditional Arabic" w:cs="Traditional Arabic"/>
          <w:sz w:val="28"/>
          <w:szCs w:val="28"/>
        </w:rPr>
        <w:t xml:space="preserve">. </w:t>
      </w:r>
    </w:p>
    <w:p w14:paraId="1585DCB1" w14:textId="77777777" w:rsidR="00491E5B" w:rsidRDefault="00E91EBB">
      <w:pPr>
        <w:pStyle w:val="ListParagraph"/>
        <w:numPr>
          <w:ilvl w:val="0"/>
          <w:numId w:val="2"/>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توجد فروق ذات دلالة إحصائية عند مستوى الدلالة </w:t>
      </w:r>
      <m:oMath>
        <m:r>
          <w:rPr>
            <w:rFonts w:ascii="Cambria Math" w:hAnsi="Cambria Math" w:cs="Traditional Arabic"/>
            <w:sz w:val="28"/>
            <w:szCs w:val="28"/>
          </w:rPr>
          <m:t>α</m:t>
        </m:r>
        <m:r>
          <w:rPr>
            <w:rFonts w:ascii="Cambria Math" w:hAnsi="Cambria Math" w:cs="Traditional Arabic"/>
            <w:sz w:val="28"/>
            <w:szCs w:val="28"/>
          </w:rPr>
          <m:t>≤0.05</m:t>
        </m:r>
      </m:oMath>
      <w:r>
        <w:rPr>
          <w:rFonts w:ascii="Traditional Arabic" w:hAnsi="Traditional Arabic" w:cs="Traditional Arabic"/>
          <w:sz w:val="28"/>
          <w:szCs w:val="28"/>
          <w:rtl/>
        </w:rPr>
        <w:t>بين متوسطي درجات معلمي المجموعتين التجريبية والضابطة في بطاقة ملاحظة تطبيق ممارسات التمايز التعليمي، لصالح المجموعة التجريبية</w:t>
      </w:r>
      <w:r>
        <w:rPr>
          <w:rFonts w:ascii="Traditional Arabic" w:hAnsi="Traditional Arabic" w:cs="Traditional Arabic"/>
          <w:sz w:val="28"/>
          <w:szCs w:val="28"/>
        </w:rPr>
        <w:t xml:space="preserve">. </w:t>
      </w:r>
    </w:p>
    <w:p w14:paraId="4B7025C7" w14:textId="77777777" w:rsidR="00491E5B" w:rsidRDefault="00E91EBB">
      <w:pPr>
        <w:pStyle w:val="ListParagraph"/>
        <w:numPr>
          <w:ilvl w:val="0"/>
          <w:numId w:val="2"/>
        </w:numPr>
        <w:tabs>
          <w:tab w:val="clear" w:pos="425"/>
          <w:tab w:val="right" w:pos="9927"/>
        </w:tabs>
        <w:bidi/>
        <w:ind w:right="142"/>
        <w:jc w:val="both"/>
        <w:rPr>
          <w:rFonts w:ascii="Traditional Arabic" w:hAnsi="Traditional Arabic" w:cs="Traditional Arabic"/>
          <w:w w:val="81"/>
          <w:sz w:val="28"/>
          <w:szCs w:val="28"/>
          <w:rtl/>
        </w:rPr>
      </w:pPr>
      <w:r>
        <w:rPr>
          <w:rFonts w:ascii="Traditional Arabic" w:hAnsi="Traditional Arabic" w:cs="Traditional Arabic"/>
          <w:sz w:val="28"/>
          <w:szCs w:val="28"/>
          <w:rtl/>
        </w:rPr>
        <w:lastRenderedPageBreak/>
        <w:t xml:space="preserve">توجد فروق ذات دلالة إحصائية عند مستوى الدلالة </w:t>
      </w:r>
      <m:oMath>
        <m:r>
          <w:rPr>
            <w:rFonts w:ascii="Cambria Math" w:hAnsi="Cambria Math" w:cs="Traditional Arabic"/>
            <w:sz w:val="28"/>
            <w:szCs w:val="28"/>
          </w:rPr>
          <m:t>α</m:t>
        </m:r>
        <m:r>
          <w:rPr>
            <w:rFonts w:ascii="Cambria Math" w:hAnsi="Cambria Math" w:cs="Traditional Arabic"/>
            <w:sz w:val="28"/>
            <w:szCs w:val="28"/>
          </w:rPr>
          <m:t>≤0.05</m:t>
        </m:r>
      </m:oMath>
      <w:r>
        <w:rPr>
          <w:rFonts w:ascii="Traditional Arabic" w:hAnsi="Traditional Arabic" w:cs="Traditional Arabic"/>
          <w:sz w:val="28"/>
          <w:szCs w:val="28"/>
          <w:rtl/>
        </w:rPr>
        <w:t>بين متوسطي درجات طلاب المجموعتين التجريبية والضابطة في الاختبار التحصيلي البعدي، بعد ضبط درجات الاختبار القبلي، لصالح المجموعة التجريبية</w:t>
      </w:r>
      <w:r>
        <w:rPr>
          <w:rFonts w:ascii="Traditional Arabic" w:hAnsi="Traditional Arabic" w:cs="Traditional Arabic"/>
          <w:sz w:val="28"/>
          <w:szCs w:val="28"/>
        </w:rPr>
        <w:t>.</w:t>
      </w:r>
    </w:p>
    <w:p w14:paraId="28662BF8" w14:textId="77777777" w:rsidR="00491E5B" w:rsidRDefault="00E91EBB">
      <w:pPr>
        <w:keepNext/>
        <w:tabs>
          <w:tab w:val="right" w:pos="9927"/>
        </w:tabs>
        <w:bidi/>
        <w:ind w:right="142"/>
        <w:jc w:val="both"/>
        <w:rPr>
          <w:rFonts w:ascii="Traditional Arabic" w:hAnsi="Traditional Arabic" w:cs="Traditional Arabic"/>
          <w:b/>
          <w:bCs/>
          <w:sz w:val="32"/>
          <w:szCs w:val="32"/>
        </w:rPr>
      </w:pPr>
      <w:r>
        <w:rPr>
          <w:rFonts w:ascii="Traditional Arabic" w:hAnsi="Traditional Arabic" w:cs="Traditional Arabic"/>
          <w:b/>
          <w:bCs/>
          <w:w w:val="81"/>
          <w:sz w:val="32"/>
          <w:szCs w:val="32"/>
          <w:rtl/>
        </w:rPr>
        <w:t>ﻧﻤﻮذج</w:t>
      </w:r>
      <w:r>
        <w:rPr>
          <w:rFonts w:ascii="Traditional Arabic" w:hAnsi="Traditional Arabic" w:cs="Traditional Arabic"/>
          <w:b/>
          <w:bCs/>
          <w:spacing w:val="-77"/>
          <w:w w:val="81"/>
          <w:sz w:val="32"/>
          <w:szCs w:val="32"/>
          <w:rtl/>
        </w:rPr>
        <w:t xml:space="preserve"> </w:t>
      </w:r>
      <w:r>
        <w:rPr>
          <w:rFonts w:ascii="Traditional Arabic" w:hAnsi="Traditional Arabic" w:cs="Traditional Arabic" w:hint="cs"/>
          <w:b/>
          <w:bCs/>
          <w:w w:val="81"/>
          <w:sz w:val="32"/>
          <w:szCs w:val="32"/>
          <w:rtl/>
        </w:rPr>
        <w:t xml:space="preserve"> </w:t>
      </w:r>
      <w:r>
        <w:rPr>
          <w:rFonts w:ascii="Traditional Arabic" w:hAnsi="Traditional Arabic" w:cs="Traditional Arabic"/>
          <w:b/>
          <w:bCs/>
          <w:w w:val="81"/>
          <w:sz w:val="32"/>
          <w:szCs w:val="32"/>
          <w:rtl/>
        </w:rPr>
        <w:t>اﻟﺪراﺳﺔ</w:t>
      </w:r>
      <w:r>
        <w:rPr>
          <w:rFonts w:ascii="Traditional Arabic" w:hAnsi="Traditional Arabic" w:cs="Traditional Arabic"/>
          <w:b/>
          <w:bCs/>
          <w:w w:val="81"/>
          <w:sz w:val="32"/>
          <w:szCs w:val="32"/>
        </w:rPr>
        <w:t>:</w:t>
      </w:r>
    </w:p>
    <w:p w14:paraId="72B1996A" w14:textId="77777777" w:rsidR="00491E5B" w:rsidRDefault="00E91EBB">
      <w:pPr>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w:t>
      </w:r>
    </w:p>
    <w:p w14:paraId="22576CEC"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تطبيق النموذج القيادي التكاملي المقترح القائم على الذكاء الاصطناعي التوليدي</w:t>
      </w:r>
      <w:r>
        <w:rPr>
          <w:rFonts w:ascii="Traditional Arabic" w:hAnsi="Traditional Arabic" w:cs="Traditional Arabic"/>
          <w:sz w:val="28"/>
          <w:szCs w:val="28"/>
          <w:highlight w:val="yellow"/>
        </w:rPr>
        <w:t>.</w:t>
      </w:r>
    </w:p>
    <w:p w14:paraId="0EFA657D" w14:textId="77777777" w:rsidR="00491E5B" w:rsidRDefault="00E91EBB">
      <w:pPr>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التابع</w:t>
      </w:r>
    </w:p>
    <w:p w14:paraId="37143863" w14:textId="77777777" w:rsidR="00491E5B" w:rsidRDefault="00E91EBB">
      <w:pPr>
        <w:tabs>
          <w:tab w:val="left" w:pos="8835"/>
          <w:tab w:val="right" w:pos="9927"/>
        </w:tabs>
        <w:bidi/>
        <w:ind w:right="142"/>
        <w:jc w:val="both"/>
        <w:rPr>
          <w:rFonts w:ascii="Traditional Arabic" w:hAnsi="Traditional Arabic" w:cs="Traditional Arabic"/>
          <w:sz w:val="28"/>
          <w:szCs w:val="28"/>
        </w:rPr>
      </w:pPr>
      <w:r>
        <w:rPr>
          <w:rFonts w:ascii="Traditional Arabic" w:hAnsi="Traditional Arabic" w:cs="Traditional Arabic"/>
          <w:b/>
          <w:bCs/>
          <w:sz w:val="28"/>
          <w:szCs w:val="28"/>
          <w:rtl/>
        </w:rPr>
        <w:t>المتغيران التابعان على مستوى المعلمين</w:t>
      </w:r>
      <w:r>
        <w:rPr>
          <w:rFonts w:ascii="Traditional Arabic" w:hAnsi="Traditional Arabic" w:cs="Traditional Arabic"/>
          <w:b/>
          <w:bCs/>
          <w:sz w:val="28"/>
          <w:szCs w:val="28"/>
        </w:rPr>
        <w:t>:</w:t>
      </w:r>
    </w:p>
    <w:p w14:paraId="1DC40ED9" w14:textId="77777777" w:rsidR="00491E5B" w:rsidRDefault="00E91EBB">
      <w:pPr>
        <w:numPr>
          <w:ilvl w:val="0"/>
          <w:numId w:val="3"/>
        </w:numPr>
        <w:tabs>
          <w:tab w:val="left" w:pos="883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قرارات التمايز التعليمي</w:t>
      </w:r>
      <w:r>
        <w:rPr>
          <w:rFonts w:ascii="Traditional Arabic" w:hAnsi="Traditional Arabic" w:cs="Traditional Arabic"/>
          <w:sz w:val="28"/>
          <w:szCs w:val="28"/>
        </w:rPr>
        <w:t xml:space="preserve">. </w:t>
      </w:r>
    </w:p>
    <w:p w14:paraId="057A6F5B" w14:textId="77777777" w:rsidR="00491E5B" w:rsidRDefault="00E91EBB">
      <w:pPr>
        <w:numPr>
          <w:ilvl w:val="0"/>
          <w:numId w:val="3"/>
        </w:numPr>
        <w:tabs>
          <w:tab w:val="left" w:pos="883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مستوى تطبيق ممارسات التمايز التعليمي</w:t>
      </w:r>
      <w:r>
        <w:rPr>
          <w:rFonts w:ascii="Traditional Arabic" w:hAnsi="Traditional Arabic" w:cs="Traditional Arabic"/>
          <w:sz w:val="28"/>
          <w:szCs w:val="28"/>
        </w:rPr>
        <w:t xml:space="preserve">. </w:t>
      </w:r>
    </w:p>
    <w:p w14:paraId="450EA557" w14:textId="77777777" w:rsidR="00491E5B" w:rsidRDefault="00E91EBB">
      <w:pPr>
        <w:tabs>
          <w:tab w:val="left" w:pos="8835"/>
          <w:tab w:val="right" w:pos="9927"/>
        </w:tabs>
        <w:bidi/>
        <w:ind w:right="142"/>
        <w:rPr>
          <w:rFonts w:ascii="Traditional Arabic" w:hAnsi="Traditional Arabic" w:cs="Traditional Arabic"/>
          <w:sz w:val="28"/>
          <w:szCs w:val="28"/>
        </w:rPr>
      </w:pPr>
      <w:r>
        <w:rPr>
          <w:rFonts w:ascii="Traditional Arabic" w:hAnsi="Traditional Arabic" w:cs="Traditional Arabic"/>
          <w:b/>
          <w:bCs/>
          <w:sz w:val="28"/>
          <w:szCs w:val="28"/>
          <w:rtl/>
        </w:rPr>
        <w:t>المتغير التابع على مستوى الطلاب</w:t>
      </w:r>
      <w:r>
        <w:rPr>
          <w:rFonts w:ascii="Traditional Arabic" w:hAnsi="Traditional Arabic" w:cs="Traditional Arabic"/>
          <w:b/>
          <w:bCs/>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التحصيل الدراسي</w:t>
      </w:r>
      <w:r>
        <w:rPr>
          <w:rFonts w:ascii="Traditional Arabic" w:hAnsi="Traditional Arabic" w:cs="Traditional Arabic"/>
          <w:sz w:val="28"/>
          <w:szCs w:val="28"/>
        </w:rPr>
        <w:t>.</w:t>
      </w:r>
    </w:p>
    <w:p w14:paraId="5DE9C5AF" w14:textId="77777777" w:rsidR="00491E5B" w:rsidRDefault="00E91EBB">
      <w:pPr>
        <w:tabs>
          <w:tab w:val="left" w:pos="8835"/>
          <w:tab w:val="right" w:pos="9927"/>
        </w:tabs>
        <w:bidi/>
        <w:ind w:right="142"/>
        <w:jc w:val="center"/>
        <w:rPr>
          <w:rFonts w:ascii="Traditional Arabic" w:hAnsi="Traditional Arabic" w:cs="Traditional Arabic"/>
          <w:sz w:val="28"/>
          <w:szCs w:val="28"/>
          <w:rtl/>
        </w:rPr>
      </w:pPr>
      <w:r>
        <w:rPr>
          <w:noProof/>
        </w:rPr>
        <w:drawing>
          <wp:inline distT="0" distB="0" distL="114300" distR="114300" wp14:anchorId="6B769D46" wp14:editId="407C6F08">
            <wp:extent cx="6385560" cy="367919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pic:cNvPicPr>
                  </pic:nvPicPr>
                  <pic:blipFill>
                    <a:blip r:embed="rId11"/>
                    <a:srcRect b="23177"/>
                    <a:stretch>
                      <a:fillRect/>
                    </a:stretch>
                  </pic:blipFill>
                  <pic:spPr>
                    <a:xfrm>
                      <a:off x="0" y="0"/>
                      <a:ext cx="6385560" cy="3679190"/>
                    </a:xfrm>
                    <a:prstGeom prst="rect">
                      <a:avLst/>
                    </a:prstGeom>
                    <a:noFill/>
                    <a:ln>
                      <a:noFill/>
                    </a:ln>
                  </pic:spPr>
                </pic:pic>
              </a:graphicData>
            </a:graphic>
          </wp:inline>
        </w:drawing>
      </w:r>
      <w:r>
        <w:rPr>
          <w:rFonts w:ascii="Traditional Arabic" w:hAnsi="Traditional Arabic" w:cs="Traditional Arabic"/>
          <w:b/>
          <w:bCs/>
          <w:noProof/>
          <w:sz w:val="32"/>
          <w:szCs w:val="32"/>
        </w:rPr>
        <mc:AlternateContent>
          <mc:Choice Requires="wps">
            <w:drawing>
              <wp:anchor distT="0" distB="0" distL="0" distR="0" simplePos="0" relativeHeight="251654144" behindDoc="0" locked="0" layoutInCell="1" allowOverlap="1" wp14:anchorId="00BC4F44" wp14:editId="53399082">
                <wp:simplePos x="0" y="0"/>
                <wp:positionH relativeFrom="page">
                  <wp:posOffset>4196080</wp:posOffset>
                </wp:positionH>
                <wp:positionV relativeFrom="page">
                  <wp:posOffset>10219690</wp:posOffset>
                </wp:positionV>
                <wp:extent cx="3363595" cy="471805"/>
                <wp:effectExtent l="0" t="0" r="0" b="0"/>
                <wp:wrapNone/>
                <wp:docPr id="57" name="Graphic 57"/>
                <wp:cNvGraphicFramePr/>
                <a:graphic xmlns:a="http://schemas.openxmlformats.org/drawingml/2006/main">
                  <a:graphicData uri="http://schemas.microsoft.com/office/word/2010/wordprocessingShape">
                    <wps:wsp>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noAutofit/>
                      </wps:bodyPr>
                    </wps:wsp>
                  </a:graphicData>
                </a:graphic>
              </wp:anchor>
            </w:drawing>
          </mc:Choice>
          <mc:Fallback xmlns:wpsCustomData="http://www.wps.cn/officeDocument/2013/wpsCustomData">
            <w:pict>
              <v:shape id="Graphic 57" o:spid="_x0000_s1026" o:spt="100" style="position:absolute;left:0pt;margin-left:330.4pt;margin-top:804.7pt;height:37.15pt;width:264.85pt;mso-position-horizontal-relative:page;mso-position-vertical-relative:page;z-index:251661312;mso-width-relative:page;mso-height-relative:page;" fillcolor="#45CFFF" filled="t" stroked="f" coordsize="3363595,471805" o:gfxdata="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" path="m3363397,0l1746890,0,1697031,357,1647262,1427,1597590,3207,1548021,5694,1498562,8883,1449220,12774,1400002,17361,1350913,22642,1301962,28614,1253153,35274,1204495,42619,1155994,50645,1107656,59349,1059488,68729,1011498,78781,963690,89502,916073,100888,868653,112938,821436,125646,774429,139012,727639,153030,681073,167699,634737,183015,588638,198975,542782,215576,497177,232814,451829,250687,406744,269191,361929,288324,317392,308081,273138,328461,229174,349460,185507,371074,142144,393301,99091,416138,56355,439580,13943,463627,0,471793,3363397,471793,3363397,0xe">
                <v:fill on="t" opacity="43253f" focussize="0,0"/>
                <v:stroke on="f"/>
                <v:imagedata o:title=""/>
                <o:lock v:ext="edit" aspectratio="f"/>
                <v:textbox inset="0mm,0mm,0mm,0mm"/>
              </v:shape>
            </w:pict>
          </mc:Fallback>
        </mc:AlternateContent>
      </w:r>
    </w:p>
    <w:p w14:paraId="6C51A490" w14:textId="77777777" w:rsidR="00491E5B" w:rsidRDefault="00491E5B">
      <w:pPr>
        <w:keepLines/>
        <w:jc w:val="center"/>
      </w:pPr>
    </w:p>
    <w:p w14:paraId="132307ED" w14:textId="77777777" w:rsidR="00491E5B" w:rsidRDefault="00E91EBB">
      <w:pPr>
        <w:bidi/>
        <w:rPr>
          <w:rFonts w:ascii="Traditional Arabic" w:hAnsi="Traditional Arabic" w:cs="Traditional Arabic"/>
          <w:sz w:val="28"/>
          <w:szCs w:val="28"/>
          <w:rtl/>
        </w:rPr>
      </w:pPr>
      <w:r>
        <w:rPr>
          <w:rFonts w:ascii="Traditional Arabic" w:hAnsi="Traditional Arabic" w:cs="Traditional Arabic"/>
          <w:sz w:val="28"/>
          <w:szCs w:val="28"/>
          <w:rtl/>
        </w:rPr>
        <w:t>يفترض النموذج أن تطبيق التدخل القيادي التكاملي يدعم أولًا قرارات التمايز التعليمي لدى المعلمين، ثم ينعكس في مستوى تنفيذ الممارسات المتمايزة داخل الصفوف، وينتهي بقياس أثره في التحصيل الدراسي للطلاب. ويقاس أثر التدخل في المتغيرات التابعة بالمقارنة بين المجموعتين التجريبية والضابطة مع ضبط القياسات القبلية، وتعد المدرسة وحدة تطبيق التدخل التجريبي.</w:t>
      </w:r>
    </w:p>
    <w:p w14:paraId="41F3B9E2" w14:textId="77777777" w:rsidR="00491E5B" w:rsidRDefault="00E91EBB">
      <w:pPr>
        <w:keepNext/>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الدراسات السابقة</w:t>
      </w:r>
    </w:p>
    <w:p w14:paraId="3E2EE214"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نُظمت الدراسات السابقة في ثلاثة محاور مترابطة، هي: الدراسات المتعلقة بالذكاء الاصطناعي التوليدي في التعليم، والدراسات المتعلقة بالقيادة التعليمية ونموذج هالينجر ومورفي، والدراسات المتعلقة بالتمايز التعليمي. ويعقب ذلك تحليل لهذه الدراسات وتحديد الفجوة البحثية التي تنطلق منها الدراسة الحالية</w:t>
      </w:r>
      <w:r>
        <w:rPr>
          <w:rFonts w:ascii="Traditional Arabic" w:hAnsi="Traditional Arabic" w:cs="Traditional Arabic"/>
          <w:w w:val="83"/>
          <w:sz w:val="28"/>
          <w:szCs w:val="28"/>
        </w:rPr>
        <w:t>.</w:t>
      </w:r>
    </w:p>
    <w:p w14:paraId="27A3DDFA" w14:textId="77777777" w:rsidR="00491E5B" w:rsidRDefault="00E91EBB">
      <w:pPr>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المحور الأول: الدراسات المتعلقة بالذكاء الاصطناعي التوليدي في التعليم</w:t>
      </w:r>
    </w:p>
    <w:p w14:paraId="548788F3"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تناولت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Jauhiainen</w:t>
      </w:r>
      <w:proofErr w:type="spellEnd"/>
      <w:r>
        <w:rPr>
          <w:rFonts w:ascii="Traditional Arabic" w:hAnsi="Traditional Arabic" w:cs="Traditional Arabic"/>
          <w:w w:val="83"/>
          <w:sz w:val="28"/>
          <w:szCs w:val="28"/>
        </w:rPr>
        <w:t xml:space="preserve"> and </w:t>
      </w:r>
      <w:proofErr w:type="spellStart"/>
      <w:r>
        <w:rPr>
          <w:rFonts w:ascii="Traditional Arabic" w:hAnsi="Traditional Arabic" w:cs="Traditional Arabic"/>
          <w:w w:val="83"/>
          <w:sz w:val="28"/>
          <w:szCs w:val="28"/>
        </w:rPr>
        <w:t>Garagorry</w:t>
      </w:r>
      <w:proofErr w:type="spellEnd"/>
      <w:r>
        <w:rPr>
          <w:rFonts w:ascii="Traditional Arabic" w:hAnsi="Traditional Arabic" w:cs="Traditional Arabic"/>
          <w:w w:val="83"/>
          <w:sz w:val="28"/>
          <w:szCs w:val="28"/>
        </w:rPr>
        <w:t xml:space="preserve"> Guerra (2024) </w:t>
      </w:r>
      <w:r>
        <w:rPr>
          <w:rFonts w:ascii="Traditional Arabic" w:hAnsi="Traditional Arabic" w:cs="Traditional Arabic"/>
          <w:w w:val="83"/>
          <w:sz w:val="28"/>
          <w:szCs w:val="28"/>
          <w:rtl/>
        </w:rPr>
        <w:t xml:space="preserve">إمكانات الذكاء الاصطناعي التوليدي في التخصيص الديناميكي للمواد التعليمية، من خلال </w:t>
      </w:r>
      <w:r>
        <w:rPr>
          <w:rFonts w:ascii="Traditional Arabic" w:hAnsi="Traditional Arabic" w:cs="Traditional Arabic"/>
          <w:w w:val="83"/>
          <w:sz w:val="28"/>
          <w:szCs w:val="28"/>
          <w:rtl/>
        </w:rPr>
        <w:lastRenderedPageBreak/>
        <w:t>تطبيقه على 110 طلاب تراوحت أعمارهم بين 8 و14 عامًا في مدرستين بأوروغواي. واعتمدت الدراسة على استخدام</w:t>
      </w:r>
      <w:r>
        <w:rPr>
          <w:rFonts w:ascii="Traditional Arabic" w:hAnsi="Traditional Arabic" w:cs="Traditional Arabic"/>
          <w:w w:val="83"/>
          <w:sz w:val="28"/>
          <w:szCs w:val="28"/>
        </w:rPr>
        <w:t xml:space="preserve"> ChatGPT </w:t>
      </w:r>
      <w:r>
        <w:rPr>
          <w:rFonts w:ascii="Traditional Arabic" w:hAnsi="Traditional Arabic" w:cs="Traditional Arabic"/>
          <w:w w:val="83"/>
          <w:sz w:val="28"/>
          <w:szCs w:val="28"/>
          <w:rtl/>
        </w:rPr>
        <w:t>في إعداد مواد تعليمية تتناسب مع مستويات المعرفة المختلفة للطلاب. وأظهرت النتائج إمكانية إنتاج مواد تعليمية متدرجة ومتكيفة، مع التأكيد على ضرورة إشراف المعلم ومراجعته للمحتوى الناتج قبل استخدامه. وتفيد هذه الدراسة في تأكيد قدرة الذكاء الاصطناعي التوليدي على توفير بدائل تعليمية تستجيب لتفاوت مستويات الطلاب، إلا أنها ركزت على تخصيص المحتوى ولم تتناول الإطار القيادي الذي ينظم استخدامه داخل المدرسة</w:t>
      </w:r>
      <w:r>
        <w:rPr>
          <w:rFonts w:ascii="Traditional Arabic" w:hAnsi="Traditional Arabic" w:cs="Traditional Arabic"/>
          <w:w w:val="83"/>
          <w:sz w:val="28"/>
          <w:szCs w:val="28"/>
        </w:rPr>
        <w:t xml:space="preserve">. </w:t>
      </w:r>
    </w:p>
    <w:p w14:paraId="6E9DB6E7"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وبحثت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Moundridou</w:t>
      </w:r>
      <w:proofErr w:type="spellEnd"/>
      <w:r>
        <w:rPr>
          <w:rFonts w:ascii="Traditional Arabic" w:hAnsi="Traditional Arabic" w:cs="Traditional Arabic"/>
          <w:w w:val="83"/>
          <w:sz w:val="28"/>
          <w:szCs w:val="28"/>
        </w:rPr>
        <w:t xml:space="preserve"> et al. (2024) </w:t>
      </w:r>
      <w:r>
        <w:rPr>
          <w:rFonts w:ascii="Traditional Arabic" w:hAnsi="Traditional Arabic" w:cs="Traditional Arabic"/>
          <w:w w:val="83"/>
          <w:sz w:val="28"/>
          <w:szCs w:val="28"/>
          <w:rtl/>
        </w:rPr>
        <w:t>استخدام أدوات الذكاء الاصطناعي التوليدي بوصفها أدوات مساعدة للمعلمين في تصميم خطط دروس قائمة على الاستقصاء. وأوضحت النتائج أن هذه الأدوات يمكن أن تساعد في إنتاج الأفكار والأنشطة والأسئلة ومواد التقويم وتوفير الوقت اللازم للتخطيط، لكنها لا تستبدل الخبرة المهنية للمعلم؛ بسبب احتمال إنتاج معلومات غير دقيقة أو أنشطة غير ملائمة للأهداف التعليمية. وتبرز الدراسة أهمية وجود إجراءات للمراجعة والتقويم البشري لمخرجات الذكاء الاصطناعي قبل اعتمادها في التدريس</w:t>
      </w:r>
      <w:r>
        <w:rPr>
          <w:rFonts w:ascii="Traditional Arabic" w:hAnsi="Traditional Arabic" w:cs="Traditional Arabic"/>
          <w:w w:val="83"/>
          <w:sz w:val="28"/>
          <w:szCs w:val="28"/>
        </w:rPr>
        <w:t xml:space="preserve">. </w:t>
      </w:r>
    </w:p>
    <w:p w14:paraId="337EB9F3"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وفي مجال إعداد المعلمين، استقصت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Moorhouse</w:t>
      </w:r>
      <w:proofErr w:type="spellEnd"/>
      <w:r>
        <w:rPr>
          <w:rFonts w:ascii="Traditional Arabic" w:hAnsi="Traditional Arabic" w:cs="Traditional Arabic"/>
          <w:w w:val="83"/>
          <w:sz w:val="28"/>
          <w:szCs w:val="28"/>
        </w:rPr>
        <w:t xml:space="preserve"> and </w:t>
      </w:r>
      <w:proofErr w:type="spellStart"/>
      <w:r>
        <w:rPr>
          <w:rFonts w:ascii="Traditional Arabic" w:hAnsi="Traditional Arabic" w:cs="Traditional Arabic"/>
          <w:w w:val="83"/>
          <w:sz w:val="28"/>
          <w:szCs w:val="28"/>
        </w:rPr>
        <w:t>Kohnke</w:t>
      </w:r>
      <w:proofErr w:type="spellEnd"/>
      <w:r>
        <w:rPr>
          <w:rFonts w:ascii="Traditional Arabic" w:hAnsi="Traditional Arabic" w:cs="Traditional Arabic"/>
          <w:w w:val="83"/>
          <w:sz w:val="28"/>
          <w:szCs w:val="28"/>
        </w:rPr>
        <w:t xml:space="preserve"> (2024) </w:t>
      </w:r>
      <w:r>
        <w:rPr>
          <w:rFonts w:ascii="Traditional Arabic" w:hAnsi="Traditional Arabic" w:cs="Traditional Arabic"/>
          <w:w w:val="83"/>
          <w:sz w:val="28"/>
          <w:szCs w:val="28"/>
          <w:rtl/>
        </w:rPr>
        <w:t>تصورات 13 من القائمين على إعداد معلمي اللغات بشأن تأثير الذكاء الاصطناعي التوليدي في برامج الإعداد الأولي للمعلمين. وأظهرت النتائج أن التقنية ستؤثر في تصميم المناهج والتدريس والتقويم، إلا أن المشاركين أبدوا تفاوتًا في الثقة والكفاءة المتعلقة باستخدامها. وأوصت الدراسة بإدراج المعرفة بالذكاء الاصطناعي وأساليب التحقق من مخرجاته ضمن برامج إعداد المعلمين وتنميتهم المهنية</w:t>
      </w:r>
      <w:r>
        <w:rPr>
          <w:rFonts w:ascii="Traditional Arabic" w:hAnsi="Traditional Arabic" w:cs="Traditional Arabic"/>
          <w:w w:val="83"/>
          <w:sz w:val="28"/>
          <w:szCs w:val="28"/>
        </w:rPr>
        <w:t xml:space="preserve">. </w:t>
      </w:r>
    </w:p>
    <w:p w14:paraId="1FB066B0"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كما تناولت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Cheah</w:t>
      </w:r>
      <w:proofErr w:type="spellEnd"/>
      <w:r>
        <w:rPr>
          <w:rFonts w:ascii="Traditional Arabic" w:hAnsi="Traditional Arabic" w:cs="Traditional Arabic"/>
          <w:w w:val="83"/>
          <w:sz w:val="28"/>
          <w:szCs w:val="28"/>
        </w:rPr>
        <w:t xml:space="preserve"> et al. (2025) </w:t>
      </w:r>
      <w:r>
        <w:rPr>
          <w:rFonts w:ascii="Traditional Arabic" w:hAnsi="Traditional Arabic" w:cs="Traditional Arabic"/>
          <w:w w:val="83"/>
          <w:sz w:val="28"/>
          <w:szCs w:val="28"/>
          <w:rtl/>
        </w:rPr>
        <w:t>استعداد معلمي التعليم العام وممارساتهم ومعوقات استخدام الذكاء الاصطناعي التوليدي، بالاعتماد على بيانات 89 معلمًا في مدارس التعليم العام بالولايات المتحدة. وبينت النتائج وجود تفاوت في مستويات المعرفة والاستعداد، وأن الاستخدام الفعلي تأثر بالتدريب والخبرة التقنية والدعم المدرسي، في حين تمثلت أبرز المعوقات في دقة المخرجات، والخصوصية، والأمان، ونقص السياسات والتدريب. وتشير النتائج إلى أن الاستخدام الفعال للتقنية يحتاج إلى دعم تنظيمي وقيادي، وليس إلى إتاحة الأدوات للمعلمين فقط</w:t>
      </w:r>
      <w:r>
        <w:rPr>
          <w:rFonts w:ascii="Traditional Arabic" w:hAnsi="Traditional Arabic" w:cs="Traditional Arabic"/>
          <w:w w:val="83"/>
          <w:sz w:val="28"/>
          <w:szCs w:val="28"/>
        </w:rPr>
        <w:t xml:space="preserve">. </w:t>
      </w:r>
    </w:p>
    <w:p w14:paraId="4D60256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وراجعت دراسة</w:t>
      </w:r>
      <w:r>
        <w:rPr>
          <w:rFonts w:ascii="Traditional Arabic" w:hAnsi="Traditional Arabic" w:cs="Traditional Arabic"/>
          <w:w w:val="83"/>
          <w:sz w:val="28"/>
          <w:szCs w:val="28"/>
        </w:rPr>
        <w:t xml:space="preserve"> Martin et al. (2024) </w:t>
      </w:r>
      <w:r>
        <w:rPr>
          <w:rFonts w:ascii="Traditional Arabic" w:hAnsi="Traditional Arabic" w:cs="Traditional Arabic"/>
          <w:w w:val="83"/>
          <w:sz w:val="28"/>
          <w:szCs w:val="28"/>
          <w:rtl/>
        </w:rPr>
        <w:t>البحوث المنشورة حول استخدام الذكاء الاصطناعي في التعليم العام خلال الفترة من 2017 إلى 2022. وأظهرت المراجعة تزايد الاهتمام بأنظمة التعلم التكيفي والتحليلات التعليمية والتقويم الآلي، مع استمرار الحاجة إلى مزيد من الدراسات الميدانية التي تتناول دور المعلمين والقيادات المدرسية والجوانب الأخلاقية والتنظيمية. وتدعم هذه النتائج الحاجة إلى دراسة الذكاء الاصطناعي ضمن النظام المدرسي المتكامل، بدلًا من الاقتصار على فاعلية الأداة التقنية</w:t>
      </w:r>
      <w:r>
        <w:rPr>
          <w:rFonts w:ascii="Traditional Arabic" w:hAnsi="Traditional Arabic" w:cs="Traditional Arabic"/>
          <w:w w:val="83"/>
          <w:sz w:val="28"/>
          <w:szCs w:val="28"/>
        </w:rPr>
        <w:t xml:space="preserve">. </w:t>
      </w:r>
    </w:p>
    <w:p w14:paraId="7C870A5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وأجرى</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Alfarwan</w:t>
      </w:r>
      <w:proofErr w:type="spellEnd"/>
      <w:r>
        <w:rPr>
          <w:rFonts w:ascii="Traditional Arabic" w:hAnsi="Traditional Arabic" w:cs="Traditional Arabic"/>
          <w:w w:val="83"/>
          <w:sz w:val="28"/>
          <w:szCs w:val="28"/>
        </w:rPr>
        <w:t xml:space="preserve"> (2025) </w:t>
      </w:r>
      <w:r>
        <w:rPr>
          <w:rFonts w:ascii="Traditional Arabic" w:hAnsi="Traditional Arabic" w:cs="Traditional Arabic"/>
          <w:w w:val="83"/>
          <w:sz w:val="28"/>
          <w:szCs w:val="28"/>
          <w:rtl/>
        </w:rPr>
        <w:t>مراجعة منهجية شملت 30 دراسة عن استخدام الذكاء الاصطناعي التوليدي في التعليم العام. وأظهرت المراجعة أن معظم الدراسات تركزت في المرحلة الثانوية، ومجالات العلوم والتقنية والهندسة والرياضيات، وإعداد المعلمين، في حين ظل عدد الدراسات التجريبية الممتدة داخل المدارس محدودًا. كما كشفت عن تحديات متعلقة بالتحيز، والخصوصية، ودقة المخرجات، والنزاهة الأكاديمية، والحاجة إلى أطر واضحة للاستخدام المسؤول. وتؤكد هذه النتائج الحاجة إلى نموذج قيادي يحدد المسؤوليات وآليات الإشراف والمتابعة عند استخدام الذكاء الاصطناعي التوليدي</w:t>
      </w:r>
      <w:r>
        <w:rPr>
          <w:rFonts w:ascii="Traditional Arabic" w:hAnsi="Traditional Arabic" w:cs="Traditional Arabic"/>
          <w:w w:val="83"/>
          <w:sz w:val="28"/>
          <w:szCs w:val="28"/>
        </w:rPr>
        <w:t xml:space="preserve">. </w:t>
      </w:r>
    </w:p>
    <w:p w14:paraId="63A3F74E"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وعربيًا، هدفت دراسة أبو هلال (2025) إلى الكشف عن مستوى توظيف تطبيقات الذكاء الاصطناعي التوليدي لدى معلمي مدارس القدس، باستخدام المنهج الوصفي وعينة بلغت 128 معلمًا ومعلمة. وأظهرت النتائج أن مستوى التوظيف الكلي كان متوسطًا، بينما جاءت المعرفة التفصيلية بالتطبيقات ومعدل استخدامها الفعلي في مستويات منخفضة نسبيًا. كما ظهرت فروق مرتبطة بالحصول على التدريب، بما يشير إلى أهمية التنمية المهنية والدعم المؤسسي في رفع مستوى الاستخدام التربوي لهذه التطبيقات</w:t>
      </w:r>
      <w:r>
        <w:rPr>
          <w:rFonts w:ascii="Traditional Arabic" w:hAnsi="Traditional Arabic" w:cs="Traditional Arabic"/>
          <w:w w:val="83"/>
          <w:sz w:val="28"/>
          <w:szCs w:val="28"/>
        </w:rPr>
        <w:t xml:space="preserve">. </w:t>
      </w:r>
    </w:p>
    <w:p w14:paraId="24534D6B"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وهدفت دراسة الشهومي (2024) إلى التعرف إلى واقع تطبيقات الذكاء الاصطناعي في التعليم بسلطنة عُمان، وطبقت على عينة بلغت 600 معلم ومعلمة. وبينت النتائج ارتفاع وعي المعلمين بأهمية الذكاء الاصطناعي، مقابل توسط المعرفة والاستخدام، وانخفاض مستوى التدريب المتخصص. كما جاء دور المدرسة في دعم الاستخدام بدرجة متوسطة، وأوصت الدراسة بوضع إطار وطني واضح وتوفير برامج تدريبية ودعم فني وتنظيمي للمعلمين</w:t>
      </w:r>
      <w:r>
        <w:rPr>
          <w:rFonts w:ascii="Traditional Arabic" w:hAnsi="Traditional Arabic" w:cs="Traditional Arabic"/>
          <w:w w:val="83"/>
          <w:sz w:val="28"/>
          <w:szCs w:val="28"/>
        </w:rPr>
        <w:t xml:space="preserve">. </w:t>
      </w:r>
    </w:p>
    <w:p w14:paraId="2ACDD2CC"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وتناولت دراسة الغامدي وجادو (2024) واقع استخدام التطبيقات القائمة على الذكاء الاصطناعي التوليدي في التعليم من وجهة نظر طلبة كليات الشرق العربي. وأظهرت النتائج إدراك المشاركين للفوائد المرتبطة بسرعة الوصول إلى المعلومات وتوليد الأفكار والمحتوى، مع وجود تحديات تتعلق بالدقة والاعتماد المفرط والأخلاقيات. وعلى الرغم من أن الدراسة أجريت في التعليم العالي، فإنها تقدم مؤشرًا عربيًا على أهمية تنظيم الاستخدام وتطوير مهارات التحقق من المخرجات</w:t>
      </w:r>
      <w:r>
        <w:rPr>
          <w:rFonts w:ascii="Traditional Arabic" w:hAnsi="Traditional Arabic" w:cs="Traditional Arabic"/>
          <w:w w:val="83"/>
          <w:sz w:val="28"/>
          <w:szCs w:val="28"/>
        </w:rPr>
        <w:t xml:space="preserve">. </w:t>
      </w:r>
    </w:p>
    <w:p w14:paraId="351C962E"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 xml:space="preserve">يتضح من دراسات هذا المحور اتفاقها على إمكانات الذكاء الاصطناعي التوليدي في تخصيص المحتوى، وتخطيط الدروس، وإنتاج الأنشطة والتقويمات. ومع ذلك، ركز </w:t>
      </w:r>
      <w:r>
        <w:rPr>
          <w:rFonts w:ascii="Traditional Arabic" w:hAnsi="Traditional Arabic" w:cs="Traditional Arabic"/>
          <w:w w:val="83"/>
          <w:sz w:val="28"/>
          <w:szCs w:val="28"/>
          <w:rtl/>
        </w:rPr>
        <w:lastRenderedPageBreak/>
        <w:t>معظمها على الاستخدام الفردي للأداة من جانب المعلم أو المتعلم، بينما ظل دور القيادة المدرسية في تنظيم هذا الاستخدام، وتحديد مسؤولياته، ومتابعة أثره في التدريس والتحصيل أقل تناولًا</w:t>
      </w:r>
      <w:r>
        <w:rPr>
          <w:rFonts w:ascii="Traditional Arabic" w:hAnsi="Traditional Arabic" w:cs="Traditional Arabic"/>
          <w:w w:val="83"/>
          <w:sz w:val="28"/>
          <w:szCs w:val="28"/>
        </w:rPr>
        <w:t>.</w:t>
      </w:r>
    </w:p>
    <w:p w14:paraId="24BA33C9" w14:textId="77777777" w:rsidR="00491E5B" w:rsidRDefault="00E91EBB">
      <w:pPr>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المحور الثاني: الدراسات المتعلقة بالقيادة التعليمية ونموذج هالينجر ومورفي</w:t>
      </w:r>
    </w:p>
    <w:p w14:paraId="16616E07"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قدم</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Hallinger</w:t>
      </w:r>
      <w:proofErr w:type="spellEnd"/>
      <w:r>
        <w:rPr>
          <w:rFonts w:ascii="Traditional Arabic" w:hAnsi="Traditional Arabic" w:cs="Traditional Arabic"/>
          <w:w w:val="83"/>
          <w:sz w:val="28"/>
          <w:szCs w:val="28"/>
        </w:rPr>
        <w:t xml:space="preserve"> and Murphy (1985) </w:t>
      </w:r>
      <w:r>
        <w:rPr>
          <w:rFonts w:ascii="Traditional Arabic" w:hAnsi="Traditional Arabic" w:cs="Traditional Arabic"/>
          <w:w w:val="83"/>
          <w:sz w:val="28"/>
          <w:szCs w:val="28"/>
          <w:rtl/>
        </w:rPr>
        <w:t>نموذج القيادة التعليمية الذي استندت إليه دراسات كثيرة في قياس ممارسات القيادة المدرسية. ويتكون النموذج من ثلاثة أبعاد رئيسة: تحديد رسالة المدرسة، وإدارة البرنامج التعليمي، وتعزيز مناخ التعلم المدرسي. وتشمل هذه الأبعاد تحديد أهداف المدرسة، والتواصل بشأنها، والإشراف على التدريس، وتنسيق المناهج، ومتابعة تقدم الطلاب، وحماية وقت التدريس، وتنمية المعلمين مهنيًا، وتوفير الحوافز. ويعد هذا النموذج المرجع التأسيسي للدراسة الحالية، لكنه يحتاج إلى تكييف يتلاءم مع القرارات التعليمية القائمة على البيانات والتقنيات التولي</w:t>
      </w:r>
      <w:r>
        <w:rPr>
          <w:rFonts w:ascii="Traditional Arabic" w:hAnsi="Traditional Arabic" w:cs="Traditional Arabic"/>
          <w:w w:val="83"/>
          <w:sz w:val="28"/>
          <w:szCs w:val="28"/>
          <w:rtl/>
        </w:rPr>
        <w:t>دية الحديثة</w:t>
      </w:r>
      <w:r>
        <w:rPr>
          <w:rFonts w:ascii="Traditional Arabic" w:hAnsi="Traditional Arabic" w:cs="Traditional Arabic"/>
          <w:w w:val="83"/>
          <w:sz w:val="28"/>
          <w:szCs w:val="28"/>
        </w:rPr>
        <w:t>.</w:t>
      </w:r>
    </w:p>
    <w:p w14:paraId="32C6CB60"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واختبرت دراسة</w:t>
      </w:r>
      <w:r>
        <w:rPr>
          <w:rFonts w:ascii="Traditional Arabic" w:hAnsi="Traditional Arabic" w:cs="Traditional Arabic"/>
          <w:w w:val="83"/>
          <w:sz w:val="28"/>
          <w:szCs w:val="28"/>
        </w:rPr>
        <w:t xml:space="preserve"> He et al. (2024) </w:t>
      </w:r>
      <w:r>
        <w:rPr>
          <w:rFonts w:ascii="Traditional Arabic" w:hAnsi="Traditional Arabic" w:cs="Traditional Arabic"/>
          <w:w w:val="83"/>
          <w:sz w:val="28"/>
          <w:szCs w:val="28"/>
          <w:rtl/>
        </w:rPr>
        <w:t>قدرة القيادة التعليمية لدى مديري المدارس على التنبؤ بالتنمية المهنية للمعلمين، بالاعتماد على بيانات 304 معلمين و19 مديرًا من المدارس الثانوية. واستندت الدراسة صراحة إلى أبعاد نموذج هالينجر ومورفي. وأظهرت النتائج وجود تأثير دال للقيادة التعليمية في التنمية المهنية للمعلمين، خاصة من خلال الإشراف على التدريس، وتحديد الأهداف، وتوفير بيئة داعمة للتعلم المهني. وتدعم هذه النتيجة افتراض الدراسة الحالية بأن أثر القيادة في الطلاب ينتقل من خلال تطوير ممارسات المعلمين</w:t>
      </w:r>
      <w:r>
        <w:rPr>
          <w:rFonts w:ascii="Traditional Arabic" w:hAnsi="Traditional Arabic" w:cs="Traditional Arabic"/>
          <w:w w:val="83"/>
          <w:sz w:val="28"/>
          <w:szCs w:val="28"/>
        </w:rPr>
        <w:t xml:space="preserve">. </w:t>
      </w:r>
    </w:p>
    <w:p w14:paraId="0F74EAA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واستخدمت دراسة</w:t>
      </w:r>
      <w:r>
        <w:rPr>
          <w:rFonts w:ascii="Traditional Arabic" w:hAnsi="Traditional Arabic" w:cs="Traditional Arabic"/>
          <w:w w:val="83"/>
          <w:sz w:val="28"/>
          <w:szCs w:val="28"/>
        </w:rPr>
        <w:t xml:space="preserve"> Tan (2024) </w:t>
      </w:r>
      <w:r>
        <w:rPr>
          <w:rFonts w:ascii="Traditional Arabic" w:hAnsi="Traditional Arabic" w:cs="Traditional Arabic"/>
          <w:w w:val="83"/>
          <w:sz w:val="28"/>
          <w:szCs w:val="28"/>
          <w:rtl/>
        </w:rPr>
        <w:t>بيانات دولية واسعة النطاق من برنامج التقييم الدولي للطلاب، شملت 248,620 طالبًا و9,370 مدير مدرسة في 35 دولة، لدراسة تأثير أنماط القيادة في تعلم العلوم. وأظهرت النتائج ارتباط الإدارة التعليمية التي يمارسها المديرون بارتفاع استمتاع الطلاب بالعلوم واهتمامهم بها، ووجود مسارات غير مباشرة تربط القيادة بالتحصيل. وتؤكد الدراسة أن تأثير المدير في تعلم الطلاب لا يحدث غالبًا بصورة مباشرة، وإنما من خلال المناخ التعليمي والممارسات المدرسية والتدريسية</w:t>
      </w:r>
      <w:r>
        <w:rPr>
          <w:rFonts w:ascii="Traditional Arabic" w:hAnsi="Traditional Arabic" w:cs="Traditional Arabic"/>
          <w:w w:val="83"/>
          <w:sz w:val="28"/>
          <w:szCs w:val="28"/>
        </w:rPr>
        <w:t xml:space="preserve">. </w:t>
      </w:r>
    </w:p>
    <w:p w14:paraId="135A0AA4"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وبحثت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Pietsch</w:t>
      </w:r>
      <w:proofErr w:type="spellEnd"/>
      <w:r>
        <w:rPr>
          <w:rFonts w:ascii="Traditional Arabic" w:hAnsi="Traditional Arabic" w:cs="Traditional Arabic"/>
          <w:w w:val="83"/>
          <w:sz w:val="28"/>
          <w:szCs w:val="28"/>
        </w:rPr>
        <w:t xml:space="preserve"> and </w:t>
      </w:r>
      <w:proofErr w:type="spellStart"/>
      <w:r>
        <w:rPr>
          <w:rFonts w:ascii="Traditional Arabic" w:hAnsi="Traditional Arabic" w:cs="Traditional Arabic"/>
          <w:w w:val="83"/>
          <w:sz w:val="28"/>
          <w:szCs w:val="28"/>
        </w:rPr>
        <w:t>Mah</w:t>
      </w:r>
      <w:proofErr w:type="spellEnd"/>
      <w:r>
        <w:rPr>
          <w:rFonts w:ascii="Traditional Arabic" w:hAnsi="Traditional Arabic" w:cs="Traditional Arabic"/>
          <w:w w:val="83"/>
          <w:sz w:val="28"/>
          <w:szCs w:val="28"/>
        </w:rPr>
        <w:t xml:space="preserve"> (2025) </w:t>
      </w:r>
      <w:r>
        <w:rPr>
          <w:rFonts w:ascii="Traditional Arabic" w:hAnsi="Traditional Arabic" w:cs="Traditional Arabic"/>
          <w:w w:val="83"/>
          <w:sz w:val="28"/>
          <w:szCs w:val="28"/>
          <w:rtl/>
        </w:rPr>
        <w:t>العوامل القيادية المرتبطة بتنفيذ الذكاء الاصطناعي في المدارس، وركزت على العقلية الرقمية والقيادة القادرة على الموازنة بين استثمار الممارسات القائمة واستكشاف الابتكارات الجديدة. وأظهرت النتائج أن تبني الذكاء الاصطناعي لا يعتمد على توافر التقنية فقط، بل يتأثر بالعقلية الرقمية لقادة المدارس، وقدرتهم على إدارة التغيير، وتحفيز العاملين، وتوفير بيئة تسمح بالتجريب المنظم والتعلم من الخبرات. وتفيد هذه الدراسة في تأكيد ضرورة إضافة مكونات رقمية وتنظيمية إلى النموذج القيادي التقليدي</w:t>
      </w:r>
      <w:r>
        <w:rPr>
          <w:rFonts w:ascii="Traditional Arabic" w:hAnsi="Traditional Arabic" w:cs="Traditional Arabic"/>
          <w:w w:val="83"/>
          <w:sz w:val="28"/>
          <w:szCs w:val="28"/>
        </w:rPr>
        <w:t xml:space="preserve">. </w:t>
      </w:r>
    </w:p>
    <w:p w14:paraId="0056FB7E"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وتناولت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Gechere</w:t>
      </w:r>
      <w:proofErr w:type="spellEnd"/>
      <w:r>
        <w:rPr>
          <w:rFonts w:ascii="Traditional Arabic" w:hAnsi="Traditional Arabic" w:cs="Traditional Arabic"/>
          <w:w w:val="83"/>
          <w:sz w:val="28"/>
          <w:szCs w:val="28"/>
        </w:rPr>
        <w:t xml:space="preserve"> et al. (2025) </w:t>
      </w:r>
      <w:r>
        <w:rPr>
          <w:rFonts w:ascii="Traditional Arabic" w:hAnsi="Traditional Arabic" w:cs="Traditional Arabic"/>
          <w:w w:val="83"/>
          <w:sz w:val="28"/>
          <w:szCs w:val="28"/>
          <w:rtl/>
        </w:rPr>
        <w:t>العلاقة بين القيادة التعليمية للمديرين وكفاءة المعلمين وأداء طلاب المدارس الثانوية، مستندة إلى نموذج هالينجر ومورفي. وأظهرت النتائج أن القيادة التعليمية ارتبطت بكفاءة المعلمين، وأن كفاءة المعلمين مثلت مسارًا مهمًا لتحسين أداء الطلاب. وتؤكد هذه النتيجة صحة التسلسل الذي تتبناه الدراسة الحالية، والذي يبدأ بالتدخل القيادي، ثم ينتقل إلى قرارات المعلمين وممارساتهم، وينتهي بقياس التحصيل الدراسي للطلاب</w:t>
      </w:r>
      <w:r>
        <w:rPr>
          <w:rFonts w:ascii="Traditional Arabic" w:hAnsi="Traditional Arabic" w:cs="Traditional Arabic"/>
          <w:w w:val="83"/>
          <w:sz w:val="28"/>
          <w:szCs w:val="28"/>
        </w:rPr>
        <w:t xml:space="preserve">. </w:t>
      </w:r>
    </w:p>
    <w:p w14:paraId="23FAAFF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وعربيًا، تناولت دراسة مكري (2024) تأثير القيادة المدرسية باستخدام تقنيات الذكاء الاصطناعي في تحفيز المعلمين بالمدارس الثانوية داخل الخط الأخضر. واستخدمت المنهج الوصفي على عينة بلغت 479 معلمًا ومعلمة من 31 مدرسة. وأظهرت النتائج ارتفاع تقديرات المعلمين لدور القيادة القائمة على تقنيات الذكاء الاصطناعي في تحسين التواصل، وتوفير الدعم، وتعزيز الدافعية المهنية. وعلى الرغم من عدم اختبار الدراسة أثر نموذج قيادي تجريبي، فإنها تؤكد وجود علاقة بين الاستخدام القيادي للتقنيات الرقمية واتجاهات المعلمين وممارساتهم</w:t>
      </w:r>
      <w:r>
        <w:rPr>
          <w:rFonts w:ascii="Traditional Arabic" w:hAnsi="Traditional Arabic" w:cs="Traditional Arabic"/>
          <w:w w:val="83"/>
          <w:sz w:val="28"/>
          <w:szCs w:val="28"/>
        </w:rPr>
        <w:t xml:space="preserve">. </w:t>
      </w:r>
    </w:p>
    <w:p w14:paraId="633C9FF8"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كما هدفت دراسة الشيباني والجميعي (2024) إلى تحديد مستوى القيادة الرقمية لدى مديرات المرحلة المتوسطة بمدينة الطائف في ضوء رؤية المملكة 2030، من وجهة نظر 342 معلمة. وأظهرت النتائج ارتفاع مستوى القيادة الرقمية، وجاء مجال التنمية المهنية في مقدمة المجالات، كما لم تظهر فروق دالة تعزى إلى المؤهل أو سنوات الخبرة أو الدورات التدريبية. وتوفر الدراسة دليلًا من البيئة السعودية على أهمية الأدوار الرقمية لقيادات المدارس المتوسطة، إلا أنها لم تتناول بناء نموذج قيادي قائم على الذكاء الاصطناعي التوليدي أو قياس أثره في التد</w:t>
      </w:r>
      <w:r>
        <w:rPr>
          <w:rFonts w:ascii="Traditional Arabic" w:hAnsi="Traditional Arabic" w:cs="Traditional Arabic"/>
          <w:w w:val="83"/>
          <w:sz w:val="28"/>
          <w:szCs w:val="28"/>
          <w:rtl/>
        </w:rPr>
        <w:t>ريس والتحصيل</w:t>
      </w:r>
      <w:r>
        <w:rPr>
          <w:rFonts w:ascii="Traditional Arabic" w:hAnsi="Traditional Arabic" w:cs="Traditional Arabic"/>
          <w:w w:val="83"/>
          <w:sz w:val="28"/>
          <w:szCs w:val="28"/>
        </w:rPr>
        <w:t xml:space="preserve">. </w:t>
      </w:r>
    </w:p>
    <w:p w14:paraId="27D1D924"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يتضح من دراسات هذا المحور أن نموذج هالينجر ومورفي ما يزال صالحًا أساسًا لتحليل القيادة التعليمية، وأن أثر القيادة في الطلاب يتحقق غالبًا من خلال المعلمين والتنمية المهنية والمناخ التعليمي. إلا أن الدراسات الحديثة لم تدمج بصورة كافية بين أبعاد النموذج وتطبيقات الذكاء الاصطناعي التوليدي في دعم قرارات تعليمية محددة، مثل قرارات التمايز التعليمي</w:t>
      </w:r>
      <w:r>
        <w:rPr>
          <w:rFonts w:ascii="Traditional Arabic" w:hAnsi="Traditional Arabic" w:cs="Traditional Arabic"/>
          <w:w w:val="83"/>
          <w:sz w:val="28"/>
          <w:szCs w:val="28"/>
        </w:rPr>
        <w:t>.</w:t>
      </w:r>
    </w:p>
    <w:p w14:paraId="38841112" w14:textId="77777777" w:rsidR="00491E5B" w:rsidRDefault="00E91EBB">
      <w:pPr>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المحور الثالث: الدراسات المتعلقة بالتمايز التعليمي</w:t>
      </w:r>
    </w:p>
    <w:p w14:paraId="3D8FB4F5"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lastRenderedPageBreak/>
        <w:t>أجرت</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Eikeland</w:t>
      </w:r>
      <w:proofErr w:type="spellEnd"/>
      <w:r>
        <w:rPr>
          <w:rFonts w:ascii="Traditional Arabic" w:hAnsi="Traditional Arabic" w:cs="Traditional Arabic"/>
          <w:w w:val="83"/>
          <w:sz w:val="28"/>
          <w:szCs w:val="28"/>
        </w:rPr>
        <w:t xml:space="preserve"> and </w:t>
      </w:r>
      <w:proofErr w:type="spellStart"/>
      <w:r>
        <w:rPr>
          <w:rFonts w:ascii="Traditional Arabic" w:hAnsi="Traditional Arabic" w:cs="Traditional Arabic"/>
          <w:w w:val="83"/>
          <w:sz w:val="28"/>
          <w:szCs w:val="28"/>
        </w:rPr>
        <w:t>Ohna</w:t>
      </w:r>
      <w:proofErr w:type="spellEnd"/>
      <w:r>
        <w:rPr>
          <w:rFonts w:ascii="Traditional Arabic" w:hAnsi="Traditional Arabic" w:cs="Traditional Arabic"/>
          <w:w w:val="83"/>
          <w:sz w:val="28"/>
          <w:szCs w:val="28"/>
        </w:rPr>
        <w:t xml:space="preserve"> (2022) </w:t>
      </w:r>
      <w:r>
        <w:rPr>
          <w:rFonts w:ascii="Traditional Arabic" w:hAnsi="Traditional Arabic" w:cs="Traditional Arabic"/>
          <w:w w:val="83"/>
          <w:sz w:val="28"/>
          <w:szCs w:val="28"/>
          <w:rtl/>
        </w:rPr>
        <w:t>مراجعة تكوينية لمفهوم التمايز التعليمي وتطبيقاته، وأظهرت وجود تعدد في المصطلحات والممارسات التي تندرج تحته. وبينت أن التمايز قد يشمل تعديل المحتوى، والعمليات، والمنتجات، وتنظيم المجموعات، ومستوى الدعم، وفق استعدادات المتعلمين واحتياجاتهم. كما أكدت أن نجاح التمايز يتطلب تشخيصًا مستمرًا للتعلم وتخطيطًا مرنًا، وليس مجرد توزيع أنشطة مختلفة على الطلاب</w:t>
      </w:r>
      <w:r>
        <w:rPr>
          <w:rFonts w:ascii="Traditional Arabic" w:hAnsi="Traditional Arabic" w:cs="Traditional Arabic"/>
          <w:w w:val="83"/>
          <w:sz w:val="28"/>
          <w:szCs w:val="28"/>
        </w:rPr>
        <w:t xml:space="preserve">. </w:t>
      </w:r>
    </w:p>
    <w:p w14:paraId="4D1DF78A"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وتناول</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Gheyssens</w:t>
      </w:r>
      <w:proofErr w:type="spellEnd"/>
      <w:r>
        <w:rPr>
          <w:rFonts w:ascii="Traditional Arabic" w:hAnsi="Traditional Arabic" w:cs="Traditional Arabic"/>
          <w:w w:val="83"/>
          <w:sz w:val="28"/>
          <w:szCs w:val="28"/>
        </w:rPr>
        <w:t xml:space="preserve"> et al. (2023) </w:t>
      </w:r>
      <w:r>
        <w:rPr>
          <w:rFonts w:ascii="Traditional Arabic" w:hAnsi="Traditional Arabic" w:cs="Traditional Arabic"/>
          <w:w w:val="83"/>
          <w:sz w:val="28"/>
          <w:szCs w:val="28"/>
          <w:rtl/>
        </w:rPr>
        <w:t>التمايز التعليمي باعتباره مدخلًا لتحقيق التدريس الفعال في الصفوف الشاملة. وأوضح أن تنفيذه يتطلب معرفة خصائص المتعلمين، ووضع أهداف واضحة، واستخدام التقويم التكويني، والتعديل المستمر للمحتوى والعمليات والمنتجات. كما أكد أن التمايز مسؤولية مدرسية تحتاج إلى دعم القيادة والتعاون بين المعلمين، وليس ممارسة فردية معزولة داخل الصف</w:t>
      </w:r>
      <w:r>
        <w:rPr>
          <w:rFonts w:ascii="Traditional Arabic" w:hAnsi="Traditional Arabic" w:cs="Traditional Arabic"/>
          <w:w w:val="83"/>
          <w:sz w:val="28"/>
          <w:szCs w:val="28"/>
        </w:rPr>
        <w:t xml:space="preserve">. </w:t>
      </w:r>
    </w:p>
    <w:p w14:paraId="11AE4F7D"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وأجرى</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Kahmann</w:t>
      </w:r>
      <w:proofErr w:type="spellEnd"/>
      <w:r>
        <w:rPr>
          <w:rFonts w:ascii="Traditional Arabic" w:hAnsi="Traditional Arabic" w:cs="Traditional Arabic"/>
          <w:w w:val="83"/>
          <w:sz w:val="28"/>
          <w:szCs w:val="28"/>
        </w:rPr>
        <w:t xml:space="preserve"> et al. (2022) </w:t>
      </w:r>
      <w:r>
        <w:rPr>
          <w:rFonts w:ascii="Traditional Arabic" w:hAnsi="Traditional Arabic" w:cs="Traditional Arabic"/>
          <w:w w:val="83"/>
          <w:sz w:val="28"/>
          <w:szCs w:val="28"/>
          <w:rtl/>
        </w:rPr>
        <w:t>تحليلًا بعديًا شمل 27 دراسة تناولت برامج التنمية المهنية للمعلمين في مجال التمايز التعليمي. وأظهرت النتائج أثرًا متوسطًا لهذه البرامج في معارف المعلمين واتجاهاتهم وممارساتهم، بينما لم يظهر أثر دال عام في تعلم الطلاب. كما كانت البرامج المرتبطة بمحتوى دراسي محدد أكثر فاعلية من البرامج العامة. وتبين هذه النتائج أن تحسين معرفة المعلمين لا يضمن وحده تحسن تحصيل الطلاب، وإنما يتطلب متابعة جودة التنفيذ داخل الصف وربط التدريب بالمحتوى والممارسات الفعلية</w:t>
      </w:r>
      <w:r>
        <w:rPr>
          <w:rFonts w:ascii="Traditional Arabic" w:hAnsi="Traditional Arabic" w:cs="Traditional Arabic"/>
          <w:w w:val="83"/>
          <w:sz w:val="28"/>
          <w:szCs w:val="28"/>
        </w:rPr>
        <w:t xml:space="preserve">. </w:t>
      </w:r>
    </w:p>
    <w:p w14:paraId="672C2688"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وراجعت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Langelaan</w:t>
      </w:r>
      <w:proofErr w:type="spellEnd"/>
      <w:r>
        <w:rPr>
          <w:rFonts w:ascii="Traditional Arabic" w:hAnsi="Traditional Arabic" w:cs="Traditional Arabic"/>
          <w:w w:val="83"/>
          <w:sz w:val="28"/>
          <w:szCs w:val="28"/>
        </w:rPr>
        <w:t xml:space="preserve"> et al. (2024) </w:t>
      </w:r>
      <w:r>
        <w:rPr>
          <w:rFonts w:ascii="Traditional Arabic" w:hAnsi="Traditional Arabic" w:cs="Traditional Arabic"/>
          <w:w w:val="83"/>
          <w:sz w:val="28"/>
          <w:szCs w:val="28"/>
          <w:rtl/>
        </w:rPr>
        <w:t>تسعًا وعشرين دراسة تناولت إعداد المعلمين وتنميتهم المهنية في مجال التمايز. وأظهرت النتائج أن البرامج الأكثر فاعلية اتسمت بالتعلم النشط، والتعاون بين المعلمين، والتأمل في الممارسة، والاستمرارية الزمنية، والارتباط بالسياق المدرسي. كما أكدت أن دعم القيادة المدرسية وتوفير الوقت والموارد يمثلان عنصرين أساسيين في نقل التدريب إلى ممارسات صفية فعلية</w:t>
      </w:r>
      <w:r>
        <w:rPr>
          <w:rFonts w:ascii="Traditional Arabic" w:hAnsi="Traditional Arabic" w:cs="Traditional Arabic"/>
          <w:w w:val="83"/>
          <w:sz w:val="28"/>
          <w:szCs w:val="28"/>
        </w:rPr>
        <w:t xml:space="preserve">. </w:t>
      </w:r>
    </w:p>
    <w:p w14:paraId="23CF0B1F"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وقدمت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Meutstege</w:t>
      </w:r>
      <w:proofErr w:type="spellEnd"/>
      <w:r>
        <w:rPr>
          <w:rFonts w:ascii="Traditional Arabic" w:hAnsi="Traditional Arabic" w:cs="Traditional Arabic"/>
          <w:w w:val="83"/>
          <w:sz w:val="28"/>
          <w:szCs w:val="28"/>
        </w:rPr>
        <w:t xml:space="preserve"> et al. (2023) </w:t>
      </w:r>
      <w:r>
        <w:rPr>
          <w:rFonts w:ascii="Traditional Arabic" w:hAnsi="Traditional Arabic" w:cs="Traditional Arabic"/>
          <w:w w:val="83"/>
          <w:sz w:val="28"/>
          <w:szCs w:val="28"/>
          <w:rtl/>
        </w:rPr>
        <w:t>تصميمًا قائمًا على الأدلة لبرنامج تنمية مهنية في التمايز التعليمي، باستخدام مدخل المهمة الكلية. وركز البرنامج على دمج التشخيص، وتحديد الأهداف، واختيار الاستراتيجيات، وتنفيذ التدريس، وتقويم النتائج، بدلًا من تدريب المعلمين على مهارات منفصلة. وتفيد الدراسة الحالية من هذا المدخل في بناء إجراءات النموذج بحيث ترتبط عمليات تحليل البيانات باتخاذ القرار والتنفيذ والمتابعة</w:t>
      </w:r>
      <w:r>
        <w:rPr>
          <w:rFonts w:ascii="Traditional Arabic" w:hAnsi="Traditional Arabic" w:cs="Traditional Arabic"/>
          <w:w w:val="83"/>
          <w:sz w:val="28"/>
          <w:szCs w:val="28"/>
        </w:rPr>
        <w:t xml:space="preserve">. </w:t>
      </w:r>
    </w:p>
    <w:p w14:paraId="58EA6453"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وتتبعت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Kahmann</w:t>
      </w:r>
      <w:proofErr w:type="spellEnd"/>
      <w:r>
        <w:rPr>
          <w:rFonts w:ascii="Traditional Arabic" w:hAnsi="Traditional Arabic" w:cs="Traditional Arabic"/>
          <w:w w:val="83"/>
          <w:sz w:val="28"/>
          <w:szCs w:val="28"/>
        </w:rPr>
        <w:t xml:space="preserve"> et al. (2024) </w:t>
      </w:r>
      <w:r>
        <w:rPr>
          <w:rFonts w:ascii="Traditional Arabic" w:hAnsi="Traditional Arabic" w:cs="Traditional Arabic"/>
          <w:w w:val="83"/>
          <w:sz w:val="28"/>
          <w:szCs w:val="28"/>
          <w:rtl/>
        </w:rPr>
        <w:t>ممارسات تسعة معلمين في دروس العلوم والتقنية بالمرحلة الابتدائية، باستخدام خطط الدروس والمقابلات والملاحظات الصفية. وأظهرت النتائج أن المعلمين كانوا أكثر ميلًا إلى تكييف بيئة التعلم وعملياته مقارنة بتكييف المحتوى والمنتجات، وأن استخدام أدوات رسمية لمتابعة تقدم الطلاب قد يحسن دقة قرارات التمايز. وتؤكد الدراسة أهمية توفير أدوات تحليل ومتابعة تساعد المعلمين على الانتقال من التمايز العام إلى قرارات مستندة إلى البيانات</w:t>
      </w:r>
      <w:r>
        <w:rPr>
          <w:rFonts w:ascii="Traditional Arabic" w:hAnsi="Traditional Arabic" w:cs="Traditional Arabic"/>
          <w:w w:val="83"/>
          <w:sz w:val="28"/>
          <w:szCs w:val="28"/>
        </w:rPr>
        <w:t xml:space="preserve">. </w:t>
      </w:r>
    </w:p>
    <w:p w14:paraId="3317A99B"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واختبرت دراسة</w:t>
      </w:r>
      <w:r>
        <w:rPr>
          <w:rFonts w:ascii="Traditional Arabic" w:hAnsi="Traditional Arabic" w:cs="Traditional Arabic"/>
          <w:w w:val="83"/>
          <w:sz w:val="28"/>
          <w:szCs w:val="28"/>
        </w:rPr>
        <w:t xml:space="preserve"> Karst et al. (2022) </w:t>
      </w:r>
      <w:r>
        <w:rPr>
          <w:rFonts w:ascii="Traditional Arabic" w:hAnsi="Traditional Arabic" w:cs="Traditional Arabic"/>
          <w:w w:val="83"/>
          <w:sz w:val="28"/>
          <w:szCs w:val="28"/>
          <w:rtl/>
        </w:rPr>
        <w:t>أثر التدريس المتمايز القائم على البيانات في الفهم القرائي، من خلال مقارنة 27 فصلًا تجريبيًا ضمت 656 طالبًا مع 27 فصلًا ضابطًا ضمت 558 طالبًا. ولم يظهر تحسن عام دال في المتوسط الكلي للتحصيل، إلا أن نتائج المجموعة التجريبية كشفت عن مكاسب أكثر توازنًا بين الطلاب ذوي المستويات المختلفة. وتشير النتائج إلى أن أثر التمايز قد يظهر في تقليل الفجوات بين مستويات الطلاب، وليس في رفع المتوسط العام فقط</w:t>
      </w:r>
      <w:r>
        <w:rPr>
          <w:rFonts w:ascii="Traditional Arabic" w:hAnsi="Traditional Arabic" w:cs="Traditional Arabic"/>
          <w:w w:val="83"/>
          <w:sz w:val="28"/>
          <w:szCs w:val="28"/>
        </w:rPr>
        <w:t xml:space="preserve">. </w:t>
      </w:r>
    </w:p>
    <w:p w14:paraId="2DD276E7"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كما درست</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Pozas</w:t>
      </w:r>
      <w:proofErr w:type="spellEnd"/>
      <w:r>
        <w:rPr>
          <w:rFonts w:ascii="Traditional Arabic" w:hAnsi="Traditional Arabic" w:cs="Traditional Arabic"/>
          <w:w w:val="83"/>
          <w:sz w:val="28"/>
          <w:szCs w:val="28"/>
        </w:rPr>
        <w:t xml:space="preserve"> et al. (2021) </w:t>
      </w:r>
      <w:r>
        <w:rPr>
          <w:rFonts w:ascii="Traditional Arabic" w:hAnsi="Traditional Arabic" w:cs="Traditional Arabic"/>
          <w:w w:val="83"/>
          <w:sz w:val="28"/>
          <w:szCs w:val="28"/>
          <w:rtl/>
        </w:rPr>
        <w:t>أثر التمايز التعليمي في الرفاه المدرسي والاندماج الاجتماعي ومفهوم الذات الأكاديمي لدى 379 طالبًا في 23 فصلًا من فصول المرحلة الثانوية بالنمسا. وأظهرت النتائج وجود ارتباطات إيجابية بين إدراك الطلاب لممارسات التمايز وبين الرفاه والاندماج ومفهوم الذات، إلا أن الطلاب أفادوا بأن استخدام هذه الممارسات لم يكن متكررًا. وتوضح النتائج وجود فجوة بين أهمية التمايز ومستوى تطبيقه الفعلي داخل الصفوف</w:t>
      </w:r>
      <w:r>
        <w:rPr>
          <w:rFonts w:ascii="Traditional Arabic" w:hAnsi="Traditional Arabic" w:cs="Traditional Arabic"/>
          <w:w w:val="83"/>
          <w:sz w:val="28"/>
          <w:szCs w:val="28"/>
        </w:rPr>
        <w:t xml:space="preserve">. </w:t>
      </w:r>
    </w:p>
    <w:p w14:paraId="7E283C5A"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وعربيًا، تناولت دراسة العمري والحارثي (2023) التحديات التي يواجهها المعلمون عند تطبيق استراتيجية التعليم المتمايز مع الطلاب ذوي صعوبات التعلم في المدينة المنورة. وأظهرت النتائج وجود تحديات مرتبطة بكثافة الصفوف، وضيق الوقت، ونقص التدريب، وصعوبة إعداد أنشطة متعددة، وضعف الإمكانات المتاحة. وتدعم هذه النتائج الحاجة إلى توفير دعم تنظيمي وتقني يخفف عبء تحليل الاحتياجات وإعداد البدائل التعليمية عن المعلمين</w:t>
      </w:r>
      <w:r>
        <w:rPr>
          <w:rFonts w:ascii="Traditional Arabic" w:hAnsi="Traditional Arabic" w:cs="Traditional Arabic"/>
          <w:w w:val="83"/>
          <w:sz w:val="28"/>
          <w:szCs w:val="28"/>
        </w:rPr>
        <w:t xml:space="preserve">. </w:t>
      </w:r>
    </w:p>
    <w:p w14:paraId="68A050FD"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يتضح من هذه الدراسات أن التمايز التعليمي يمكن أن يحسن بعض جوانب التعلم والمشاركة والاندماج، إلا أن فاعليته تتوقف على دقة تشخيص احتياجات الطلاب، واستمرار التنمية المهنية، وتوافر الوقت والموارد، ومتابعة التنفيذ. كما تبين أن معظم الدراسات ركزت على تدريب المعلمين أو ممارساتهم الصفية، دون اختبار نموذج قيادي يستخدم الذكاء الاصطناعي التوليدي في دعم قراراتهم</w:t>
      </w:r>
      <w:r>
        <w:rPr>
          <w:rFonts w:ascii="Traditional Arabic" w:hAnsi="Traditional Arabic" w:cs="Traditional Arabic"/>
          <w:w w:val="83"/>
          <w:sz w:val="28"/>
          <w:szCs w:val="28"/>
        </w:rPr>
        <w:t>.</w:t>
      </w:r>
    </w:p>
    <w:p w14:paraId="694FE355" w14:textId="77777777" w:rsidR="00491E5B" w:rsidRDefault="00E91EBB">
      <w:pPr>
        <w:keepNext/>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التعقيب على الدراسات السابقة وتحديد الفجوة البحثية</w:t>
      </w:r>
    </w:p>
    <w:p w14:paraId="38D12386"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 xml:space="preserve">يتضح من تحليل الدراسات السابقة وجود اتفاق بين المحاور الثلاثة على عدد من النقاط؛ فقد أكدت دراسات الذكاء الاصطناعي التوليدي إمكاناته في تحليل البيانات، </w:t>
      </w:r>
      <w:r>
        <w:rPr>
          <w:rFonts w:ascii="Traditional Arabic" w:hAnsi="Traditional Arabic" w:cs="Traditional Arabic"/>
          <w:w w:val="83"/>
          <w:sz w:val="28"/>
          <w:szCs w:val="28"/>
          <w:rtl/>
        </w:rPr>
        <w:lastRenderedPageBreak/>
        <w:t>وتخصيص المحتوى، وإنتاج الأنشطة والأسئلة والبدائل التعليمية. وأكدت دراسات القيادة التعليمية أن أثر قائد المدرسة في تعلم الطلاب يتحقق غالبًا بصورة غير مباشرة من خلال دعم المعلمين، وتطوير ممارساتهم، ومتابعة البرنامج التعليمي. كما بينت دراسات التمايز أن التطبيق الفعال يحتاج إلى تشخيص مستمر لاحتياجات الطلاب، وتدريب مهني، ومتابعة لجودة التنفيذ</w:t>
      </w:r>
      <w:r>
        <w:rPr>
          <w:rFonts w:ascii="Traditional Arabic" w:hAnsi="Traditional Arabic" w:cs="Traditional Arabic"/>
          <w:w w:val="83"/>
          <w:sz w:val="28"/>
          <w:szCs w:val="28"/>
        </w:rPr>
        <w:t>.</w:t>
      </w:r>
    </w:p>
    <w:p w14:paraId="4A4C97E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ومع ذلك، اختلفت الدراسات في مناهجها ومجالات تركيزها؛ إذ غلب الطابع الوصفي والاستكشافي والمراجعات المنهجية على دراسات الذكاء الاصطناعي التوليدي في التعليم العام، بينما استخدمت غالبية دراسات القيادة التعليمية التصميمات الارتباطية واعتمدت على استبانات المعلمين والمديرين. أما دراسات التمايز، فتوزعت بين المراجعات وبرامج التنمية المهنية والتجارب الصفية، ولم تظهر نتائجها أثرًا ثابتًا في تحصيل الطلاب في جميع السياقات</w:t>
      </w:r>
      <w:r>
        <w:rPr>
          <w:rFonts w:ascii="Traditional Arabic" w:hAnsi="Traditional Arabic" w:cs="Traditional Arabic"/>
          <w:w w:val="83"/>
          <w:sz w:val="28"/>
          <w:szCs w:val="28"/>
        </w:rPr>
        <w:t xml:space="preserve">. </w:t>
      </w:r>
    </w:p>
    <w:p w14:paraId="776B8886"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كما يتضح أن دراسات الذكاء الاصطناعي ركزت غالبًا على الأداة أو مستخدمها المباشر، ودراسات القيادة ركزت على الممارسات القيادية العامة، ودراسات التمايز ركزت على المعلم والصف. ولم تجمع الدراسات التي تمت مراجعتها بين هذه المكونات في تسلسل تطبيقي يبدأ بقيادة المدرسة، ثم توظيف الذكاء الاصطناعي التوليدي في تحليل بيانات تعلم الطلاب واقتراح البدائل، ثم دعم المعلمين في اتخاذ قرارات التمايز وتنفيذها، وأخيرًا قياس أثر ذلك في تحصيل الطلاب</w:t>
      </w:r>
      <w:r>
        <w:rPr>
          <w:rFonts w:ascii="Traditional Arabic" w:hAnsi="Traditional Arabic" w:cs="Traditional Arabic"/>
          <w:w w:val="83"/>
          <w:sz w:val="28"/>
          <w:szCs w:val="28"/>
        </w:rPr>
        <w:t>.</w:t>
      </w:r>
    </w:p>
    <w:p w14:paraId="73616B3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وعلى المستوى العربي والسعودي، تناولت الدراسات مستوى استخدام الذكاء الاصطناعي، والقيادة الرقمية، والتحديات التي تواجه التمايز، إلا أنها لم تختبر نموذجًا قياديًا تكامليًا مستندًا إلى نموذج هالينجر ومورفي، يجمع بين الأبعاد القيادية والتنظيمية والتقنية والتدريسية، ويطبق ميدانيًا في مدارس المرحلة المتوسطة</w:t>
      </w:r>
      <w:r>
        <w:rPr>
          <w:rFonts w:ascii="Traditional Arabic" w:hAnsi="Traditional Arabic" w:cs="Traditional Arabic"/>
          <w:w w:val="83"/>
          <w:sz w:val="28"/>
          <w:szCs w:val="28"/>
        </w:rPr>
        <w:t>.</w:t>
      </w:r>
    </w:p>
    <w:p w14:paraId="7B5A5A5E"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وبناءً على ذلك، تتمثل الفجوة البحثية في عدم توافر دراسة ميدانية، في حدود ما اطلع عليه الباحث من الدراسات السابقة، تبني نموذجًا قياديًا تكامليًا مستندًا إلى نموذج هالينجر ومورفي وقائمًا على الذكاء الاصطناعي التوليدي، ثم تختبر أثره في قرارات التمايز وممارساته لدى المعلمين وفي تحصيل طلاب المرحلة المتوسطة بالمدارس الحكومية في مدينة الرياض. وتستهدف الدراسة الحالية معالجة هذه الفجوة من خلال بناء النموذج، وتحكيمه، وتطبيقه وفق تصميم شبه تجريبي يبدأ بالقيادة المدرسية والمعلمين قبل قياس نواتجه لدى الطلاب.</w:t>
      </w:r>
    </w:p>
    <w:p w14:paraId="5449B611" w14:textId="77777777" w:rsidR="00491E5B" w:rsidRDefault="00E91EBB">
      <w:pPr>
        <w:keepNext/>
        <w:tabs>
          <w:tab w:val="right" w:pos="9927"/>
        </w:tabs>
        <w:bidi/>
        <w:ind w:left="96" w:right="142"/>
        <w:jc w:val="both"/>
        <w:rPr>
          <w:rFonts w:ascii="Traditional Arabic" w:hAnsi="Traditional Arabic" w:cs="Traditional Arabic"/>
          <w:b/>
          <w:bCs/>
          <w:w w:val="83"/>
          <w:sz w:val="32"/>
          <w:szCs w:val="32"/>
          <w:rtl/>
        </w:rPr>
      </w:pPr>
      <w:r>
        <w:rPr>
          <w:rFonts w:ascii="Traditional Arabic" w:hAnsi="Traditional Arabic" w:cs="Traditional Arabic"/>
          <w:b/>
          <w:bCs/>
          <w:w w:val="83"/>
          <w:sz w:val="32"/>
          <w:szCs w:val="32"/>
          <w:rtl/>
        </w:rPr>
        <w:t>ﻣﺼﻄﻠﺤﺎت</w:t>
      </w:r>
      <w:r>
        <w:rPr>
          <w:rFonts w:ascii="Traditional Arabic" w:hAnsi="Traditional Arabic" w:cs="Traditional Arabic" w:hint="cs"/>
          <w:b/>
          <w:bCs/>
          <w:w w:val="83"/>
          <w:sz w:val="32"/>
          <w:szCs w:val="32"/>
          <w:rtl/>
        </w:rPr>
        <w:t xml:space="preserve"> </w:t>
      </w:r>
      <w:r>
        <w:rPr>
          <w:rFonts w:ascii="Traditional Arabic" w:hAnsi="Traditional Arabic" w:cs="Traditional Arabic"/>
          <w:b/>
          <w:bCs/>
          <w:spacing w:val="-81"/>
          <w:w w:val="83"/>
          <w:sz w:val="32"/>
          <w:szCs w:val="32"/>
          <w:rtl/>
        </w:rPr>
        <w:t xml:space="preserve"> </w:t>
      </w:r>
      <w:r>
        <w:rPr>
          <w:rFonts w:ascii="Traditional Arabic" w:hAnsi="Traditional Arabic" w:cs="Traditional Arabic"/>
          <w:b/>
          <w:bCs/>
          <w:w w:val="83"/>
          <w:sz w:val="32"/>
          <w:szCs w:val="32"/>
          <w:rtl/>
        </w:rPr>
        <w:t>اﻟﺪراﺳﺔ</w:t>
      </w:r>
      <w:r>
        <w:rPr>
          <w:rFonts w:ascii="Traditional Arabic" w:hAnsi="Traditional Arabic" w:cs="Traditional Arabic"/>
          <w:b/>
          <w:bCs/>
          <w:spacing w:val="-81"/>
          <w:w w:val="83"/>
          <w:sz w:val="32"/>
          <w:szCs w:val="32"/>
          <w:rtl/>
        </w:rPr>
        <w:t xml:space="preserve"> </w:t>
      </w:r>
      <w:r>
        <w:rPr>
          <w:rFonts w:ascii="Traditional Arabic" w:hAnsi="Traditional Arabic" w:cs="Traditional Arabic" w:hint="cs"/>
          <w:b/>
          <w:bCs/>
          <w:w w:val="83"/>
          <w:sz w:val="32"/>
          <w:szCs w:val="32"/>
          <w:rtl/>
        </w:rPr>
        <w:t xml:space="preserve"> </w:t>
      </w:r>
      <w:r>
        <w:rPr>
          <w:rFonts w:ascii="Traditional Arabic" w:hAnsi="Traditional Arabic" w:cs="Traditional Arabic"/>
          <w:b/>
          <w:bCs/>
          <w:w w:val="83"/>
          <w:sz w:val="32"/>
          <w:szCs w:val="32"/>
          <w:rtl/>
        </w:rPr>
        <w:t>وﺗﻌﺮﻳﻔﺎﺗﻬﺎ</w:t>
      </w:r>
      <w:r>
        <w:rPr>
          <w:rFonts w:ascii="Traditional Arabic" w:hAnsi="Traditional Arabic" w:cs="Traditional Arabic"/>
          <w:b/>
          <w:bCs/>
          <w:spacing w:val="-82"/>
          <w:w w:val="83"/>
          <w:sz w:val="32"/>
          <w:szCs w:val="32"/>
          <w:rtl/>
        </w:rPr>
        <w:t xml:space="preserve"> </w:t>
      </w:r>
      <w:r>
        <w:rPr>
          <w:rFonts w:ascii="Traditional Arabic" w:hAnsi="Traditional Arabic" w:cs="Traditional Arabic" w:hint="cs"/>
          <w:b/>
          <w:bCs/>
          <w:w w:val="83"/>
          <w:sz w:val="32"/>
          <w:szCs w:val="32"/>
          <w:rtl/>
        </w:rPr>
        <w:t xml:space="preserve"> ا</w:t>
      </w:r>
      <w:r>
        <w:rPr>
          <w:rFonts w:ascii="Traditional Arabic" w:hAnsi="Traditional Arabic" w:cs="Traditional Arabic"/>
          <w:b/>
          <w:bCs/>
          <w:w w:val="83"/>
          <w:sz w:val="32"/>
          <w:szCs w:val="32"/>
          <w:rtl/>
        </w:rPr>
        <w:t>ﻹﺟﺮاﺋﻴﺔ</w:t>
      </w:r>
    </w:p>
    <w:p w14:paraId="2ADA9600"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b/>
          <w:bCs/>
          <w:sz w:val="28"/>
          <w:szCs w:val="28"/>
          <w:rtl/>
        </w:rPr>
        <w:t>النموذج القيادي التكاملي</w:t>
      </w:r>
    </w:p>
    <w:p w14:paraId="1EB94017" w14:textId="77777777" w:rsidR="00491E5B" w:rsidRDefault="00E91EBB">
      <w:pPr>
        <w:tabs>
          <w:tab w:val="right" w:pos="9927"/>
        </w:tabs>
        <w:bidi/>
        <w:ind w:left="96" w:right="142"/>
        <w:jc w:val="both"/>
        <w:rPr>
          <w:rFonts w:ascii="Traditional Arabic" w:hAnsi="Traditional Arabic" w:cs="Traditional Arabic"/>
          <w:sz w:val="28"/>
          <w:szCs w:val="28"/>
          <w:rtl/>
        </w:rPr>
      </w:pPr>
      <w:r>
        <w:rPr>
          <w:rFonts w:ascii="Traditional Arabic" w:hAnsi="Traditional Arabic" w:cs="Traditional Arabic"/>
          <w:sz w:val="28"/>
          <w:szCs w:val="28"/>
          <w:rtl/>
        </w:rPr>
        <w:t>إطار منظم يجمع بين أبعاد القيادة التعليمية المتمثلة في تحديد رسالة المدرسة، وإدارة البرنامج التعليمي، وتعزيز مناخ التعلم، وبين إمكانات الذكاء الاصطناعي التوليدي في تحليل البيانات وإنتاج البدائل التعليمية، بهدف دعم القرارات التعليمية وتحسين الممارسات الصفية، مع بقاء المسؤولية النهائية عن القرار للقيادة المدرسية والمعلم</w:t>
      </w:r>
      <w:r>
        <w:rPr>
          <w:rFonts w:ascii="Traditional Arabic" w:hAnsi="Traditional Arabic" w:cs="Traditional Arabic"/>
          <w:sz w:val="28"/>
          <w:szCs w:val="28"/>
        </w:rPr>
        <w:t xml:space="preserve"> (</w:t>
      </w:r>
      <w:proofErr w:type="spellStart"/>
      <w:r>
        <w:rPr>
          <w:rFonts w:ascii="Traditional Arabic" w:hAnsi="Traditional Arabic" w:cs="Traditional Arabic"/>
          <w:sz w:val="28"/>
          <w:szCs w:val="28"/>
        </w:rPr>
        <w:t>Hallinger</w:t>
      </w:r>
      <w:proofErr w:type="spellEnd"/>
      <w:r>
        <w:rPr>
          <w:rFonts w:ascii="Traditional Arabic" w:hAnsi="Traditional Arabic" w:cs="Traditional Arabic"/>
          <w:sz w:val="28"/>
          <w:szCs w:val="28"/>
        </w:rPr>
        <w:t xml:space="preserve"> &amp; Murphy, 1985; Miao &amp; Holmes, 2023).</w:t>
      </w:r>
    </w:p>
    <w:p w14:paraId="43DC6DC6" w14:textId="77777777" w:rsidR="00491E5B" w:rsidRDefault="00E91EBB">
      <w:pPr>
        <w:tabs>
          <w:tab w:val="right" w:pos="9927"/>
        </w:tabs>
        <w:bidi/>
        <w:ind w:left="96" w:right="142"/>
        <w:jc w:val="both"/>
        <w:rPr>
          <w:rFonts w:ascii="Traditional Arabic" w:hAnsi="Traditional Arabic" w:cs="Traditional Arabic"/>
          <w:sz w:val="28"/>
          <w:szCs w:val="28"/>
          <w:rtl/>
        </w:rPr>
      </w:pPr>
      <w:r>
        <w:rPr>
          <w:rFonts w:ascii="Traditional Arabic" w:hAnsi="Traditional Arabic" w:cs="Traditional Arabic"/>
          <w:sz w:val="28"/>
          <w:szCs w:val="28"/>
          <w:rtl/>
        </w:rPr>
        <w:t>ويعرف إجرائيًا في الدراسة الحالية</w:t>
      </w:r>
      <w:r>
        <w:rPr>
          <w:rFonts w:ascii="Traditional Arabic" w:hAnsi="Traditional Arabic" w:cs="Traditional Arabic" w:hint="cs"/>
          <w:sz w:val="28"/>
          <w:szCs w:val="28"/>
          <w:rtl/>
        </w:rPr>
        <w:t>:</w:t>
      </w:r>
    </w:p>
    <w:p w14:paraId="7A6C2057" w14:textId="77777777" w:rsidR="00491E5B" w:rsidRDefault="00E91EBB">
      <w:pPr>
        <w:tabs>
          <w:tab w:val="right" w:pos="9927"/>
        </w:tabs>
        <w:bidi/>
        <w:ind w:left="96" w:right="142"/>
        <w:jc w:val="both"/>
        <w:rPr>
          <w:rFonts w:ascii="Traditional Arabic" w:hAnsi="Traditional Arabic" w:cs="Traditional Arabic"/>
          <w:sz w:val="28"/>
          <w:szCs w:val="28"/>
          <w:rtl/>
        </w:rPr>
      </w:pPr>
      <w:r>
        <w:rPr>
          <w:rFonts w:ascii="Traditional Arabic" w:hAnsi="Traditional Arabic" w:cs="Traditional Arabic"/>
          <w:sz w:val="28"/>
          <w:szCs w:val="28"/>
          <w:rtl/>
        </w:rPr>
        <w:t xml:space="preserve"> منظومة من الإجراءات والأدوار والأدوات التي تطبقها القيادة المدرسية في مدارس المجموعة التجريبية لتحليل بيانات تعلم الطلاب غير محددة الهوية، ودعم المعلمين في إعداد قرارات وأنشطة تعليمية متمايزة، ومتابعة تنفيذها وتقويم نتائجها خلال مدة التجربة</w:t>
      </w:r>
      <w:r>
        <w:rPr>
          <w:rFonts w:ascii="Traditional Arabic" w:hAnsi="Traditional Arabic" w:cs="Traditional Arabic"/>
          <w:sz w:val="28"/>
          <w:szCs w:val="28"/>
        </w:rPr>
        <w:t>.</w:t>
      </w:r>
    </w:p>
    <w:p w14:paraId="21219A86" w14:textId="77777777" w:rsidR="00491E5B" w:rsidRDefault="00E91EBB">
      <w:pPr>
        <w:pStyle w:val="BodyText"/>
        <w:tabs>
          <w:tab w:val="right" w:pos="9927"/>
        </w:tabs>
        <w:bidi/>
        <w:spacing w:before="62"/>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الذكاء الاصطناعي التوليدي</w:t>
      </w:r>
    </w:p>
    <w:p w14:paraId="2131D655"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tl/>
        </w:rPr>
      </w:pPr>
      <w:r>
        <w:rPr>
          <w:rFonts w:ascii="Traditional Arabic" w:hAnsi="Traditional Arabic" w:cs="Traditional Arabic"/>
          <w:sz w:val="28"/>
          <w:szCs w:val="28"/>
          <w:rtl/>
        </w:rPr>
        <w:t>أنظمة ذكاء اصطناعي قادرة على توليد نصوص أو صور أو أسئلة أو أنشطة أو تغذية راجعة جديدة استنادًا إلى الأنماط المستخلصة من البيانات، مع ضرورة خضوع مخرجاتها للمراجعة البشرية قبل استخدامها في التعليم</w:t>
      </w:r>
      <w:r>
        <w:rPr>
          <w:rFonts w:ascii="Traditional Arabic" w:hAnsi="Traditional Arabic" w:cs="Traditional Arabic"/>
          <w:sz w:val="28"/>
          <w:szCs w:val="28"/>
        </w:rPr>
        <w:t xml:space="preserve"> (Miao &amp; Holmes, 2023).</w:t>
      </w:r>
    </w:p>
    <w:p w14:paraId="0FF83194"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ويُعرّف إجرائيًا في هذه الدراسة بأنه :</w:t>
      </w:r>
    </w:p>
    <w:p w14:paraId="3F92C52B"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tl/>
        </w:rPr>
      </w:pPr>
      <w:r>
        <w:rPr>
          <w:rFonts w:ascii="Traditional Arabic" w:hAnsi="Traditional Arabic" w:cs="Traditional Arabic"/>
          <w:sz w:val="28"/>
          <w:szCs w:val="28"/>
          <w:rtl/>
        </w:rPr>
        <w:t>استخدام تطبيقات الذكاء الاصطناعي التوليدي في تحليل بيانات تعلم الطلاب واقتراح أنشطة تعليمية متمايزة تدعم قرارات التدريس داخل الصف .</w:t>
      </w:r>
    </w:p>
    <w:p w14:paraId="7CA2EA9E"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tl/>
        </w:rPr>
      </w:pPr>
      <w:r>
        <w:rPr>
          <w:rFonts w:ascii="Traditional Arabic" w:hAnsi="Traditional Arabic" w:cs="Traditional Arabic"/>
          <w:b/>
          <w:bCs/>
          <w:w w:val="82"/>
          <w:sz w:val="28"/>
          <w:szCs w:val="28"/>
          <w:rtl/>
        </w:rPr>
        <w:t>القيادة التعليمية</w:t>
      </w:r>
    </w:p>
    <w:p w14:paraId="110FB41A"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تشير إلى الممارسات التي يقوم بها قادة المدارس لتوجيه العملية التعليمية وتحسين جودة التدريس والتعلم من خلال دعم المعلمين وتوفير البيئة المناسبة للتعلم .</w:t>
      </w:r>
    </w:p>
    <w:p w14:paraId="227CF0EF"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ويُقصد بها إجرائيًا في هذه الدراسة:</w:t>
      </w:r>
    </w:p>
    <w:p w14:paraId="2E33D01A"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highlight w:val="yellow"/>
          <w:rtl/>
        </w:rPr>
        <w:lastRenderedPageBreak/>
        <w:t>قدرة القيادات المدرسية، وفق نموذج هالينجر ومورفي المطور بالذكاء الاصطناعي التوليدي، على دعم قرارات المعلمين المتعلقة بالتمايز التعليمي داخل الصفوف الدراسية.</w:t>
      </w:r>
    </w:p>
    <w:p w14:paraId="14C32FAB"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highlight w:val="yellow"/>
          <w:rtl/>
        </w:rPr>
        <w:t xml:space="preserve">النموذج القيادي </w:t>
      </w:r>
      <w:r>
        <w:rPr>
          <w:rFonts w:ascii="Traditional Arabic" w:hAnsi="Traditional Arabic" w:cs="Traditional Arabic" w:hint="cs"/>
          <w:w w:val="82"/>
          <w:sz w:val="28"/>
          <w:szCs w:val="28"/>
          <w:highlight w:val="yellow"/>
          <w:rtl/>
        </w:rPr>
        <w:t>التكاملي المقترح</w:t>
      </w:r>
      <w:r>
        <w:rPr>
          <w:rFonts w:ascii="Traditional Arabic" w:hAnsi="Traditional Arabic" w:cs="Traditional Arabic"/>
          <w:w w:val="82"/>
          <w:sz w:val="28"/>
          <w:szCs w:val="28"/>
          <w:highlight w:val="yellow"/>
          <w:rtl/>
        </w:rPr>
        <w:t xml:space="preserve"> في هذه الدراسة</w:t>
      </w:r>
    </w:p>
    <w:p w14:paraId="1F086BC5"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Pr>
      </w:pPr>
      <w:r>
        <w:rPr>
          <w:rFonts w:ascii="Traditional Arabic" w:hAnsi="Traditional Arabic" w:cs="Traditional Arabic"/>
          <w:w w:val="82"/>
          <w:sz w:val="28"/>
          <w:szCs w:val="28"/>
          <w:highlight w:val="yellow"/>
          <w:rtl/>
        </w:rPr>
        <w:t>يقصد به إجرائيًا نموذج هالينجر ومورفي للقيادة التعليمية بعد تطويره بإضافة آليات الذكاء الاصطناعي التوليدي لتحليل بيانات تعلم الطلاب، واقتراح بدائل تعليمية متمايزة، ودعم قرارات القيادات المدرسية والمعلمين المرتبطة بالتمايز التعليمي.</w:t>
      </w:r>
    </w:p>
    <w:p w14:paraId="211B2455" w14:textId="77777777" w:rsidR="00491E5B" w:rsidRDefault="00E91EBB">
      <w:pPr>
        <w:tabs>
          <w:tab w:val="right" w:pos="9927"/>
        </w:tabs>
        <w:bidi/>
        <w:spacing w:line="400" w:lineRule="auto"/>
        <w:ind w:right="142"/>
        <w:jc w:val="both"/>
        <w:rPr>
          <w:rFonts w:ascii="Traditional Arabic" w:hAnsi="Traditional Arabic" w:cs="Traditional Arabic"/>
          <w:b/>
          <w:bCs/>
          <w:w w:val="82"/>
          <w:sz w:val="28"/>
          <w:szCs w:val="28"/>
          <w:rtl/>
        </w:rPr>
      </w:pPr>
      <w:r>
        <w:rPr>
          <w:rFonts w:ascii="Traditional Arabic" w:hAnsi="Traditional Arabic" w:cs="Traditional Arabic"/>
          <w:b/>
          <w:bCs/>
          <w:w w:val="82"/>
          <w:sz w:val="28"/>
          <w:szCs w:val="28"/>
          <w:rtl/>
        </w:rPr>
        <w:t xml:space="preserve">التمايز التعليمي </w:t>
      </w:r>
    </w:p>
    <w:p w14:paraId="294D9A76" w14:textId="77777777" w:rsidR="00491E5B" w:rsidRDefault="00E91EBB">
      <w:pPr>
        <w:tabs>
          <w:tab w:val="right" w:pos="9927"/>
        </w:tabs>
        <w:bidi/>
        <w:spacing w:line="400" w:lineRule="auto"/>
        <w:ind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مدخل تربوي يقوم على تعديل المحتوى، وعمليات التعلم، والمنتجات التعليمية، وبيئة التعلم بما يتناسب مع استعدادات الطلاب واهتماماتهم واحتياجاتهم التعليمية</w:t>
      </w:r>
      <w:r>
        <w:rPr>
          <w:rFonts w:ascii="Traditional Arabic" w:hAnsi="Traditional Arabic" w:cs="Traditional Arabic"/>
          <w:w w:val="82"/>
          <w:sz w:val="28"/>
          <w:szCs w:val="28"/>
        </w:rPr>
        <w:t xml:space="preserve"> (Tomlinson, 2017).</w:t>
      </w:r>
    </w:p>
    <w:p w14:paraId="212B6295" w14:textId="77777777" w:rsidR="00491E5B" w:rsidRDefault="00E91EBB">
      <w:pPr>
        <w:tabs>
          <w:tab w:val="right" w:pos="9927"/>
        </w:tabs>
        <w:bidi/>
        <w:spacing w:line="400" w:lineRule="auto"/>
        <w:ind w:right="142"/>
        <w:jc w:val="both"/>
        <w:rPr>
          <w:rFonts w:ascii="Traditional Arabic" w:hAnsi="Traditional Arabic" w:cs="Traditional Arabic"/>
          <w:b/>
          <w:bCs/>
          <w:w w:val="82"/>
          <w:sz w:val="28"/>
          <w:szCs w:val="28"/>
          <w:rtl/>
        </w:rPr>
      </w:pPr>
      <w:r>
        <w:rPr>
          <w:rFonts w:ascii="Traditional Arabic" w:hAnsi="Traditional Arabic" w:cs="Traditional Arabic"/>
          <w:b/>
          <w:bCs/>
          <w:w w:val="82"/>
          <w:sz w:val="28"/>
          <w:szCs w:val="28"/>
          <w:rtl/>
        </w:rPr>
        <w:t>ويُعرّف إجرائيًا في هذه الدراسة بأنه :</w:t>
      </w:r>
    </w:p>
    <w:p w14:paraId="1871AD12"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مجموعة القرارات والممارسات التي ينفذها المعلم لتنويع المحتوى والأنشطة والمهام والتقويم وفق مستويات الطلاب، وتقاس من خلال مقياس قرارات التمايز التعليمي وبطاقة ملاحظة الممارسات الصفية المعدتين للدراسة.</w:t>
      </w:r>
    </w:p>
    <w:p w14:paraId="5C095531" w14:textId="77777777" w:rsidR="00491E5B" w:rsidRDefault="00E91EBB">
      <w:pPr>
        <w:tabs>
          <w:tab w:val="right" w:pos="9927"/>
        </w:tabs>
        <w:bidi/>
        <w:spacing w:line="400" w:lineRule="auto"/>
        <w:ind w:right="142"/>
        <w:jc w:val="both"/>
        <w:rPr>
          <w:rFonts w:ascii="Traditional Arabic" w:hAnsi="Traditional Arabic" w:cs="Traditional Arabic"/>
          <w:b/>
          <w:bCs/>
          <w:w w:val="82"/>
          <w:sz w:val="28"/>
          <w:szCs w:val="28"/>
          <w:rtl/>
        </w:rPr>
      </w:pPr>
      <w:r>
        <w:rPr>
          <w:rFonts w:ascii="Traditional Arabic" w:hAnsi="Traditional Arabic" w:cs="Traditional Arabic"/>
          <w:b/>
          <w:bCs/>
          <w:w w:val="82"/>
          <w:sz w:val="28"/>
          <w:szCs w:val="28"/>
          <w:rtl/>
        </w:rPr>
        <w:t>التحصيل الدراسي</w:t>
      </w:r>
    </w:p>
    <w:p w14:paraId="6D1627D8" w14:textId="77777777" w:rsidR="00491E5B" w:rsidRDefault="00E91EBB">
      <w:pPr>
        <w:tabs>
          <w:tab w:val="right" w:pos="9927"/>
        </w:tabs>
        <w:bidi/>
        <w:spacing w:line="400" w:lineRule="auto"/>
        <w:ind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مستوى إتقان الطلاب للمعارف والمهارات المحددة في الوحدة أو المادة الدراسية المستهدفة، ويقاس إجرائيًا بالدرجة التي يحصل عليها الطالب في الاختبار التحصيلي المعد للدراسة.</w:t>
      </w:r>
    </w:p>
    <w:p w14:paraId="06036AA8" w14:textId="77777777" w:rsidR="00491E5B" w:rsidRDefault="00E91EBB">
      <w:pPr>
        <w:tabs>
          <w:tab w:val="right" w:pos="9927"/>
        </w:tabs>
        <w:bidi/>
        <w:spacing w:line="400" w:lineRule="auto"/>
        <w:ind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ويُقصد به إجرائيًا في هذه الدراسة</w:t>
      </w:r>
      <w:r>
        <w:rPr>
          <w:rFonts w:ascii="Traditional Arabic" w:hAnsi="Traditional Arabic" w:cs="Traditional Arabic"/>
          <w:w w:val="82"/>
          <w:sz w:val="28"/>
          <w:szCs w:val="28"/>
        </w:rPr>
        <w:t>:</w:t>
      </w:r>
    </w:p>
    <w:p w14:paraId="4C1F52C6" w14:textId="77777777" w:rsidR="00491E5B" w:rsidRDefault="00E91EBB">
      <w:pPr>
        <w:tabs>
          <w:tab w:val="right" w:pos="9927"/>
        </w:tabs>
        <w:bidi/>
        <w:spacing w:line="400" w:lineRule="auto"/>
        <w:ind w:right="142"/>
        <w:jc w:val="both"/>
        <w:rPr>
          <w:rFonts w:ascii="Traditional Arabic" w:hAnsi="Traditional Arabic" w:cs="Traditional Arabic"/>
          <w:w w:val="82"/>
          <w:sz w:val="28"/>
          <w:szCs w:val="28"/>
        </w:rPr>
      </w:pPr>
      <w:r>
        <w:rPr>
          <w:rFonts w:ascii="Traditional Arabic" w:hAnsi="Traditional Arabic" w:cs="Traditional Arabic"/>
          <w:w w:val="82"/>
          <w:sz w:val="28"/>
          <w:szCs w:val="28"/>
          <w:highlight w:val="yellow"/>
          <w:rtl/>
        </w:rPr>
        <w:t xml:space="preserve">الدرجة التي يحصل عليها الطالب في الاختبار التحصيلي المعد لأغراض هذه الدراسة بعد تطبيق النموذج القيادي </w:t>
      </w:r>
      <w:r>
        <w:rPr>
          <w:rFonts w:ascii="Traditional Arabic" w:hAnsi="Traditional Arabic" w:cs="Traditional Arabic" w:hint="cs"/>
          <w:w w:val="82"/>
          <w:sz w:val="28"/>
          <w:szCs w:val="28"/>
          <w:highlight w:val="yellow"/>
          <w:rtl/>
        </w:rPr>
        <w:t xml:space="preserve">التكاملي المقترح </w:t>
      </w:r>
      <w:r>
        <w:rPr>
          <w:rFonts w:ascii="Traditional Arabic" w:hAnsi="Traditional Arabic" w:cs="Traditional Arabic"/>
          <w:w w:val="82"/>
          <w:sz w:val="28"/>
          <w:szCs w:val="28"/>
          <w:highlight w:val="yellow"/>
          <w:rtl/>
        </w:rPr>
        <w:t>.</w:t>
      </w:r>
    </w:p>
    <w:p w14:paraId="68B7420E" w14:textId="77777777" w:rsidR="00491E5B" w:rsidRDefault="00E91EBB">
      <w:pPr>
        <w:keepNext/>
        <w:tabs>
          <w:tab w:val="right" w:pos="9927"/>
        </w:tabs>
        <w:bidi/>
        <w:spacing w:line="400" w:lineRule="auto"/>
        <w:ind w:left="96" w:right="142"/>
        <w:jc w:val="both"/>
        <w:rPr>
          <w:rFonts w:ascii="Traditional Arabic" w:hAnsi="Traditional Arabic" w:cs="Traditional Arabic"/>
          <w:b/>
          <w:bCs/>
          <w:w w:val="82"/>
          <w:sz w:val="32"/>
          <w:szCs w:val="32"/>
          <w:rtl/>
        </w:rPr>
      </w:pPr>
      <w:r>
        <w:rPr>
          <w:rFonts w:ascii="Traditional Arabic" w:hAnsi="Traditional Arabic" w:cs="Traditional Arabic"/>
          <w:b/>
          <w:bCs/>
          <w:w w:val="82"/>
          <w:sz w:val="32"/>
          <w:szCs w:val="32"/>
          <w:rtl/>
        </w:rPr>
        <w:t>إﺟﺮاءات</w:t>
      </w:r>
      <w:r>
        <w:rPr>
          <w:rFonts w:ascii="Traditional Arabic" w:hAnsi="Traditional Arabic" w:cs="Traditional Arabic" w:hint="cs"/>
          <w:b/>
          <w:bCs/>
          <w:w w:val="82"/>
          <w:sz w:val="32"/>
          <w:szCs w:val="32"/>
          <w:rtl/>
        </w:rPr>
        <w:t xml:space="preserve"> </w:t>
      </w:r>
      <w:r>
        <w:rPr>
          <w:rFonts w:ascii="Traditional Arabic" w:hAnsi="Traditional Arabic" w:cs="Traditional Arabic"/>
          <w:b/>
          <w:bCs/>
          <w:spacing w:val="-63"/>
          <w:w w:val="82"/>
          <w:sz w:val="32"/>
          <w:szCs w:val="32"/>
          <w:rtl/>
        </w:rPr>
        <w:t xml:space="preserve"> </w:t>
      </w:r>
      <w:r>
        <w:rPr>
          <w:rFonts w:ascii="Traditional Arabic" w:hAnsi="Traditional Arabic" w:cs="Traditional Arabic"/>
          <w:b/>
          <w:bCs/>
          <w:w w:val="82"/>
          <w:sz w:val="32"/>
          <w:szCs w:val="32"/>
          <w:rtl/>
        </w:rPr>
        <w:t>اﻟﺪراﺳﺔ</w:t>
      </w:r>
      <w:r>
        <w:rPr>
          <w:rFonts w:ascii="Traditional Arabic" w:hAnsi="Traditional Arabic" w:cs="Traditional Arabic"/>
          <w:b/>
          <w:bCs/>
          <w:w w:val="82"/>
          <w:sz w:val="32"/>
          <w:szCs w:val="32"/>
        </w:rPr>
        <w:t>:</w:t>
      </w:r>
      <w:r>
        <w:rPr>
          <w:rFonts w:ascii="Traditional Arabic" w:hAnsi="Traditional Arabic" w:cs="Traditional Arabic"/>
          <w:b/>
          <w:bCs/>
          <w:spacing w:val="-9"/>
          <w:w w:val="82"/>
          <w:sz w:val="32"/>
          <w:szCs w:val="32"/>
          <w:rtl/>
        </w:rPr>
        <w:t xml:space="preserve"> </w:t>
      </w:r>
    </w:p>
    <w:p w14:paraId="596E01E7" w14:textId="77777777" w:rsidR="00491E5B" w:rsidRDefault="00E91EBB">
      <w:pPr>
        <w:tabs>
          <w:tab w:val="right" w:pos="9927"/>
        </w:tabs>
        <w:bidi/>
        <w:spacing w:line="400" w:lineRule="auto"/>
        <w:ind w:left="96" w:right="142"/>
        <w:jc w:val="both"/>
        <w:rPr>
          <w:rFonts w:ascii="Traditional Arabic" w:hAnsi="Traditional Arabic" w:cs="Traditional Arabic"/>
          <w:b/>
          <w:bCs/>
          <w:sz w:val="32"/>
          <w:szCs w:val="32"/>
        </w:rPr>
      </w:pPr>
      <w:r>
        <w:rPr>
          <w:rFonts w:ascii="Traditional Arabic" w:hAnsi="Traditional Arabic" w:cs="Traditional Arabic"/>
          <w:b/>
          <w:bCs/>
          <w:w w:val="81"/>
          <w:sz w:val="32"/>
          <w:szCs w:val="32"/>
          <w:rtl/>
        </w:rPr>
        <w:t>ﻣﻨﻬﺞ</w:t>
      </w:r>
      <w:r>
        <w:rPr>
          <w:rFonts w:ascii="Traditional Arabic" w:hAnsi="Traditional Arabic" w:cs="Traditional Arabic"/>
          <w:b/>
          <w:bCs/>
          <w:spacing w:val="-20"/>
          <w:w w:val="81"/>
          <w:sz w:val="32"/>
          <w:szCs w:val="32"/>
          <w:rtl/>
        </w:rPr>
        <w:t xml:space="preserve"> </w:t>
      </w:r>
      <w:r>
        <w:rPr>
          <w:rFonts w:ascii="Traditional Arabic" w:hAnsi="Traditional Arabic" w:cs="Traditional Arabic" w:hint="cs"/>
          <w:b/>
          <w:bCs/>
          <w:w w:val="81"/>
          <w:sz w:val="32"/>
          <w:szCs w:val="32"/>
          <w:rtl/>
        </w:rPr>
        <w:t xml:space="preserve"> </w:t>
      </w:r>
      <w:r>
        <w:rPr>
          <w:rFonts w:ascii="Traditional Arabic" w:hAnsi="Traditional Arabic" w:cs="Traditional Arabic"/>
          <w:b/>
          <w:bCs/>
          <w:w w:val="81"/>
          <w:sz w:val="32"/>
          <w:szCs w:val="32"/>
          <w:rtl/>
        </w:rPr>
        <w:t>اﻟﺪراﺳﺔ</w:t>
      </w:r>
      <w:r>
        <w:rPr>
          <w:rFonts w:ascii="Traditional Arabic" w:hAnsi="Traditional Arabic" w:cs="Traditional Arabic"/>
          <w:b/>
          <w:bCs/>
          <w:w w:val="81"/>
          <w:sz w:val="32"/>
          <w:szCs w:val="32"/>
        </w:rPr>
        <w:t>:</w:t>
      </w:r>
    </w:p>
    <w:p w14:paraId="6C4BED8E"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37E55D58"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b/>
          <w:bCs/>
          <w:sz w:val="28"/>
          <w:szCs w:val="28"/>
          <w:rtl/>
        </w:rPr>
        <w:t>مرحلة بناء النموذج</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تستخدم المنهج الوصفي التحليلي في مراجعة الأدبيات وتحديد المتطلبات والأبعاد، مع استخدام أسلوب تحكيم الخبراء أو أسلوب دلفاي للتحقق من صلاحية النموذج المقترح</w:t>
      </w:r>
      <w:r>
        <w:rPr>
          <w:rFonts w:ascii="Traditional Arabic" w:hAnsi="Traditional Arabic" w:cs="Traditional Arabic"/>
          <w:sz w:val="28"/>
          <w:szCs w:val="28"/>
        </w:rPr>
        <w:t xml:space="preserve">. </w:t>
      </w:r>
    </w:p>
    <w:p w14:paraId="753ABD13" w14:textId="77777777" w:rsidR="00491E5B" w:rsidRDefault="00E91EBB">
      <w:pPr>
        <w:tabs>
          <w:tab w:val="right" w:pos="9927"/>
        </w:tabs>
        <w:bidi/>
        <w:ind w:right="142"/>
        <w:jc w:val="both"/>
        <w:rPr>
          <w:rFonts w:ascii="Traditional Arabic" w:hAnsi="Traditional Arabic" w:cs="Traditional Arabic"/>
          <w:w w:val="85"/>
          <w:sz w:val="28"/>
          <w:szCs w:val="28"/>
          <w:rtl/>
        </w:rPr>
      </w:pPr>
      <w:r>
        <w:rPr>
          <w:rFonts w:ascii="Traditional Arabic" w:hAnsi="Traditional Arabic" w:cs="Traditional Arabic"/>
          <w:sz w:val="28"/>
          <w:szCs w:val="28"/>
        </w:rPr>
        <w:t xml:space="preserve">  </w:t>
      </w:r>
      <w:r>
        <w:rPr>
          <w:rFonts w:ascii="Traditional Arabic" w:hAnsi="Traditional Arabic" w:cs="Traditional Arabic"/>
          <w:b/>
          <w:bCs/>
          <w:sz w:val="28"/>
          <w:szCs w:val="28"/>
          <w:rtl/>
        </w:rPr>
        <w:t>مرحلة اختبار النموذج</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تستخدم المنهج شبه التجريبي بتصميم المجموعتين التجريبية والضابطة والقياسين القبلي والبعدي، للتحقق من أثر النموذج في قرارات التمايز وممارساته والتحصيل الدراسي</w:t>
      </w:r>
      <w:r>
        <w:rPr>
          <w:rFonts w:ascii="Traditional Arabic" w:hAnsi="Traditional Arabic" w:cs="Traditional Arabic"/>
          <w:sz w:val="28"/>
          <w:szCs w:val="28"/>
        </w:rPr>
        <w:t>.</w:t>
      </w:r>
    </w:p>
    <w:p w14:paraId="69748660" w14:textId="77777777" w:rsidR="00491E5B" w:rsidRDefault="00E91EBB">
      <w:pPr>
        <w:keepNext/>
        <w:tabs>
          <w:tab w:val="right" w:pos="9927"/>
        </w:tabs>
        <w:bidi/>
        <w:ind w:left="96" w:right="142"/>
        <w:jc w:val="both"/>
        <w:rPr>
          <w:rFonts w:ascii="Traditional Arabic" w:hAnsi="Traditional Arabic" w:cs="Traditional Arabic"/>
          <w:b/>
          <w:bCs/>
          <w:sz w:val="32"/>
          <w:szCs w:val="32"/>
          <w:rtl/>
        </w:rPr>
      </w:pPr>
      <w:r>
        <w:rPr>
          <w:rFonts w:ascii="Traditional Arabic" w:hAnsi="Traditional Arabic" w:cs="Traditional Arabic"/>
          <w:b/>
          <w:bCs/>
          <w:w w:val="85"/>
          <w:sz w:val="32"/>
          <w:szCs w:val="32"/>
          <w:rtl/>
        </w:rPr>
        <w:lastRenderedPageBreak/>
        <w:t>ﻣﺠﺘﻤﻊ</w:t>
      </w:r>
      <w:r>
        <w:rPr>
          <w:rFonts w:ascii="Traditional Arabic" w:hAnsi="Traditional Arabic" w:cs="Traditional Arabic"/>
          <w:b/>
          <w:bCs/>
          <w:spacing w:val="-86"/>
          <w:w w:val="85"/>
          <w:sz w:val="32"/>
          <w:szCs w:val="32"/>
          <w:rtl/>
        </w:rPr>
        <w:t xml:space="preserve"> </w:t>
      </w:r>
      <w:r>
        <w:rPr>
          <w:rFonts w:ascii="Traditional Arabic" w:hAnsi="Traditional Arabic" w:cs="Traditional Arabic" w:hint="cs"/>
          <w:b/>
          <w:bCs/>
          <w:w w:val="85"/>
          <w:sz w:val="32"/>
          <w:szCs w:val="32"/>
          <w:rtl/>
        </w:rPr>
        <w:t xml:space="preserve"> </w:t>
      </w:r>
      <w:r>
        <w:rPr>
          <w:rFonts w:ascii="Traditional Arabic" w:hAnsi="Traditional Arabic" w:cs="Traditional Arabic"/>
          <w:b/>
          <w:bCs/>
          <w:w w:val="85"/>
          <w:sz w:val="32"/>
          <w:szCs w:val="32"/>
          <w:rtl/>
        </w:rPr>
        <w:t>وﻋﻴﻨﺔ</w:t>
      </w:r>
      <w:r>
        <w:rPr>
          <w:rFonts w:ascii="Traditional Arabic" w:hAnsi="Traditional Arabic" w:cs="Traditional Arabic" w:hint="cs"/>
          <w:b/>
          <w:bCs/>
          <w:w w:val="85"/>
          <w:sz w:val="32"/>
          <w:szCs w:val="32"/>
          <w:rtl/>
        </w:rPr>
        <w:t xml:space="preserve"> </w:t>
      </w:r>
      <w:r>
        <w:rPr>
          <w:rFonts w:ascii="Traditional Arabic" w:hAnsi="Traditional Arabic" w:cs="Traditional Arabic"/>
          <w:b/>
          <w:bCs/>
          <w:spacing w:val="-86"/>
          <w:w w:val="85"/>
          <w:sz w:val="32"/>
          <w:szCs w:val="32"/>
          <w:rtl/>
        </w:rPr>
        <w:t xml:space="preserve"> </w:t>
      </w:r>
      <w:r>
        <w:rPr>
          <w:rFonts w:ascii="Traditional Arabic" w:hAnsi="Traditional Arabic" w:cs="Traditional Arabic"/>
          <w:b/>
          <w:bCs/>
          <w:w w:val="85"/>
          <w:sz w:val="32"/>
          <w:szCs w:val="32"/>
          <w:rtl/>
        </w:rPr>
        <w:t>اﻟﺪراﺳﺔ</w:t>
      </w:r>
      <w:r>
        <w:rPr>
          <w:rFonts w:ascii="Traditional Arabic" w:hAnsi="Traditional Arabic" w:cs="Traditional Arabic"/>
          <w:b/>
          <w:bCs/>
          <w:w w:val="85"/>
          <w:sz w:val="32"/>
          <w:szCs w:val="32"/>
        </w:rPr>
        <w:t>:</w:t>
      </w:r>
    </w:p>
    <w:p w14:paraId="3653F01C" w14:textId="77777777" w:rsidR="00491E5B" w:rsidRDefault="00E91EBB">
      <w:pPr>
        <w:tabs>
          <w:tab w:val="right" w:pos="9927"/>
        </w:tabs>
        <w:bidi/>
        <w:spacing w:before="272"/>
        <w:ind w:left="96" w:right="142"/>
        <w:jc w:val="both"/>
        <w:rPr>
          <w:rFonts w:ascii="Traditional Arabic" w:hAnsi="Traditional Arabic" w:cs="Traditional Arabic"/>
          <w:sz w:val="32"/>
          <w:szCs w:val="32"/>
        </w:rPr>
      </w:pPr>
      <w:r>
        <w:rPr>
          <w:rFonts w:ascii="Traditional Arabic" w:hAnsi="Traditional Arabic" w:cs="Traditional Arabic"/>
          <w:b/>
          <w:bCs/>
          <w:w w:val="82"/>
          <w:sz w:val="32"/>
          <w:szCs w:val="32"/>
          <w:rtl/>
        </w:rPr>
        <w:t>ﻣﺠﺘﻤﻊ</w:t>
      </w:r>
      <w:r>
        <w:rPr>
          <w:rFonts w:ascii="Traditional Arabic" w:hAnsi="Traditional Arabic" w:cs="Traditional Arabic" w:hint="cs"/>
          <w:b/>
          <w:bCs/>
          <w:w w:val="82"/>
          <w:sz w:val="32"/>
          <w:szCs w:val="32"/>
          <w:rtl/>
        </w:rPr>
        <w:t xml:space="preserve"> </w:t>
      </w:r>
      <w:r>
        <w:rPr>
          <w:rFonts w:ascii="Traditional Arabic" w:hAnsi="Traditional Arabic" w:cs="Traditional Arabic"/>
          <w:b/>
          <w:bCs/>
          <w:spacing w:val="-51"/>
          <w:w w:val="82"/>
          <w:sz w:val="32"/>
          <w:szCs w:val="32"/>
          <w:rtl/>
        </w:rPr>
        <w:t xml:space="preserve"> </w:t>
      </w:r>
      <w:r>
        <w:rPr>
          <w:rFonts w:ascii="Traditional Arabic" w:hAnsi="Traditional Arabic" w:cs="Traditional Arabic"/>
          <w:b/>
          <w:bCs/>
          <w:w w:val="82"/>
          <w:sz w:val="32"/>
          <w:szCs w:val="32"/>
          <w:rtl/>
        </w:rPr>
        <w:t>اﻟﺪراﺳﺔ</w:t>
      </w:r>
    </w:p>
    <w:p w14:paraId="4D2F36D7"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يتكون مجتمع الدراسة الميداني من المدارس الحكومية المتوسطة التابعة لإدارة تعليم </w:t>
      </w:r>
      <w:r>
        <w:rPr>
          <w:rFonts w:ascii="Traditional Arabic" w:hAnsi="Traditional Arabic" w:cs="Traditional Arabic" w:hint="cs"/>
          <w:sz w:val="28"/>
          <w:szCs w:val="28"/>
          <w:rtl/>
        </w:rPr>
        <w:t xml:space="preserve">الرياض </w:t>
      </w:r>
      <w:r>
        <w:rPr>
          <w:rFonts w:ascii="Traditional Arabic" w:hAnsi="Traditional Arabic" w:cs="Traditional Arabic"/>
          <w:sz w:val="28"/>
          <w:szCs w:val="28"/>
          <w:rtl/>
        </w:rPr>
        <w:t xml:space="preserve">خلال العام الدراسي </w:t>
      </w:r>
      <w:r>
        <w:rPr>
          <w:rFonts w:ascii="Traditional Arabic" w:hAnsi="Traditional Arabic" w:cs="Traditional Arabic" w:hint="cs"/>
          <w:sz w:val="28"/>
          <w:szCs w:val="28"/>
          <w:rtl/>
        </w:rPr>
        <w:t>1448هـ</w:t>
      </w:r>
      <w:r>
        <w:rPr>
          <w:rFonts w:ascii="Traditional Arabic" w:hAnsi="Traditional Arabic" w:cs="Traditional Arabic"/>
          <w:sz w:val="28"/>
          <w:szCs w:val="28"/>
          <w:rtl/>
        </w:rPr>
        <w:t xml:space="preserve">، ويشمل مدارس المرحلة المتوسطة، وقادة هذه المدارس، ومعلمي مادة </w:t>
      </w:r>
      <w:r>
        <w:rPr>
          <w:rFonts w:ascii="Traditional Arabic" w:hAnsi="Traditional Arabic" w:cs="Traditional Arabic" w:hint="cs"/>
          <w:sz w:val="28"/>
          <w:szCs w:val="28"/>
          <w:rtl/>
        </w:rPr>
        <w:t>الرياضيات</w:t>
      </w:r>
      <w:r>
        <w:rPr>
          <w:rFonts w:ascii="Traditional Arabic" w:hAnsi="Traditional Arabic" w:cs="Traditional Arabic"/>
          <w:sz w:val="28"/>
          <w:szCs w:val="28"/>
          <w:rtl/>
        </w:rPr>
        <w:t xml:space="preserve">، وطلاب الصف </w:t>
      </w:r>
      <w:r>
        <w:rPr>
          <w:rFonts w:ascii="Traditional Arabic" w:hAnsi="Traditional Arabic" w:cs="Traditional Arabic" w:hint="cs"/>
          <w:sz w:val="28"/>
          <w:szCs w:val="28"/>
          <w:rtl/>
        </w:rPr>
        <w:t>الثاني متوسط</w:t>
      </w:r>
      <w:r>
        <w:rPr>
          <w:rFonts w:ascii="Traditional Arabic" w:hAnsi="Traditional Arabic" w:cs="Traditional Arabic"/>
          <w:sz w:val="28"/>
          <w:szCs w:val="28"/>
          <w:rtl/>
        </w:rPr>
        <w:t xml:space="preserve"> المسجلين فيها</w:t>
      </w:r>
      <w:r>
        <w:rPr>
          <w:rFonts w:ascii="Traditional Arabic" w:hAnsi="Traditional Arabic" w:cs="Traditional Arabic"/>
          <w:sz w:val="28"/>
          <w:szCs w:val="28"/>
        </w:rPr>
        <w:t>.</w:t>
      </w:r>
    </w:p>
    <w:p w14:paraId="2757B9B0" w14:textId="77777777" w:rsidR="00491E5B" w:rsidRDefault="00491E5B">
      <w:pPr>
        <w:tabs>
          <w:tab w:val="right" w:pos="9927"/>
        </w:tabs>
        <w:bidi/>
        <w:ind w:left="96" w:right="142"/>
        <w:jc w:val="both"/>
        <w:rPr>
          <w:rFonts w:ascii="Traditional Arabic" w:hAnsi="Traditional Arabic" w:cs="Traditional Arabic"/>
          <w:sz w:val="28"/>
          <w:szCs w:val="28"/>
        </w:rPr>
      </w:pPr>
    </w:p>
    <w:p w14:paraId="6B7B57C5" w14:textId="77777777" w:rsidR="00491E5B" w:rsidRDefault="00E91EBB">
      <w:pPr>
        <w:tabs>
          <w:tab w:val="right" w:pos="9927"/>
        </w:tabs>
        <w:bidi/>
        <w:ind w:left="96" w:right="142"/>
        <w:jc w:val="both"/>
        <w:rPr>
          <w:rFonts w:ascii="Traditional Arabic" w:hAnsi="Traditional Arabic" w:cs="Traditional Arabic"/>
          <w:b/>
          <w:bCs/>
          <w:sz w:val="32"/>
          <w:szCs w:val="32"/>
        </w:rPr>
      </w:pPr>
      <w:r>
        <w:rPr>
          <w:rFonts w:ascii="Traditional Arabic" w:hAnsi="Traditional Arabic" w:cs="Traditional Arabic"/>
          <w:b/>
          <w:bCs/>
          <w:w w:val="73"/>
          <w:sz w:val="32"/>
          <w:szCs w:val="32"/>
          <w:rtl/>
        </w:rPr>
        <w:t>ﻋﻴﻨﺔ</w:t>
      </w:r>
      <w:r>
        <w:rPr>
          <w:rFonts w:ascii="Traditional Arabic" w:hAnsi="Traditional Arabic" w:cs="Traditional Arabic" w:hint="cs"/>
          <w:b/>
          <w:bCs/>
          <w:spacing w:val="-36"/>
          <w:w w:val="73"/>
          <w:sz w:val="32"/>
          <w:szCs w:val="32"/>
          <w:rtl/>
        </w:rPr>
        <w:t xml:space="preserve">  </w:t>
      </w:r>
      <w:r>
        <w:rPr>
          <w:rFonts w:ascii="Traditional Arabic" w:hAnsi="Traditional Arabic" w:cs="Traditional Arabic"/>
          <w:b/>
          <w:bCs/>
          <w:spacing w:val="-36"/>
          <w:w w:val="73"/>
          <w:sz w:val="32"/>
          <w:szCs w:val="32"/>
          <w:rtl/>
        </w:rPr>
        <w:t xml:space="preserve"> </w:t>
      </w:r>
      <w:r>
        <w:rPr>
          <w:rFonts w:ascii="Traditional Arabic" w:hAnsi="Traditional Arabic" w:cs="Traditional Arabic"/>
          <w:b/>
          <w:bCs/>
          <w:w w:val="73"/>
          <w:sz w:val="32"/>
          <w:szCs w:val="32"/>
          <w:rtl/>
        </w:rPr>
        <w:t>اﻟﺪراﺳﺔ</w:t>
      </w:r>
      <w:r>
        <w:rPr>
          <w:rFonts w:ascii="Traditional Arabic" w:hAnsi="Traditional Arabic" w:cs="Traditional Arabic"/>
          <w:b/>
          <w:bCs/>
          <w:w w:val="73"/>
          <w:sz w:val="32"/>
          <w:szCs w:val="32"/>
        </w:rPr>
        <w:t>:</w:t>
      </w:r>
    </w:p>
    <w:p w14:paraId="75E321AA"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اختيرت عينة الدراسة باستخدام أسلوب العينة العنقودية متعددة المراحل، حيث اختيرت </w:t>
      </w:r>
      <w:r>
        <w:rPr>
          <w:rFonts w:ascii="Traditional Arabic" w:hAnsi="Traditional Arabic" w:cs="Traditional Arabic" w:hint="cs"/>
          <w:sz w:val="28"/>
          <w:szCs w:val="28"/>
          <w:rtl/>
        </w:rPr>
        <w:t>6</w:t>
      </w:r>
      <w:r>
        <w:rPr>
          <w:rFonts w:ascii="Traditional Arabic" w:hAnsi="Traditional Arabic" w:cs="Traditional Arabic"/>
          <w:sz w:val="28"/>
          <w:szCs w:val="28"/>
          <w:rtl/>
        </w:rPr>
        <w:t xml:space="preserve"> مدارس حكومية متوسطة من إدارة تعليم </w:t>
      </w:r>
      <w:r>
        <w:rPr>
          <w:rFonts w:ascii="Traditional Arabic" w:hAnsi="Traditional Arabic" w:cs="Traditional Arabic" w:hint="cs"/>
          <w:sz w:val="28"/>
          <w:szCs w:val="28"/>
          <w:rtl/>
        </w:rPr>
        <w:t>الرياض</w:t>
      </w:r>
      <w:r>
        <w:rPr>
          <w:rFonts w:ascii="Traditional Arabic" w:hAnsi="Traditional Arabic" w:cs="Traditional Arabic"/>
          <w:sz w:val="28"/>
          <w:szCs w:val="28"/>
          <w:rtl/>
        </w:rPr>
        <w:t xml:space="preserve">، ثم وزعت المدارس إلى </w:t>
      </w:r>
      <w:r>
        <w:rPr>
          <w:rFonts w:ascii="Traditional Arabic" w:hAnsi="Traditional Arabic" w:cs="Traditional Arabic" w:hint="cs"/>
          <w:sz w:val="28"/>
          <w:szCs w:val="28"/>
          <w:rtl/>
        </w:rPr>
        <w:t>3</w:t>
      </w:r>
      <w:r>
        <w:rPr>
          <w:rFonts w:ascii="Traditional Arabic" w:hAnsi="Traditional Arabic" w:cs="Traditional Arabic"/>
          <w:sz w:val="28"/>
          <w:szCs w:val="28"/>
          <w:rtl/>
        </w:rPr>
        <w:t>مدارس تجريبية و</w:t>
      </w:r>
      <w:r>
        <w:rPr>
          <w:rFonts w:ascii="Traditional Arabic" w:hAnsi="Traditional Arabic" w:cs="Traditional Arabic" w:hint="cs"/>
          <w:sz w:val="28"/>
          <w:szCs w:val="28"/>
          <w:rtl/>
        </w:rPr>
        <w:t>3</w:t>
      </w:r>
      <w:r>
        <w:rPr>
          <w:rFonts w:ascii="Traditional Arabic" w:hAnsi="Traditional Arabic" w:cs="Traditional Arabic"/>
          <w:sz w:val="28"/>
          <w:szCs w:val="28"/>
          <w:rtl/>
        </w:rPr>
        <w:t xml:space="preserve"> مدارس ضابطة، مع مراعاة تقاربها في عدد الطلاب والخصائص التعليمية ونتائج التحصيل السابقة. واشتملت العينة على </w:t>
      </w:r>
      <w:r>
        <w:rPr>
          <w:rFonts w:ascii="Traditional Arabic" w:hAnsi="Traditional Arabic" w:cs="Traditional Arabic" w:hint="cs"/>
          <w:sz w:val="28"/>
          <w:szCs w:val="28"/>
          <w:rtl/>
        </w:rPr>
        <w:t>6</w:t>
      </w:r>
      <w:r>
        <w:rPr>
          <w:rFonts w:ascii="Traditional Arabic" w:hAnsi="Traditional Arabic" w:cs="Traditional Arabic"/>
          <w:sz w:val="28"/>
          <w:szCs w:val="28"/>
          <w:rtl/>
        </w:rPr>
        <w:t xml:space="preserve"> من قادة المدارس، و</w:t>
      </w:r>
      <w:r>
        <w:rPr>
          <w:rFonts w:ascii="Traditional Arabic" w:hAnsi="Traditional Arabic" w:cs="Traditional Arabic" w:hint="cs"/>
          <w:sz w:val="28"/>
          <w:szCs w:val="28"/>
          <w:rtl/>
        </w:rPr>
        <w:t>12</w:t>
      </w:r>
      <w:r>
        <w:rPr>
          <w:rFonts w:ascii="Traditional Arabic" w:hAnsi="Traditional Arabic" w:cs="Traditional Arabic"/>
          <w:sz w:val="28"/>
          <w:szCs w:val="28"/>
          <w:rtl/>
        </w:rPr>
        <w:t xml:space="preserve"> من معلمي مادة </w:t>
      </w:r>
      <w:r>
        <w:rPr>
          <w:rFonts w:ascii="Traditional Arabic" w:hAnsi="Traditional Arabic" w:cs="Traditional Arabic" w:hint="cs"/>
          <w:sz w:val="28"/>
          <w:szCs w:val="28"/>
          <w:rtl/>
        </w:rPr>
        <w:t>الرياضيات</w:t>
      </w:r>
      <w:r>
        <w:rPr>
          <w:rFonts w:ascii="Traditional Arabic" w:hAnsi="Traditional Arabic" w:cs="Traditional Arabic"/>
          <w:sz w:val="28"/>
          <w:szCs w:val="28"/>
          <w:rtl/>
        </w:rPr>
        <w:t>، و</w:t>
      </w:r>
      <w:r>
        <w:rPr>
          <w:rFonts w:ascii="Traditional Arabic" w:hAnsi="Traditional Arabic" w:cs="Traditional Arabic" w:hint="cs"/>
          <w:sz w:val="28"/>
          <w:szCs w:val="28"/>
          <w:rtl/>
        </w:rPr>
        <w:t>180</w:t>
      </w:r>
      <w:r>
        <w:rPr>
          <w:rFonts w:ascii="Traditional Arabic" w:hAnsi="Traditional Arabic" w:cs="Traditional Arabic"/>
          <w:sz w:val="28"/>
          <w:szCs w:val="28"/>
          <w:rtl/>
        </w:rPr>
        <w:t xml:space="preserve"> من طلاب الصف </w:t>
      </w:r>
      <w:r>
        <w:rPr>
          <w:rFonts w:ascii="Traditional Arabic" w:hAnsi="Traditional Arabic" w:cs="Traditional Arabic" w:hint="cs"/>
          <w:sz w:val="28"/>
          <w:szCs w:val="28"/>
          <w:rtl/>
        </w:rPr>
        <w:t>ثاني متوسط</w:t>
      </w:r>
      <w:r>
        <w:rPr>
          <w:rFonts w:ascii="Traditional Arabic" w:hAnsi="Traditional Arabic" w:cs="Traditional Arabic"/>
          <w:sz w:val="28"/>
          <w:szCs w:val="28"/>
          <w:rtl/>
        </w:rPr>
        <w:t>. وتمثل المدرسة وحدة توزيع التدخل التجريبي، وليس الطالب منفردًا، للحد من انتقال أثر التدريب بين المجموعتين</w:t>
      </w:r>
      <w:r>
        <w:rPr>
          <w:rFonts w:ascii="Traditional Arabic" w:hAnsi="Traditional Arabic" w:cs="Traditional Arabic"/>
          <w:sz w:val="28"/>
          <w:szCs w:val="28"/>
        </w:rPr>
        <w:t>.</w:t>
      </w:r>
    </w:p>
    <w:p w14:paraId="258F75C3"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b/>
          <w:bCs/>
          <w:sz w:val="28"/>
          <w:szCs w:val="28"/>
          <w:rtl/>
        </w:rPr>
        <w:t>عينة الدراسة وتصميمها التجريبي</w:t>
      </w:r>
    </w:p>
    <w:p w14:paraId="0BA58F30" w14:textId="77777777" w:rsidR="00491E5B" w:rsidRDefault="00E91EBB">
      <w:pPr>
        <w:tabs>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rtl/>
        </w:rPr>
        <w:t>تتكون عينة الدراسة من مجموعتين من طلاب المرحلة المتوسطة في المدارس الحكومية بمدينة الرياض، حيث تم تقسيمهم إلى</w:t>
      </w:r>
    </w:p>
    <w:p w14:paraId="6972D3A4"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المجموعة التجريبية</w:t>
      </w:r>
    </w:p>
    <w:p w14:paraId="752E250C" w14:textId="77777777" w:rsidR="00491E5B" w:rsidRDefault="00E91EBB">
      <w:pPr>
        <w:tabs>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تتكون من قيادات المدارس ومعلميها وطلابها الذين يطبق في مدارسهم النموذج القيادي التكاملي المقترح. وتبدأ عملية التطبيق بتدريب القيادات المدرسية، ثم تدريب المعلمين ودعمهم في اتخاذ قرارات التمايز التعليمي، وبعد ذلك ينفذ المعلمون الأنشطة والممارسات المتمايزة داخل الصفوف، ويقاس أثر ذلك في تحصيل الطلاب</w:t>
      </w:r>
      <w:r>
        <w:rPr>
          <w:rFonts w:ascii="Traditional Arabic" w:hAnsi="Traditional Arabic" w:cs="Traditional Arabic"/>
          <w:sz w:val="28"/>
          <w:szCs w:val="28"/>
          <w:highlight w:val="yellow"/>
        </w:rPr>
        <w:t>.</w:t>
      </w:r>
    </w:p>
    <w:p w14:paraId="065041D6"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المجموعة الضابطة</w:t>
      </w:r>
    </w:p>
    <w:p w14:paraId="4FFA679D" w14:textId="77777777" w:rsidR="00491E5B" w:rsidRDefault="00E91EBB">
      <w:pPr>
        <w:tabs>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تتكون من قيادات المدارس ومعلميها وطلابها الذين تستمر مدارسهم في تطبيق الممارسات القيادية والتدريسية المعتادة، دون استخدام النموذج القيادي التكاملي المقترح القائم على الذكاء الاصطناعي التوليدي، وذلك بهدف مقارنة نتائجها بنتائج المجموعة التجريبية</w:t>
      </w:r>
      <w:r>
        <w:rPr>
          <w:rFonts w:ascii="Traditional Arabic" w:hAnsi="Traditional Arabic" w:cs="Traditional Arabic"/>
          <w:sz w:val="28"/>
          <w:szCs w:val="28"/>
          <w:highlight w:val="yellow"/>
        </w:rPr>
        <w:t>.</w:t>
      </w:r>
    </w:p>
    <w:p w14:paraId="5465C6B4"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b/>
          <w:bCs/>
          <w:sz w:val="28"/>
          <w:szCs w:val="28"/>
          <w:rtl/>
        </w:rPr>
        <w:t>تصميم التجربة</w:t>
      </w:r>
    </w:p>
    <w:p w14:paraId="5F84CAF8" w14:textId="77777777" w:rsidR="00491E5B" w:rsidRDefault="00E91EBB">
      <w:p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b/>
          <w:bCs/>
          <w:sz w:val="28"/>
          <w:szCs w:val="28"/>
          <w:highlight w:val="yellow"/>
          <w:rtl/>
        </w:rPr>
        <w:t>تصميم التجربة</w:t>
      </w:r>
    </w:p>
    <w:p w14:paraId="046B754C" w14:textId="77777777" w:rsidR="00491E5B" w:rsidRDefault="00E91EBB">
      <w:p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تعتمد الدراسة تصميمًا شبه تجريبي عنقوديًا قائمًا على مجموعتين تجريبية وضابطة، مع تطبيق القياسين القبلي والبعدي. وتمثل المدرسة وحدة تطبيق التدخل، حيث يطبق النموذج على القيادة المدرسية والمعلمين، ولا يطبق مباشرة على الطلاب</w:t>
      </w:r>
      <w:r>
        <w:rPr>
          <w:rFonts w:ascii="Traditional Arabic" w:hAnsi="Traditional Arabic" w:cs="Traditional Arabic"/>
          <w:sz w:val="28"/>
          <w:szCs w:val="28"/>
          <w:highlight w:val="yellow"/>
        </w:rPr>
        <w:t>.</w:t>
      </w:r>
    </w:p>
    <w:p w14:paraId="297F98FC" w14:textId="77777777" w:rsidR="00491E5B" w:rsidRDefault="00E91EBB">
      <w:p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ويتم التنفيذ وفق التسلسل الآتي</w:t>
      </w:r>
      <w:r>
        <w:rPr>
          <w:rFonts w:ascii="Traditional Arabic" w:hAnsi="Traditional Arabic" w:cs="Traditional Arabic"/>
          <w:sz w:val="28"/>
          <w:szCs w:val="28"/>
          <w:highlight w:val="yellow"/>
        </w:rPr>
        <w:t>:</w:t>
      </w:r>
    </w:p>
    <w:p w14:paraId="1F1CD41D"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تطبيق القياسات القبلية على المعلمين والطلاب</w:t>
      </w:r>
      <w:r>
        <w:rPr>
          <w:rFonts w:ascii="Traditional Arabic" w:hAnsi="Traditional Arabic" w:cs="Traditional Arabic"/>
          <w:sz w:val="28"/>
          <w:szCs w:val="28"/>
          <w:highlight w:val="yellow"/>
        </w:rPr>
        <w:t xml:space="preserve">. </w:t>
      </w:r>
    </w:p>
    <w:p w14:paraId="30022AD6"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تدريب قيادات المدارس التجريبية على مكونات النموذج وإجراءاته</w:t>
      </w:r>
      <w:r>
        <w:rPr>
          <w:rFonts w:ascii="Traditional Arabic" w:hAnsi="Traditional Arabic" w:cs="Traditional Arabic"/>
          <w:sz w:val="28"/>
          <w:szCs w:val="28"/>
          <w:highlight w:val="yellow"/>
        </w:rPr>
        <w:t xml:space="preserve">. </w:t>
      </w:r>
    </w:p>
    <w:p w14:paraId="5E322676"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تدريب المعلمين على استخدام تطبيقات الذكاء الاصطناعي التوليدي في إعداد بدائل تعليمية متمايزة</w:t>
      </w:r>
      <w:r>
        <w:rPr>
          <w:rFonts w:ascii="Traditional Arabic" w:hAnsi="Traditional Arabic" w:cs="Traditional Arabic"/>
          <w:sz w:val="28"/>
          <w:szCs w:val="28"/>
          <w:highlight w:val="yellow"/>
        </w:rPr>
        <w:t xml:space="preserve">. </w:t>
      </w:r>
    </w:p>
    <w:p w14:paraId="44FA6B16"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تحليل بيانات تعلم الطلاب بعد إخفاء البيانات التي تكشف هويتهم</w:t>
      </w:r>
      <w:r>
        <w:rPr>
          <w:rFonts w:ascii="Traditional Arabic" w:hAnsi="Traditional Arabic" w:cs="Traditional Arabic"/>
          <w:sz w:val="28"/>
          <w:szCs w:val="28"/>
          <w:highlight w:val="yellow"/>
        </w:rPr>
        <w:t xml:space="preserve">. </w:t>
      </w:r>
    </w:p>
    <w:p w14:paraId="55EB0C40"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مراجعة القيادة المدرسية والمعلمين للمقترحات الناتجة عن تطبيقات الذكاء الاصطناعي</w:t>
      </w:r>
      <w:r>
        <w:rPr>
          <w:rFonts w:ascii="Traditional Arabic" w:hAnsi="Traditional Arabic" w:cs="Traditional Arabic"/>
          <w:sz w:val="28"/>
          <w:szCs w:val="28"/>
          <w:highlight w:val="yellow"/>
        </w:rPr>
        <w:t xml:space="preserve">. </w:t>
      </w:r>
    </w:p>
    <w:p w14:paraId="3541C440"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اتخاذ قرارات التمايز التعليمي المناسبة</w:t>
      </w:r>
      <w:r>
        <w:rPr>
          <w:rFonts w:ascii="Traditional Arabic" w:hAnsi="Traditional Arabic" w:cs="Traditional Arabic"/>
          <w:sz w:val="28"/>
          <w:szCs w:val="28"/>
          <w:highlight w:val="yellow"/>
        </w:rPr>
        <w:t xml:space="preserve">. </w:t>
      </w:r>
    </w:p>
    <w:p w14:paraId="37128C4A"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 xml:space="preserve">تنفيذ المعلمين الأنشطة والممارسات المتمايزة داخل الصفوف لمدة </w:t>
      </w:r>
      <w:r>
        <w:rPr>
          <w:rFonts w:ascii="Traditional Arabic" w:hAnsi="Traditional Arabic" w:cs="Traditional Arabic" w:hint="cs"/>
          <w:b/>
          <w:bCs/>
          <w:sz w:val="28"/>
          <w:szCs w:val="28"/>
          <w:highlight w:val="yellow"/>
          <w:rtl/>
        </w:rPr>
        <w:t>( ثمانية أسابيع دراسية )</w:t>
      </w:r>
      <w:r>
        <w:rPr>
          <w:rFonts w:ascii="Traditional Arabic" w:hAnsi="Traditional Arabic" w:cs="Traditional Arabic"/>
          <w:sz w:val="28"/>
          <w:szCs w:val="28"/>
          <w:highlight w:val="yellow"/>
        </w:rPr>
        <w:t xml:space="preserve">. </w:t>
      </w:r>
    </w:p>
    <w:p w14:paraId="5D9CBFD5"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متابعة مستوى التنفيذ باستخدام بطاقة الملاحظة وسجلات المتابعة</w:t>
      </w:r>
      <w:r>
        <w:rPr>
          <w:rFonts w:ascii="Traditional Arabic" w:hAnsi="Traditional Arabic" w:cs="Traditional Arabic"/>
          <w:sz w:val="28"/>
          <w:szCs w:val="28"/>
          <w:highlight w:val="yellow"/>
        </w:rPr>
        <w:t xml:space="preserve">. </w:t>
      </w:r>
    </w:p>
    <w:p w14:paraId="61783D1F"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lastRenderedPageBreak/>
        <w:t>تطبيق القياسات البعدية على المعلمين والطلاب</w:t>
      </w:r>
      <w:r>
        <w:rPr>
          <w:rFonts w:ascii="Traditional Arabic" w:hAnsi="Traditional Arabic" w:cs="Traditional Arabic"/>
          <w:sz w:val="28"/>
          <w:szCs w:val="28"/>
          <w:highlight w:val="yellow"/>
        </w:rPr>
        <w:t xml:space="preserve">. </w:t>
      </w:r>
    </w:p>
    <w:p w14:paraId="5CCDB9EF"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مقارنة نتائج المجموعتين بعد ضبط نتائج القياسات القبلية</w:t>
      </w:r>
      <w:r>
        <w:rPr>
          <w:rFonts w:ascii="Traditional Arabic" w:hAnsi="Traditional Arabic" w:cs="Traditional Arabic"/>
          <w:sz w:val="28"/>
          <w:szCs w:val="28"/>
          <w:highlight w:val="yellow"/>
        </w:rPr>
        <w:t xml:space="preserve">. </w:t>
      </w:r>
    </w:p>
    <w:p w14:paraId="5B62E056"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ولا تستخدم أسماء الطلاب أو أرقامهم أو أي بيانات تحدد هويتهم عند التعامل مع تطبيقات الذكاء الاصطناعي، كما تخضع جميع المخرجات للمراجعة البشرية قبل استخدامها، وتظل المسؤولية النهائية عن القرار التعليمي للقيادة المدرسية والمعلم</w:t>
      </w:r>
      <w:r>
        <w:rPr>
          <w:rFonts w:ascii="Traditional Arabic" w:hAnsi="Traditional Arabic" w:cs="Traditional Arabic"/>
          <w:sz w:val="28"/>
          <w:szCs w:val="28"/>
          <w:highlight w:val="yellow"/>
        </w:rPr>
        <w:t>.</w:t>
      </w:r>
    </w:p>
    <w:p w14:paraId="7B452D43" w14:textId="77777777" w:rsidR="00491E5B" w:rsidRDefault="00E91EBB">
      <w:pPr>
        <w:keepNext/>
        <w:tabs>
          <w:tab w:val="right" w:pos="9927"/>
        </w:tabs>
        <w:bidi/>
        <w:spacing w:before="138"/>
        <w:ind w:right="142"/>
        <w:jc w:val="both"/>
        <w:rPr>
          <w:rFonts w:ascii="Traditional Arabic" w:hAnsi="Traditional Arabic" w:cs="Traditional Arabic"/>
          <w:sz w:val="28"/>
          <w:szCs w:val="28"/>
        </w:rPr>
      </w:pPr>
      <w:r>
        <w:rPr>
          <w:rFonts w:ascii="Traditional Arabic" w:hAnsi="Traditional Arabic" w:cs="Traditional Arabic"/>
          <w:b/>
          <w:bCs/>
          <w:noProof/>
          <w:sz w:val="32"/>
          <w:szCs w:val="32"/>
        </w:rPr>
        <mc:AlternateContent>
          <mc:Choice Requires="wps">
            <w:drawing>
              <wp:anchor distT="0" distB="0" distL="0" distR="0" simplePos="0" relativeHeight="251659264" behindDoc="0" locked="0" layoutInCell="1" allowOverlap="1" wp14:anchorId="6269BCE4" wp14:editId="0D807130">
                <wp:simplePos x="0" y="0"/>
                <wp:positionH relativeFrom="page">
                  <wp:posOffset>0</wp:posOffset>
                </wp:positionH>
                <wp:positionV relativeFrom="page">
                  <wp:posOffset>10217785</wp:posOffset>
                </wp:positionV>
                <wp:extent cx="4540250" cy="473710"/>
                <wp:effectExtent l="0" t="0" r="0" b="0"/>
                <wp:wrapNone/>
                <wp:docPr id="72" name="Graphic 72"/>
                <wp:cNvGraphicFramePr/>
                <a:graphic xmlns:a="http://schemas.openxmlformats.org/drawingml/2006/main">
                  <a:graphicData uri="http://schemas.microsoft.com/office/word/2010/wordprocessingShape">
                    <wps:wsp>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noAutofit/>
                      </wps:bodyPr>
                    </wps:wsp>
                  </a:graphicData>
                </a:graphic>
              </wp:anchor>
            </w:drawing>
          </mc:Choice>
          <mc:Fallback xmlns:wpsCustomData="http://www.wps.cn/officeDocument/2013/wpsCustomData">
            <w:pict>
              <v:shape id="Graphic 72" o:spid="_x0000_s1026" o:spt="100" style="position:absolute;left:0pt;margin-left:0pt;margin-top:804.55pt;height:37.3pt;width:357.5pt;mso-position-horizontal-relative:page;mso-position-vertical-relative:page;z-index:251665408;mso-width-relative:page;mso-height-relative:page;" fillcolor="#45CFFF" filled="t" stroked="f" coordsize="4540250,473709" o:gfxdata="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" path="m2789739,0l0,0,0,473595,4539706,473595,4522685,463627,4480273,439580,4437537,416138,4394485,393301,4351122,371074,4307455,349460,4263491,328461,4219237,308081,4174699,288324,4129885,269191,4084800,250687,4039452,232814,3993846,215576,3947991,198975,3901892,183015,3855556,167699,3808989,153030,3762200,139012,3715193,125646,3667976,112938,3620556,100888,3572938,89502,3525131,78781,3477140,68729,3428973,59349,3380635,50645,3332133,42619,3283475,35274,3234667,28614,3185715,22642,3136627,17361,3087408,12774,3038066,8883,2988608,5694,2939039,3207,2889367,1427,2839598,357,2789739,0xe">
                <v:fill on="t" opacity="43253f" focussize="0,0"/>
                <v:stroke on="f"/>
                <v:imagedata o:title=""/>
                <o:lock v:ext="edit" aspectratio="f"/>
                <v:textbox inset="0mm,0mm,0mm,0mm"/>
              </v:shape>
            </w:pict>
          </mc:Fallback>
        </mc:AlternateContent>
      </w:r>
      <w:r>
        <w:rPr>
          <w:rFonts w:ascii="Traditional Arabic" w:hAnsi="Traditional Arabic" w:cs="Traditional Arabic"/>
          <w:b/>
          <w:bCs/>
          <w:w w:val="75"/>
          <w:sz w:val="32"/>
          <w:szCs w:val="32"/>
          <w:rtl/>
        </w:rPr>
        <w:t>ﺣﺪود</w:t>
      </w:r>
      <w:r>
        <w:rPr>
          <w:rFonts w:ascii="Traditional Arabic" w:hAnsi="Traditional Arabic" w:cs="Traditional Arabic" w:hint="cs"/>
          <w:b/>
          <w:bCs/>
          <w:w w:val="75"/>
          <w:sz w:val="32"/>
          <w:szCs w:val="32"/>
          <w:rtl/>
        </w:rPr>
        <w:t xml:space="preserve"> </w:t>
      </w:r>
      <w:r>
        <w:rPr>
          <w:rFonts w:ascii="Traditional Arabic" w:hAnsi="Traditional Arabic" w:cs="Traditional Arabic"/>
          <w:b/>
          <w:bCs/>
          <w:spacing w:val="-64"/>
          <w:w w:val="75"/>
          <w:sz w:val="32"/>
          <w:szCs w:val="32"/>
          <w:rtl/>
        </w:rPr>
        <w:t xml:space="preserve"> </w:t>
      </w:r>
      <w:r>
        <w:rPr>
          <w:rFonts w:ascii="Traditional Arabic" w:hAnsi="Traditional Arabic" w:cs="Traditional Arabic"/>
          <w:b/>
          <w:bCs/>
          <w:w w:val="75"/>
          <w:sz w:val="32"/>
          <w:szCs w:val="32"/>
          <w:rtl/>
        </w:rPr>
        <w:t>اﻟﺪراﺳﺔ</w:t>
      </w:r>
      <w:r>
        <w:rPr>
          <w:rFonts w:ascii="Traditional Arabic" w:hAnsi="Traditional Arabic" w:cs="Traditional Arabic"/>
          <w:b/>
          <w:bCs/>
          <w:w w:val="75"/>
          <w:sz w:val="32"/>
          <w:szCs w:val="32"/>
        </w:rPr>
        <w:t xml:space="preserve"> :</w:t>
      </w:r>
      <w:r>
        <w:rPr>
          <w:rFonts w:ascii="Traditional Arabic" w:hAnsi="Traditional Arabic" w:cs="Traditional Arabic"/>
          <w:b/>
          <w:bCs/>
          <w:spacing w:val="-64"/>
          <w:w w:val="75"/>
          <w:sz w:val="32"/>
          <w:szCs w:val="32"/>
          <w:rtl/>
        </w:rPr>
        <w:t xml:space="preserve"> </w:t>
      </w:r>
      <w:r>
        <w:rPr>
          <w:rFonts w:ascii="Traditional Arabic" w:hAnsi="Traditional Arabic" w:cs="Traditional Arabic"/>
          <w:b/>
          <w:bCs/>
          <w:w w:val="75"/>
          <w:sz w:val="32"/>
          <w:szCs w:val="32"/>
        </w:rPr>
        <w:t>)</w:t>
      </w:r>
      <w:r>
        <w:rPr>
          <w:rFonts w:ascii="Traditional Arabic" w:hAnsi="Traditional Arabic" w:cs="Traditional Arabic"/>
          <w:b/>
          <w:bCs/>
          <w:w w:val="75"/>
          <w:sz w:val="32"/>
          <w:szCs w:val="32"/>
          <w:rtl/>
        </w:rPr>
        <w:t>اﻟﻤﻜﺎﻧﻴﺔ</w:t>
      </w:r>
      <w:r>
        <w:rPr>
          <w:rFonts w:ascii="Traditional Arabic" w:hAnsi="Traditional Arabic" w:cs="Traditional Arabic"/>
          <w:b/>
          <w:bCs/>
          <w:spacing w:val="-64"/>
          <w:w w:val="75"/>
          <w:sz w:val="32"/>
          <w:szCs w:val="32"/>
          <w:rtl/>
        </w:rPr>
        <w:t xml:space="preserve"> </w:t>
      </w:r>
      <w:r>
        <w:rPr>
          <w:rFonts w:ascii="Traditional Arabic" w:hAnsi="Traditional Arabic" w:cs="Traditional Arabic" w:hint="cs"/>
          <w:b/>
          <w:bCs/>
          <w:w w:val="75"/>
          <w:sz w:val="32"/>
          <w:szCs w:val="32"/>
          <w:rtl/>
        </w:rPr>
        <w:t xml:space="preserve"> </w:t>
      </w:r>
      <w:r>
        <w:rPr>
          <w:rFonts w:ascii="Traditional Arabic" w:hAnsi="Traditional Arabic" w:cs="Traditional Arabic"/>
          <w:b/>
          <w:bCs/>
          <w:w w:val="75"/>
          <w:sz w:val="32"/>
          <w:szCs w:val="32"/>
          <w:rtl/>
        </w:rPr>
        <w:t>واﻟﺰﻣﺎﻧﻴﺔ</w:t>
      </w:r>
      <w:r>
        <w:rPr>
          <w:rFonts w:ascii="Traditional Arabic" w:hAnsi="Traditional Arabic" w:cs="Traditional Arabic" w:hint="cs"/>
          <w:b/>
          <w:bCs/>
          <w:w w:val="75"/>
          <w:sz w:val="32"/>
          <w:szCs w:val="32"/>
          <w:rtl/>
        </w:rPr>
        <w:t xml:space="preserve"> </w:t>
      </w:r>
      <w:r>
        <w:rPr>
          <w:rFonts w:ascii="Traditional Arabic" w:hAnsi="Traditional Arabic" w:cs="Traditional Arabic"/>
          <w:b/>
          <w:bCs/>
          <w:spacing w:val="-64"/>
          <w:w w:val="75"/>
          <w:sz w:val="32"/>
          <w:szCs w:val="32"/>
          <w:rtl/>
        </w:rPr>
        <w:t xml:space="preserve"> </w:t>
      </w:r>
      <w:r>
        <w:rPr>
          <w:rFonts w:ascii="Traditional Arabic" w:hAnsi="Traditional Arabic" w:cs="Traditional Arabic"/>
          <w:b/>
          <w:bCs/>
          <w:w w:val="75"/>
          <w:sz w:val="32"/>
          <w:szCs w:val="32"/>
          <w:rtl/>
        </w:rPr>
        <w:t>واﻟﺒشرﻳﺔ</w:t>
      </w:r>
      <w:r>
        <w:rPr>
          <w:rFonts w:ascii="Traditional Arabic" w:hAnsi="Traditional Arabic" w:cs="Traditional Arabic"/>
          <w:b/>
          <w:bCs/>
          <w:w w:val="75"/>
          <w:sz w:val="32"/>
          <w:szCs w:val="32"/>
        </w:rPr>
        <w:t>(</w:t>
      </w:r>
    </w:p>
    <w:p w14:paraId="27E6645E"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4CA53BBF" w14:textId="77777777" w:rsidR="00491E5B" w:rsidRDefault="00E91EBB">
      <w:pPr>
        <w:pStyle w:val="BodyText"/>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الحدود المكانية</w:t>
      </w:r>
    </w:p>
    <w:p w14:paraId="79F1E0CE"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تقتصر الدراسة مكانيًا على عدد من المدارس الحكومية المتوسطة التابعة لإدارة تعليم </w:t>
      </w:r>
      <w:r>
        <w:rPr>
          <w:rFonts w:ascii="Traditional Arabic" w:hAnsi="Traditional Arabic" w:cs="Traditional Arabic" w:hint="cs"/>
          <w:sz w:val="28"/>
          <w:szCs w:val="28"/>
          <w:rtl/>
        </w:rPr>
        <w:t>الرياض</w:t>
      </w:r>
      <w:r>
        <w:rPr>
          <w:rFonts w:ascii="Traditional Arabic" w:hAnsi="Traditional Arabic" w:cs="Traditional Arabic"/>
          <w:sz w:val="28"/>
          <w:szCs w:val="28"/>
        </w:rPr>
        <w:t>.</w:t>
      </w:r>
    </w:p>
    <w:p w14:paraId="4F4A378B"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6D41C14F" w14:textId="77777777" w:rsidR="00491E5B" w:rsidRDefault="00E91EBB">
      <w:pPr>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الحدود الزمانية</w:t>
      </w:r>
    </w:p>
    <w:p w14:paraId="0EA1F088"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تطبق الدراسة خلال الفصل الدراسي </w:t>
      </w:r>
      <w:r>
        <w:rPr>
          <w:rFonts w:ascii="Traditional Arabic" w:hAnsi="Traditional Arabic" w:cs="Traditional Arabic" w:hint="cs"/>
          <w:sz w:val="28"/>
          <w:szCs w:val="28"/>
          <w:rtl/>
        </w:rPr>
        <w:t>الاول</w:t>
      </w:r>
      <w:r>
        <w:rPr>
          <w:rFonts w:ascii="Traditional Arabic" w:hAnsi="Traditional Arabic" w:cs="Traditional Arabic"/>
          <w:sz w:val="28"/>
          <w:szCs w:val="28"/>
          <w:rtl/>
        </w:rPr>
        <w:t xml:space="preserve"> من العام الدراسي 1448/1449هـ – 2026/2027م</w:t>
      </w:r>
      <w:r>
        <w:rPr>
          <w:rFonts w:ascii="Traditional Arabic" w:hAnsi="Traditional Arabic" w:cs="Traditional Arabic"/>
          <w:sz w:val="28"/>
          <w:szCs w:val="28"/>
        </w:rPr>
        <w:t>.</w:t>
      </w:r>
    </w:p>
    <w:p w14:paraId="75955C68" w14:textId="77777777" w:rsidR="00491E5B" w:rsidRDefault="00E91EBB">
      <w:pPr>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الحدود البشرية</w:t>
      </w:r>
    </w:p>
    <w:p w14:paraId="7E06FB29" w14:textId="77777777" w:rsidR="00491E5B" w:rsidRDefault="00E91EBB">
      <w:pPr>
        <w:tabs>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تقتصر الدراسة بشريًا على قادة المدارس الحكومية المتوسطة، ومعلمي مادة </w:t>
      </w:r>
      <w:r>
        <w:rPr>
          <w:rFonts w:ascii="Traditional Arabic" w:hAnsi="Traditional Arabic" w:cs="Traditional Arabic" w:hint="cs"/>
          <w:sz w:val="28"/>
          <w:szCs w:val="28"/>
          <w:rtl/>
        </w:rPr>
        <w:t xml:space="preserve">الرياضيات </w:t>
      </w:r>
      <w:r>
        <w:rPr>
          <w:rFonts w:ascii="Traditional Arabic" w:hAnsi="Traditional Arabic" w:cs="Traditional Arabic"/>
          <w:sz w:val="28"/>
          <w:szCs w:val="28"/>
          <w:rtl/>
        </w:rPr>
        <w:t xml:space="preserve">، وطلاب الصف </w:t>
      </w:r>
      <w:r>
        <w:rPr>
          <w:rFonts w:ascii="Traditional Arabic" w:hAnsi="Traditional Arabic" w:cs="Traditional Arabic" w:hint="cs"/>
          <w:sz w:val="28"/>
          <w:szCs w:val="28"/>
          <w:rtl/>
        </w:rPr>
        <w:t xml:space="preserve">الثاني متوسط </w:t>
      </w:r>
      <w:r>
        <w:rPr>
          <w:rFonts w:ascii="Traditional Arabic" w:hAnsi="Traditional Arabic" w:cs="Traditional Arabic"/>
          <w:sz w:val="28"/>
          <w:szCs w:val="28"/>
          <w:rtl/>
        </w:rPr>
        <w:t>في المدارس المشمولة بالتطبيق</w:t>
      </w:r>
      <w:r>
        <w:rPr>
          <w:rFonts w:ascii="Traditional Arabic" w:hAnsi="Traditional Arabic" w:cs="Traditional Arabic"/>
          <w:sz w:val="28"/>
          <w:szCs w:val="28"/>
        </w:rPr>
        <w:t>.</w:t>
      </w:r>
    </w:p>
    <w:p w14:paraId="6CDE5DFC"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الحدود الموضوعية</w:t>
      </w:r>
    </w:p>
    <w:p w14:paraId="29C883C2"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تقتصر الدراسة موضوعيًا على بناء نموذج قيادي تكاملي مستند إلى نموذج هالينجر ومورفي، وتوظيف الذكاء الاصطناعي التوليدي في دعم قرارات التمايز التعليمي، وقياس أثر ذلك في ممارسات المعلمين والتحصيل الدراسي للطلاب</w:t>
      </w:r>
      <w:r>
        <w:rPr>
          <w:rFonts w:ascii="Traditional Arabic" w:hAnsi="Traditional Arabic" w:cs="Traditional Arabic"/>
          <w:sz w:val="28"/>
          <w:szCs w:val="28"/>
        </w:rPr>
        <w:t>.</w:t>
      </w:r>
    </w:p>
    <w:p w14:paraId="0C738305" w14:textId="77777777" w:rsidR="00491E5B" w:rsidRDefault="00E91EBB">
      <w:pPr>
        <w:keepNext/>
        <w:tabs>
          <w:tab w:val="right" w:pos="9927"/>
        </w:tabs>
        <w:bidi/>
        <w:ind w:left="96" w:right="142"/>
        <w:jc w:val="both"/>
        <w:rPr>
          <w:rFonts w:ascii="Traditional Arabic" w:hAnsi="Traditional Arabic" w:cs="Traditional Arabic"/>
          <w:b/>
          <w:bCs/>
          <w:sz w:val="32"/>
          <w:szCs w:val="32"/>
        </w:rPr>
      </w:pPr>
      <w:r>
        <w:rPr>
          <w:rFonts w:ascii="Traditional Arabic" w:hAnsi="Traditional Arabic" w:cs="Traditional Arabic"/>
          <w:b/>
          <w:bCs/>
          <w:w w:val="82"/>
          <w:sz w:val="32"/>
          <w:szCs w:val="32"/>
          <w:rtl/>
        </w:rPr>
        <w:t>وﺳﺎﺋﻞ</w:t>
      </w:r>
      <w:r>
        <w:rPr>
          <w:rFonts w:ascii="Traditional Arabic" w:hAnsi="Traditional Arabic" w:cs="Traditional Arabic"/>
          <w:b/>
          <w:bCs/>
          <w:spacing w:val="-79"/>
          <w:w w:val="82"/>
          <w:sz w:val="32"/>
          <w:szCs w:val="32"/>
          <w:rtl/>
        </w:rPr>
        <w:t xml:space="preserve"> </w:t>
      </w:r>
      <w:r>
        <w:rPr>
          <w:rFonts w:ascii="Traditional Arabic" w:hAnsi="Traditional Arabic" w:cs="Traditional Arabic" w:hint="cs"/>
          <w:b/>
          <w:bCs/>
          <w:w w:val="82"/>
          <w:sz w:val="32"/>
          <w:szCs w:val="32"/>
          <w:rtl/>
        </w:rPr>
        <w:t xml:space="preserve"> </w:t>
      </w:r>
      <w:r>
        <w:rPr>
          <w:rFonts w:ascii="Traditional Arabic" w:hAnsi="Traditional Arabic" w:cs="Traditional Arabic"/>
          <w:b/>
          <w:bCs/>
          <w:w w:val="82"/>
          <w:sz w:val="32"/>
          <w:szCs w:val="32"/>
          <w:rtl/>
        </w:rPr>
        <w:t>ﺟﻤﻊ</w:t>
      </w:r>
      <w:r>
        <w:rPr>
          <w:rFonts w:ascii="Traditional Arabic" w:hAnsi="Traditional Arabic" w:cs="Traditional Arabic"/>
          <w:b/>
          <w:bCs/>
          <w:spacing w:val="-79"/>
          <w:w w:val="82"/>
          <w:sz w:val="32"/>
          <w:szCs w:val="32"/>
          <w:rtl/>
        </w:rPr>
        <w:t xml:space="preserve"> </w:t>
      </w:r>
      <w:r>
        <w:rPr>
          <w:rFonts w:ascii="Traditional Arabic" w:hAnsi="Traditional Arabic" w:cs="Traditional Arabic" w:hint="cs"/>
          <w:b/>
          <w:bCs/>
          <w:w w:val="82"/>
          <w:sz w:val="32"/>
          <w:szCs w:val="32"/>
          <w:rtl/>
        </w:rPr>
        <w:t xml:space="preserve"> </w:t>
      </w:r>
      <w:r>
        <w:rPr>
          <w:rFonts w:ascii="Traditional Arabic" w:hAnsi="Traditional Arabic" w:cs="Traditional Arabic"/>
          <w:b/>
          <w:bCs/>
          <w:w w:val="82"/>
          <w:sz w:val="32"/>
          <w:szCs w:val="32"/>
          <w:rtl/>
        </w:rPr>
        <w:t>ﺑﻴﺎﻧﺎت</w:t>
      </w:r>
      <w:r>
        <w:rPr>
          <w:rFonts w:ascii="Traditional Arabic" w:hAnsi="Traditional Arabic" w:cs="Traditional Arabic" w:hint="cs"/>
          <w:b/>
          <w:bCs/>
          <w:w w:val="82"/>
          <w:sz w:val="32"/>
          <w:szCs w:val="32"/>
          <w:rtl/>
        </w:rPr>
        <w:t xml:space="preserve"> </w:t>
      </w:r>
      <w:r>
        <w:rPr>
          <w:rFonts w:ascii="Traditional Arabic" w:hAnsi="Traditional Arabic" w:cs="Traditional Arabic"/>
          <w:b/>
          <w:bCs/>
          <w:spacing w:val="-80"/>
          <w:w w:val="82"/>
          <w:sz w:val="32"/>
          <w:szCs w:val="32"/>
          <w:rtl/>
        </w:rPr>
        <w:t xml:space="preserve"> </w:t>
      </w:r>
      <w:r>
        <w:rPr>
          <w:rFonts w:ascii="Traditional Arabic" w:hAnsi="Traditional Arabic" w:cs="Traditional Arabic"/>
          <w:b/>
          <w:bCs/>
          <w:w w:val="82"/>
          <w:sz w:val="32"/>
          <w:szCs w:val="32"/>
          <w:rtl/>
        </w:rPr>
        <w:t>اﻟﺪراﺳﺔ</w:t>
      </w:r>
      <w:r>
        <w:rPr>
          <w:rFonts w:ascii="Traditional Arabic" w:hAnsi="Traditional Arabic" w:cs="Traditional Arabic"/>
          <w:b/>
          <w:bCs/>
          <w:w w:val="82"/>
          <w:sz w:val="32"/>
          <w:szCs w:val="32"/>
        </w:rPr>
        <w:t>:</w:t>
      </w:r>
    </w:p>
    <w:p w14:paraId="46760C9D"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39CECCE9"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استمارة تحليل الأدبيات وبناء مكونات النموذج</w:t>
      </w:r>
      <w:r>
        <w:rPr>
          <w:rFonts w:ascii="Traditional Arabic" w:hAnsi="Traditional Arabic" w:cs="Traditional Arabic"/>
          <w:sz w:val="28"/>
          <w:szCs w:val="28"/>
        </w:rPr>
        <w:t xml:space="preserve">. </w:t>
      </w:r>
    </w:p>
    <w:p w14:paraId="4D97D35F"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استبانة تحكيم النموذج القيادي المقترح من الخبراء</w:t>
      </w:r>
      <w:r>
        <w:rPr>
          <w:rFonts w:ascii="Traditional Arabic" w:hAnsi="Traditional Arabic" w:cs="Traditional Arabic"/>
          <w:sz w:val="28"/>
          <w:szCs w:val="28"/>
        </w:rPr>
        <w:t xml:space="preserve">. </w:t>
      </w:r>
    </w:p>
    <w:p w14:paraId="5494BD5A"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مقياس قرارات التمايز التعليمي لدى المعلمين</w:t>
      </w:r>
      <w:r>
        <w:rPr>
          <w:rFonts w:ascii="Traditional Arabic" w:hAnsi="Traditional Arabic" w:cs="Traditional Arabic"/>
          <w:sz w:val="28"/>
          <w:szCs w:val="28"/>
        </w:rPr>
        <w:t xml:space="preserve">. </w:t>
      </w:r>
    </w:p>
    <w:p w14:paraId="6930F75D"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بطاقة ملاحظة تطبيق ممارسات التمايز التعليمي داخل الصفوف</w:t>
      </w:r>
      <w:r>
        <w:rPr>
          <w:rFonts w:ascii="Traditional Arabic" w:hAnsi="Traditional Arabic" w:cs="Traditional Arabic"/>
          <w:sz w:val="28"/>
          <w:szCs w:val="28"/>
        </w:rPr>
        <w:t xml:space="preserve">. </w:t>
      </w:r>
    </w:p>
    <w:p w14:paraId="168EAA8A"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اختبار تحصيلي قبلي وبعدي للطلاب</w:t>
      </w:r>
      <w:r>
        <w:rPr>
          <w:rFonts w:ascii="Traditional Arabic" w:hAnsi="Traditional Arabic" w:cs="Traditional Arabic"/>
          <w:sz w:val="28"/>
          <w:szCs w:val="28"/>
        </w:rPr>
        <w:t xml:space="preserve">. </w:t>
      </w:r>
    </w:p>
    <w:p w14:paraId="7A313E5B"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سجل متابعة تطبيق النموذج في المدارس التجريبية</w:t>
      </w:r>
      <w:r>
        <w:rPr>
          <w:rFonts w:ascii="Traditional Arabic" w:hAnsi="Traditional Arabic" w:cs="Traditional Arabic"/>
          <w:sz w:val="28"/>
          <w:szCs w:val="28"/>
        </w:rPr>
        <w:t xml:space="preserve">. </w:t>
      </w:r>
    </w:p>
    <w:p w14:paraId="4E321B2D" w14:textId="77777777" w:rsidR="00491E5B" w:rsidRDefault="00E91EBB">
      <w:pPr>
        <w:tabs>
          <w:tab w:val="right" w:pos="9927"/>
        </w:tabs>
        <w:bidi/>
        <w:ind w:left="96" w:right="142"/>
        <w:jc w:val="both"/>
        <w:rPr>
          <w:rFonts w:ascii="Traditional Arabic" w:hAnsi="Traditional Arabic" w:cs="Traditional Arabic"/>
          <w:sz w:val="28"/>
          <w:szCs w:val="28"/>
        </w:rPr>
        <w:sectPr w:rsidR="00491E5B">
          <w:pgSz w:w="11910" w:h="16840"/>
          <w:pgMar w:top="1660" w:right="708" w:bottom="0" w:left="1133" w:header="720" w:footer="720" w:gutter="0"/>
          <w:cols w:space="720"/>
        </w:sectPr>
      </w:pPr>
      <w:r>
        <w:rPr>
          <w:rFonts w:ascii="Traditional Arabic" w:hAnsi="Traditional Arabic" w:cs="Traditional Arabic"/>
          <w:sz w:val="28"/>
          <w:szCs w:val="28"/>
          <w:rtl/>
        </w:rPr>
        <w:t>يتم التحقق من صدق الأدوات من خلال صدق المحتوى والتحكيم، والتحليل العاملي عند ملاءمته، كما يحسب الثبات باستخدام معامل ألفا كرونباخ للمقاييس، ومعامل اتفاق الملاحظين لبطاقة الملاحظة، ومعاملات الصعوبة والتمييز والثبات للاختبار التحصيلي</w:t>
      </w:r>
      <w:r>
        <w:rPr>
          <w:rFonts w:ascii="Traditional Arabic" w:hAnsi="Traditional Arabic" w:cs="Traditional Arabic"/>
          <w:sz w:val="28"/>
          <w:szCs w:val="28"/>
        </w:rPr>
        <w:t>.</w:t>
      </w:r>
    </w:p>
    <w:p w14:paraId="73495966" w14:textId="77777777" w:rsidR="00491E5B" w:rsidRDefault="00E91EBB">
      <w:pPr>
        <w:keepNext/>
        <w:tabs>
          <w:tab w:val="right" w:pos="9927"/>
        </w:tabs>
        <w:bidi/>
        <w:ind w:right="142"/>
        <w:jc w:val="both"/>
        <w:rPr>
          <w:rFonts w:ascii="Traditional Arabic" w:hAnsi="Traditional Arabic" w:cs="Traditional Arabic"/>
          <w:sz w:val="32"/>
          <w:szCs w:val="32"/>
        </w:rPr>
      </w:pPr>
      <w:r>
        <w:rPr>
          <w:rFonts w:ascii="Traditional Arabic" w:hAnsi="Traditional Arabic" w:cs="Traditional Arabic"/>
          <w:w w:val="86"/>
          <w:sz w:val="32"/>
          <w:szCs w:val="32"/>
          <w:rtl/>
        </w:rPr>
        <w:lastRenderedPageBreak/>
        <w:t>اﻟﻤﻌﺎﻟﺠﺎت</w:t>
      </w:r>
      <w:r>
        <w:rPr>
          <w:rFonts w:ascii="Traditional Arabic" w:hAnsi="Traditional Arabic" w:cs="Traditional Arabic" w:hint="cs"/>
          <w:w w:val="86"/>
          <w:sz w:val="32"/>
          <w:szCs w:val="32"/>
          <w:rtl/>
        </w:rPr>
        <w:t xml:space="preserve"> </w:t>
      </w:r>
      <w:r>
        <w:rPr>
          <w:rFonts w:ascii="Traditional Arabic" w:hAnsi="Traditional Arabic" w:cs="Traditional Arabic"/>
          <w:spacing w:val="-45"/>
          <w:w w:val="86"/>
          <w:sz w:val="32"/>
          <w:szCs w:val="32"/>
          <w:rtl/>
        </w:rPr>
        <w:t xml:space="preserve"> </w:t>
      </w:r>
      <w:r>
        <w:rPr>
          <w:rFonts w:ascii="Traditional Arabic" w:hAnsi="Traditional Arabic" w:cs="Traditional Arabic"/>
          <w:w w:val="86"/>
          <w:sz w:val="32"/>
          <w:szCs w:val="32"/>
          <w:rtl/>
        </w:rPr>
        <w:t>اﻹﺣﺼﺎﺋﻴﺔ</w:t>
      </w:r>
      <w:r>
        <w:rPr>
          <w:rFonts w:ascii="Traditional Arabic" w:hAnsi="Traditional Arabic" w:cs="Traditional Arabic"/>
          <w:spacing w:val="-45"/>
          <w:w w:val="86"/>
          <w:sz w:val="32"/>
          <w:szCs w:val="32"/>
          <w:rtl/>
        </w:rPr>
        <w:t xml:space="preserve"> </w:t>
      </w:r>
      <w:r>
        <w:rPr>
          <w:rFonts w:ascii="Traditional Arabic" w:hAnsi="Traditional Arabic" w:cs="Traditional Arabic" w:hint="cs"/>
          <w:w w:val="86"/>
          <w:sz w:val="32"/>
          <w:szCs w:val="32"/>
          <w:rtl/>
        </w:rPr>
        <w:t xml:space="preserve"> </w:t>
      </w:r>
      <w:r>
        <w:rPr>
          <w:rFonts w:ascii="Traditional Arabic" w:hAnsi="Traditional Arabic" w:cs="Traditional Arabic"/>
          <w:w w:val="86"/>
          <w:sz w:val="32"/>
          <w:szCs w:val="32"/>
          <w:rtl/>
        </w:rPr>
        <w:t>اﻟﻤﻘﱰﺣﺔ</w:t>
      </w:r>
      <w:r>
        <w:rPr>
          <w:rFonts w:ascii="Traditional Arabic" w:hAnsi="Traditional Arabic" w:cs="Traditional Arabic"/>
          <w:w w:val="86"/>
          <w:sz w:val="32"/>
          <w:szCs w:val="32"/>
        </w:rPr>
        <w:t>:</w:t>
      </w:r>
    </w:p>
    <w:p w14:paraId="5FF785E7"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35D8E5AE"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المتوسطات الحسابية والانحرافات المعيارية</w:t>
      </w:r>
      <w:r>
        <w:rPr>
          <w:rFonts w:ascii="Traditional Arabic" w:hAnsi="Traditional Arabic" w:cs="Traditional Arabic"/>
          <w:sz w:val="28"/>
          <w:szCs w:val="28"/>
        </w:rPr>
        <w:t xml:space="preserve">. </w:t>
      </w:r>
    </w:p>
    <w:p w14:paraId="5CF01A3A"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معامل ألفا كرونباخ لثبات المقاييس</w:t>
      </w:r>
      <w:r>
        <w:rPr>
          <w:rFonts w:ascii="Traditional Arabic" w:hAnsi="Traditional Arabic" w:cs="Traditional Arabic"/>
          <w:sz w:val="28"/>
          <w:szCs w:val="28"/>
        </w:rPr>
        <w:t xml:space="preserve">. </w:t>
      </w:r>
    </w:p>
    <w:p w14:paraId="022B10FF"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معامل اتفاق الملاحظين لبطاقة الملاحظة</w:t>
      </w:r>
      <w:r>
        <w:rPr>
          <w:rFonts w:ascii="Traditional Arabic" w:hAnsi="Traditional Arabic" w:cs="Traditional Arabic"/>
          <w:sz w:val="28"/>
          <w:szCs w:val="28"/>
        </w:rPr>
        <w:t xml:space="preserve">. </w:t>
      </w:r>
    </w:p>
    <w:p w14:paraId="4937A5A8"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معاملات الصعوبة والتمييز وثبات الاختبار التحصيلي</w:t>
      </w:r>
      <w:r>
        <w:rPr>
          <w:rFonts w:ascii="Traditional Arabic" w:hAnsi="Traditional Arabic" w:cs="Traditional Arabic"/>
          <w:sz w:val="28"/>
          <w:szCs w:val="28"/>
        </w:rPr>
        <w:t xml:space="preserve">. </w:t>
      </w:r>
    </w:p>
    <w:p w14:paraId="76DAFF83"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تحليل التغاير</w:t>
      </w:r>
      <w:r>
        <w:rPr>
          <w:rFonts w:ascii="Traditional Arabic" w:hAnsi="Traditional Arabic" w:cs="Traditional Arabic"/>
          <w:sz w:val="28"/>
          <w:szCs w:val="28"/>
        </w:rPr>
        <w:t xml:space="preserve"> ANCOVA </w:t>
      </w:r>
      <w:r>
        <w:rPr>
          <w:rFonts w:ascii="Traditional Arabic" w:hAnsi="Traditional Arabic" w:cs="Traditional Arabic"/>
          <w:sz w:val="28"/>
          <w:szCs w:val="28"/>
          <w:rtl/>
        </w:rPr>
        <w:t>للمقارنة بين المجموعتين في القياس البعدي بعد ضبط القياس القبلي</w:t>
      </w:r>
      <w:r>
        <w:rPr>
          <w:rFonts w:ascii="Traditional Arabic" w:hAnsi="Traditional Arabic" w:cs="Traditional Arabic"/>
          <w:sz w:val="28"/>
          <w:szCs w:val="28"/>
        </w:rPr>
        <w:t xml:space="preserve">. </w:t>
      </w:r>
    </w:p>
    <w:p w14:paraId="4A89417F"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النمذجة متعددة المستويات عند كفاية عدد المدارس؛ لأن الطلاب متداخلون داخل الصفوف والمدارس</w:t>
      </w:r>
      <w:r>
        <w:rPr>
          <w:rFonts w:ascii="Traditional Arabic" w:hAnsi="Traditional Arabic" w:cs="Traditional Arabic"/>
          <w:sz w:val="28"/>
          <w:szCs w:val="28"/>
        </w:rPr>
        <w:t xml:space="preserve">. </w:t>
      </w:r>
    </w:p>
    <w:p w14:paraId="0EA27730"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حساب حجم الأثر، مثل مربع إيتا الجزئي أو</w:t>
      </w:r>
      <w:r>
        <w:rPr>
          <w:rFonts w:ascii="Traditional Arabic" w:hAnsi="Traditional Arabic" w:cs="Traditional Arabic"/>
          <w:sz w:val="28"/>
          <w:szCs w:val="28"/>
        </w:rPr>
        <w:t xml:space="preserve"> Cohen’s d. </w:t>
      </w:r>
    </w:p>
    <w:p w14:paraId="09C31BF2"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اختبار الافتراضات الإحصائية قبل إجراء التحليلات</w:t>
      </w:r>
      <w:r>
        <w:rPr>
          <w:rFonts w:ascii="Traditional Arabic" w:hAnsi="Traditional Arabic" w:cs="Traditional Arabic"/>
          <w:sz w:val="28"/>
          <w:szCs w:val="28"/>
        </w:rPr>
        <w:t>.</w:t>
      </w:r>
    </w:p>
    <w:p w14:paraId="1D13CC89" w14:textId="77777777" w:rsidR="00491E5B" w:rsidRDefault="00E91EBB">
      <w:pPr>
        <w:keepNext/>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w w:val="89"/>
          <w:sz w:val="32"/>
          <w:szCs w:val="32"/>
          <w:rtl/>
        </w:rPr>
        <w:t>ﺧﻄﻮات</w:t>
      </w:r>
      <w:r>
        <w:rPr>
          <w:rFonts w:ascii="Traditional Arabic" w:hAnsi="Traditional Arabic" w:cs="Traditional Arabic" w:hint="cs"/>
          <w:w w:val="89"/>
          <w:sz w:val="32"/>
          <w:szCs w:val="32"/>
          <w:rtl/>
        </w:rPr>
        <w:t xml:space="preserve"> </w:t>
      </w:r>
      <w:r>
        <w:rPr>
          <w:rFonts w:ascii="Traditional Arabic" w:hAnsi="Traditional Arabic" w:cs="Traditional Arabic"/>
          <w:spacing w:val="-94"/>
          <w:w w:val="89"/>
          <w:sz w:val="32"/>
          <w:szCs w:val="32"/>
          <w:rtl/>
        </w:rPr>
        <w:t xml:space="preserve"> </w:t>
      </w:r>
      <w:r>
        <w:rPr>
          <w:rFonts w:ascii="Traditional Arabic" w:hAnsi="Traditional Arabic" w:cs="Traditional Arabic"/>
          <w:w w:val="89"/>
          <w:sz w:val="32"/>
          <w:szCs w:val="32"/>
          <w:rtl/>
        </w:rPr>
        <w:t>ﺗﻨﻔﻴﺬ</w:t>
      </w:r>
      <w:r>
        <w:rPr>
          <w:rFonts w:ascii="Traditional Arabic" w:hAnsi="Traditional Arabic" w:cs="Traditional Arabic"/>
          <w:spacing w:val="-94"/>
          <w:w w:val="89"/>
          <w:sz w:val="32"/>
          <w:szCs w:val="32"/>
          <w:rtl/>
        </w:rPr>
        <w:t xml:space="preserve"> </w:t>
      </w:r>
      <w:r>
        <w:rPr>
          <w:rFonts w:ascii="Traditional Arabic" w:hAnsi="Traditional Arabic" w:cs="Traditional Arabic" w:hint="cs"/>
          <w:w w:val="89"/>
          <w:sz w:val="32"/>
          <w:szCs w:val="32"/>
          <w:rtl/>
        </w:rPr>
        <w:t xml:space="preserve"> </w:t>
      </w:r>
      <w:r>
        <w:rPr>
          <w:rFonts w:ascii="Traditional Arabic" w:hAnsi="Traditional Arabic" w:cs="Traditional Arabic"/>
          <w:w w:val="89"/>
          <w:sz w:val="32"/>
          <w:szCs w:val="32"/>
          <w:rtl/>
        </w:rPr>
        <w:t>ﺧﻄﺔ</w:t>
      </w:r>
      <w:r>
        <w:rPr>
          <w:rFonts w:ascii="Traditional Arabic" w:hAnsi="Traditional Arabic" w:cs="Traditional Arabic"/>
          <w:spacing w:val="-95"/>
          <w:w w:val="89"/>
          <w:sz w:val="32"/>
          <w:szCs w:val="32"/>
          <w:rtl/>
        </w:rPr>
        <w:t xml:space="preserve"> </w:t>
      </w:r>
      <w:r>
        <w:rPr>
          <w:rFonts w:ascii="Traditional Arabic" w:hAnsi="Traditional Arabic" w:cs="Traditional Arabic" w:hint="cs"/>
          <w:w w:val="89"/>
          <w:sz w:val="32"/>
          <w:szCs w:val="32"/>
          <w:rtl/>
        </w:rPr>
        <w:t xml:space="preserve"> </w:t>
      </w:r>
      <w:r>
        <w:rPr>
          <w:rFonts w:ascii="Traditional Arabic" w:hAnsi="Traditional Arabic" w:cs="Traditional Arabic"/>
          <w:w w:val="89"/>
          <w:sz w:val="32"/>
          <w:szCs w:val="32"/>
          <w:rtl/>
        </w:rPr>
        <w:t>اﻟﺪراﺳﺔ</w:t>
      </w:r>
      <w:r>
        <w:rPr>
          <w:rFonts w:ascii="Traditional Arabic" w:hAnsi="Traditional Arabic" w:cs="Traditional Arabic"/>
          <w:w w:val="89"/>
          <w:sz w:val="32"/>
          <w:szCs w:val="32"/>
        </w:rPr>
        <w:t>:</w:t>
      </w:r>
    </w:p>
    <w:p w14:paraId="1B9A7166"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0EFD106D"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tl/>
        </w:rPr>
      </w:pPr>
      <w:r>
        <w:rPr>
          <w:rFonts w:ascii="Traditional Arabic" w:hAnsi="Traditional Arabic" w:cs="Traditional Arabic"/>
          <w:sz w:val="28"/>
          <w:szCs w:val="28"/>
          <w:highlight w:val="yellow"/>
          <w:rtl/>
        </w:rPr>
        <w:t>مراجعة الأدبيات والدراسات العربية والأجنبية الحديثة المتعلقة بالقيادة التعليمية والذكاء الاصطناعي التوليدي والتمايز التعليمي</w:t>
      </w:r>
      <w:r>
        <w:rPr>
          <w:rFonts w:ascii="Traditional Arabic" w:hAnsi="Traditional Arabic" w:cs="Traditional Arabic"/>
          <w:sz w:val="28"/>
          <w:szCs w:val="28"/>
          <w:highlight w:val="yellow"/>
        </w:rPr>
        <w:t xml:space="preserve">. </w:t>
      </w:r>
    </w:p>
    <w:p w14:paraId="1D6BEC2F"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تحليل أبعاد نموذج هالينجر ومورفي وتحديد متطلبات دمج الذكاء الاصطناعي التوليدي فيه</w:t>
      </w:r>
      <w:r>
        <w:rPr>
          <w:rFonts w:ascii="Traditional Arabic" w:hAnsi="Traditional Arabic" w:cs="Traditional Arabic"/>
          <w:sz w:val="28"/>
          <w:szCs w:val="28"/>
          <w:highlight w:val="yellow"/>
        </w:rPr>
        <w:t xml:space="preserve">. </w:t>
      </w:r>
    </w:p>
    <w:p w14:paraId="50507E98"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إعداد الصورة الأولية للنموذج القيادي التكاملي المقترح</w:t>
      </w:r>
      <w:r>
        <w:rPr>
          <w:rFonts w:ascii="Traditional Arabic" w:hAnsi="Traditional Arabic" w:cs="Traditional Arabic"/>
          <w:sz w:val="28"/>
          <w:szCs w:val="28"/>
          <w:highlight w:val="yellow"/>
        </w:rPr>
        <w:t xml:space="preserve">. </w:t>
      </w:r>
    </w:p>
    <w:p w14:paraId="3B157DE9"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عرض النموذج على مجموعة من الخبراء والمتخصصين وإجراء التعديلات اللازمة</w:t>
      </w:r>
      <w:r>
        <w:rPr>
          <w:rFonts w:ascii="Traditional Arabic" w:hAnsi="Traditional Arabic" w:cs="Traditional Arabic"/>
          <w:sz w:val="28"/>
          <w:szCs w:val="28"/>
          <w:highlight w:val="yellow"/>
        </w:rPr>
        <w:t xml:space="preserve">. </w:t>
      </w:r>
    </w:p>
    <w:p w14:paraId="428C34AD"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إعداد دليل إجرائي لتطبيق النموذج في المدارس</w:t>
      </w:r>
      <w:r>
        <w:rPr>
          <w:rFonts w:ascii="Traditional Arabic" w:hAnsi="Traditional Arabic" w:cs="Traditional Arabic"/>
          <w:sz w:val="28"/>
          <w:szCs w:val="28"/>
          <w:highlight w:val="yellow"/>
        </w:rPr>
        <w:t xml:space="preserve">. </w:t>
      </w:r>
    </w:p>
    <w:p w14:paraId="17CDB34E"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إعداد أدوات جمع البيانات والتحقق من صدقها وثباتها</w:t>
      </w:r>
      <w:r>
        <w:rPr>
          <w:rFonts w:ascii="Traditional Arabic" w:hAnsi="Traditional Arabic" w:cs="Traditional Arabic"/>
          <w:sz w:val="28"/>
          <w:szCs w:val="28"/>
          <w:highlight w:val="yellow"/>
        </w:rPr>
        <w:t xml:space="preserve">. </w:t>
      </w:r>
    </w:p>
    <w:p w14:paraId="496484BD"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اختيار المدارس وأفراد العينة وتطبيق القياسات القبلية</w:t>
      </w:r>
      <w:r>
        <w:rPr>
          <w:rFonts w:ascii="Traditional Arabic" w:hAnsi="Traditional Arabic" w:cs="Traditional Arabic"/>
          <w:sz w:val="28"/>
          <w:szCs w:val="28"/>
          <w:highlight w:val="yellow"/>
        </w:rPr>
        <w:t xml:space="preserve">. </w:t>
      </w:r>
    </w:p>
    <w:p w14:paraId="3045127D"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تدريب قيادات المدارس والمعلمين في المجموعة التجريبية</w:t>
      </w:r>
      <w:r>
        <w:rPr>
          <w:rFonts w:ascii="Traditional Arabic" w:hAnsi="Traditional Arabic" w:cs="Traditional Arabic"/>
          <w:sz w:val="28"/>
          <w:szCs w:val="28"/>
          <w:highlight w:val="yellow"/>
        </w:rPr>
        <w:t xml:space="preserve">. </w:t>
      </w:r>
    </w:p>
    <w:p w14:paraId="64E3185B"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تطبيق النموذج ومتابعة مستوى الالتزام بإجراءاته</w:t>
      </w:r>
      <w:r>
        <w:rPr>
          <w:rFonts w:ascii="Traditional Arabic" w:hAnsi="Traditional Arabic" w:cs="Traditional Arabic"/>
          <w:sz w:val="28"/>
          <w:szCs w:val="28"/>
          <w:highlight w:val="yellow"/>
        </w:rPr>
        <w:t xml:space="preserve">. </w:t>
      </w:r>
    </w:p>
    <w:p w14:paraId="772A37D1"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تطبيق القياسات البعدية على المعلمين والطلاب</w:t>
      </w:r>
      <w:r>
        <w:rPr>
          <w:rFonts w:ascii="Traditional Arabic" w:hAnsi="Traditional Arabic" w:cs="Traditional Arabic"/>
          <w:sz w:val="28"/>
          <w:szCs w:val="28"/>
          <w:highlight w:val="yellow"/>
        </w:rPr>
        <w:t xml:space="preserve">. </w:t>
      </w:r>
    </w:p>
    <w:p w14:paraId="29AC482F"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تحليل البيانات باستخدام الأساليب الإحصائية المناسبة</w:t>
      </w:r>
      <w:r>
        <w:rPr>
          <w:rFonts w:ascii="Traditional Arabic" w:hAnsi="Traditional Arabic" w:cs="Traditional Arabic"/>
          <w:sz w:val="28"/>
          <w:szCs w:val="28"/>
          <w:highlight w:val="yellow"/>
        </w:rPr>
        <w:t xml:space="preserve">. </w:t>
      </w:r>
    </w:p>
    <w:p w14:paraId="515A0545"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تفسير النتائج ومناقشتها في ضوء الدراسات السابقة</w:t>
      </w:r>
      <w:r>
        <w:rPr>
          <w:rFonts w:ascii="Traditional Arabic" w:hAnsi="Traditional Arabic" w:cs="Traditional Arabic"/>
          <w:sz w:val="28"/>
          <w:szCs w:val="28"/>
          <w:highlight w:val="yellow"/>
        </w:rPr>
        <w:t xml:space="preserve">. </w:t>
      </w:r>
    </w:p>
    <w:p w14:paraId="05890BE0"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تقديم التوصيات والصورة النهائية للنموذج المقترح</w:t>
      </w:r>
      <w:r>
        <w:rPr>
          <w:rFonts w:ascii="Traditional Arabic" w:hAnsi="Traditional Arabic" w:cs="Traditional Arabic"/>
          <w:sz w:val="28"/>
          <w:szCs w:val="28"/>
          <w:highlight w:val="yellow"/>
        </w:rPr>
        <w:t>.</w:t>
      </w:r>
    </w:p>
    <w:p w14:paraId="759941C0"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137C577E"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2435301A"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2783192F"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6B69DB57"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57108C72"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30E8C436"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6CBC1A70"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074F3E31"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061188E3"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69BD30F2"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1A0BB4DE"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4E267347" w14:textId="77777777" w:rsidR="00491E5B" w:rsidRDefault="00491E5B">
      <w:pPr>
        <w:tabs>
          <w:tab w:val="right" w:pos="9927"/>
        </w:tabs>
        <w:bidi/>
        <w:ind w:right="142"/>
        <w:jc w:val="both"/>
        <w:rPr>
          <w:rFonts w:ascii="Traditional Arabic" w:hAnsi="Traditional Arabic" w:cs="Traditional Arabic"/>
          <w:w w:val="72"/>
          <w:sz w:val="28"/>
          <w:szCs w:val="28"/>
        </w:rPr>
      </w:pPr>
    </w:p>
    <w:p w14:paraId="34214156" w14:textId="77777777" w:rsidR="00491E5B" w:rsidRDefault="00E91EBB">
      <w:pPr>
        <w:keepNext/>
        <w:tabs>
          <w:tab w:val="right" w:pos="9927"/>
        </w:tabs>
        <w:bidi/>
        <w:ind w:right="142"/>
        <w:jc w:val="both"/>
        <w:rPr>
          <w:rFonts w:ascii="Traditional Arabic" w:hAnsi="Traditional Arabic" w:cs="Traditional Arabic"/>
          <w:b/>
          <w:bCs/>
          <w:w w:val="72"/>
          <w:sz w:val="32"/>
          <w:szCs w:val="32"/>
        </w:rPr>
      </w:pPr>
      <w:r>
        <w:rPr>
          <w:rFonts w:ascii="Traditional Arabic" w:hAnsi="Traditional Arabic" w:cs="Traditional Arabic"/>
          <w:b/>
          <w:bCs/>
          <w:w w:val="72"/>
          <w:sz w:val="32"/>
          <w:szCs w:val="32"/>
          <w:rtl/>
        </w:rPr>
        <w:t xml:space="preserve">قائمة المراجع </w:t>
      </w:r>
    </w:p>
    <w:p w14:paraId="7AD45236" w14:textId="77777777" w:rsidR="00491E5B" w:rsidRDefault="00E91EBB">
      <w:pPr>
        <w:keepNext/>
        <w:tabs>
          <w:tab w:val="right" w:pos="9927"/>
        </w:tabs>
        <w:bidi/>
        <w:ind w:right="142"/>
        <w:jc w:val="both"/>
        <w:rPr>
          <w:rFonts w:ascii="Traditional Arabic" w:hAnsi="Traditional Arabic" w:cs="Traditional Arabic"/>
          <w:b/>
          <w:bCs/>
          <w:w w:val="72"/>
          <w:sz w:val="32"/>
          <w:szCs w:val="32"/>
        </w:rPr>
      </w:pPr>
      <w:r>
        <w:rPr>
          <w:rFonts w:ascii="Traditional Arabic" w:hAnsi="Traditional Arabic" w:cs="Traditional Arabic"/>
          <w:b/>
          <w:bCs/>
          <w:w w:val="72"/>
          <w:sz w:val="32"/>
          <w:szCs w:val="32"/>
          <w:rtl/>
        </w:rPr>
        <w:t>أولًا: المراجع العربية</w:t>
      </w:r>
    </w:p>
    <w:p w14:paraId="3E62D6E1"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أبو هلال، سناء حسن. (2025). توظيف تطبيقات الذكاء الاصطناعي التوليدي لدى معلمي مدارس القدس الشريف</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التربوية الأردنية، 10</w:t>
      </w:r>
      <w:r>
        <w:rPr>
          <w:rFonts w:ascii="Traditional Arabic" w:hAnsi="Traditional Arabic" w:cs="Traditional Arabic"/>
          <w:w w:val="72"/>
          <w:sz w:val="32"/>
          <w:szCs w:val="32"/>
          <w:rtl/>
        </w:rPr>
        <w:t>(عدد خاص)، 171–195</w:t>
      </w:r>
      <w:r>
        <w:rPr>
          <w:rFonts w:ascii="Traditional Arabic" w:hAnsi="Traditional Arabic" w:cs="Traditional Arabic"/>
          <w:w w:val="72"/>
          <w:sz w:val="32"/>
          <w:szCs w:val="32"/>
        </w:rPr>
        <w:t xml:space="preserve">. DOI: 10.46515/jaes.v10iSpecialIssue.1452. </w:t>
      </w:r>
    </w:p>
    <w:p w14:paraId="70DA59EA"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الشهومي، ياسر بن جمعة بن خميس. (2024). تطبيقات الذكاء الاصطناعي في التعليم بسلطنة عُمان</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الدولية للدراسات التربوية والنفسية، 13</w:t>
      </w:r>
      <w:r>
        <w:rPr>
          <w:rFonts w:ascii="Traditional Arabic" w:hAnsi="Traditional Arabic" w:cs="Traditional Arabic"/>
          <w:w w:val="72"/>
          <w:sz w:val="32"/>
          <w:szCs w:val="32"/>
        </w:rPr>
        <w:t>(5)</w:t>
      </w:r>
      <w:r>
        <w:rPr>
          <w:rFonts w:ascii="Traditional Arabic" w:hAnsi="Traditional Arabic" w:cs="Traditional Arabic"/>
          <w:w w:val="72"/>
          <w:sz w:val="32"/>
          <w:szCs w:val="32"/>
          <w:rtl/>
        </w:rPr>
        <w:t>، 922</w:t>
      </w:r>
      <w:r>
        <w:rPr>
          <w:rFonts w:ascii="Traditional Arabic" w:hAnsi="Traditional Arabic" w:cs="Traditional Arabic"/>
          <w:w w:val="72"/>
          <w:sz w:val="32"/>
          <w:szCs w:val="32"/>
        </w:rPr>
        <w:t xml:space="preserve">–937. DOI: 10.31559/EPS2024.13.5.7. </w:t>
      </w:r>
    </w:p>
    <w:p w14:paraId="03B86098"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الشيباني، شيخة سعود ساتر، والجميعي، وفاء عايض معيوض. (2024). القيادة الرقمية لدى مديرات المرحلة المتوسطة بمدينة الطائف في ضوء رؤية المملكة 2030 من وجهة نظر المعلمات</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الدولية للبحث والتطوير التربوي، عدد خاص</w:t>
      </w:r>
      <w:r>
        <w:rPr>
          <w:rFonts w:ascii="Traditional Arabic" w:hAnsi="Traditional Arabic" w:cs="Traditional Arabic"/>
          <w:w w:val="72"/>
          <w:sz w:val="32"/>
          <w:szCs w:val="32"/>
          <w:rtl/>
        </w:rPr>
        <w:t>، 116</w:t>
      </w:r>
      <w:r>
        <w:rPr>
          <w:rFonts w:ascii="Traditional Arabic" w:hAnsi="Traditional Arabic" w:cs="Traditional Arabic"/>
          <w:w w:val="72"/>
          <w:sz w:val="32"/>
          <w:szCs w:val="32"/>
        </w:rPr>
        <w:t xml:space="preserve">–133. </w:t>
      </w:r>
    </w:p>
    <w:p w14:paraId="535E60FD"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الغامدي، غالية عبد الله، وجادو، إيهاب مصطفى. (2024). واقع استخدام التطبيقات القائمة على الذكاء الاصطناعي التوليدي في التعليم من وجهة نظر طلبة كليات الشرق العربي</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مجلة الذكاء الاصطناعي وأمن المعلومات، 2</w:t>
      </w:r>
      <w:r>
        <w:rPr>
          <w:rFonts w:ascii="Traditional Arabic" w:hAnsi="Traditional Arabic" w:cs="Traditional Arabic"/>
          <w:w w:val="72"/>
          <w:sz w:val="32"/>
          <w:szCs w:val="32"/>
        </w:rPr>
        <w:t>(3)</w:t>
      </w:r>
      <w:r>
        <w:rPr>
          <w:rFonts w:ascii="Traditional Arabic" w:hAnsi="Traditional Arabic" w:cs="Traditional Arabic"/>
          <w:w w:val="72"/>
          <w:sz w:val="32"/>
          <w:szCs w:val="32"/>
          <w:rtl/>
        </w:rPr>
        <w:t>، 169</w:t>
      </w:r>
      <w:r>
        <w:rPr>
          <w:rFonts w:ascii="Traditional Arabic" w:hAnsi="Traditional Arabic" w:cs="Traditional Arabic"/>
          <w:w w:val="72"/>
          <w:sz w:val="32"/>
          <w:szCs w:val="32"/>
        </w:rPr>
        <w:t xml:space="preserve">–218. </w:t>
      </w:r>
    </w:p>
    <w:p w14:paraId="66BBA578"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العمري، أيمن سرحان، والحارثي، صبحي بن سعيد عويض. (2023). تحديات المعلمين حول تطبيق استراتيجية التعليم المتمايز مع طلبة صعوبات التعلم في المدينة المنورة</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العربية لعلوم الإعاقة والموهبة، 7</w:t>
      </w:r>
      <w:r>
        <w:rPr>
          <w:rFonts w:ascii="Traditional Arabic" w:hAnsi="Traditional Arabic" w:cs="Traditional Arabic"/>
          <w:w w:val="72"/>
          <w:sz w:val="32"/>
          <w:szCs w:val="32"/>
        </w:rPr>
        <w:t>(26)</w:t>
      </w:r>
      <w:r>
        <w:rPr>
          <w:rFonts w:ascii="Traditional Arabic" w:hAnsi="Traditional Arabic" w:cs="Traditional Arabic"/>
          <w:w w:val="72"/>
          <w:sz w:val="32"/>
          <w:szCs w:val="32"/>
          <w:rtl/>
        </w:rPr>
        <w:t>، 1</w:t>
      </w:r>
      <w:r>
        <w:rPr>
          <w:rFonts w:ascii="Traditional Arabic" w:hAnsi="Traditional Arabic" w:cs="Traditional Arabic"/>
          <w:w w:val="72"/>
          <w:sz w:val="32"/>
          <w:szCs w:val="32"/>
        </w:rPr>
        <w:t xml:space="preserve">–40. </w:t>
      </w:r>
    </w:p>
    <w:p w14:paraId="47C7EB72"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مكري، دعاء فهم. (2024). تأثير القيادة المدرسية باستخدام تقنيات الذكاء الاصطناعي لتحفيز المعلمين في المدارس الثانوية داخل الخط الأخضر</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التربوية الأردنية، 9</w:t>
      </w:r>
      <w:r>
        <w:rPr>
          <w:rFonts w:ascii="Traditional Arabic" w:hAnsi="Traditional Arabic" w:cs="Traditional Arabic"/>
          <w:w w:val="72"/>
          <w:sz w:val="32"/>
          <w:szCs w:val="32"/>
          <w:rtl/>
        </w:rPr>
        <w:t>(عدد خاص)، 100–120</w:t>
      </w:r>
      <w:r>
        <w:rPr>
          <w:rFonts w:ascii="Traditional Arabic" w:hAnsi="Traditional Arabic" w:cs="Traditional Arabic"/>
          <w:w w:val="72"/>
          <w:sz w:val="32"/>
          <w:szCs w:val="32"/>
        </w:rPr>
        <w:t xml:space="preserve">. DOI: 10.46515/jaes.v9iSpecialIssue.1274. </w:t>
      </w:r>
    </w:p>
    <w:p w14:paraId="5BA0621C"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وزارة التعليم. (2024). </w:t>
      </w:r>
      <w:r>
        <w:rPr>
          <w:rFonts w:ascii="Traditional Arabic" w:hAnsi="Traditional Arabic" w:cs="Traditional Arabic"/>
          <w:i/>
          <w:w w:val="72"/>
          <w:sz w:val="32"/>
          <w:szCs w:val="32"/>
          <w:rtl/>
        </w:rPr>
        <w:t>مؤشرات التعليم العام من عام 2016 إلى 2024</w:t>
      </w:r>
      <w:r>
        <w:rPr>
          <w:rFonts w:ascii="Traditional Arabic" w:hAnsi="Traditional Arabic" w:cs="Traditional Arabic"/>
          <w:w w:val="72"/>
          <w:sz w:val="32"/>
          <w:szCs w:val="32"/>
          <w:rtl/>
        </w:rPr>
        <w:t xml:space="preserve"> [مجموعة بيانات مفتوحة]. وزارة التعليم، المملكة العربية السعودية.</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هيئة تقويم التعليم والتدريب. (د.ت.). </w:t>
      </w:r>
      <w:r>
        <w:rPr>
          <w:rFonts w:ascii="Traditional Arabic" w:hAnsi="Traditional Arabic" w:cs="Traditional Arabic"/>
          <w:i/>
          <w:w w:val="72"/>
          <w:sz w:val="32"/>
          <w:szCs w:val="32"/>
          <w:rtl/>
        </w:rPr>
        <w:t>الاختبارات الوطنية (نافس)</w:t>
      </w:r>
      <w:r>
        <w:rPr>
          <w:rFonts w:ascii="Traditional Arabic" w:hAnsi="Traditional Arabic" w:cs="Traditional Arabic"/>
          <w:w w:val="72"/>
          <w:sz w:val="32"/>
          <w:szCs w:val="32"/>
          <w:rtl/>
        </w:rPr>
        <w:t>. المملكة العربية السعودية.</w:t>
      </w:r>
    </w:p>
    <w:p w14:paraId="6EDA97EF" w14:textId="77777777" w:rsidR="00491E5B" w:rsidRDefault="00E91EBB">
      <w:pPr>
        <w:keepNext/>
        <w:tabs>
          <w:tab w:val="right" w:pos="9927"/>
        </w:tabs>
        <w:bidi/>
        <w:ind w:right="142"/>
        <w:jc w:val="both"/>
        <w:rPr>
          <w:rFonts w:ascii="Traditional Arabic" w:hAnsi="Traditional Arabic" w:cs="Traditional Arabic"/>
          <w:b/>
          <w:bCs/>
          <w:w w:val="72"/>
          <w:sz w:val="32"/>
          <w:szCs w:val="32"/>
        </w:rPr>
      </w:pPr>
      <w:r>
        <w:rPr>
          <w:rFonts w:ascii="Traditional Arabic" w:hAnsi="Traditional Arabic" w:cs="Traditional Arabic"/>
          <w:b/>
          <w:bCs/>
          <w:w w:val="72"/>
          <w:sz w:val="32"/>
          <w:szCs w:val="32"/>
          <w:rtl/>
        </w:rPr>
        <w:t>ثانيًا: المراجع الأجنبية</w:t>
      </w:r>
    </w:p>
    <w:p w14:paraId="5303909A"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Alfarwan</w:t>
      </w:r>
      <w:proofErr w:type="spellEnd"/>
      <w:r>
        <w:rPr>
          <w:rFonts w:asciiTheme="majorBidi" w:hAnsiTheme="majorBidi" w:cstheme="majorBidi"/>
          <w:w w:val="72"/>
          <w:sz w:val="28"/>
          <w:szCs w:val="28"/>
        </w:rPr>
        <w:t xml:space="preserve">, A. (2025). Generative AI use in K–12 education: A systematic review. </w:t>
      </w:r>
      <w:r>
        <w:rPr>
          <w:rFonts w:asciiTheme="majorBidi" w:hAnsiTheme="majorBidi" w:cstheme="majorBidi"/>
          <w:i/>
          <w:iCs/>
          <w:w w:val="72"/>
          <w:sz w:val="28"/>
          <w:szCs w:val="28"/>
        </w:rPr>
        <w:t>Frontiers in Education, 10</w:t>
      </w:r>
      <w:r>
        <w:rPr>
          <w:rFonts w:asciiTheme="majorBidi" w:hAnsiTheme="majorBidi" w:cstheme="majorBidi"/>
          <w:w w:val="72"/>
          <w:sz w:val="28"/>
          <w:szCs w:val="28"/>
        </w:rPr>
        <w:t>, Article 1647573. DOI: 10.3389/</w:t>
      </w:r>
      <w:proofErr w:type="spellStart"/>
      <w:r>
        <w:rPr>
          <w:rFonts w:asciiTheme="majorBidi" w:hAnsiTheme="majorBidi" w:cstheme="majorBidi"/>
          <w:w w:val="72"/>
          <w:sz w:val="28"/>
          <w:szCs w:val="28"/>
        </w:rPr>
        <w:t>feduc.2025.1647573</w:t>
      </w:r>
      <w:proofErr w:type="spellEnd"/>
      <w:r>
        <w:rPr>
          <w:rFonts w:asciiTheme="majorBidi" w:hAnsiTheme="majorBidi" w:cstheme="majorBidi"/>
          <w:w w:val="72"/>
          <w:sz w:val="28"/>
          <w:szCs w:val="28"/>
        </w:rPr>
        <w:t xml:space="preserve">. </w:t>
      </w:r>
    </w:p>
    <w:p w14:paraId="4ACF499F"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Berkovich</w:t>
      </w:r>
      <w:proofErr w:type="spellEnd"/>
      <w:r>
        <w:rPr>
          <w:rFonts w:asciiTheme="majorBidi" w:hAnsiTheme="majorBidi" w:cstheme="majorBidi"/>
          <w:w w:val="72"/>
          <w:sz w:val="28"/>
          <w:szCs w:val="28"/>
        </w:rPr>
        <w:t xml:space="preserve">, I. (2025). The rise of AI-assisted instructional leadership: Empirical survey of generative AI integration in school leadership and management work. </w:t>
      </w:r>
      <w:r>
        <w:rPr>
          <w:rFonts w:asciiTheme="majorBidi" w:hAnsiTheme="majorBidi" w:cstheme="majorBidi"/>
          <w:i/>
          <w:w w:val="72"/>
          <w:sz w:val="28"/>
          <w:szCs w:val="28"/>
        </w:rPr>
        <w:t>Frontiers in Education, 10</w:t>
      </w:r>
      <w:r>
        <w:rPr>
          <w:rFonts w:asciiTheme="majorBidi" w:hAnsiTheme="majorBidi" w:cstheme="majorBidi"/>
          <w:w w:val="72"/>
          <w:sz w:val="28"/>
          <w:szCs w:val="28"/>
        </w:rPr>
        <w:t>, Article 1643023. DOI: 10.3389/</w:t>
      </w:r>
      <w:proofErr w:type="spellStart"/>
      <w:r>
        <w:rPr>
          <w:rFonts w:asciiTheme="majorBidi" w:hAnsiTheme="majorBidi" w:cstheme="majorBidi"/>
          <w:w w:val="72"/>
          <w:sz w:val="28"/>
          <w:szCs w:val="28"/>
        </w:rPr>
        <w:t>feduc.2025.1643023</w:t>
      </w:r>
      <w:proofErr w:type="spellEnd"/>
      <w:r>
        <w:rPr>
          <w:rFonts w:asciiTheme="majorBidi" w:hAnsiTheme="majorBidi" w:cstheme="majorBidi"/>
          <w:w w:val="72"/>
          <w:sz w:val="28"/>
          <w:szCs w:val="28"/>
        </w:rPr>
        <w:t>.</w:t>
      </w:r>
    </w:p>
    <w:p w14:paraId="0D484543"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Cheah</w:t>
      </w:r>
      <w:proofErr w:type="spellEnd"/>
      <w:r>
        <w:rPr>
          <w:rFonts w:asciiTheme="majorBidi" w:hAnsiTheme="majorBidi" w:cstheme="majorBidi"/>
          <w:w w:val="72"/>
          <w:sz w:val="28"/>
          <w:szCs w:val="28"/>
        </w:rPr>
        <w:t xml:space="preserve">, Y. H., Lu, J., &amp; Kim, J. (2025). Integrating generative artificial intelligence in K–12 education: Examining teachers’ preparedness, practices, and barriers. </w:t>
      </w:r>
      <w:r>
        <w:rPr>
          <w:rFonts w:asciiTheme="majorBidi" w:hAnsiTheme="majorBidi" w:cstheme="majorBidi"/>
          <w:i/>
          <w:iCs/>
          <w:w w:val="72"/>
          <w:sz w:val="28"/>
          <w:szCs w:val="28"/>
        </w:rPr>
        <w:t>Computers and Education: Artificial Intelligence, 8</w:t>
      </w:r>
      <w:r>
        <w:rPr>
          <w:rFonts w:asciiTheme="majorBidi" w:hAnsiTheme="majorBidi" w:cstheme="majorBidi"/>
          <w:w w:val="72"/>
          <w:sz w:val="28"/>
          <w:szCs w:val="28"/>
        </w:rPr>
        <w:t>, Article 100363. DOI: 10.1016/</w:t>
      </w:r>
      <w:proofErr w:type="spellStart"/>
      <w:r>
        <w:rPr>
          <w:rFonts w:asciiTheme="majorBidi" w:hAnsiTheme="majorBidi" w:cstheme="majorBidi"/>
          <w:w w:val="72"/>
          <w:sz w:val="28"/>
          <w:szCs w:val="28"/>
        </w:rPr>
        <w:t>j.caeai.2025.100363</w:t>
      </w:r>
      <w:proofErr w:type="spellEnd"/>
      <w:r>
        <w:rPr>
          <w:rFonts w:asciiTheme="majorBidi" w:hAnsiTheme="majorBidi" w:cstheme="majorBidi"/>
          <w:w w:val="72"/>
          <w:sz w:val="28"/>
          <w:szCs w:val="28"/>
        </w:rPr>
        <w:t xml:space="preserve">. </w:t>
      </w:r>
    </w:p>
    <w:p w14:paraId="2895CF6B"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Eikeland</w:t>
      </w:r>
      <w:proofErr w:type="spellEnd"/>
      <w:r>
        <w:rPr>
          <w:rFonts w:asciiTheme="majorBidi" w:hAnsiTheme="majorBidi" w:cstheme="majorBidi"/>
          <w:w w:val="72"/>
          <w:sz w:val="28"/>
          <w:szCs w:val="28"/>
        </w:rPr>
        <w:t xml:space="preserve">, I., &amp; </w:t>
      </w:r>
      <w:proofErr w:type="spellStart"/>
      <w:r>
        <w:rPr>
          <w:rFonts w:asciiTheme="majorBidi" w:hAnsiTheme="majorBidi" w:cstheme="majorBidi"/>
          <w:w w:val="72"/>
          <w:sz w:val="28"/>
          <w:szCs w:val="28"/>
        </w:rPr>
        <w:t>Ohna</w:t>
      </w:r>
      <w:proofErr w:type="spellEnd"/>
      <w:r>
        <w:rPr>
          <w:rFonts w:asciiTheme="majorBidi" w:hAnsiTheme="majorBidi" w:cstheme="majorBidi"/>
          <w:w w:val="72"/>
          <w:sz w:val="28"/>
          <w:szCs w:val="28"/>
        </w:rPr>
        <w:t xml:space="preserve">, S. E. (2022). Differentiation in education: A configurative review. </w:t>
      </w:r>
      <w:r>
        <w:rPr>
          <w:rFonts w:asciiTheme="majorBidi" w:hAnsiTheme="majorBidi" w:cstheme="majorBidi"/>
          <w:i/>
          <w:iCs/>
          <w:w w:val="72"/>
          <w:sz w:val="28"/>
          <w:szCs w:val="28"/>
        </w:rPr>
        <w:t>Nordic Journal of Studies in Educational Policy, 8</w:t>
      </w:r>
      <w:r>
        <w:rPr>
          <w:rFonts w:asciiTheme="majorBidi" w:hAnsiTheme="majorBidi" w:cstheme="majorBidi"/>
          <w:w w:val="72"/>
          <w:sz w:val="28"/>
          <w:szCs w:val="28"/>
        </w:rPr>
        <w:t xml:space="preserve">(3), 157–170. DOI: 10.1080/20020317.2022.2039351. </w:t>
      </w:r>
    </w:p>
    <w:p w14:paraId="1642F891"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Gechere</w:t>
      </w:r>
      <w:proofErr w:type="spellEnd"/>
      <w:r>
        <w:rPr>
          <w:rFonts w:asciiTheme="majorBidi" w:hAnsiTheme="majorBidi" w:cstheme="majorBidi"/>
          <w:w w:val="72"/>
          <w:sz w:val="28"/>
          <w:szCs w:val="28"/>
        </w:rPr>
        <w:t xml:space="preserve">, T., </w:t>
      </w:r>
      <w:proofErr w:type="spellStart"/>
      <w:r>
        <w:rPr>
          <w:rFonts w:asciiTheme="majorBidi" w:hAnsiTheme="majorBidi" w:cstheme="majorBidi"/>
          <w:w w:val="72"/>
          <w:sz w:val="28"/>
          <w:szCs w:val="28"/>
        </w:rPr>
        <w:t>Oumer</w:t>
      </w:r>
      <w:proofErr w:type="spellEnd"/>
      <w:r>
        <w:rPr>
          <w:rFonts w:asciiTheme="majorBidi" w:hAnsiTheme="majorBidi" w:cstheme="majorBidi"/>
          <w:w w:val="72"/>
          <w:sz w:val="28"/>
          <w:szCs w:val="28"/>
        </w:rPr>
        <w:t xml:space="preserve">, J., &amp; </w:t>
      </w:r>
      <w:proofErr w:type="spellStart"/>
      <w:r>
        <w:rPr>
          <w:rFonts w:asciiTheme="majorBidi" w:hAnsiTheme="majorBidi" w:cstheme="majorBidi"/>
          <w:w w:val="72"/>
          <w:sz w:val="28"/>
          <w:szCs w:val="28"/>
        </w:rPr>
        <w:t>Ouke</w:t>
      </w:r>
      <w:proofErr w:type="spellEnd"/>
      <w:r>
        <w:rPr>
          <w:rFonts w:asciiTheme="majorBidi" w:hAnsiTheme="majorBidi" w:cstheme="majorBidi"/>
          <w:w w:val="72"/>
          <w:sz w:val="28"/>
          <w:szCs w:val="28"/>
        </w:rPr>
        <w:t xml:space="preserve">, T. (2025). Influence of principals’ instructional leadership and teachers’ efficacy on students’ performance in secondary schools in the </w:t>
      </w:r>
      <w:proofErr w:type="spellStart"/>
      <w:r>
        <w:rPr>
          <w:rFonts w:asciiTheme="majorBidi" w:hAnsiTheme="majorBidi" w:cstheme="majorBidi"/>
          <w:w w:val="72"/>
          <w:sz w:val="28"/>
          <w:szCs w:val="28"/>
        </w:rPr>
        <w:t>Wolaita</w:t>
      </w:r>
      <w:proofErr w:type="spellEnd"/>
      <w:r>
        <w:rPr>
          <w:rFonts w:asciiTheme="majorBidi" w:hAnsiTheme="majorBidi" w:cstheme="majorBidi"/>
          <w:w w:val="72"/>
          <w:sz w:val="28"/>
          <w:szCs w:val="28"/>
        </w:rPr>
        <w:t xml:space="preserve"> Zone, South Ethiopia. </w:t>
      </w:r>
      <w:r>
        <w:rPr>
          <w:rFonts w:asciiTheme="majorBidi" w:hAnsiTheme="majorBidi" w:cstheme="majorBidi"/>
          <w:i/>
          <w:iCs/>
          <w:w w:val="72"/>
          <w:sz w:val="28"/>
          <w:szCs w:val="28"/>
        </w:rPr>
        <w:t>Discover Sustainability, 6</w:t>
      </w:r>
      <w:r>
        <w:rPr>
          <w:rFonts w:asciiTheme="majorBidi" w:hAnsiTheme="majorBidi" w:cstheme="majorBidi"/>
          <w:w w:val="72"/>
          <w:sz w:val="28"/>
          <w:szCs w:val="28"/>
        </w:rPr>
        <w:t xml:space="preserve">, Article 967. DOI: 10.1007/s43621-025-01797-3. </w:t>
      </w:r>
    </w:p>
    <w:p w14:paraId="22468B19"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Gheyssens</w:t>
      </w:r>
      <w:proofErr w:type="spellEnd"/>
      <w:r>
        <w:rPr>
          <w:rFonts w:asciiTheme="majorBidi" w:hAnsiTheme="majorBidi" w:cstheme="majorBidi"/>
          <w:w w:val="72"/>
          <w:sz w:val="28"/>
          <w:szCs w:val="28"/>
        </w:rPr>
        <w:t xml:space="preserve">, E., </w:t>
      </w:r>
      <w:proofErr w:type="spellStart"/>
      <w:r>
        <w:rPr>
          <w:rFonts w:asciiTheme="majorBidi" w:hAnsiTheme="majorBidi" w:cstheme="majorBidi"/>
          <w:w w:val="72"/>
          <w:sz w:val="28"/>
          <w:szCs w:val="28"/>
        </w:rPr>
        <w:t>Griful-Freixenet</w:t>
      </w:r>
      <w:proofErr w:type="spellEnd"/>
      <w:r>
        <w:rPr>
          <w:rFonts w:asciiTheme="majorBidi" w:hAnsiTheme="majorBidi" w:cstheme="majorBidi"/>
          <w:w w:val="72"/>
          <w:sz w:val="28"/>
          <w:szCs w:val="28"/>
        </w:rPr>
        <w:t xml:space="preserve">, J., &amp; </w:t>
      </w:r>
      <w:proofErr w:type="spellStart"/>
      <w:r>
        <w:rPr>
          <w:rFonts w:asciiTheme="majorBidi" w:hAnsiTheme="majorBidi" w:cstheme="majorBidi"/>
          <w:w w:val="72"/>
          <w:sz w:val="28"/>
          <w:szCs w:val="28"/>
        </w:rPr>
        <w:t>Struyven</w:t>
      </w:r>
      <w:proofErr w:type="spellEnd"/>
      <w:r>
        <w:rPr>
          <w:rFonts w:asciiTheme="majorBidi" w:hAnsiTheme="majorBidi" w:cstheme="majorBidi"/>
          <w:w w:val="72"/>
          <w:sz w:val="28"/>
          <w:szCs w:val="28"/>
        </w:rPr>
        <w:t xml:space="preserve">, K. (2023). Differentiated instruction as an approach to establish effective teaching in inclusive classrooms. In R. Maulana, M. Helms-Lorenz, &amp; R. M. </w:t>
      </w:r>
      <w:proofErr w:type="spellStart"/>
      <w:r>
        <w:rPr>
          <w:rFonts w:asciiTheme="majorBidi" w:hAnsiTheme="majorBidi" w:cstheme="majorBidi"/>
          <w:w w:val="72"/>
          <w:sz w:val="28"/>
          <w:szCs w:val="28"/>
        </w:rPr>
        <w:t>Klassen</w:t>
      </w:r>
      <w:proofErr w:type="spellEnd"/>
      <w:r>
        <w:rPr>
          <w:rFonts w:asciiTheme="majorBidi" w:hAnsiTheme="majorBidi" w:cstheme="majorBidi"/>
          <w:w w:val="72"/>
          <w:sz w:val="28"/>
          <w:szCs w:val="28"/>
        </w:rPr>
        <w:t xml:space="preserve"> (Eds.), </w:t>
      </w:r>
      <w:r>
        <w:rPr>
          <w:rFonts w:asciiTheme="majorBidi" w:hAnsiTheme="majorBidi" w:cstheme="majorBidi"/>
          <w:i/>
          <w:iCs/>
          <w:w w:val="72"/>
          <w:sz w:val="28"/>
          <w:szCs w:val="28"/>
        </w:rPr>
        <w:t>Effective teaching around the world</w:t>
      </w:r>
      <w:r>
        <w:rPr>
          <w:rFonts w:asciiTheme="majorBidi" w:hAnsiTheme="majorBidi" w:cstheme="majorBidi"/>
          <w:w w:val="72"/>
          <w:sz w:val="28"/>
          <w:szCs w:val="28"/>
        </w:rPr>
        <w:t xml:space="preserve"> (pp. 677–689). Springer. DOI: 10.1007/978-3-031-31678-4_30. </w:t>
      </w:r>
    </w:p>
    <w:p w14:paraId="07530F4F"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Hallinger</w:t>
      </w:r>
      <w:proofErr w:type="spellEnd"/>
      <w:r>
        <w:rPr>
          <w:rFonts w:asciiTheme="majorBidi" w:hAnsiTheme="majorBidi" w:cstheme="majorBidi"/>
          <w:w w:val="72"/>
          <w:sz w:val="28"/>
          <w:szCs w:val="28"/>
        </w:rPr>
        <w:t xml:space="preserve">, P., &amp; Murphy, J. (1985). Assessing the instructional management behavior of principals. </w:t>
      </w:r>
      <w:r>
        <w:rPr>
          <w:rFonts w:asciiTheme="majorBidi" w:hAnsiTheme="majorBidi" w:cstheme="majorBidi"/>
          <w:i/>
          <w:iCs/>
          <w:w w:val="72"/>
          <w:sz w:val="28"/>
          <w:szCs w:val="28"/>
        </w:rPr>
        <w:t>The Elementary School Journal, 86</w:t>
      </w:r>
      <w:r>
        <w:rPr>
          <w:rFonts w:asciiTheme="majorBidi" w:hAnsiTheme="majorBidi" w:cstheme="majorBidi"/>
          <w:w w:val="72"/>
          <w:sz w:val="28"/>
          <w:szCs w:val="28"/>
        </w:rPr>
        <w:t>(2), 217–247.</w:t>
      </w:r>
    </w:p>
    <w:p w14:paraId="187EF948"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Hallinger</w:t>
      </w:r>
      <w:proofErr w:type="spellEnd"/>
      <w:r>
        <w:rPr>
          <w:rFonts w:asciiTheme="majorBidi" w:hAnsiTheme="majorBidi" w:cstheme="majorBidi"/>
          <w:w w:val="72"/>
          <w:sz w:val="28"/>
          <w:szCs w:val="28"/>
        </w:rPr>
        <w:t xml:space="preserve">, P., Liu, S., Aung, P. N., &amp; Yan, M. (2025a). A systematic review of instructional leadership research conducted with the Principal Instructional Management Rating Scale (PIMRS), 1983–2024. </w:t>
      </w:r>
      <w:r>
        <w:rPr>
          <w:rFonts w:asciiTheme="majorBidi" w:hAnsiTheme="majorBidi" w:cstheme="majorBidi"/>
          <w:i/>
          <w:w w:val="72"/>
          <w:sz w:val="28"/>
          <w:szCs w:val="28"/>
        </w:rPr>
        <w:t>Educational Management Administration &amp; Leadership</w:t>
      </w:r>
      <w:r>
        <w:rPr>
          <w:rFonts w:asciiTheme="majorBidi" w:hAnsiTheme="majorBidi" w:cstheme="majorBidi"/>
          <w:w w:val="72"/>
          <w:sz w:val="28"/>
          <w:szCs w:val="28"/>
        </w:rPr>
        <w:t>. Advance online publication. DOI: 10.1177/17411432251358575.</w:t>
      </w:r>
    </w:p>
    <w:p w14:paraId="5A2DFFBE"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Hallinger</w:t>
      </w:r>
      <w:proofErr w:type="spellEnd"/>
      <w:r>
        <w:rPr>
          <w:rFonts w:asciiTheme="majorBidi" w:hAnsiTheme="majorBidi" w:cstheme="majorBidi"/>
          <w:w w:val="72"/>
          <w:sz w:val="28"/>
          <w:szCs w:val="28"/>
        </w:rPr>
        <w:t xml:space="preserve">, P., Liu, S., &amp; </w:t>
      </w:r>
      <w:proofErr w:type="spellStart"/>
      <w:r>
        <w:rPr>
          <w:rFonts w:asciiTheme="majorBidi" w:hAnsiTheme="majorBidi" w:cstheme="majorBidi"/>
          <w:w w:val="72"/>
          <w:sz w:val="28"/>
          <w:szCs w:val="28"/>
        </w:rPr>
        <w:t>Niu</w:t>
      </w:r>
      <w:proofErr w:type="spellEnd"/>
      <w:r>
        <w:rPr>
          <w:rFonts w:asciiTheme="majorBidi" w:hAnsiTheme="majorBidi" w:cstheme="majorBidi"/>
          <w:w w:val="72"/>
          <w:sz w:val="28"/>
          <w:szCs w:val="28"/>
        </w:rPr>
        <w:t xml:space="preserve">, X. (2025b). Cultural context, principal instructional leadership, and teacher efficacy: A </w:t>
      </w:r>
      <w:r>
        <w:rPr>
          <w:rFonts w:asciiTheme="majorBidi" w:hAnsiTheme="majorBidi" w:cstheme="majorBidi"/>
          <w:w w:val="72"/>
          <w:sz w:val="28"/>
          <w:szCs w:val="28"/>
        </w:rPr>
        <w:lastRenderedPageBreak/>
        <w:t xml:space="preserve">meta-analytic review, 1989–2024. </w:t>
      </w:r>
      <w:r>
        <w:rPr>
          <w:rFonts w:asciiTheme="majorBidi" w:hAnsiTheme="majorBidi" w:cstheme="majorBidi"/>
          <w:i/>
          <w:w w:val="72"/>
          <w:sz w:val="28"/>
          <w:szCs w:val="28"/>
        </w:rPr>
        <w:t>Educational Management Administration &amp; Leadership</w:t>
      </w:r>
      <w:r>
        <w:rPr>
          <w:rFonts w:asciiTheme="majorBidi" w:hAnsiTheme="majorBidi" w:cstheme="majorBidi"/>
          <w:w w:val="72"/>
          <w:sz w:val="28"/>
          <w:szCs w:val="28"/>
        </w:rPr>
        <w:t>. Advance online publication. DOI: 10.1177/17411432251349810.</w:t>
      </w:r>
    </w:p>
    <w:p w14:paraId="31B90BE4"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He, P., </w:t>
      </w:r>
      <w:proofErr w:type="spellStart"/>
      <w:r>
        <w:rPr>
          <w:rFonts w:asciiTheme="majorBidi" w:hAnsiTheme="majorBidi" w:cstheme="majorBidi"/>
          <w:w w:val="72"/>
          <w:sz w:val="28"/>
          <w:szCs w:val="28"/>
        </w:rPr>
        <w:t>Guo</w:t>
      </w:r>
      <w:proofErr w:type="spellEnd"/>
      <w:r>
        <w:rPr>
          <w:rFonts w:asciiTheme="majorBidi" w:hAnsiTheme="majorBidi" w:cstheme="majorBidi"/>
          <w:w w:val="72"/>
          <w:sz w:val="28"/>
          <w:szCs w:val="28"/>
        </w:rPr>
        <w:t xml:space="preserve">, F., &amp; </w:t>
      </w:r>
      <w:proofErr w:type="spellStart"/>
      <w:r>
        <w:rPr>
          <w:rFonts w:asciiTheme="majorBidi" w:hAnsiTheme="majorBidi" w:cstheme="majorBidi"/>
          <w:w w:val="72"/>
          <w:sz w:val="28"/>
          <w:szCs w:val="28"/>
        </w:rPr>
        <w:t>Abazie</w:t>
      </w:r>
      <w:proofErr w:type="spellEnd"/>
      <w:r>
        <w:rPr>
          <w:rFonts w:asciiTheme="majorBidi" w:hAnsiTheme="majorBidi" w:cstheme="majorBidi"/>
          <w:w w:val="72"/>
          <w:sz w:val="28"/>
          <w:szCs w:val="28"/>
        </w:rPr>
        <w:t xml:space="preserve">, G. A. (2024). School principals’ instructional leadership as a predictor of teacher’s professional development. </w:t>
      </w:r>
      <w:r>
        <w:rPr>
          <w:rFonts w:asciiTheme="majorBidi" w:hAnsiTheme="majorBidi" w:cstheme="majorBidi"/>
          <w:i/>
          <w:iCs/>
          <w:w w:val="72"/>
          <w:sz w:val="28"/>
          <w:szCs w:val="28"/>
        </w:rPr>
        <w:t>Asian-Pacific Journal of Second and Foreign Language Education, 9</w:t>
      </w:r>
      <w:r>
        <w:rPr>
          <w:rFonts w:asciiTheme="majorBidi" w:hAnsiTheme="majorBidi" w:cstheme="majorBidi"/>
          <w:w w:val="72"/>
          <w:sz w:val="28"/>
          <w:szCs w:val="28"/>
        </w:rPr>
        <w:t xml:space="preserve">, Article 63. DOI: 10.1186/s40862-024-00290-0. </w:t>
      </w:r>
    </w:p>
    <w:p w14:paraId="230A0AF0"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Jauhiainen</w:t>
      </w:r>
      <w:proofErr w:type="spellEnd"/>
      <w:r>
        <w:rPr>
          <w:rFonts w:asciiTheme="majorBidi" w:hAnsiTheme="majorBidi" w:cstheme="majorBidi"/>
          <w:w w:val="72"/>
          <w:sz w:val="28"/>
          <w:szCs w:val="28"/>
        </w:rPr>
        <w:t xml:space="preserve">, J. S., &amp; </w:t>
      </w:r>
      <w:proofErr w:type="spellStart"/>
      <w:r>
        <w:rPr>
          <w:rFonts w:asciiTheme="majorBidi" w:hAnsiTheme="majorBidi" w:cstheme="majorBidi"/>
          <w:w w:val="72"/>
          <w:sz w:val="28"/>
          <w:szCs w:val="28"/>
        </w:rPr>
        <w:t>Garagorry</w:t>
      </w:r>
      <w:proofErr w:type="spellEnd"/>
      <w:r>
        <w:rPr>
          <w:rFonts w:asciiTheme="majorBidi" w:hAnsiTheme="majorBidi" w:cstheme="majorBidi"/>
          <w:w w:val="72"/>
          <w:sz w:val="28"/>
          <w:szCs w:val="28"/>
        </w:rPr>
        <w:t xml:space="preserve"> Guerra, A. (2024). Generative AI and education: Dynamic personalization of pupils’ school learning material with ChatGPT. </w:t>
      </w:r>
      <w:r>
        <w:rPr>
          <w:rFonts w:asciiTheme="majorBidi" w:hAnsiTheme="majorBidi" w:cstheme="majorBidi"/>
          <w:i/>
          <w:iCs/>
          <w:w w:val="72"/>
          <w:sz w:val="28"/>
          <w:szCs w:val="28"/>
        </w:rPr>
        <w:t>Frontiers in Education, 9</w:t>
      </w:r>
      <w:r>
        <w:rPr>
          <w:rFonts w:asciiTheme="majorBidi" w:hAnsiTheme="majorBidi" w:cstheme="majorBidi"/>
          <w:w w:val="72"/>
          <w:sz w:val="28"/>
          <w:szCs w:val="28"/>
        </w:rPr>
        <w:t>, Article 1288723. DOI: 10.3389/</w:t>
      </w:r>
      <w:proofErr w:type="spellStart"/>
      <w:r>
        <w:rPr>
          <w:rFonts w:asciiTheme="majorBidi" w:hAnsiTheme="majorBidi" w:cstheme="majorBidi"/>
          <w:w w:val="72"/>
          <w:sz w:val="28"/>
          <w:szCs w:val="28"/>
        </w:rPr>
        <w:t>feduc.2024.1288723</w:t>
      </w:r>
      <w:proofErr w:type="spellEnd"/>
      <w:r>
        <w:rPr>
          <w:rFonts w:asciiTheme="majorBidi" w:hAnsiTheme="majorBidi" w:cstheme="majorBidi"/>
          <w:w w:val="72"/>
          <w:sz w:val="28"/>
          <w:szCs w:val="28"/>
        </w:rPr>
        <w:t xml:space="preserve">. </w:t>
      </w:r>
    </w:p>
    <w:p w14:paraId="53525C3F"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Kahmann</w:t>
      </w:r>
      <w:proofErr w:type="spellEnd"/>
      <w:r>
        <w:rPr>
          <w:rFonts w:asciiTheme="majorBidi" w:hAnsiTheme="majorBidi" w:cstheme="majorBidi"/>
          <w:w w:val="72"/>
          <w:sz w:val="28"/>
          <w:szCs w:val="28"/>
        </w:rPr>
        <w:t xml:space="preserve">, R., Droop, M., &amp; </w:t>
      </w:r>
      <w:proofErr w:type="spellStart"/>
      <w:r>
        <w:rPr>
          <w:rFonts w:asciiTheme="majorBidi" w:hAnsiTheme="majorBidi" w:cstheme="majorBidi"/>
          <w:w w:val="72"/>
          <w:sz w:val="28"/>
          <w:szCs w:val="28"/>
        </w:rPr>
        <w:t>Lazonder</w:t>
      </w:r>
      <w:proofErr w:type="spellEnd"/>
      <w:r>
        <w:rPr>
          <w:rFonts w:asciiTheme="majorBidi" w:hAnsiTheme="majorBidi" w:cstheme="majorBidi"/>
          <w:w w:val="72"/>
          <w:sz w:val="28"/>
          <w:szCs w:val="28"/>
        </w:rPr>
        <w:t xml:space="preserve">, A. W. (2022). Meta-analysis of professional development programs in differentiated instruction. </w:t>
      </w:r>
      <w:r>
        <w:rPr>
          <w:rFonts w:asciiTheme="majorBidi" w:hAnsiTheme="majorBidi" w:cstheme="majorBidi"/>
          <w:i/>
          <w:iCs/>
          <w:w w:val="72"/>
          <w:sz w:val="28"/>
          <w:szCs w:val="28"/>
        </w:rPr>
        <w:t>International Journal of Educational Research, 116</w:t>
      </w:r>
      <w:r>
        <w:rPr>
          <w:rFonts w:asciiTheme="majorBidi" w:hAnsiTheme="majorBidi" w:cstheme="majorBidi"/>
          <w:w w:val="72"/>
          <w:sz w:val="28"/>
          <w:szCs w:val="28"/>
        </w:rPr>
        <w:t>, Article 102072. DOI: 10.1016/</w:t>
      </w:r>
      <w:proofErr w:type="spellStart"/>
      <w:r>
        <w:rPr>
          <w:rFonts w:asciiTheme="majorBidi" w:hAnsiTheme="majorBidi" w:cstheme="majorBidi"/>
          <w:w w:val="72"/>
          <w:sz w:val="28"/>
          <w:szCs w:val="28"/>
        </w:rPr>
        <w:t>j.ijer.2022.102072</w:t>
      </w:r>
      <w:proofErr w:type="spellEnd"/>
      <w:r>
        <w:rPr>
          <w:rFonts w:asciiTheme="majorBidi" w:hAnsiTheme="majorBidi" w:cstheme="majorBidi"/>
          <w:w w:val="72"/>
          <w:sz w:val="28"/>
          <w:szCs w:val="28"/>
        </w:rPr>
        <w:t xml:space="preserve">. </w:t>
      </w:r>
    </w:p>
    <w:p w14:paraId="19A9CC88"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Kahmann</w:t>
      </w:r>
      <w:proofErr w:type="spellEnd"/>
      <w:r>
        <w:rPr>
          <w:rFonts w:asciiTheme="majorBidi" w:hAnsiTheme="majorBidi" w:cstheme="majorBidi"/>
          <w:w w:val="72"/>
          <w:sz w:val="28"/>
          <w:szCs w:val="28"/>
        </w:rPr>
        <w:t xml:space="preserve">, R., Droop, M., &amp; </w:t>
      </w:r>
      <w:proofErr w:type="spellStart"/>
      <w:r>
        <w:rPr>
          <w:rFonts w:asciiTheme="majorBidi" w:hAnsiTheme="majorBidi" w:cstheme="majorBidi"/>
          <w:w w:val="72"/>
          <w:sz w:val="28"/>
          <w:szCs w:val="28"/>
        </w:rPr>
        <w:t>Lazonder</w:t>
      </w:r>
      <w:proofErr w:type="spellEnd"/>
      <w:r>
        <w:rPr>
          <w:rFonts w:asciiTheme="majorBidi" w:hAnsiTheme="majorBidi" w:cstheme="majorBidi"/>
          <w:w w:val="72"/>
          <w:sz w:val="28"/>
          <w:szCs w:val="28"/>
        </w:rPr>
        <w:t xml:space="preserve">, A. W. (2024). Dutch elementary school teachers’ differentiation practices during science and technology lessons. </w:t>
      </w:r>
      <w:r>
        <w:rPr>
          <w:rFonts w:asciiTheme="majorBidi" w:hAnsiTheme="majorBidi" w:cstheme="majorBidi"/>
          <w:i/>
          <w:iCs/>
          <w:w w:val="72"/>
          <w:sz w:val="28"/>
          <w:szCs w:val="28"/>
        </w:rPr>
        <w:t>Teaching and Teacher Education, 145</w:t>
      </w:r>
      <w:r>
        <w:rPr>
          <w:rFonts w:asciiTheme="majorBidi" w:hAnsiTheme="majorBidi" w:cstheme="majorBidi"/>
          <w:w w:val="72"/>
          <w:sz w:val="28"/>
          <w:szCs w:val="28"/>
        </w:rPr>
        <w:t>, Article 104626. DOI: 10.1016/</w:t>
      </w:r>
      <w:proofErr w:type="spellStart"/>
      <w:r>
        <w:rPr>
          <w:rFonts w:asciiTheme="majorBidi" w:hAnsiTheme="majorBidi" w:cstheme="majorBidi"/>
          <w:w w:val="72"/>
          <w:sz w:val="28"/>
          <w:szCs w:val="28"/>
        </w:rPr>
        <w:t>j.tate.2024.104626</w:t>
      </w:r>
      <w:proofErr w:type="spellEnd"/>
      <w:r>
        <w:rPr>
          <w:rFonts w:asciiTheme="majorBidi" w:hAnsiTheme="majorBidi" w:cstheme="majorBidi"/>
          <w:w w:val="72"/>
          <w:sz w:val="28"/>
          <w:szCs w:val="28"/>
        </w:rPr>
        <w:t xml:space="preserve">. </w:t>
      </w:r>
    </w:p>
    <w:p w14:paraId="2218499C"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Karst, K., </w:t>
      </w:r>
      <w:proofErr w:type="spellStart"/>
      <w:r>
        <w:rPr>
          <w:rFonts w:asciiTheme="majorBidi" w:hAnsiTheme="majorBidi" w:cstheme="majorBidi"/>
          <w:w w:val="72"/>
          <w:sz w:val="28"/>
          <w:szCs w:val="28"/>
        </w:rPr>
        <w:t>Bonefeld</w:t>
      </w:r>
      <w:proofErr w:type="spellEnd"/>
      <w:r>
        <w:rPr>
          <w:rFonts w:asciiTheme="majorBidi" w:hAnsiTheme="majorBidi" w:cstheme="majorBidi"/>
          <w:w w:val="72"/>
          <w:sz w:val="28"/>
          <w:szCs w:val="28"/>
        </w:rPr>
        <w:t xml:space="preserve">, M., </w:t>
      </w:r>
      <w:proofErr w:type="spellStart"/>
      <w:r>
        <w:rPr>
          <w:rFonts w:asciiTheme="majorBidi" w:hAnsiTheme="majorBidi" w:cstheme="majorBidi"/>
          <w:w w:val="72"/>
          <w:sz w:val="28"/>
          <w:szCs w:val="28"/>
        </w:rPr>
        <w:t>Dotzel</w:t>
      </w:r>
      <w:proofErr w:type="spellEnd"/>
      <w:r>
        <w:rPr>
          <w:rFonts w:asciiTheme="majorBidi" w:hAnsiTheme="majorBidi" w:cstheme="majorBidi"/>
          <w:w w:val="72"/>
          <w:sz w:val="28"/>
          <w:szCs w:val="28"/>
        </w:rPr>
        <w:t xml:space="preserve">, S., </w:t>
      </w:r>
      <w:proofErr w:type="spellStart"/>
      <w:r>
        <w:rPr>
          <w:rFonts w:asciiTheme="majorBidi" w:hAnsiTheme="majorBidi" w:cstheme="majorBidi"/>
          <w:w w:val="72"/>
          <w:sz w:val="28"/>
          <w:szCs w:val="28"/>
        </w:rPr>
        <w:t>Fehringer</w:t>
      </w:r>
      <w:proofErr w:type="spellEnd"/>
      <w:r>
        <w:rPr>
          <w:rFonts w:asciiTheme="majorBidi" w:hAnsiTheme="majorBidi" w:cstheme="majorBidi"/>
          <w:w w:val="72"/>
          <w:sz w:val="28"/>
          <w:szCs w:val="28"/>
        </w:rPr>
        <w:t xml:space="preserve">, B. C. O. F., &amp; </w:t>
      </w:r>
      <w:proofErr w:type="spellStart"/>
      <w:r>
        <w:rPr>
          <w:rFonts w:asciiTheme="majorBidi" w:hAnsiTheme="majorBidi" w:cstheme="majorBidi"/>
          <w:w w:val="72"/>
          <w:sz w:val="28"/>
          <w:szCs w:val="28"/>
        </w:rPr>
        <w:t>Steinwascher</w:t>
      </w:r>
      <w:proofErr w:type="spellEnd"/>
      <w:r>
        <w:rPr>
          <w:rFonts w:asciiTheme="majorBidi" w:hAnsiTheme="majorBidi" w:cstheme="majorBidi"/>
          <w:w w:val="72"/>
          <w:sz w:val="28"/>
          <w:szCs w:val="28"/>
        </w:rPr>
        <w:t xml:space="preserve">, M. (2022). Data-based differentiated instruction: The impact of standardized assessment and aligned teaching material on students’ reading comprehension. </w:t>
      </w:r>
      <w:r>
        <w:rPr>
          <w:rFonts w:asciiTheme="majorBidi" w:hAnsiTheme="majorBidi" w:cstheme="majorBidi"/>
          <w:i/>
          <w:iCs/>
          <w:w w:val="72"/>
          <w:sz w:val="28"/>
          <w:szCs w:val="28"/>
        </w:rPr>
        <w:t>Learning and Instruction, 79</w:t>
      </w:r>
      <w:r>
        <w:rPr>
          <w:rFonts w:asciiTheme="majorBidi" w:hAnsiTheme="majorBidi" w:cstheme="majorBidi"/>
          <w:w w:val="72"/>
          <w:sz w:val="28"/>
          <w:szCs w:val="28"/>
        </w:rPr>
        <w:t xml:space="preserve">, Article 101597. DOI: 10.1016/j.learninstruc.2022.101597. </w:t>
      </w:r>
    </w:p>
    <w:p w14:paraId="18CCB519"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Langelaan</w:t>
      </w:r>
      <w:proofErr w:type="spellEnd"/>
      <w:r>
        <w:rPr>
          <w:rFonts w:asciiTheme="majorBidi" w:hAnsiTheme="majorBidi" w:cstheme="majorBidi"/>
          <w:w w:val="72"/>
          <w:sz w:val="28"/>
          <w:szCs w:val="28"/>
        </w:rPr>
        <w:t xml:space="preserve">, B. N., </w:t>
      </w:r>
      <w:proofErr w:type="spellStart"/>
      <w:r>
        <w:rPr>
          <w:rFonts w:asciiTheme="majorBidi" w:hAnsiTheme="majorBidi" w:cstheme="majorBidi"/>
          <w:w w:val="72"/>
          <w:sz w:val="28"/>
          <w:szCs w:val="28"/>
        </w:rPr>
        <w:t>Gaikhorst</w:t>
      </w:r>
      <w:proofErr w:type="spellEnd"/>
      <w:r>
        <w:rPr>
          <w:rFonts w:asciiTheme="majorBidi" w:hAnsiTheme="majorBidi" w:cstheme="majorBidi"/>
          <w:w w:val="72"/>
          <w:sz w:val="28"/>
          <w:szCs w:val="28"/>
        </w:rPr>
        <w:t xml:space="preserve">, L., Smets, W., &amp; </w:t>
      </w:r>
      <w:proofErr w:type="spellStart"/>
      <w:r>
        <w:rPr>
          <w:rFonts w:asciiTheme="majorBidi" w:hAnsiTheme="majorBidi" w:cstheme="majorBidi"/>
          <w:w w:val="72"/>
          <w:sz w:val="28"/>
          <w:szCs w:val="28"/>
        </w:rPr>
        <w:t>Oostdam</w:t>
      </w:r>
      <w:proofErr w:type="spellEnd"/>
      <w:r>
        <w:rPr>
          <w:rFonts w:asciiTheme="majorBidi" w:hAnsiTheme="majorBidi" w:cstheme="majorBidi"/>
          <w:w w:val="72"/>
          <w:sz w:val="28"/>
          <w:szCs w:val="28"/>
        </w:rPr>
        <w:t xml:space="preserve">, R. J. (2024). Differentiating instruction: Understanding the key elements for successful teacher preparation and development. </w:t>
      </w:r>
      <w:r>
        <w:rPr>
          <w:rFonts w:asciiTheme="majorBidi" w:hAnsiTheme="majorBidi" w:cstheme="majorBidi"/>
          <w:i/>
          <w:iCs/>
          <w:w w:val="72"/>
          <w:sz w:val="28"/>
          <w:szCs w:val="28"/>
        </w:rPr>
        <w:t>Teaching and Teacher Education, 140</w:t>
      </w:r>
      <w:r>
        <w:rPr>
          <w:rFonts w:asciiTheme="majorBidi" w:hAnsiTheme="majorBidi" w:cstheme="majorBidi"/>
          <w:w w:val="72"/>
          <w:sz w:val="28"/>
          <w:szCs w:val="28"/>
        </w:rPr>
        <w:t>, Article 104464. DOI: 10.1016/</w:t>
      </w:r>
      <w:proofErr w:type="spellStart"/>
      <w:r>
        <w:rPr>
          <w:rFonts w:asciiTheme="majorBidi" w:hAnsiTheme="majorBidi" w:cstheme="majorBidi"/>
          <w:w w:val="72"/>
          <w:sz w:val="28"/>
          <w:szCs w:val="28"/>
        </w:rPr>
        <w:t>j.tate.2023.104464</w:t>
      </w:r>
      <w:proofErr w:type="spellEnd"/>
      <w:r>
        <w:rPr>
          <w:rFonts w:asciiTheme="majorBidi" w:hAnsiTheme="majorBidi" w:cstheme="majorBidi"/>
          <w:w w:val="72"/>
          <w:sz w:val="28"/>
          <w:szCs w:val="28"/>
        </w:rPr>
        <w:t xml:space="preserve">. </w:t>
      </w:r>
    </w:p>
    <w:p w14:paraId="004C483E"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Martin, F., Zhuang, M., &amp; Schaefer, D. (2024). Systematic review of research on artificial intelligence in K–12 education (2017–2022). </w:t>
      </w:r>
      <w:r>
        <w:rPr>
          <w:rFonts w:asciiTheme="majorBidi" w:hAnsiTheme="majorBidi" w:cstheme="majorBidi"/>
          <w:i/>
          <w:iCs/>
          <w:w w:val="72"/>
          <w:sz w:val="28"/>
          <w:szCs w:val="28"/>
        </w:rPr>
        <w:t>Computers and Education: Artificial Intelligence, 6</w:t>
      </w:r>
      <w:r>
        <w:rPr>
          <w:rFonts w:asciiTheme="majorBidi" w:hAnsiTheme="majorBidi" w:cstheme="majorBidi"/>
          <w:w w:val="72"/>
          <w:sz w:val="28"/>
          <w:szCs w:val="28"/>
        </w:rPr>
        <w:t>, Article 100195. DOI: 10.1016/</w:t>
      </w:r>
      <w:proofErr w:type="spellStart"/>
      <w:r>
        <w:rPr>
          <w:rFonts w:asciiTheme="majorBidi" w:hAnsiTheme="majorBidi" w:cstheme="majorBidi"/>
          <w:w w:val="72"/>
          <w:sz w:val="28"/>
          <w:szCs w:val="28"/>
        </w:rPr>
        <w:t>j.caeai.2023.100195</w:t>
      </w:r>
      <w:proofErr w:type="spellEnd"/>
      <w:r>
        <w:rPr>
          <w:rFonts w:asciiTheme="majorBidi" w:hAnsiTheme="majorBidi" w:cstheme="majorBidi"/>
          <w:w w:val="72"/>
          <w:sz w:val="28"/>
          <w:szCs w:val="28"/>
        </w:rPr>
        <w:t xml:space="preserve">. </w:t>
      </w:r>
    </w:p>
    <w:p w14:paraId="097C22EE"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Meutstege</w:t>
      </w:r>
      <w:proofErr w:type="spellEnd"/>
      <w:r>
        <w:rPr>
          <w:rFonts w:asciiTheme="majorBidi" w:hAnsiTheme="majorBidi" w:cstheme="majorBidi"/>
          <w:w w:val="72"/>
          <w:sz w:val="28"/>
          <w:szCs w:val="28"/>
        </w:rPr>
        <w:t xml:space="preserve">, K., van Geel, M., &amp; </w:t>
      </w:r>
      <w:proofErr w:type="spellStart"/>
      <w:r>
        <w:rPr>
          <w:rFonts w:asciiTheme="majorBidi" w:hAnsiTheme="majorBidi" w:cstheme="majorBidi"/>
          <w:w w:val="72"/>
          <w:sz w:val="28"/>
          <w:szCs w:val="28"/>
        </w:rPr>
        <w:t>Visscher</w:t>
      </w:r>
      <w:proofErr w:type="spellEnd"/>
      <w:r>
        <w:rPr>
          <w:rFonts w:asciiTheme="majorBidi" w:hAnsiTheme="majorBidi" w:cstheme="majorBidi"/>
          <w:w w:val="72"/>
          <w:sz w:val="28"/>
          <w:szCs w:val="28"/>
        </w:rPr>
        <w:t xml:space="preserve">, A. (2023). Evidence-based design of a teacher professional development program for differentiated instruction: A whole-task approach. </w:t>
      </w:r>
      <w:r>
        <w:rPr>
          <w:rFonts w:asciiTheme="majorBidi" w:hAnsiTheme="majorBidi" w:cstheme="majorBidi"/>
          <w:i/>
          <w:iCs/>
          <w:w w:val="72"/>
          <w:sz w:val="28"/>
          <w:szCs w:val="28"/>
        </w:rPr>
        <w:t>Education Sciences, 13</w:t>
      </w:r>
      <w:r>
        <w:rPr>
          <w:rFonts w:asciiTheme="majorBidi" w:hAnsiTheme="majorBidi" w:cstheme="majorBidi"/>
          <w:w w:val="72"/>
          <w:sz w:val="28"/>
          <w:szCs w:val="28"/>
        </w:rPr>
        <w:t>(10), Article 985. DOI: 10.3390/</w:t>
      </w:r>
      <w:proofErr w:type="spellStart"/>
      <w:r>
        <w:rPr>
          <w:rFonts w:asciiTheme="majorBidi" w:hAnsiTheme="majorBidi" w:cstheme="majorBidi"/>
          <w:w w:val="72"/>
          <w:sz w:val="28"/>
          <w:szCs w:val="28"/>
        </w:rPr>
        <w:t>educsci13100985</w:t>
      </w:r>
      <w:proofErr w:type="spellEnd"/>
      <w:r>
        <w:rPr>
          <w:rFonts w:asciiTheme="majorBidi" w:hAnsiTheme="majorBidi" w:cstheme="majorBidi"/>
          <w:w w:val="72"/>
          <w:sz w:val="28"/>
          <w:szCs w:val="28"/>
        </w:rPr>
        <w:t xml:space="preserve">. </w:t>
      </w:r>
    </w:p>
    <w:p w14:paraId="7A54C4F9"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Miao, F., &amp; Holmes, W. (2023). </w:t>
      </w:r>
      <w:r>
        <w:rPr>
          <w:rFonts w:asciiTheme="majorBidi" w:hAnsiTheme="majorBidi" w:cstheme="majorBidi"/>
          <w:i/>
          <w:w w:val="72"/>
          <w:sz w:val="28"/>
          <w:szCs w:val="28"/>
        </w:rPr>
        <w:t>Guidance for generative AI in education and research</w:t>
      </w:r>
      <w:r>
        <w:rPr>
          <w:rFonts w:asciiTheme="majorBidi" w:hAnsiTheme="majorBidi" w:cstheme="majorBidi"/>
          <w:w w:val="72"/>
          <w:sz w:val="28"/>
          <w:szCs w:val="28"/>
        </w:rPr>
        <w:t>. UNESCO.</w:t>
      </w:r>
    </w:p>
    <w:p w14:paraId="21157BBC"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Moorhouse</w:t>
      </w:r>
      <w:proofErr w:type="spellEnd"/>
      <w:r>
        <w:rPr>
          <w:rFonts w:asciiTheme="majorBidi" w:hAnsiTheme="majorBidi" w:cstheme="majorBidi"/>
          <w:w w:val="72"/>
          <w:sz w:val="28"/>
          <w:szCs w:val="28"/>
        </w:rPr>
        <w:t xml:space="preserve">, B. L., &amp; </w:t>
      </w:r>
      <w:proofErr w:type="spellStart"/>
      <w:r>
        <w:rPr>
          <w:rFonts w:asciiTheme="majorBidi" w:hAnsiTheme="majorBidi" w:cstheme="majorBidi"/>
          <w:w w:val="72"/>
          <w:sz w:val="28"/>
          <w:szCs w:val="28"/>
        </w:rPr>
        <w:t>Kohnke</w:t>
      </w:r>
      <w:proofErr w:type="spellEnd"/>
      <w:r>
        <w:rPr>
          <w:rFonts w:asciiTheme="majorBidi" w:hAnsiTheme="majorBidi" w:cstheme="majorBidi"/>
          <w:w w:val="72"/>
          <w:sz w:val="28"/>
          <w:szCs w:val="28"/>
        </w:rPr>
        <w:t xml:space="preserve">, L. M. A. (2024). The effects of generative AI on initial language teacher education: The perceptions of teacher educators. </w:t>
      </w:r>
      <w:r>
        <w:rPr>
          <w:rFonts w:asciiTheme="majorBidi" w:hAnsiTheme="majorBidi" w:cstheme="majorBidi"/>
          <w:i/>
          <w:iCs/>
          <w:w w:val="72"/>
          <w:sz w:val="28"/>
          <w:szCs w:val="28"/>
        </w:rPr>
        <w:t>System, 122</w:t>
      </w:r>
      <w:r>
        <w:rPr>
          <w:rFonts w:asciiTheme="majorBidi" w:hAnsiTheme="majorBidi" w:cstheme="majorBidi"/>
          <w:w w:val="72"/>
          <w:sz w:val="28"/>
          <w:szCs w:val="28"/>
        </w:rPr>
        <w:t xml:space="preserve">, Article 103290. DOI: 10.1016/j.system.2024.103290. </w:t>
      </w:r>
    </w:p>
    <w:p w14:paraId="5038AC72"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Moundridou</w:t>
      </w:r>
      <w:proofErr w:type="spellEnd"/>
      <w:r>
        <w:rPr>
          <w:rFonts w:asciiTheme="majorBidi" w:hAnsiTheme="majorBidi" w:cstheme="majorBidi"/>
          <w:w w:val="72"/>
          <w:sz w:val="28"/>
          <w:szCs w:val="28"/>
        </w:rPr>
        <w:t xml:space="preserve">, M., </w:t>
      </w:r>
      <w:proofErr w:type="spellStart"/>
      <w:r>
        <w:rPr>
          <w:rFonts w:asciiTheme="majorBidi" w:hAnsiTheme="majorBidi" w:cstheme="majorBidi"/>
          <w:w w:val="72"/>
          <w:sz w:val="28"/>
          <w:szCs w:val="28"/>
        </w:rPr>
        <w:t>Matzakos</w:t>
      </w:r>
      <w:proofErr w:type="spellEnd"/>
      <w:r>
        <w:rPr>
          <w:rFonts w:asciiTheme="majorBidi" w:hAnsiTheme="majorBidi" w:cstheme="majorBidi"/>
          <w:w w:val="72"/>
          <w:sz w:val="28"/>
          <w:szCs w:val="28"/>
        </w:rPr>
        <w:t xml:space="preserve">, N., &amp; </w:t>
      </w:r>
      <w:proofErr w:type="spellStart"/>
      <w:r>
        <w:rPr>
          <w:rFonts w:asciiTheme="majorBidi" w:hAnsiTheme="majorBidi" w:cstheme="majorBidi"/>
          <w:w w:val="72"/>
          <w:sz w:val="28"/>
          <w:szCs w:val="28"/>
        </w:rPr>
        <w:t>Doukakis</w:t>
      </w:r>
      <w:proofErr w:type="spellEnd"/>
      <w:r>
        <w:rPr>
          <w:rFonts w:asciiTheme="majorBidi" w:hAnsiTheme="majorBidi" w:cstheme="majorBidi"/>
          <w:w w:val="72"/>
          <w:sz w:val="28"/>
          <w:szCs w:val="28"/>
        </w:rPr>
        <w:t xml:space="preserve">, S. (2024). Generative AI tools as educators’ assistants: Designing and implementing inquiry-based lesson plans. </w:t>
      </w:r>
      <w:r>
        <w:rPr>
          <w:rFonts w:asciiTheme="majorBidi" w:hAnsiTheme="majorBidi" w:cstheme="majorBidi"/>
          <w:i/>
          <w:iCs/>
          <w:w w:val="72"/>
          <w:sz w:val="28"/>
          <w:szCs w:val="28"/>
        </w:rPr>
        <w:t>Computers and Education: Artificial Intelligence, 7</w:t>
      </w:r>
      <w:r>
        <w:rPr>
          <w:rFonts w:asciiTheme="majorBidi" w:hAnsiTheme="majorBidi" w:cstheme="majorBidi"/>
          <w:w w:val="72"/>
          <w:sz w:val="28"/>
          <w:szCs w:val="28"/>
        </w:rPr>
        <w:t>, Article 100277. DOI: 10.1016/</w:t>
      </w:r>
      <w:proofErr w:type="spellStart"/>
      <w:r>
        <w:rPr>
          <w:rFonts w:asciiTheme="majorBidi" w:hAnsiTheme="majorBidi" w:cstheme="majorBidi"/>
          <w:w w:val="72"/>
          <w:sz w:val="28"/>
          <w:szCs w:val="28"/>
        </w:rPr>
        <w:t>j.caeai.2024.100277</w:t>
      </w:r>
      <w:proofErr w:type="spellEnd"/>
      <w:r>
        <w:rPr>
          <w:rFonts w:asciiTheme="majorBidi" w:hAnsiTheme="majorBidi" w:cstheme="majorBidi"/>
          <w:w w:val="72"/>
          <w:sz w:val="28"/>
          <w:szCs w:val="28"/>
        </w:rPr>
        <w:t xml:space="preserve">. </w:t>
      </w:r>
    </w:p>
    <w:p w14:paraId="293C6064"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Pietsch</w:t>
      </w:r>
      <w:proofErr w:type="spellEnd"/>
      <w:r>
        <w:rPr>
          <w:rFonts w:asciiTheme="majorBidi" w:hAnsiTheme="majorBidi" w:cstheme="majorBidi"/>
          <w:w w:val="72"/>
          <w:sz w:val="28"/>
          <w:szCs w:val="28"/>
        </w:rPr>
        <w:t xml:space="preserve">, M., &amp; </w:t>
      </w:r>
      <w:proofErr w:type="spellStart"/>
      <w:r>
        <w:rPr>
          <w:rFonts w:asciiTheme="majorBidi" w:hAnsiTheme="majorBidi" w:cstheme="majorBidi"/>
          <w:w w:val="72"/>
          <w:sz w:val="28"/>
          <w:szCs w:val="28"/>
        </w:rPr>
        <w:t>Mah</w:t>
      </w:r>
      <w:proofErr w:type="spellEnd"/>
      <w:r>
        <w:rPr>
          <w:rFonts w:asciiTheme="majorBidi" w:hAnsiTheme="majorBidi" w:cstheme="majorBidi"/>
          <w:w w:val="72"/>
          <w:sz w:val="28"/>
          <w:szCs w:val="28"/>
        </w:rPr>
        <w:t xml:space="preserve">, D.-K. (2025). Leading the AI transformation in schools: It starts with a digital mindset. </w:t>
      </w:r>
      <w:r>
        <w:rPr>
          <w:rFonts w:asciiTheme="majorBidi" w:hAnsiTheme="majorBidi" w:cstheme="majorBidi"/>
          <w:i/>
          <w:iCs/>
          <w:w w:val="72"/>
          <w:sz w:val="28"/>
          <w:szCs w:val="28"/>
        </w:rPr>
        <w:t>Educational Technology Research and Development, 73</w:t>
      </w:r>
      <w:r>
        <w:rPr>
          <w:rFonts w:asciiTheme="majorBidi" w:hAnsiTheme="majorBidi" w:cstheme="majorBidi"/>
          <w:w w:val="72"/>
          <w:sz w:val="28"/>
          <w:szCs w:val="28"/>
        </w:rPr>
        <w:t xml:space="preserve">, 1043–1069. DOI: 10.1007/s11423-024-10439-w. </w:t>
      </w:r>
    </w:p>
    <w:p w14:paraId="0C4AA10A"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Pozas</w:t>
      </w:r>
      <w:proofErr w:type="spellEnd"/>
      <w:r>
        <w:rPr>
          <w:rFonts w:asciiTheme="majorBidi" w:hAnsiTheme="majorBidi" w:cstheme="majorBidi"/>
          <w:w w:val="72"/>
          <w:sz w:val="28"/>
          <w:szCs w:val="28"/>
        </w:rPr>
        <w:t xml:space="preserve">, M., </w:t>
      </w:r>
      <w:proofErr w:type="spellStart"/>
      <w:r>
        <w:rPr>
          <w:rFonts w:asciiTheme="majorBidi" w:hAnsiTheme="majorBidi" w:cstheme="majorBidi"/>
          <w:w w:val="72"/>
          <w:sz w:val="28"/>
          <w:szCs w:val="28"/>
        </w:rPr>
        <w:t>Letzel</w:t>
      </w:r>
      <w:proofErr w:type="spellEnd"/>
      <w:r>
        <w:rPr>
          <w:rFonts w:asciiTheme="majorBidi" w:hAnsiTheme="majorBidi" w:cstheme="majorBidi"/>
          <w:w w:val="72"/>
          <w:sz w:val="28"/>
          <w:szCs w:val="28"/>
        </w:rPr>
        <w:t xml:space="preserve">, V., Lindner, K.-T., &amp; Schwab, S. (2021). DI does matter! The effects of differentiated instruction on secondary school students’ well-being, social inclusion, and academic self-concept. </w:t>
      </w:r>
      <w:r>
        <w:rPr>
          <w:rFonts w:asciiTheme="majorBidi" w:hAnsiTheme="majorBidi" w:cstheme="majorBidi"/>
          <w:i/>
          <w:iCs/>
          <w:w w:val="72"/>
          <w:sz w:val="28"/>
          <w:szCs w:val="28"/>
        </w:rPr>
        <w:t>Frontiers in Education, 6</w:t>
      </w:r>
      <w:r>
        <w:rPr>
          <w:rFonts w:asciiTheme="majorBidi" w:hAnsiTheme="majorBidi" w:cstheme="majorBidi"/>
          <w:w w:val="72"/>
          <w:sz w:val="28"/>
          <w:szCs w:val="28"/>
        </w:rPr>
        <w:t>, Article 729027. DOI: 10.3389/</w:t>
      </w:r>
      <w:proofErr w:type="spellStart"/>
      <w:r>
        <w:rPr>
          <w:rFonts w:asciiTheme="majorBidi" w:hAnsiTheme="majorBidi" w:cstheme="majorBidi"/>
          <w:w w:val="72"/>
          <w:sz w:val="28"/>
          <w:szCs w:val="28"/>
        </w:rPr>
        <w:t>feduc.2021.729027</w:t>
      </w:r>
      <w:proofErr w:type="spellEnd"/>
      <w:r>
        <w:rPr>
          <w:rFonts w:asciiTheme="majorBidi" w:hAnsiTheme="majorBidi" w:cstheme="majorBidi"/>
          <w:w w:val="72"/>
          <w:sz w:val="28"/>
          <w:szCs w:val="28"/>
        </w:rPr>
        <w:t xml:space="preserve">. </w:t>
      </w:r>
    </w:p>
    <w:p w14:paraId="2610C5C4"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Tan, C. Y. (2024). Influence of principal leadership across contexts on the science learning of students. </w:t>
      </w:r>
      <w:r>
        <w:rPr>
          <w:rFonts w:asciiTheme="majorBidi" w:hAnsiTheme="majorBidi" w:cstheme="majorBidi"/>
          <w:i/>
          <w:iCs/>
          <w:w w:val="72"/>
          <w:sz w:val="28"/>
          <w:szCs w:val="28"/>
        </w:rPr>
        <w:t>Asia Pacific Education Review, 25</w:t>
      </w:r>
      <w:r>
        <w:rPr>
          <w:rFonts w:asciiTheme="majorBidi" w:hAnsiTheme="majorBidi" w:cstheme="majorBidi"/>
          <w:w w:val="72"/>
          <w:sz w:val="28"/>
          <w:szCs w:val="28"/>
        </w:rPr>
        <w:t xml:space="preserve">, 31–44. DOI: 10.1007/s12564-023-09828-2. </w:t>
      </w:r>
    </w:p>
    <w:p w14:paraId="6C7FAE77"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Tomlinson, C. A. (2017). </w:t>
      </w:r>
      <w:r>
        <w:rPr>
          <w:rFonts w:asciiTheme="majorBidi" w:hAnsiTheme="majorBidi" w:cstheme="majorBidi"/>
          <w:i/>
          <w:iCs/>
          <w:w w:val="72"/>
          <w:sz w:val="28"/>
          <w:szCs w:val="28"/>
        </w:rPr>
        <w:t>How to differentiate instruction in academically diverse classrooms</w:t>
      </w:r>
      <w:r>
        <w:rPr>
          <w:rFonts w:asciiTheme="majorBidi" w:hAnsiTheme="majorBidi" w:cstheme="majorBidi"/>
          <w:w w:val="72"/>
          <w:sz w:val="28"/>
          <w:szCs w:val="28"/>
        </w:rPr>
        <w:t xml:space="preserve"> (3rd ed.). ASCD</w:t>
      </w:r>
    </w:p>
    <w:p w14:paraId="79550942"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UNESCO. (2024). </w:t>
      </w:r>
      <w:r>
        <w:rPr>
          <w:rFonts w:asciiTheme="majorBidi" w:hAnsiTheme="majorBidi" w:cstheme="majorBidi"/>
          <w:i/>
          <w:w w:val="72"/>
          <w:sz w:val="28"/>
          <w:szCs w:val="28"/>
        </w:rPr>
        <w:t>Global education monitoring report 2024/5: Leadership in education—Lead for learning</w:t>
      </w:r>
      <w:r>
        <w:rPr>
          <w:rFonts w:asciiTheme="majorBidi" w:hAnsiTheme="majorBidi" w:cstheme="majorBidi"/>
          <w:w w:val="72"/>
          <w:sz w:val="28"/>
          <w:szCs w:val="28"/>
        </w:rPr>
        <w:t>. UNESCO.</w:t>
      </w:r>
    </w:p>
    <w:p w14:paraId="4E5116BF"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UNESCO Institute for Information Technologies in Education. (2022). </w:t>
      </w:r>
      <w:r>
        <w:rPr>
          <w:rFonts w:asciiTheme="majorBidi" w:hAnsiTheme="majorBidi" w:cstheme="majorBidi"/>
          <w:i/>
          <w:w w:val="72"/>
          <w:sz w:val="28"/>
          <w:szCs w:val="28"/>
        </w:rPr>
        <w:t>Technical and educational challenges, capacities and readiness of schools to use the potential of digital innovations and AI: Analytical report</w:t>
      </w:r>
      <w:r>
        <w:rPr>
          <w:rFonts w:asciiTheme="majorBidi" w:hAnsiTheme="majorBidi" w:cstheme="majorBidi"/>
          <w:w w:val="72"/>
          <w:sz w:val="28"/>
          <w:szCs w:val="28"/>
        </w:rPr>
        <w:t>. UNESCO IITE.</w:t>
      </w:r>
    </w:p>
    <w:p w14:paraId="17E27B46" w14:textId="77777777" w:rsidR="00491E5B" w:rsidRDefault="00E91EBB">
      <w:pPr>
        <w:pStyle w:val="BodyText"/>
        <w:tabs>
          <w:tab w:val="right" w:pos="9927"/>
        </w:tabs>
        <w:bidi/>
        <w:ind w:right="142"/>
        <w:jc w:val="both"/>
        <w:rPr>
          <w:sz w:val="20"/>
        </w:rPr>
      </w:pPr>
      <w:r>
        <w:rPr>
          <w:noProof/>
          <w:sz w:val="20"/>
        </w:rPr>
        <mc:AlternateContent>
          <mc:Choice Requires="wpg">
            <w:drawing>
              <wp:anchor distT="0" distB="0" distL="0" distR="0" simplePos="0" relativeHeight="251655168" behindDoc="0" locked="0" layoutInCell="1" allowOverlap="1" wp14:anchorId="138309AB" wp14:editId="2516A6AF">
                <wp:simplePos x="0" y="0"/>
                <wp:positionH relativeFrom="page">
                  <wp:posOffset>5853430</wp:posOffset>
                </wp:positionH>
                <wp:positionV relativeFrom="page">
                  <wp:posOffset>0</wp:posOffset>
                </wp:positionV>
                <wp:extent cx="1706880" cy="2767965"/>
                <wp:effectExtent l="0" t="0" r="0" b="0"/>
                <wp:wrapNone/>
                <wp:docPr id="90" name="Group 90"/>
                <wp:cNvGraphicFramePr/>
                <a:graphic xmlns:a="http://schemas.openxmlformats.org/drawingml/2006/main">
                  <a:graphicData uri="http://schemas.microsoft.com/office/word/2010/wordprocessingGroup">
                    <wpg:wgp>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noAutofit/>
                        </wps:bodyPr>
                      </wps:wsp>
                    </wpg:wgp>
                  </a:graphicData>
                </a:graphic>
              </wp:anchor>
            </w:drawing>
          </mc:Choice>
          <mc:Fallback xmlns:wpsCustomData="http://www.wps.cn/officeDocument/2013/wpsCustomData">
            <w:pict>
              <v:group id="_x0000_s1026" o:spid="_x0000_s1026" o:spt="203" style="position:absolute;left:0pt;margin-left:460.9pt;margin-top:0pt;height:217.95pt;width:134.4pt;mso-position-horizontal-relative:page;mso-position-vertical-relative:page;z-index:251662336;mso-width-relative:page;mso-height-relative:page;" coordsize="1706880,2767965" o:gfxdata="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">
                <o:lock v:ext="edit" aspectratio="f"/>
                <v:shape id="Graphic 91" o:spid="_x0000_s1026" o:spt="100" style="position:absolute;left:0;top:0;height:2767965;width:1706880;" fillcolor="#45CFFF" filled="t" stroked="f" coordsize="1706880,2767965" o:gfxdata="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W4NMy/&#10;AAAA2wAAAA8AAAAAAAAAAQAgAAAAIgAAAGRycy9kb3ducmV2LnhtbFBLAQIUABQAAAAIAIdO4kAz&#10;LwWeOwAAADkAAAAQAAAAAAAAAAEAIAAAAA4BAABkcnMvc2hhcGV4bWwueG1sUEsFBgAAAAAGAAYA&#10;WwEAALgDAAAAAA==&#10;" path="m1706332,0l0,0,83,1062,4694,50536,10003,99879,16006,149085,22701,198147,30084,247058,38152,295811,46901,344399,56330,392817,66434,441057,77210,489113,88656,536977,100768,584644,113543,632105,126978,679356,141070,726389,155815,773197,171210,819773,187253,866111,203940,912205,221268,958047,239234,1003630,257834,1048949,277066,1093996,296927,1138765,317413,1183248,338520,1227440,360247,1271333,382589,1314921,405545,1358197,429109,1401154,453280,1443786,478055,1486086,503429,1528048,529400,1569663,555965,1610927,583121,1651831,610864,1692371,639191,1732537,668100,1772325,697587,1811727,727648,1850736,758282,1889347,789484,1927551,821251,1965343,853581,2002716,886469,2039663,919914,2076177,953912,2112252,988459,2147880,1023553,2183056,1059191,2217772,1095368,2252022,1132083,2285799,1169332,2319096,1207112,2351907,1245419,2384225,1706332,2767468,1706332,0xe">
                  <v:fill on="t" opacity="43253f" focussize="0,0"/>
                  <v:stroke on="f"/>
                  <v:imagedata o:title=""/>
                  <o:lock v:ext="edit" aspectratio="f"/>
                  <v:textbox inset="0mm,0mm,0mm,0mm"/>
                </v:shape>
                <v:shape id="Graphic 92" o:spid="_x0000_s1026" o:spt="100" style="position:absolute;left:1229652;top:0;height:548005;width:476884;" fillcolor="#098EE8" filled="t" stroked="f" coordsize="476884,548005" o:gfxdata="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npb+vQAA&#10;ANsAAAAPAAAAAAAAAAEAIAAAACIAAABkcnMvZG93bnJldi54bWxQSwECFAAUAAAACACHTuJAMy8F&#10;njsAAAA5AAAAEAAAAAAAAAABACAAAAAMAQAAZHJzL3NoYXBleG1sLnhtbFBLBQYAAAAABgAGAFsB&#10;AAC2AwAAAAA=&#10;" path="m476680,0l0,0,26586,37932,55396,77748,84825,117153,114868,156139,145522,194698,176782,232823,208646,270506,241110,307739,274171,344515,307824,380826,342066,416665,376893,452023,412303,486893,448291,521268,476680,547567,476680,0xe">
                  <v:fill on="t" focussize="0,0"/>
                  <v:stroke on="f"/>
                  <v:imagedata o:title=""/>
                  <o:lock v:ext="edit" aspectratio="f"/>
                  <v:textbox inset="0mm,0mm,0mm,0mm"/>
                </v:shape>
              </v:group>
            </w:pict>
          </mc:Fallback>
        </mc:AlternateContent>
      </w:r>
      <w:r>
        <w:rPr>
          <w:noProof/>
          <w:sz w:val="20"/>
        </w:rPr>
        <mc:AlternateContent>
          <mc:Choice Requires="wpg">
            <w:drawing>
              <wp:anchor distT="0" distB="0" distL="0" distR="0" simplePos="0" relativeHeight="251656192" behindDoc="0" locked="0" layoutInCell="1" allowOverlap="1" wp14:anchorId="71055EF0" wp14:editId="76181572">
                <wp:simplePos x="0" y="0"/>
                <wp:positionH relativeFrom="page">
                  <wp:posOffset>0</wp:posOffset>
                </wp:positionH>
                <wp:positionV relativeFrom="page">
                  <wp:posOffset>6917055</wp:posOffset>
                </wp:positionV>
                <wp:extent cx="1958975" cy="3789045"/>
                <wp:effectExtent l="0" t="0" r="0" b="0"/>
                <wp:wrapNone/>
                <wp:docPr id="93" name="Group 93"/>
                <wp:cNvGraphicFramePr/>
                <a:graphic xmlns:a="http://schemas.openxmlformats.org/drawingml/2006/main">
                  <a:graphicData uri="http://schemas.microsoft.com/office/word/2010/wordprocessingGroup">
                    <wpg:wgp>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noAutofit/>
                        </wps:bodyPr>
                      </wps:wsp>
                    </wpg:wgp>
                  </a:graphicData>
                </a:graphic>
              </wp:anchor>
            </w:drawing>
          </mc:Choice>
          <mc:Fallback xmlns:wpsCustomData="http://www.wps.cn/officeDocument/2013/wpsCustomData">
            <w:pict>
              <v:group id="_x0000_s1026" o:spid="_x0000_s1026" o:spt="203" style="position:absolute;left:0pt;margin-left:0pt;margin-top:544.65pt;height:298.35pt;width:154.25pt;mso-position-horizontal-relative:page;mso-position-vertical-relative:page;z-index:251662336;mso-width-relative:page;mso-height-relative:page;" coordsize="1958975,3789045" o:gfxdata="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">
                <o:lock v:ext="edit" aspectratio="f"/>
                <v:shape id="Graphic 94" o:spid="_x0000_s1026" o:spt="100" style="position:absolute;left:0;top:1023953;height:2750820;width:1701800;" fillcolor="#45CFFF" filled="t" stroked="f" coordsize="1701800,2750820" o:gfxdata="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BiSNS8AAAA&#10;2wAAAA8AAAAAAAAAAQAgAAAAIgAAAGRycy9kb3ducmV2LnhtbFBLAQIUABQAAAAIAIdO4kAzLwWe&#10;OwAAADkAAAAQAAAAAAAAAAEAIAAAAAsBAABkcnMvc2hhcGV4bWwueG1sUEsFBgAAAAAGAAYAWwEA&#10;ALUDAAAAAA==&#10;" path="m0,0l0,2750411,1701219,2750411,1696875,2703799,1691604,2654803,1685643,2605944,1678995,2557228,1671664,2508661,1663654,2460252,1654965,2412005,1645603,2363928,1635571,2316028,1624870,2268311,1613505,2220784,1601478,2173453,1588793,2126325,1575453,2079407,1561461,2032706,1546820,1986228,1531533,1939979,1515603,1893967,1499034,1848198,1481828,1802679,1463989,1757417,1445519,1712417,1426423,1667687,1406702,1623234,1386361,1579064,1365402,1535183,1343828,1491599,1321643,1448318,1298850,1405346,1275451,1362691,1251451,1320359,1226851,1278357,1201655,1236691,1175867,1195369,1149489,1154396,1122525,1113779,1094977,1073525,1066849,1033641,1038144,994133,1008866,955009,979016,916274,948598,877935,917616,839999,886072,802473,853971,765364,821313,728677,788104,692420,754346,656599,720042,621221,685195,586293,649809,551821,613886,517812,577429,484272,540443,451209,502929,418629,464892,386538,0,0xe">
                  <v:fill on="t" opacity="43253f" focussize="0,0"/>
                  <v:stroke on="f"/>
                  <v:imagedata o:title=""/>
                  <o:lock v:ext="edit" aspectratio="f"/>
                  <v:textbox inset="0mm,0mm,0mm,0mm"/>
                </v:shape>
                <v:shape id="Graphic 95" o:spid="_x0000_s1026" o:spt="100" style="position:absolute;left:0;top:3227543;height:547370;width:478155;" fillcolor="#098EE8" filled="t" stroked="f" coordsize="478155,547370" o:gfxdata="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eoodb4A&#10;AADbAAAADwAAAAAAAAABACAAAAAiAAAAZHJzL2Rvd25yZXYueG1sUEsBAhQAFAAAAAgAh07iQDMv&#10;BZ47AAAAOQAAABAAAAAAAAAAAQAgAAAADQEAAGRycy9zaGFwZXhtbC54bWxQSwUGAAAAAAYABgBb&#10;AQAAtwMAAAAA&#10;" path="m0,0l0,546821,478039,546821,454137,512720,425529,473184,396307,434057,366476,395345,336037,357058,304996,319201,273356,281784,241120,244813,208292,208296,174875,172241,140874,136655,106291,101546,71130,66921,35395,32789,0,0xe">
                  <v:fill on="t" focussize="0,0"/>
                  <v:stroke on="f"/>
                  <v:imagedata o:title=""/>
                  <o:lock v:ext="edit" aspectratio="f"/>
                  <v:textbox inset="0mm,0mm,0mm,0mm"/>
                </v:shape>
                <v:shape id="Graphic 96" o:spid="_x0000_s1026" o:spt="100" style="position:absolute;left:46438;top:14262;height:3760470;width:1898650;" filled="f" stroked="t" coordsize="1898650,3760470" o:gfxdata="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tTFNugAAANsA&#10;AAAPAAAAAAAAAAEAIAAAACIAAABkcnMvZG93bnJldi54bWxQSwECFAAUAAAACACHTuJAMy8FnjsA&#10;AAA5AAAAEAAAAAAAAAABACAAAAAJAQAAZHJzL3NoYXBleG1sLnhtbFBLBQYAAAAABgAGAFsBAACz&#10;AwAAAAA=&#10;" path="m0,0l38386,32225,76425,64776,114116,97652,151456,130848,188445,164362,225082,198191,261364,232332,297291,266782,332861,301538,368073,336598,402925,371958,437417,407615,471546,443567,505311,479811,538711,516343,571745,553161,604411,590262,636708,627643,668635,665300,700189,703232,731370,741435,762177,779907,792608,818644,822661,857643,852335,896902,881630,936417,910543,976186,939073,1016206,967219,1056473,994979,1096986,1022352,1137740,1049337,1178734,1075933,1219963,1102137,1261426,1127949,1303120,1153367,1345041,1178390,1387186,1203016,1429553,1227245,1472138,1251074,1514940,1274503,1557954,1297529,1601178,1320153,1644609,1342371,1688244,1364184,1732080,1385589,1776115,1406585,1820344,1427171,1864767,1447345,1909378,1467106,1954177,1486454,1999159,1505385,2044321,1523899,2089662,1541995,2135177,1559671,2180865,1576926,2226721,1593759,2272744,1610167,2318929,1626151,2365276,1641707,2411779,1656836,2458437,1671535,2505247,1685804,2552205,1699640,2599309,1713043,2646555,1726012,2693942,1738543,2741466,1750638,2789123,1762293,2836912,1773508,2884829,1784282,2932871,1794612,2981036,1804498,3029320,1813938,3077720,1822931,3126235,1831476,3174860,1839570,3223592,1847214,3272430,1854404,3321370,1861141,3370408,1867422,3419543,1873247,3468771,1878614,3518089,1883521,3567495,1887967,3616985,1891951,3666556,1895471,3716207,1898168,3760102e">
                  <v:fill on="f" focussize="0,0"/>
                  <v:stroke weight="2.2459842519685pt" color="#45CFFF" joinstyle="round"/>
                  <v:imagedata o:title=""/>
                  <o:lock v:ext="edit" aspectratio="f"/>
                  <v:textbox inset="0mm,0mm,0mm,0mm"/>
                </v:shape>
              </v:group>
            </w:pict>
          </mc:Fallback>
        </mc:AlternateContent>
      </w:r>
      <w:r>
        <w:rPr>
          <w:noProof/>
          <w:sz w:val="20"/>
        </w:rPr>
        <mc:AlternateContent>
          <mc:Choice Requires="wpg">
            <w:drawing>
              <wp:anchor distT="0" distB="0" distL="0" distR="0" simplePos="0" relativeHeight="251657216" behindDoc="0" locked="0" layoutInCell="1" allowOverlap="1" wp14:anchorId="14FBA4C9" wp14:editId="14ED7BED">
                <wp:simplePos x="0" y="0"/>
                <wp:positionH relativeFrom="page">
                  <wp:posOffset>2345055</wp:posOffset>
                </wp:positionH>
                <wp:positionV relativeFrom="page">
                  <wp:posOffset>5574030</wp:posOffset>
                </wp:positionV>
                <wp:extent cx="1356360" cy="245745"/>
                <wp:effectExtent l="0" t="0" r="0" b="0"/>
                <wp:wrapNone/>
                <wp:docPr id="105" name="Group 105"/>
                <wp:cNvGraphicFramePr/>
                <a:graphic xmlns:a="http://schemas.openxmlformats.org/drawingml/2006/main">
                  <a:graphicData uri="http://schemas.microsoft.com/office/word/2010/wordprocessingGroup">
                    <wpg:wgp>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noAutofit/>
                        </wps:bodyPr>
                      </wps:wsp>
                      <pic:pic xmlns:pic="http://schemas.openxmlformats.org/drawingml/2006/picture">
                        <pic:nvPicPr>
                          <pic:cNvPr id="107" name="Image 107"/>
                          <pic:cNvPicPr/>
                        </pic:nvPicPr>
                        <pic:blipFill>
                          <a:blip r:embed="rId12"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noAutofit/>
                        </wps:bodyPr>
                      </wps:wsp>
                    </wpg:wgp>
                  </a:graphicData>
                </a:graphic>
              </wp:anchor>
            </w:drawing>
          </mc:Choice>
          <mc:Fallback xmlns:wpsCustomData="http://www.wps.cn/officeDocument/2013/wpsCustomData">
            <w:pict>
              <v:group id="_x0000_s1026" o:spid="_x0000_s1026" o:spt="203" style="position:absolute;left:0pt;margin-left:184.65pt;margin-top:438.9pt;height:19.35pt;width:106.8pt;mso-position-horizontal-relative:page;mso-position-vertical-relative:page;z-index:251663360;mso-width-relative:page;mso-height-relative:page;" coordsize="1356360,245745" o:gfxdata="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">
                <o:lock v:ext="edit" aspectratio="f"/>
                <v:shape id="Graphic 106" o:spid="_x0000_s1026" o:spt="100" style="position:absolute;left:-2;top:8659;height:226695;width:503555;" fillcolor="#FFFFFF" filled="t" stroked="f" coordsize="503555,226695" o:gfxdata="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yWB4bsAAADc&#10;AAAADwAAAAAAAAABACAAAAAiAAAAZHJzL2Rvd25yZXYueG1sUEsBAhQAFAAAAAgAh07iQDMvBZ47&#10;AAAAOQAAABAAAAAAAAAAAQAgAAAACgEAAGRycy9zaGFwZXhtbC54bWxQSwUGAAAAAAYABgBbAQAA&#10;tAMAAAAA&#10;" path="m78524,73063l76974,69037,70764,62826,66738,61277,56984,61277,52984,62826,46647,69037,45059,73063,45059,82829,46647,86829,52984,93154,56984,94742,61798,94742,66738,94742,70764,93154,76974,86829,78524,82829,78524,73063xem429463,42773l428167,39535,422960,34467,419696,33197,411848,33197,408584,34467,403377,39535,402082,42773,402082,50761,403377,54076,408584,59283,411848,60579,415772,60579,419696,60579,422960,59283,428167,54076,429463,50761,429463,42773xem448500,9512l447268,6337,442328,1270,439115,0,431393,0,428218,1270,423151,6337,421881,9512,421881,17233,423151,20434,428218,25374,431393,26619,435190,26619,439115,26619,442328,25374,447268,20434,448500,17233,448500,9512xem469455,42773l468147,39535,462953,34467,459689,33197,451840,33197,448576,34467,443369,39535,442074,42773,442074,46697,442074,50749,443369,54076,448576,59270,451840,60579,459689,60579,462953,59270,468147,54076,469455,50749,469455,42773xem503389,88938l476643,88938,476643,132689,476643,137896,475170,141770,469265,146875,465937,148145,458876,148145,455714,147040,450837,143395,449630,141338,448767,139001,448856,97447,422122,97447,422122,137896,420649,141770,414743,146875,411416,148145,404342,148145,401218,147040,395871,142976,394487,140182,393776,136804,393852,135394,394169,134175,394169,105943,367423,105943,367423,136398,366991,139319,365252,143598,363626,145084,358889,146697,355447,147104,139725,147104,135496,146316,131025,143306,129806,140487,129362,136575,129362,88938,102793,88938,102793,163309,101282,170865,95275,183248,90868,187909,79286,194157,72174,195719,55270,195719,26733,163537,26733,151155,27609,140385,28994,133032,3302,128181,1435,136855,279,145884,0,150342,241,162153,12230,200596,48768,225234,63728,226631,71399,226275,107975,210337,127000,174701,132473,176822,138684,178015,360184,178015,368033,176250,378650,170408,381952,167157,384835,163461,388289,168338,392379,172034,402247,176796,407530,178015,419112,178015,424840,176555,434174,171602,437388,168414,440270,164706,443522,168897,447217,172262,456730,176796,462000,178015,473468,178015,503389,146405,503389,88938xe">
                  <v:fill on="t" focussize="0,0"/>
                  <v:stroke on="f"/>
                  <v:imagedata o:title=""/>
                  <o:lock v:ext="edit" aspectratio="f"/>
                  <v:textbox inset="0mm,0mm,0mm,0mm"/>
                </v:shape>
                <v:shape id="Image 107" o:spid="_x0000_s1026" o:spt="75" type="#_x0000_t75" style="position:absolute;left:519882;top:93061;height:142913;width:86296;" filled="f" o:preferrelative="t" stroked="f" coordsize="21600,21600" o:gfxdata="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qUFursAAADc&#10;AAAADwAAAAAAAAABACAAAAAiAAAAZHJzL2Rvd25yZXYueG1sUEsBAhQAFAAAAAgAh07iQDMvBZ47&#10;AAAAOQAAABAAAAAAAAAAAQAgAAAACgEAAGRycy9zaGFwZXhtbC54bWxQSwUGAAAAAAYABgBbAQAA&#10;tAMAAAAA&#10;">
                  <v:fill on="f" focussize="0,0"/>
                  <v:stroke on="f"/>
                  <v:imagedata r:id="rId13" o:title=""/>
                  <o:lock v:ext="edit" aspectratio="f"/>
                </v:shape>
                <v:shape id="Graphic 108" o:spid="_x0000_s1026" o:spt="100" style="position:absolute;left:618335;top:11;height:245745;width:738505;" fillcolor="#FFFFFF" filled="t" stroked="f" coordsize="738505,245745" o:gfxdata="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4r40+/&#10;AAAA3AAAAA8AAAAAAAAAAQAgAAAAIgAAAGRycy9kb3ducmV2LnhtbFBLAQIUABQAAAAIAIdO4kAz&#10;LwWeOwAAADkAAAAQAAAAAAAAAAEAIAAAAA4BAABkcnMvc2hhcGV4bWwueG1sUEsFBgAAAAAGAAYA&#10;WwEAALgDAAAAAA==&#10;" path="m36995,58331l10248,58331,10248,186651,36995,186651,36995,58331xem47574,27076l26911,27076,23609,26479,21183,25260,18757,24041,17538,22745,17538,19850,18757,18491,23609,16052,26860,15455,32181,15455,33566,15570,39243,16497,44970,3644,42659,2374,40195,1447,34988,279,32296,0,25120,0,3987,16141,3987,22847,4559,25069,5486,27076,0,27076,0,42887,47574,42887,47574,27076xem143332,151980l121386,113614,85559,90411,74663,87337,68922,116154,77038,118579,84493,121666,114465,151980,143332,151980xem374942,151980l143332,151980,374891,152107,374942,151980xem386727,225082l385229,221246,379234,215252,375475,213766,370954,213766,366433,213766,362661,215252,356679,221246,355180,225082,355180,234137,356679,237820,362661,243801,366433,245313,375475,245313,379234,243801,385229,237820,386727,234137,386727,225082xem405790,151980l404152,147967,403783,145440,403720,97574,377151,97574,377088,145440,376682,147967,374942,151980,405790,151980xem433895,225082l432396,221246,426402,215252,422643,213766,418122,213766,413588,213766,409829,215252,403847,221246,402348,225082,402348,234137,403847,237820,409829,243801,413588,245313,422643,245313,426402,243801,432396,237820,433895,234137,433895,225082xem631736,151980l405790,151980,405841,152107,631456,152107,631736,151980xem737971,155117l711022,155117,710755,157187,710171,160286,710057,160909,702691,160909,668642,152107,631456,152107,624903,154990,620344,155816,416534,155816,412394,155333,407873,153835,407657,153835,405892,152247,405841,152107,374891,152107,374827,152247,373087,153835,372884,153835,368579,155333,364464,155816,144360,155816,143408,152247,143370,152107,114528,152107,115379,153835,115646,154444,115798,154990,116116,155816,55905,155816,55905,186651,369239,186651,377583,184721,386397,179870,390309,176364,394322,180009,403301,184975,403542,184975,411010,186651,623773,186651,630605,185445,641883,180695,647065,177126,647877,176364,651992,172478,654431,174561,690105,190360,706412,191731,720115,191731,737425,160909,737857,157187,737971,155117xem737971,154990l737895,141757,737108,135572,734961,127787,733628,122948,704519,97396,691667,97396,652830,125793,643686,139141,640676,143129,634885,149606,631736,151980,668731,151980,694791,127787,701979,127787,705294,129552,710044,136613,711161,141757,711238,151980,668731,151980,668642,152107,711238,152107,711161,154089,711047,154990,737971,154990xe">
                  <v:fill on="t" focussize="0,0"/>
                  <v:stroke on="f"/>
                  <v:imagedata o:title=""/>
                  <o:lock v:ext="edit" aspectratio="f"/>
                  <v:textbox inset="0mm,0mm,0mm,0mm"/>
                </v:shape>
              </v:group>
            </w:pict>
          </mc:Fallback>
        </mc:AlternateContent>
      </w:r>
      <w:r>
        <w:rPr>
          <w:noProof/>
          <w:sz w:val="20"/>
        </w:rPr>
        <mc:AlternateContent>
          <mc:Choice Requires="wps">
            <w:drawing>
              <wp:anchor distT="0" distB="0" distL="0" distR="0" simplePos="0" relativeHeight="251658240" behindDoc="0" locked="0" layoutInCell="1" allowOverlap="1" wp14:anchorId="75B802D2" wp14:editId="2F511652">
                <wp:simplePos x="0" y="0"/>
                <wp:positionH relativeFrom="page">
                  <wp:posOffset>3771265</wp:posOffset>
                </wp:positionH>
                <wp:positionV relativeFrom="page">
                  <wp:posOffset>5610225</wp:posOffset>
                </wp:positionV>
                <wp:extent cx="1077595" cy="210185"/>
                <wp:effectExtent l="0" t="0" r="0" b="0"/>
                <wp:wrapNone/>
                <wp:docPr id="109" name="Graphic 109"/>
                <wp:cNvGraphicFramePr/>
                <a:graphic xmlns:a="http://schemas.openxmlformats.org/drawingml/2006/main">
                  <a:graphicData uri="http://schemas.microsoft.com/office/word/2010/wordprocessingShape">
                    <wps:wsp>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noAutofit/>
                      </wps:bodyPr>
                    </wps:wsp>
                  </a:graphicData>
                </a:graphic>
              </wp:anchor>
            </w:drawing>
          </mc:Choice>
          <mc:Fallback xmlns:wpsCustomData="http://www.wps.cn/officeDocument/2013/wpsCustomData">
            <w:pict>
              <v:shape id="Graphic 109" o:spid="_x0000_s1026" o:spt="100" style="position:absolute;left:0pt;margin-left:296.95pt;margin-top:441.75pt;height:16.55pt;width:84.85pt;mso-position-horizontal-relative:page;mso-position-vertical-relative:page;z-index:251663360;mso-width-relative:page;mso-height-relative:page;" fillcolor="#FFFFFF" filled="t" stroked="f" coordsize="1077595,210185" o:gfxdata="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" path="m51168,15201l49898,11899,44831,6832,41529,5562,33553,5562,30276,6832,25082,11899,23787,15201,23787,23177,25082,26441,30276,31648,33553,32943,37477,32943,41529,32943,44831,31648,49898,26441,51168,23177,51168,15201xem90208,15201l88912,11899,83705,6832,80441,5562,72580,5562,69316,6832,64122,11899,62826,15201,62826,23177,64122,26441,69316,31648,72580,32943,76517,32943,80441,32943,83705,31648,88912,26441,90208,23177,90208,15201xem747064,105283l746531,101003,746442,100330,746379,99809,720318,62966,720318,105283,720204,119049,719975,120904,719378,124002,719264,124625,711885,124625,699604,124002,692772,122796,683653,119532,680643,117805,678040,115963,677748,115963,703999,91503,711187,91503,714502,93268,719251,100330,720318,105283,720318,62966,719455,62484,713727,61112,700874,61112,661962,89598,652894,102857,649884,106845,644194,113195,644093,113322,640588,115963,640334,115963,634111,118706,629539,119532,404380,119532,408927,115328,412673,110871,418388,101003,419823,95910,419874,86296,419874,83693,393128,61379,393128,94805,393090,98107,365734,115125,366293,115125,365721,115328,365239,115125,364667,115125,341884,90576,341680,90576,345363,89306,348488,88290,348246,88290,355752,86817,355104,86817,360705,86296,370776,86296,375615,86817,393128,94805,393128,61379,388835,60121,382244,58839,375158,58077,367601,57823,361111,57823,318630,89598,321221,97472,321322,97802,324662,105283,324751,105498,328891,112712,333768,119532,106375,119532,93764,80111,93764,47739,67792,47739,67792,113195,65900,113855,64706,114401,65354,114401,58254,115963,58064,115963,54521,116332,45491,116332,42494,115963,41783,115963,26733,98920,27813,95910,67017,80111,67017,107988,67398,110121,67475,110528,67551,111213,67665,112141,67792,113195,67792,47739,67017,47739,67017,53314,58115,53759,13716,70548,127,93827,50,94119,0,108927,254,110121,342,110528,419,110871,495,111213,596,111683,698,112141,825,112712,939,113195,965,113322,1079,113855,37211,142379,43700,143256,56197,143256,61925,142621,71297,140550,74701,139458,77901,138277,78041,138277,80518,140931,83413,143256,93306,148691,93548,148691,100990,150368,336232,150368,341934,149644,353593,146977,359079,145211,364642,143103,373189,146278,382816,148691,383260,148691,391769,149910,401802,150368,632980,150368,639813,149161,651090,144411,652983,143103,656132,140931,656577,140550,658990,138277,661200,136194,663638,138277,699312,154076,715606,155448,729310,155448,744334,136194,746379,126847,746556,125222,746633,124625,747052,120904,747064,105283xem1024267,188315l1022705,184289,1016495,178079,1012482,176530,1007529,176530,1002715,176530,998715,178079,992378,184289,990790,188315,990790,198081,992378,202069,998715,208407,1002715,209994,1012482,209994,1016495,208407,1022705,202069,1024267,198081,1024267,188315xem1077099,119468l1070495,119468,1070495,95796,1068997,88442,1041882,57683,1020775,51752,1006182,51752,999451,52679,986129,56388,979919,59156,974128,62865,985583,88392,989177,86766,993406,85407,1034326,87287,1043927,99847,1043927,119468,796315,119468,796315,0,769569,0,769569,150380,1071537,150380,1077099,119468xe">
                <v:fill on="t" focussize="0,0"/>
                <v:stroke on="f"/>
                <v:imagedata o:title=""/>
                <o:lock v:ext="edit" aspectratio="f"/>
                <v:textbox inset="0mm,0mm,0mm,0mm"/>
              </v:shape>
            </w:pict>
          </mc:Fallback>
        </mc:AlternateContent>
      </w:r>
    </w:p>
    <w:p w14:paraId="669FF6C2" w14:textId="77777777" w:rsidR="00491E5B" w:rsidRDefault="00491E5B">
      <w:pPr>
        <w:pStyle w:val="BodyText"/>
        <w:tabs>
          <w:tab w:val="right" w:pos="9927"/>
        </w:tabs>
        <w:bidi/>
        <w:ind w:left="2557" w:right="142"/>
        <w:jc w:val="both"/>
        <w:rPr>
          <w:sz w:val="20"/>
        </w:rPr>
      </w:pPr>
    </w:p>
    <w:sectPr w:rsidR="00491E5B">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3CF8CE" w14:textId="77777777" w:rsidR="00E91EBB" w:rsidRDefault="00E91EBB">
      <w:r>
        <w:separator/>
      </w:r>
    </w:p>
  </w:endnote>
  <w:endnote w:type="continuationSeparator" w:id="0">
    <w:p w14:paraId="04315F3F" w14:textId="77777777" w:rsidR="00E91EBB" w:rsidRDefault="00E91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default"/>
    <w:sig w:usb0="00000000"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308346" w14:textId="77777777" w:rsidR="00491E5B" w:rsidRDefault="00E91EBB">
    <w:pPr>
      <w:pStyle w:val="Footer"/>
    </w:pPr>
    <w:r>
      <w:rPr>
        <w:noProof/>
      </w:rPr>
      <mc:AlternateContent>
        <mc:Choice Requires="wps">
          <w:drawing>
            <wp:anchor distT="0" distB="0" distL="114300" distR="114300" simplePos="0" relativeHeight="251664384" behindDoc="0" locked="0" layoutInCell="1" allowOverlap="1" wp14:anchorId="128481B7" wp14:editId="007110AB">
              <wp:simplePos x="0" y="0"/>
              <wp:positionH relativeFrom="margin">
                <wp:align>center</wp:align>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4C09AB6" w14:textId="77777777" w:rsidR="00491E5B" w:rsidRDefault="00E91EBB">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C1s7SvMAgAA&#10;IwYAAA4AAAAAAAAAAQAgAAAAHwEAAGRycy9lMm9Eb2MueG1sUEsFBgAAAAAGAAYAWQEAAF0GAAAA&#10;AA==&#10;">
              <v:fill on="f" focussize="0,0"/>
              <v:stroke on="f" weight="0.5pt"/>
              <v:imagedata o:title=""/>
              <o:lock v:ext="edit" aspectratio="f"/>
              <v:textbox inset="0mm,0mm,0mm,0mm" style="mso-fit-shape-to-text:t;">
                <w:txbxContent>
                  <w:p w14:paraId="5C389A46">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4045B6" w14:textId="77777777" w:rsidR="00E91EBB" w:rsidRDefault="00E91EBB">
      <w:r>
        <w:separator/>
      </w:r>
    </w:p>
  </w:footnote>
  <w:footnote w:type="continuationSeparator" w:id="0">
    <w:p w14:paraId="4CAECE33" w14:textId="77777777" w:rsidR="00E91EBB" w:rsidRDefault="00E91E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9AB74E4B"/>
    <w:multiLevelType w:val="singleLevel"/>
    <w:tmpl w:val="9AB74E4B"/>
    <w:lvl w:ilvl="0">
      <w:start w:val="1"/>
      <w:numFmt w:val="decimal"/>
      <w:lvlText w:val="%1."/>
      <w:lvlJc w:val="left"/>
      <w:pPr>
        <w:tabs>
          <w:tab w:val="left" w:pos="425"/>
        </w:tabs>
        <w:ind w:left="425" w:hanging="425"/>
      </w:pPr>
      <w:rPr>
        <w:rFonts w:hint="default"/>
      </w:rPr>
    </w:lvl>
  </w:abstractNum>
  <w:abstractNum w:abstractNumId="1" w15:restartNumberingAfterBreak="0">
    <w:nsid w:val="E5781792"/>
    <w:multiLevelType w:val="singleLevel"/>
    <w:tmpl w:val="E5781792"/>
    <w:lvl w:ilvl="0">
      <w:start w:val="1"/>
      <w:numFmt w:val="decimal"/>
      <w:lvlText w:val="%1."/>
      <w:lvlJc w:val="left"/>
      <w:pPr>
        <w:tabs>
          <w:tab w:val="left" w:pos="425"/>
        </w:tabs>
        <w:ind w:left="425" w:hanging="425"/>
      </w:pPr>
      <w:rPr>
        <w:rFonts w:hint="default"/>
      </w:rPr>
    </w:lvl>
  </w:abstractNum>
  <w:abstractNum w:abstractNumId="2" w15:restartNumberingAfterBreak="0">
    <w:nsid w:val="08FDCD4A"/>
    <w:multiLevelType w:val="singleLevel"/>
    <w:tmpl w:val="08FDCD4A"/>
    <w:lvl w:ilvl="0">
      <w:start w:val="1"/>
      <w:numFmt w:val="decimal"/>
      <w:lvlText w:val="%1."/>
      <w:lvlJc w:val="left"/>
      <w:pPr>
        <w:tabs>
          <w:tab w:val="left" w:pos="425"/>
        </w:tabs>
        <w:ind w:left="425" w:hanging="425"/>
      </w:pPr>
      <w:rPr>
        <w:rFonts w:hint="default"/>
      </w:rPr>
    </w:lvl>
  </w:abstractNum>
  <w:abstractNum w:abstractNumId="3" w15:restartNumberingAfterBreak="0">
    <w:nsid w:val="2856EE72"/>
    <w:multiLevelType w:val="singleLevel"/>
    <w:tmpl w:val="2856EE72"/>
    <w:lvl w:ilvl="0">
      <w:start w:val="1"/>
      <w:numFmt w:val="decimal"/>
      <w:lvlText w:val="%1."/>
      <w:lvlJc w:val="left"/>
      <w:pPr>
        <w:tabs>
          <w:tab w:val="left" w:pos="425"/>
        </w:tabs>
        <w:ind w:left="425" w:hanging="425"/>
      </w:pPr>
      <w:rPr>
        <w:rFonts w:hint="default"/>
      </w:rPr>
    </w:lvl>
  </w:abstractNum>
  <w:abstractNum w:abstractNumId="4" w15:restartNumberingAfterBreak="0">
    <w:nsid w:val="4D266870"/>
    <w:multiLevelType w:val="multilevel"/>
    <w:tmpl w:val="4D26687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4F774119"/>
    <w:multiLevelType w:val="multilevel"/>
    <w:tmpl w:val="4F77411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6128756E"/>
    <w:multiLevelType w:val="multilevel"/>
    <w:tmpl w:val="6128756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730A112D"/>
    <w:multiLevelType w:val="singleLevel"/>
    <w:tmpl w:val="730A112D"/>
    <w:lvl w:ilvl="0">
      <w:start w:val="1"/>
      <w:numFmt w:val="bullet"/>
      <w:lvlText w:val=""/>
      <w:lvlJc w:val="left"/>
      <w:pPr>
        <w:tabs>
          <w:tab w:val="left" w:pos="420"/>
        </w:tabs>
        <w:ind w:left="420" w:hanging="420"/>
      </w:pPr>
      <w:rPr>
        <w:rFonts w:ascii="Wingdings" w:hAnsi="Wingdings" w:hint="default"/>
      </w:rPr>
    </w:lvl>
  </w:abstractNum>
  <w:num w:numId="1" w16cid:durableId="1760325485">
    <w:abstractNumId w:val="3"/>
  </w:num>
  <w:num w:numId="2" w16cid:durableId="1745570520">
    <w:abstractNumId w:val="0"/>
  </w:num>
  <w:num w:numId="3" w16cid:durableId="661468514">
    <w:abstractNumId w:val="4"/>
  </w:num>
  <w:num w:numId="4" w16cid:durableId="1087966272">
    <w:abstractNumId w:val="6"/>
  </w:num>
  <w:num w:numId="5" w16cid:durableId="326596289">
    <w:abstractNumId w:val="5"/>
  </w:num>
  <w:num w:numId="6" w16cid:durableId="689112007">
    <w:abstractNumId w:val="7"/>
  </w:num>
  <w:num w:numId="7" w16cid:durableId="1414207349">
    <w:abstractNumId w:val="2"/>
  </w:num>
  <w:num w:numId="8" w16cid:durableId="23220064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71"/>
    <w:rsid w:val="00005065"/>
    <w:rsid w:val="00012462"/>
    <w:rsid w:val="0001461F"/>
    <w:rsid w:val="00057588"/>
    <w:rsid w:val="00057AE9"/>
    <w:rsid w:val="00123AF4"/>
    <w:rsid w:val="00141F91"/>
    <w:rsid w:val="00152E9A"/>
    <w:rsid w:val="00171B71"/>
    <w:rsid w:val="00184CA4"/>
    <w:rsid w:val="001D0DC2"/>
    <w:rsid w:val="002108CE"/>
    <w:rsid w:val="00230C86"/>
    <w:rsid w:val="002E6625"/>
    <w:rsid w:val="00324E6D"/>
    <w:rsid w:val="00345235"/>
    <w:rsid w:val="00345354"/>
    <w:rsid w:val="003660A8"/>
    <w:rsid w:val="00376046"/>
    <w:rsid w:val="00425521"/>
    <w:rsid w:val="00491E5B"/>
    <w:rsid w:val="004A7422"/>
    <w:rsid w:val="004B6436"/>
    <w:rsid w:val="004C4968"/>
    <w:rsid w:val="004D4735"/>
    <w:rsid w:val="00552A5D"/>
    <w:rsid w:val="005B5EAA"/>
    <w:rsid w:val="00611FD9"/>
    <w:rsid w:val="006860D6"/>
    <w:rsid w:val="006A591F"/>
    <w:rsid w:val="006B2FA0"/>
    <w:rsid w:val="007435F6"/>
    <w:rsid w:val="00751963"/>
    <w:rsid w:val="00796DC1"/>
    <w:rsid w:val="008123E2"/>
    <w:rsid w:val="008E6E2B"/>
    <w:rsid w:val="00915619"/>
    <w:rsid w:val="0092791A"/>
    <w:rsid w:val="0097348E"/>
    <w:rsid w:val="0097620B"/>
    <w:rsid w:val="0099571D"/>
    <w:rsid w:val="00A23CFB"/>
    <w:rsid w:val="00A44039"/>
    <w:rsid w:val="00A529CD"/>
    <w:rsid w:val="00A61B20"/>
    <w:rsid w:val="00A929A9"/>
    <w:rsid w:val="00AB1E47"/>
    <w:rsid w:val="00AF0493"/>
    <w:rsid w:val="00B0674B"/>
    <w:rsid w:val="00B43A0D"/>
    <w:rsid w:val="00BB1230"/>
    <w:rsid w:val="00BC1ACD"/>
    <w:rsid w:val="00BD0FCA"/>
    <w:rsid w:val="00BD695C"/>
    <w:rsid w:val="00BF1775"/>
    <w:rsid w:val="00C1352D"/>
    <w:rsid w:val="00C35474"/>
    <w:rsid w:val="00C661CB"/>
    <w:rsid w:val="00C66769"/>
    <w:rsid w:val="00C8617A"/>
    <w:rsid w:val="00CA53F8"/>
    <w:rsid w:val="00CB55E7"/>
    <w:rsid w:val="00CD35EF"/>
    <w:rsid w:val="00CD6EA9"/>
    <w:rsid w:val="00D441C7"/>
    <w:rsid w:val="00D635D8"/>
    <w:rsid w:val="00D74775"/>
    <w:rsid w:val="00D9210F"/>
    <w:rsid w:val="00E15D5C"/>
    <w:rsid w:val="00E919DE"/>
    <w:rsid w:val="00E91EBB"/>
    <w:rsid w:val="00EB1A5F"/>
    <w:rsid w:val="00F522BD"/>
    <w:rsid w:val="00F84887"/>
    <w:rsid w:val="00FD07F1"/>
    <w:rsid w:val="5C220D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874BA20"/>
  <w15:docId w15:val="{16B205F1-4F1E-404B-AF1D-C24AB8C47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n-EG"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Courier New" w:eastAsia="Courier New" w:hAnsi="Courier New" w:cs="Courier New"/>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Footer">
    <w:name w:val="footer"/>
    <w:basedOn w:val="Normal"/>
    <w:link w:val="FooterChar"/>
    <w:uiPriority w:val="99"/>
    <w:unhideWhenUsed/>
    <w:pPr>
      <w:tabs>
        <w:tab w:val="center" w:pos="4153"/>
        <w:tab w:val="right" w:pos="8306"/>
      </w:tabs>
    </w:pPr>
  </w:style>
  <w:style w:type="paragraph" w:styleId="Header">
    <w:name w:val="header"/>
    <w:basedOn w:val="Normal"/>
    <w:link w:val="HeaderChar"/>
    <w:uiPriority w:val="99"/>
    <w:unhideWhenUsed/>
    <w:qFormat/>
    <w:pPr>
      <w:tabs>
        <w:tab w:val="center" w:pos="4153"/>
        <w:tab w:val="right" w:pos="8306"/>
      </w:tabs>
    </w:pPr>
  </w:style>
  <w:style w:type="paragraph" w:styleId="Title">
    <w:name w:val="Title"/>
    <w:basedOn w:val="Normal"/>
    <w:uiPriority w:val="1"/>
    <w:qFormat/>
    <w:pPr>
      <w:ind w:left="53" w:right="1673"/>
      <w:jc w:val="right"/>
    </w:pPr>
    <w:rPr>
      <w:sz w:val="72"/>
      <w:szCs w:val="72"/>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erChar">
    <w:name w:val="Header Char"/>
    <w:basedOn w:val="DefaultParagraphFont"/>
    <w:link w:val="Header"/>
    <w:uiPriority w:val="99"/>
    <w:qFormat/>
    <w:rPr>
      <w:rFonts w:ascii="Courier New" w:eastAsia="Courier New" w:hAnsi="Courier New" w:cs="Courier New"/>
    </w:rPr>
  </w:style>
  <w:style w:type="character" w:customStyle="1" w:styleId="FooterChar">
    <w:name w:val="Footer Char"/>
    <w:basedOn w:val="DefaultParagraphFont"/>
    <w:link w:val="Footer"/>
    <w:uiPriority w:val="99"/>
    <w:qFormat/>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0.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customXml/itemProps2.xml><?xml version="1.0" encoding="utf-8"?>
<ds:datastoreItem xmlns:ds="http://schemas.openxmlformats.org/officeDocument/2006/customXml" ds:itemID="{376B4442-6CE9-4ABF-84EE-4FC7903D87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6352</Words>
  <Characters>36209</Characters>
  <Application>Microsoft Office Word</Application>
  <DocSecurity>0</DocSecurity>
  <Lines>301</Lines>
  <Paragraphs>84</Paragraphs>
  <ScaleCrop>false</ScaleCrop>
  <Company/>
  <LinksUpToDate>false</LinksUpToDate>
  <CharactersWithSpaces>42477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creator>SAMSUNG</dc:creator>
  <cp:lastModifiedBy>HAJAR MATAR</cp:lastModifiedBy>
  <cp:revision>2</cp:revision>
  <dcterms:created xsi:type="dcterms:W3CDTF">2026-08-04T14:28:00Z</dcterms:created>
  <dcterms:modified xsi:type="dcterms:W3CDTF">2026-08-04T14:28:00Z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y fmtid="{D5CDD505-2E9C-101B-9397-08002B2CF9AE}" pid="6" name="KSOTemplateDocerSaveRecord">
    <vt:lpwstr>eyJoZGlkIjoiZDZmZGQ5YmEwMWExNGEzNDkyOTNjOWVmNzc2ZjBmMDMifQ==</vt:lpwstr>
  </property>
  <property fmtid="{D5CDD505-2E9C-101B-9397-08002B2CF9AE}" pid="7" name="KSOProductBuildVer">
    <vt:lpwstr>1033-12.1.0.28032</vt:lpwstr>
  </property>
  <property fmtid="{D5CDD505-2E9C-101B-9397-08002B2CF9AE}" pid="8" name="ICV">
    <vt:lpwstr>992CC30677D846C9BF0F29CF1E800CF8_13</vt:lpwstr>
  </property>
</Properties>
</file>