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دور استراتيجيات العلاقات العامة الرقمية في تعزيز الصورة الذهنية للمؤسسات</w:t>
      </w:r>
    </w:p>
    <w:p>
      <w:pPr>
        <w:jc w:val="center"/>
      </w:pPr>
      <w:r>
        <w:rPr>
          <w:b/>
          <w:sz w:val="28"/>
        </w:rPr>
        <w:t>دراسة ميدانية تحليلية</w:t>
      </w:r>
    </w:p>
    <w:p>
      <w:r>
        <w:br/>
      </w:r>
    </w:p>
    <w:p>
      <w:pPr>
        <w:jc w:val="center"/>
      </w:pPr>
      <w:r>
        <w:rPr>
          <w:b w:val="0"/>
          <w:sz w:val="24"/>
        </w:rPr>
        <w:t>إعداد: أحمد راشد طارش المجادعه</w:t>
      </w:r>
    </w:p>
    <w:p>
      <w:pPr>
        <w:jc w:val="center"/>
      </w:pPr>
      <w:r>
        <w:rPr>
          <w:b w:val="0"/>
          <w:sz w:val="24"/>
        </w:rPr>
        <w:t>الرقم الجامعي: 252000458</w:t>
      </w:r>
    </w:p>
    <w:p>
      <w:pPr>
        <w:jc w:val="center"/>
      </w:pPr>
      <w:r>
        <w:rPr>
          <w:b w:val="0"/>
          <w:sz w:val="24"/>
        </w:rPr>
        <w:t>ماجستير العلاقات العامة</w:t>
      </w:r>
    </w:p>
    <w:p>
      <w:pPr>
        <w:jc w:val="center"/>
      </w:pPr>
      <w:r>
        <w:rPr>
          <w:b w:val="0"/>
          <w:sz w:val="24"/>
        </w:rPr>
        <w:t>MidOcean University</w:t>
      </w:r>
    </w:p>
    <w:p>
      <w:pPr>
        <w:jc w:val="center"/>
      </w:pPr>
      <w:r>
        <w:rPr>
          <w:b w:val="0"/>
          <w:sz w:val="24"/>
        </w:rPr>
        <w:t>2026</w:t>
      </w:r>
    </w:p>
    <w:p>
      <w:r>
        <w:br w:type="page"/>
      </w:r>
    </w:p>
    <w:p>
      <w:r>
        <w:rPr>
          <w:b/>
          <w:sz w:val="28"/>
        </w:rPr>
        <w:t>الملخص</w:t>
      </w:r>
    </w:p>
    <w:p>
      <w:pPr>
        <w:spacing w:after="120"/>
      </w:pPr>
      <w:r>
        <w:t>تهدف هذه الدراسة إلى تحليل أثر استراتيجيات العلاقات العامة الرقمية على الصورة الذهنية للمؤسسات في البيئة الرقمية الحديثة. اعتمدت الدراسة على المنهج الوصفي التحليلي، بالإضافة إلى دراسة ميدانية باستخدام استبيان موجه لعينة من المستخدمين. أظهرت النتائج أن جودة المحتوى، ومستوى التفاعل، وسرعة الاستجابة تمثل عوامل حاسمة في تشكيل الصورة الذهنية.</w:t>
      </w:r>
    </w:p>
    <w:p>
      <w:r>
        <w:rPr>
          <w:b/>
          <w:sz w:val="28"/>
        </w:rPr>
        <w:t>المقدمة</w:t>
      </w:r>
    </w:p>
    <w:p>
      <w:pPr>
        <w:spacing w:after="120"/>
      </w:pPr>
      <w:r>
        <w:t>أحدث التحول الرقمي تغييرًا جوهريًا في ممارسات العلاقات العامة، حيث انتقلت المؤسسات من الاتصال التقليدي إلى الاتصال التفاعلي القائم على المنصات الرقمية.</w:t>
      </w:r>
    </w:p>
    <w:p>
      <w:pPr>
        <w:spacing w:after="120"/>
      </w:pPr>
      <w:r>
        <w:t>وقد أدى هذا التحول إلى تعزيز دور العلاقات العامة الرقمية في إدارة السمعة المؤسسية، من خلال بناء علاقات مستمرة مع الجمهور تعتمد على الشفافية والمصداقية.</w:t>
      </w:r>
    </w:p>
    <w:p>
      <w:r>
        <w:rPr>
          <w:b/>
          <w:sz w:val="28"/>
        </w:rPr>
        <w:t>مشكلة الدراسة</w:t>
      </w:r>
    </w:p>
    <w:p>
      <w:pPr>
        <w:spacing w:after="120"/>
      </w:pPr>
      <w:r>
        <w:t>تواجه العديد من المؤسسات تحديات في توظيف الأدوات الرقمية بشكل استراتيجي، مما يؤدي إلى ضعف التأثير على الصورة الذهنية لدى الجمهور.</w:t>
      </w:r>
    </w:p>
    <w:p>
      <w:pPr>
        <w:spacing w:after="120"/>
      </w:pPr>
      <w:r>
        <w:t>كما أن التنافس الرقمي يتطلب تطوير استراتيجيات متقدمة قادرة على تحقيق التميز المؤسسي.</w:t>
      </w:r>
    </w:p>
    <w:p>
      <w:r>
        <w:rPr>
          <w:b/>
          <w:sz w:val="28"/>
        </w:rPr>
        <w:t>أهداف الدراسة</w:t>
      </w:r>
    </w:p>
    <w:p>
      <w:pPr>
        <w:spacing w:after="120"/>
      </w:pPr>
      <w:r>
        <w:t>تحليل دور العلاقات العامة الرقمية في بناء الصورة الذهنية، وقياس أثر التفاعل الرقمي على ثقة الجمهور، وتحديد أهم العوامل المؤثرة في فعالية الاتصال المؤسسي.</w:t>
      </w:r>
    </w:p>
    <w:p>
      <w:r>
        <w:rPr>
          <w:b/>
          <w:sz w:val="28"/>
        </w:rPr>
        <w:t>الإطار النظري</w:t>
      </w:r>
    </w:p>
    <w:p>
      <w:pPr>
        <w:spacing w:after="120"/>
      </w:pPr>
      <w:r>
        <w:t>تعتمد الدراسة على نظرية إدارة السمعة التي تركز على بناء صورة إيجابية للمؤسسة من خلال الاتصال الفعال.</w:t>
      </w:r>
    </w:p>
    <w:p>
      <w:pPr>
        <w:spacing w:after="120"/>
      </w:pPr>
      <w:r>
        <w:t>كما تستند إلى نظرية الاعتماد على وسائل الإعلام التي توضح مدى اعتماد الجمهور على الوسائل الرقمية كمصدر رئيسي للمعلومات.</w:t>
      </w:r>
    </w:p>
    <w:p>
      <w:pPr>
        <w:spacing w:after="120"/>
      </w:pPr>
      <w:r>
        <w:t>وتبرز نظرية الاتصال ثنائي الاتجاه أهمية التفاعل المتبادل بين المؤسسة والجمهور.</w:t>
      </w:r>
    </w:p>
    <w:p>
      <w:r>
        <w:rPr>
          <w:b/>
          <w:sz w:val="28"/>
        </w:rPr>
        <w:t>الدراسات السابقة</w:t>
      </w:r>
    </w:p>
    <w:p>
      <w:pPr>
        <w:spacing w:after="120"/>
      </w:pPr>
      <w:r>
        <w:t>أظهرت دراسات حديثة أن استخدام وسائل التواصل الاجتماعي يسهم في تحسين الصورة الذهنية وزيادة التفاعل مع الجمهور.</w:t>
      </w:r>
    </w:p>
    <w:p>
      <w:pPr>
        <w:spacing w:after="120"/>
      </w:pPr>
      <w:r>
        <w:t>كما أكدت دراسات أخرى أن المؤسسات التي تعتمد استراتيجيات رقمية متقدمة تحقق مستويات أعلى من الثقة والولاء.</w:t>
      </w:r>
    </w:p>
    <w:p>
      <w:r>
        <w:rPr>
          <w:b/>
          <w:sz w:val="28"/>
        </w:rPr>
        <w:t>منهجية الدراسة</w:t>
      </w:r>
    </w:p>
    <w:p>
      <w:pPr>
        <w:spacing w:after="120"/>
      </w:pPr>
      <w:r>
        <w:t>تم استخدام المنهج الوصفي التحليلي، بالإضافة إلى استبيان مكون من عدة محاور، تم توزيعه على عينة مكونة من 50 فردًا.</w:t>
      </w:r>
    </w:p>
    <w:p>
      <w:pPr>
        <w:spacing w:after="120"/>
      </w:pPr>
      <w:r>
        <w:t>تم تحليل البيانات باستخدام الأساليب الإحصائية البسيطة مثل التكرارات والنسب المئوية.</w:t>
      </w:r>
    </w:p>
    <w:p>
      <w:r>
        <w:rPr>
          <w:b/>
          <w:sz w:val="28"/>
        </w:rPr>
        <w:t>تحليل النتائج</w:t>
      </w:r>
    </w:p>
    <w:tbl>
      <w:tblPr>
        <w:tblW w:type="auto" w:w="0"/>
        <w:tblLook w:firstColumn="1" w:firstRow="1" w:lastColumn="0" w:lastRow="0" w:noHBand="0" w:noVBand="1" w:val="04A0"/>
      </w:tblPr>
      <w:tblGrid>
        <w:gridCol w:w="2340"/>
        <w:gridCol w:w="2340"/>
        <w:gridCol w:w="2340"/>
        <w:gridCol w:w="2340"/>
      </w:tblGrid>
      <w:tr>
        <w:tc>
          <w:tcPr>
            <w:tcW w:type="dxa" w:w="2340"/>
          </w:tcPr>
          <w:p>
            <w:r>
              <w:t>المحور</w:t>
            </w:r>
          </w:p>
        </w:tc>
        <w:tc>
          <w:tcPr>
            <w:tcW w:type="dxa" w:w="2340"/>
          </w:tcPr>
          <w:p>
            <w:r>
              <w:t>موافق</w:t>
            </w:r>
          </w:p>
        </w:tc>
        <w:tc>
          <w:tcPr>
            <w:tcW w:type="dxa" w:w="2340"/>
          </w:tcPr>
          <w:p>
            <w:r>
              <w:t>محايد</w:t>
            </w:r>
          </w:p>
        </w:tc>
        <w:tc>
          <w:tcPr>
            <w:tcW w:type="dxa" w:w="2340"/>
          </w:tcPr>
          <w:p>
            <w:r>
              <w:t>غير موافق</w:t>
            </w:r>
          </w:p>
        </w:tc>
      </w:tr>
      <w:tr>
        <w:tc>
          <w:tcPr>
            <w:tcW w:type="dxa" w:w="2340"/>
          </w:tcPr>
          <w:p>
            <w:r>
              <w:t>تحسين الصورة الذهنية</w:t>
            </w:r>
          </w:p>
        </w:tc>
        <w:tc>
          <w:tcPr>
            <w:tcW w:type="dxa" w:w="2340"/>
          </w:tcPr>
          <w:p>
            <w:r>
              <w:t>39</w:t>
            </w:r>
          </w:p>
        </w:tc>
        <w:tc>
          <w:tcPr>
            <w:tcW w:type="dxa" w:w="2340"/>
          </w:tcPr>
          <w:p>
            <w:r>
              <w:t>7</w:t>
            </w:r>
          </w:p>
        </w:tc>
        <w:tc>
          <w:tcPr>
            <w:tcW w:type="dxa" w:w="2340"/>
          </w:tcPr>
          <w:p>
            <w:r>
              <w:t>4</w:t>
            </w:r>
          </w:p>
        </w:tc>
      </w:tr>
      <w:tr>
        <w:tc>
          <w:tcPr>
            <w:tcW w:type="dxa" w:w="2340"/>
          </w:tcPr>
          <w:p>
            <w:r>
              <w:t>زيادة التفاعل</w:t>
            </w:r>
          </w:p>
        </w:tc>
        <w:tc>
          <w:tcPr>
            <w:tcW w:type="dxa" w:w="2340"/>
          </w:tcPr>
          <w:p>
            <w:r>
              <w:t>41</w:t>
            </w:r>
          </w:p>
        </w:tc>
        <w:tc>
          <w:tcPr>
            <w:tcW w:type="dxa" w:w="2340"/>
          </w:tcPr>
          <w:p>
            <w:r>
              <w:t>6</w:t>
            </w:r>
          </w:p>
        </w:tc>
        <w:tc>
          <w:tcPr>
            <w:tcW w:type="dxa" w:w="2340"/>
          </w:tcPr>
          <w:p>
            <w:r>
              <w:t>3</w:t>
            </w:r>
          </w:p>
        </w:tc>
      </w:tr>
      <w:tr>
        <w:tc>
          <w:tcPr>
            <w:tcW w:type="dxa" w:w="2340"/>
          </w:tcPr>
          <w:p>
            <w:r>
              <w:t>تعزيز الثقة</w:t>
            </w:r>
          </w:p>
        </w:tc>
        <w:tc>
          <w:tcPr>
            <w:tcW w:type="dxa" w:w="2340"/>
          </w:tcPr>
          <w:p>
            <w:r>
              <w:t>38</w:t>
            </w:r>
          </w:p>
        </w:tc>
        <w:tc>
          <w:tcPr>
            <w:tcW w:type="dxa" w:w="2340"/>
          </w:tcPr>
          <w:p>
            <w:r>
              <w:t>8</w:t>
            </w:r>
          </w:p>
        </w:tc>
        <w:tc>
          <w:tcPr>
            <w:tcW w:type="dxa" w:w="2340"/>
          </w:tcPr>
          <w:p>
            <w:r>
              <w:t>4</w:t>
            </w:r>
          </w:p>
        </w:tc>
      </w:tr>
      <w:tr>
        <w:tc>
          <w:tcPr>
            <w:tcW w:type="dxa" w:w="2340"/>
          </w:tcPr>
          <w:p>
            <w:r>
              <w:t>إدارة الأزمات</w:t>
            </w:r>
          </w:p>
        </w:tc>
        <w:tc>
          <w:tcPr>
            <w:tcW w:type="dxa" w:w="2340"/>
          </w:tcPr>
          <w:p>
            <w:r>
              <w:t>36</w:t>
            </w:r>
          </w:p>
        </w:tc>
        <w:tc>
          <w:tcPr>
            <w:tcW w:type="dxa" w:w="2340"/>
          </w:tcPr>
          <w:p>
            <w:r>
              <w:t>9</w:t>
            </w:r>
          </w:p>
        </w:tc>
        <w:tc>
          <w:tcPr>
            <w:tcW w:type="dxa" w:w="2340"/>
          </w:tcPr>
          <w:p>
            <w:r>
              <w:t>5</w:t>
            </w:r>
          </w:p>
        </w:tc>
      </w:tr>
    </w:tbl>
    <w:p>
      <w:pPr>
        <w:spacing w:after="120"/>
      </w:pPr>
      <w:r>
        <w:t>تشير النتائج إلى أن غالبية المشاركين يرون أن العلاقات العامة الرقمية تسهم بشكل كبير في تعزيز الصورة الذهنية وتحقيق التفاعل الإيجابي.</w:t>
      </w:r>
    </w:p>
    <w:p>
      <w:r>
        <w:rPr>
          <w:b/>
          <w:sz w:val="28"/>
        </w:rPr>
        <w:t>المناقشة</w:t>
      </w:r>
    </w:p>
    <w:p>
      <w:pPr>
        <w:spacing w:after="120"/>
      </w:pPr>
      <w:r>
        <w:t>تتفق هذه النتائج مع الأدبيات السابقة التي تؤكد أهمية التفاعل الرقمي في بناء العلاقات مع الجمهور.</w:t>
      </w:r>
    </w:p>
    <w:p>
      <w:pPr>
        <w:spacing w:after="120"/>
      </w:pPr>
      <w:r>
        <w:t>كما تشير إلى أن جودة المحتوى وسرعة الاستجابة تمثلان عنصرين أساسيين في نجاح استراتيجيات العلاقات العامة.</w:t>
      </w:r>
    </w:p>
    <w:p>
      <w:r>
        <w:rPr>
          <w:b/>
          <w:sz w:val="28"/>
        </w:rPr>
        <w:t>التوصيات</w:t>
      </w:r>
    </w:p>
    <w:p>
      <w:pPr>
        <w:spacing w:after="120"/>
      </w:pPr>
      <w:r>
        <w:t>ضرورة تبني استراتيجيات رقمية متكاملة، وتطوير المحتوى التفاعلي، والاستثمار في تدريب الكوادر البشرية.</w:t>
      </w:r>
    </w:p>
    <w:p>
      <w:pPr>
        <w:spacing w:after="120"/>
      </w:pPr>
      <w:r>
        <w:t>كما توصي الدراسة باستخدام أدوات تحليل البيانات لتحسين الأداء المؤسسي.</w:t>
      </w:r>
    </w:p>
    <w:p>
      <w:r>
        <w:rPr>
          <w:b/>
          <w:sz w:val="28"/>
        </w:rPr>
        <w:t>الخاتمة</w:t>
      </w:r>
    </w:p>
    <w:p>
      <w:pPr>
        <w:spacing w:after="120"/>
      </w:pPr>
      <w:r>
        <w:t>خلصت الدراسة إلى أن العلاقات العامة الرقمية أصبحت عنصرًا أساسيًا في بناء الصورة الذهنية للمؤسسات، وأن نجاحها يعتمد على التفاعل المستمر وجودة الاتصال.</w:t>
      </w:r>
    </w:p>
    <w:p>
      <w:r>
        <w:rPr>
          <w:b/>
          <w:sz w:val="28"/>
        </w:rPr>
        <w:t>المراجع</w:t>
      </w:r>
    </w:p>
    <w:p>
      <w:pPr>
        <w:spacing w:after="120"/>
      </w:pPr>
      <w:r>
        <w:t>Grunig, J. E., &amp; Hunt, T. (1984). Managing Public Relations.</w:t>
      </w:r>
    </w:p>
    <w:p>
      <w:pPr>
        <w:spacing w:after="120"/>
      </w:pPr>
      <w:r>
        <w:t>Kaplan, A. M., &amp; Haenlein, M. (2010). Users of the world, unite!</w:t>
      </w:r>
    </w:p>
    <w:p>
      <w:pPr>
        <w:spacing w:after="120"/>
      </w:pPr>
      <w:r>
        <w:t>Kotler, P., &amp; Keller, K. (2016). Marketing Management.</w:t>
      </w:r>
    </w:p>
    <w:p>
      <w:pPr>
        <w:spacing w:after="120"/>
      </w:pPr>
      <w:r>
        <w:t>Smith, R. D. (2013). Strategic Planning for Public Relations.</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