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E91" w:rsidRPr="00CF0100" w:rsidRDefault="00CE38C9" w:rsidP="00CF0100">
      <w:pPr>
        <w:bidi/>
        <w:spacing w:after="100" w:line="360" w:lineRule="auto"/>
        <w:jc w:val="lowKashida"/>
        <w:rPr>
          <w:sz w:val="20"/>
          <w:szCs w:val="24"/>
        </w:rPr>
      </w:pPr>
      <w:r w:rsidRPr="00CF0100">
        <w:rPr>
          <w:rFonts w:ascii="Sakkal Majalla" w:hAnsi="Sakkal Majalla" w:cs="Sakkal Majalla"/>
          <w:b/>
          <w:bCs/>
          <w:noProof/>
          <w:sz w:val="26"/>
          <w:szCs w:val="26"/>
        </w:rPr>
        <w:drawing>
          <wp:anchor distT="0" distB="0" distL="114300" distR="114300" simplePos="0" relativeHeight="251659264" behindDoc="0" locked="0" layoutInCell="1" allowOverlap="1" wp14:anchorId="33D162CC" wp14:editId="02C7ED60">
            <wp:simplePos x="0" y="0"/>
            <wp:positionH relativeFrom="margin">
              <wp:posOffset>1890511</wp:posOffset>
            </wp:positionH>
            <wp:positionV relativeFrom="margin">
              <wp:posOffset>-471343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512E91" w:rsidRPr="00CF0100" w:rsidRDefault="00512E91" w:rsidP="00CF0100">
      <w:pPr>
        <w:bidi/>
        <w:spacing w:after="100" w:line="360" w:lineRule="auto"/>
        <w:jc w:val="lowKashida"/>
        <w:rPr>
          <w:sz w:val="20"/>
          <w:szCs w:val="24"/>
        </w:rPr>
      </w:pPr>
    </w:p>
    <w:p w:rsidR="00512E91" w:rsidRPr="00CF0100" w:rsidRDefault="00512E91" w:rsidP="00CF0100">
      <w:pPr>
        <w:bidi/>
        <w:spacing w:after="100" w:line="360" w:lineRule="auto"/>
        <w:jc w:val="lowKashida"/>
        <w:rPr>
          <w:b/>
          <w:bCs/>
          <w:color w:val="1F3864"/>
          <w:sz w:val="32"/>
          <w:szCs w:val="32"/>
          <w:rtl/>
        </w:rPr>
      </w:pPr>
    </w:p>
    <w:p w:rsidR="00CE38C9" w:rsidRPr="00CF0100" w:rsidRDefault="00CE38C9" w:rsidP="00CF0100">
      <w:pPr>
        <w:bidi/>
        <w:spacing w:after="100" w:line="360" w:lineRule="auto"/>
        <w:jc w:val="lowKashida"/>
        <w:rPr>
          <w:b/>
          <w:bCs/>
          <w:color w:val="1F3864"/>
          <w:sz w:val="32"/>
          <w:szCs w:val="32"/>
          <w:rtl/>
        </w:rPr>
      </w:pPr>
    </w:p>
    <w:p w:rsidR="00CE38C9" w:rsidRPr="00CF0100" w:rsidRDefault="00CE38C9" w:rsidP="00CF0100">
      <w:pPr>
        <w:bidi/>
        <w:spacing w:after="100" w:line="360" w:lineRule="auto"/>
        <w:jc w:val="lowKashida"/>
        <w:rPr>
          <w:b/>
          <w:bCs/>
          <w:color w:val="1F3864"/>
          <w:sz w:val="32"/>
          <w:szCs w:val="32"/>
          <w:rtl/>
        </w:rPr>
      </w:pPr>
    </w:p>
    <w:p w:rsidR="00CE38C9" w:rsidRPr="00CF0100" w:rsidRDefault="00CE38C9" w:rsidP="00CF0100">
      <w:pPr>
        <w:bidi/>
        <w:spacing w:after="100" w:line="360" w:lineRule="auto"/>
        <w:jc w:val="lowKashida"/>
        <w:rPr>
          <w:sz w:val="20"/>
          <w:szCs w:val="24"/>
        </w:rPr>
      </w:pPr>
    </w:p>
    <w:p w:rsidR="00512E91" w:rsidRPr="00CF0100" w:rsidRDefault="00512E91" w:rsidP="00CF0100">
      <w:pPr>
        <w:pBdr>
          <w:bottom w:val="single" w:sz="6" w:space="1" w:color="2E74B5"/>
        </w:pBdr>
        <w:bidi/>
        <w:spacing w:after="100" w:line="360" w:lineRule="auto"/>
        <w:jc w:val="lowKashida"/>
        <w:rPr>
          <w:sz w:val="20"/>
          <w:szCs w:val="24"/>
        </w:rPr>
      </w:pPr>
    </w:p>
    <w:p w:rsidR="00512E91" w:rsidRPr="00CF0100" w:rsidRDefault="00796DA8" w:rsidP="00CF0100">
      <w:pPr>
        <w:bidi/>
        <w:spacing w:before="200" w:after="200" w:line="360" w:lineRule="auto"/>
        <w:jc w:val="lowKashida"/>
        <w:rPr>
          <w:sz w:val="20"/>
          <w:szCs w:val="24"/>
        </w:rPr>
      </w:pPr>
      <w:r w:rsidRPr="00CF0100">
        <w:rPr>
          <w:b/>
          <w:bCs/>
          <w:color w:val="1F3864"/>
          <w:sz w:val="32"/>
          <w:szCs w:val="32"/>
          <w:rtl/>
        </w:rPr>
        <w:t>دور الإعلام الرقمي في إدارة الأزمات الاجتماعية والتواصل مع الجمهور</w:t>
      </w:r>
    </w:p>
    <w:p w:rsidR="00512E91" w:rsidRPr="00CF0100" w:rsidRDefault="00512E91" w:rsidP="00CF0100">
      <w:pPr>
        <w:pBdr>
          <w:bottom w:val="single" w:sz="6" w:space="1" w:color="2E74B5"/>
        </w:pBdr>
        <w:bidi/>
        <w:spacing w:after="100" w:line="360" w:lineRule="auto"/>
        <w:jc w:val="lowKashida"/>
        <w:rPr>
          <w:sz w:val="20"/>
          <w:szCs w:val="24"/>
        </w:rPr>
      </w:pPr>
    </w:p>
    <w:p w:rsidR="00512E91" w:rsidRPr="00CF0100" w:rsidRDefault="00512E91" w:rsidP="00CF0100">
      <w:pPr>
        <w:bidi/>
        <w:spacing w:after="100" w:line="360" w:lineRule="auto"/>
        <w:jc w:val="center"/>
        <w:rPr>
          <w:sz w:val="20"/>
          <w:szCs w:val="24"/>
        </w:rPr>
      </w:pPr>
    </w:p>
    <w:p w:rsidR="00512E91" w:rsidRPr="00CF0100" w:rsidRDefault="00512E91" w:rsidP="00CF0100">
      <w:pPr>
        <w:bidi/>
        <w:spacing w:after="100" w:line="360" w:lineRule="auto"/>
        <w:jc w:val="center"/>
        <w:rPr>
          <w:sz w:val="20"/>
          <w:szCs w:val="24"/>
        </w:rPr>
      </w:pPr>
    </w:p>
    <w:p w:rsidR="00512E91" w:rsidRPr="00CF0100" w:rsidRDefault="00796DA8" w:rsidP="00CF0100">
      <w:pPr>
        <w:bidi/>
        <w:spacing w:after="120" w:line="360" w:lineRule="auto"/>
        <w:jc w:val="center"/>
        <w:rPr>
          <w:color w:val="002060"/>
          <w:sz w:val="20"/>
          <w:szCs w:val="24"/>
          <w:u w:val="single"/>
        </w:rPr>
      </w:pPr>
      <w:r w:rsidRPr="00CF0100">
        <w:rPr>
          <w:b/>
          <w:bCs/>
          <w:color w:val="002060"/>
          <w:sz w:val="28"/>
          <w:u w:val="single"/>
          <w:rtl/>
        </w:rPr>
        <w:t xml:space="preserve">الواجب </w:t>
      </w:r>
      <w:r w:rsidR="008E5237" w:rsidRPr="00CF0100">
        <w:rPr>
          <w:rFonts w:hint="cs"/>
          <w:b/>
          <w:bCs/>
          <w:color w:val="002060"/>
          <w:sz w:val="28"/>
          <w:u w:val="single"/>
          <w:rtl/>
        </w:rPr>
        <w:t>الخامس</w:t>
      </w:r>
    </w:p>
    <w:p w:rsidR="00512E91" w:rsidRPr="00CF0100" w:rsidRDefault="00796DA8" w:rsidP="00CF0100">
      <w:pPr>
        <w:bidi/>
        <w:spacing w:after="120" w:line="360" w:lineRule="auto"/>
        <w:jc w:val="center"/>
        <w:rPr>
          <w:sz w:val="20"/>
          <w:szCs w:val="24"/>
        </w:rPr>
      </w:pPr>
      <w:r w:rsidRPr="00CF0100">
        <w:rPr>
          <w:color w:val="444444"/>
          <w:sz w:val="24"/>
          <w:szCs w:val="24"/>
          <w:rtl/>
        </w:rPr>
        <w:t>الإطار المنهجي للدراسة</w:t>
      </w:r>
    </w:p>
    <w:p w:rsidR="00512E91" w:rsidRPr="00CF0100" w:rsidRDefault="00512E91" w:rsidP="00CF0100">
      <w:pPr>
        <w:bidi/>
        <w:spacing w:after="100" w:line="360" w:lineRule="auto"/>
        <w:jc w:val="center"/>
        <w:rPr>
          <w:sz w:val="20"/>
          <w:szCs w:val="24"/>
        </w:rPr>
      </w:pPr>
    </w:p>
    <w:p w:rsidR="00512E91" w:rsidRPr="00CF0100" w:rsidRDefault="00512E91" w:rsidP="00CF0100">
      <w:pPr>
        <w:bidi/>
        <w:spacing w:after="100" w:line="360" w:lineRule="auto"/>
        <w:jc w:val="center"/>
        <w:rPr>
          <w:sz w:val="20"/>
          <w:szCs w:val="24"/>
        </w:rPr>
      </w:pPr>
    </w:p>
    <w:p w:rsidR="00512E91" w:rsidRPr="00CF0100" w:rsidRDefault="00512E91" w:rsidP="00CF0100">
      <w:pPr>
        <w:bidi/>
        <w:spacing w:after="100" w:line="360" w:lineRule="auto"/>
        <w:jc w:val="center"/>
        <w:rPr>
          <w:sz w:val="20"/>
          <w:szCs w:val="24"/>
        </w:rPr>
      </w:pPr>
    </w:p>
    <w:p w:rsidR="00512E91" w:rsidRPr="00CF0100" w:rsidRDefault="00796DA8" w:rsidP="00CF0100">
      <w:pPr>
        <w:bidi/>
        <w:spacing w:after="100" w:line="360" w:lineRule="auto"/>
        <w:jc w:val="center"/>
        <w:rPr>
          <w:sz w:val="20"/>
          <w:szCs w:val="24"/>
        </w:rPr>
      </w:pPr>
      <w:r w:rsidRPr="00CF0100">
        <w:rPr>
          <w:b/>
          <w:bCs/>
          <w:sz w:val="24"/>
          <w:szCs w:val="24"/>
          <w:rtl/>
        </w:rPr>
        <w:t>إعداد الطالبة</w:t>
      </w:r>
      <w:r w:rsidRPr="00CF0100">
        <w:rPr>
          <w:b/>
          <w:bCs/>
          <w:sz w:val="24"/>
          <w:szCs w:val="24"/>
        </w:rPr>
        <w:t xml:space="preserve">: </w:t>
      </w:r>
      <w:r w:rsidRPr="00CF0100">
        <w:rPr>
          <w:b/>
          <w:bCs/>
          <w:sz w:val="24"/>
          <w:szCs w:val="24"/>
          <w:rtl/>
        </w:rPr>
        <w:t>أطلال علي سلطان</w:t>
      </w:r>
    </w:p>
    <w:p w:rsidR="00512E91" w:rsidRPr="00CF0100" w:rsidRDefault="00796DA8" w:rsidP="00CF0100">
      <w:pPr>
        <w:bidi/>
        <w:spacing w:after="100" w:line="360" w:lineRule="auto"/>
        <w:jc w:val="center"/>
        <w:rPr>
          <w:sz w:val="20"/>
          <w:szCs w:val="24"/>
        </w:rPr>
      </w:pPr>
      <w:r w:rsidRPr="00CF0100">
        <w:rPr>
          <w:sz w:val="24"/>
          <w:szCs w:val="24"/>
          <w:rtl/>
        </w:rPr>
        <w:t>الدكتور المقرر</w:t>
      </w:r>
      <w:r w:rsidRPr="00CF0100">
        <w:rPr>
          <w:sz w:val="24"/>
          <w:szCs w:val="24"/>
        </w:rPr>
        <w:t xml:space="preserve">: </w:t>
      </w:r>
      <w:r w:rsidRPr="00CF0100">
        <w:rPr>
          <w:sz w:val="24"/>
          <w:szCs w:val="24"/>
          <w:rtl/>
        </w:rPr>
        <w:t>توفيق عمري</w:t>
      </w:r>
    </w:p>
    <w:p w:rsidR="00512E91" w:rsidRPr="00CF0100" w:rsidRDefault="00512E91" w:rsidP="00CF0100">
      <w:pPr>
        <w:bidi/>
        <w:spacing w:after="100" w:line="360" w:lineRule="auto"/>
        <w:jc w:val="lowKashida"/>
        <w:rPr>
          <w:sz w:val="20"/>
          <w:szCs w:val="24"/>
        </w:rPr>
      </w:pPr>
    </w:p>
    <w:p w:rsidR="00F91088" w:rsidRPr="00CF0100" w:rsidRDefault="00F91088" w:rsidP="00CF0100">
      <w:pPr>
        <w:bidi/>
        <w:spacing w:after="100" w:line="360" w:lineRule="auto"/>
        <w:jc w:val="lowKashida"/>
        <w:rPr>
          <w:sz w:val="20"/>
          <w:szCs w:val="24"/>
          <w:rtl/>
        </w:rPr>
      </w:pPr>
    </w:p>
    <w:p w:rsidR="00F91088" w:rsidRPr="00CF0100" w:rsidRDefault="00F91088" w:rsidP="00CF0100">
      <w:pPr>
        <w:bidi/>
        <w:spacing w:after="100" w:line="360" w:lineRule="auto"/>
        <w:jc w:val="lowKashida"/>
        <w:rPr>
          <w:sz w:val="20"/>
          <w:szCs w:val="24"/>
          <w:rtl/>
        </w:rPr>
      </w:pPr>
    </w:p>
    <w:p w:rsidR="00F91088" w:rsidRPr="00CF0100" w:rsidRDefault="00F91088" w:rsidP="00CF0100">
      <w:pPr>
        <w:bidi/>
        <w:spacing w:after="100" w:line="360" w:lineRule="auto"/>
        <w:jc w:val="lowKashida"/>
        <w:rPr>
          <w:sz w:val="20"/>
          <w:szCs w:val="24"/>
          <w:rtl/>
        </w:rPr>
      </w:pPr>
    </w:p>
    <w:p w:rsidR="00F91088" w:rsidRPr="00CF0100" w:rsidRDefault="00F91088" w:rsidP="00CF0100">
      <w:pPr>
        <w:bidi/>
        <w:spacing w:after="100" w:line="360" w:lineRule="auto"/>
        <w:jc w:val="lowKashida"/>
        <w:rPr>
          <w:sz w:val="20"/>
          <w:szCs w:val="24"/>
          <w:rtl/>
        </w:rPr>
      </w:pPr>
    </w:p>
    <w:p w:rsidR="00F91088" w:rsidRPr="00CF0100" w:rsidRDefault="00F91088" w:rsidP="00CF0100">
      <w:pPr>
        <w:bidi/>
        <w:spacing w:after="100" w:line="360" w:lineRule="auto"/>
        <w:jc w:val="lowKashida"/>
        <w:rPr>
          <w:sz w:val="20"/>
          <w:szCs w:val="24"/>
          <w:rtl/>
        </w:rPr>
      </w:pPr>
    </w:p>
    <w:p w:rsidR="00F91088" w:rsidRPr="00CF0100" w:rsidRDefault="00F91088" w:rsidP="00CF0100">
      <w:pPr>
        <w:bidi/>
        <w:spacing w:after="100" w:line="360" w:lineRule="auto"/>
        <w:jc w:val="lowKashida"/>
        <w:rPr>
          <w:sz w:val="20"/>
          <w:szCs w:val="24"/>
        </w:rPr>
      </w:pPr>
      <w:bookmarkStart w:id="0" w:name="_GoBack"/>
      <w:bookmarkEnd w:id="0"/>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lastRenderedPageBreak/>
        <w:t>تمهيد</w:t>
      </w:r>
    </w:p>
    <w:p w:rsidR="00CF0100" w:rsidRDefault="00CF0100" w:rsidP="00CF0100">
      <w:pPr>
        <w:bidi/>
        <w:spacing w:after="180" w:line="360" w:lineRule="auto"/>
        <w:jc w:val="lowKashida"/>
        <w:rPr>
          <w:sz w:val="20"/>
          <w:szCs w:val="24"/>
          <w:rtl/>
        </w:rPr>
      </w:pPr>
      <w:r w:rsidRPr="00CF0100">
        <w:rPr>
          <w:sz w:val="24"/>
          <w:szCs w:val="24"/>
          <w:rtl/>
        </w:rPr>
        <w:t>يُمثّل الإطار المنهجي ركيزةً جوهرية في أي بحث علمي، إذ يُحدد المسار الذي يسلكه الباحث للإجابة عن تساؤلاته وتحقيق أهدافه البحثية بأسلوب منظّم وصارم</w:t>
      </w:r>
      <w:r w:rsidRPr="00CF0100">
        <w:rPr>
          <w:sz w:val="24"/>
          <w:szCs w:val="24"/>
        </w:rPr>
        <w:t xml:space="preserve">. </w:t>
      </w:r>
      <w:r w:rsidRPr="00CF0100">
        <w:rPr>
          <w:sz w:val="24"/>
          <w:szCs w:val="24"/>
          <w:rtl/>
        </w:rPr>
        <w:t>ويشتمل الإطار المنهجي لهذه الدراسة على أربعة محاور رئيسية متكاملة</w:t>
      </w:r>
      <w:r w:rsidRPr="00CF0100">
        <w:rPr>
          <w:sz w:val="24"/>
          <w:szCs w:val="24"/>
        </w:rPr>
        <w:t xml:space="preserve">: </w:t>
      </w:r>
      <w:r w:rsidRPr="00CF0100">
        <w:rPr>
          <w:sz w:val="24"/>
          <w:szCs w:val="24"/>
          <w:rtl/>
        </w:rPr>
        <w:t>نظرية الدراسة المنظور النظري، ومنهج الدراسة ونوعها، وعينة الدراسة، وأدوات جمع البيانات</w:t>
      </w:r>
      <w:r w:rsidRPr="00CF0100">
        <w:rPr>
          <w:sz w:val="24"/>
          <w:szCs w:val="24"/>
        </w:rPr>
        <w:t xml:space="preserve">. </w:t>
      </w:r>
      <w:r w:rsidRPr="00CF0100">
        <w:rPr>
          <w:sz w:val="24"/>
          <w:szCs w:val="24"/>
          <w:rtl/>
        </w:rPr>
        <w:t>وتتضافر هذه المحاور مجتمعةً لتُشكّل البنية المنهجية الكاملة التي تُعين على دراسة دور الإعلام الرقمي في إدارة الأزمات الاجتماعية والتواصل مع الجمهور بعمق علمي وموضوعية بحثية</w:t>
      </w:r>
      <w:r w:rsidRPr="00CF0100">
        <w:rPr>
          <w:sz w:val="24"/>
          <w:szCs w:val="24"/>
        </w:rPr>
        <w:t>.</w:t>
      </w: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Default="00CF0100" w:rsidP="00CF0100">
      <w:pPr>
        <w:pBdr>
          <w:bottom w:val="single" w:sz="8" w:space="4" w:color="1F3864"/>
        </w:pBdr>
        <w:bidi/>
        <w:spacing w:before="360" w:after="200" w:line="360" w:lineRule="auto"/>
        <w:jc w:val="lowKashida"/>
        <w:rPr>
          <w:b/>
          <w:bCs/>
          <w:color w:val="1F3864"/>
          <w:sz w:val="28"/>
          <w:rtl/>
        </w:rPr>
      </w:pPr>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lastRenderedPageBreak/>
        <w:t>أولاً</w:t>
      </w:r>
      <w:r w:rsidRPr="00CF0100">
        <w:rPr>
          <w:b/>
          <w:bCs/>
          <w:color w:val="000000" w:themeColor="text1"/>
          <w:sz w:val="28"/>
        </w:rPr>
        <w:t xml:space="preserve">: </w:t>
      </w:r>
      <w:r w:rsidRPr="00CF0100">
        <w:rPr>
          <w:b/>
          <w:bCs/>
          <w:color w:val="000000" w:themeColor="text1"/>
          <w:sz w:val="28"/>
          <w:rtl/>
        </w:rPr>
        <w:t>نظرية الدراسة المنظور النظري</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1.1 </w:t>
      </w:r>
      <w:r w:rsidRPr="00CF0100">
        <w:rPr>
          <w:b/>
          <w:bCs/>
          <w:color w:val="000000" w:themeColor="text1"/>
          <w:sz w:val="24"/>
          <w:szCs w:val="24"/>
          <w:rtl/>
        </w:rPr>
        <w:t>مدخل إلى الإطار النظري</w:t>
      </w:r>
    </w:p>
    <w:p w:rsidR="00CF0100" w:rsidRPr="00CF0100" w:rsidRDefault="00CF0100" w:rsidP="00CF0100">
      <w:pPr>
        <w:bidi/>
        <w:spacing w:after="180" w:line="360" w:lineRule="auto"/>
        <w:jc w:val="lowKashida"/>
        <w:rPr>
          <w:rFonts w:hint="cs"/>
          <w:sz w:val="20"/>
          <w:szCs w:val="24"/>
        </w:rPr>
      </w:pPr>
      <w:r w:rsidRPr="00CF0100">
        <w:rPr>
          <w:sz w:val="24"/>
          <w:szCs w:val="24"/>
          <w:rtl/>
        </w:rPr>
        <w:t>لا تقوم الدراسات العلمية في مجال الإعلام والاتصال في فراغ نظري، بل تستند دائماً إلى منظومة من النظريات والمفاهيم التي تُضيء الظاهرة المدروسة وتُسهم في تفسيرها وتحليلها</w:t>
      </w:r>
      <w:r w:rsidRPr="00CF0100">
        <w:rPr>
          <w:sz w:val="24"/>
          <w:szCs w:val="24"/>
        </w:rPr>
        <w:t xml:space="preserve">. </w:t>
      </w:r>
      <w:r w:rsidRPr="00CF0100">
        <w:rPr>
          <w:sz w:val="24"/>
          <w:szCs w:val="24"/>
          <w:rtl/>
        </w:rPr>
        <w:t>وتستند الدراسة الحالية إلى جملة من النظريات العلمية المتكاملة التي تُفسّر العلاقة بين الإعلام الرقمي وإدارة الأزمات الاجتماعية والتواصل مع الجمهور</w:t>
      </w:r>
      <w:r w:rsidRPr="00CF0100">
        <w:rPr>
          <w:sz w:val="24"/>
          <w:szCs w:val="24"/>
        </w:rPr>
        <w:t xml:space="preserve">. </w:t>
      </w:r>
      <w:r w:rsidRPr="00CF0100">
        <w:rPr>
          <w:sz w:val="24"/>
          <w:szCs w:val="24"/>
          <w:rtl/>
        </w:rPr>
        <w:t>ولا يمكن تناول هذه الظاهرة المركّبة من منظور نظري أحادي، لذا اعتمدت الباحثة على خمس نظريات متكاملة تتوزع بين الحقلين الإعلامي والاجتماعي، تشكّل مجتمعةً بنية نظرية متماسكة تُعين على استيعاب أبعاد الموضوع بعمق وشمولية</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1.2 </w:t>
      </w:r>
      <w:r w:rsidRPr="00CF0100">
        <w:rPr>
          <w:b/>
          <w:bCs/>
          <w:color w:val="000000" w:themeColor="text1"/>
          <w:sz w:val="24"/>
          <w:szCs w:val="24"/>
          <w:rtl/>
        </w:rPr>
        <w:t xml:space="preserve">نظرية ترتيب الأولويات </w:t>
      </w:r>
      <w:r w:rsidRPr="00CF0100">
        <w:rPr>
          <w:b/>
          <w:bCs/>
          <w:color w:val="000000" w:themeColor="text1"/>
          <w:sz w:val="24"/>
          <w:szCs w:val="24"/>
        </w:rPr>
        <w:t>Agenda Setting Theory</w:t>
      </w:r>
    </w:p>
    <w:p w:rsidR="00CF0100" w:rsidRPr="00CF0100" w:rsidRDefault="00CF0100" w:rsidP="00CF0100">
      <w:pPr>
        <w:bidi/>
        <w:spacing w:after="180" w:line="360" w:lineRule="auto"/>
        <w:jc w:val="lowKashida"/>
        <w:rPr>
          <w:sz w:val="20"/>
          <w:szCs w:val="24"/>
        </w:rPr>
      </w:pPr>
      <w:r w:rsidRPr="00CF0100">
        <w:rPr>
          <w:sz w:val="24"/>
          <w:szCs w:val="24"/>
          <w:rtl/>
        </w:rPr>
        <w:t xml:space="preserve">صاغ هذه النظرية الباحثان ماكسويل ماكومبز وديونالد شو عام </w:t>
      </w:r>
      <w:r w:rsidRPr="00CF0100">
        <w:rPr>
          <w:sz w:val="24"/>
          <w:szCs w:val="24"/>
        </w:rPr>
        <w:t>1972</w:t>
      </w:r>
      <w:r w:rsidRPr="00CF0100">
        <w:rPr>
          <w:sz w:val="24"/>
          <w:szCs w:val="24"/>
          <w:rtl/>
        </w:rPr>
        <w:t>م في دراستهما الرائدة حول انتخابات الرئاسة الأمريكية، وتنطلق من مبدأ جوهري مفاده أن وسائل الإعلام لا تُخبر الجمهور بماذا يُفكّر، بل بما يُفكّر فيه؛ أي أنها تُحدد القضايا والموضوعات التي تحتلّ اهتمام الرأي العام وتضعها في سلّم أولوياته</w:t>
      </w:r>
      <w:r w:rsidRPr="00CF0100">
        <w:rPr>
          <w:sz w:val="24"/>
          <w:szCs w:val="24"/>
        </w:rPr>
        <w:t xml:space="preserve">. </w:t>
      </w:r>
      <w:r w:rsidRPr="00CF0100">
        <w:rPr>
          <w:sz w:val="24"/>
          <w:szCs w:val="24"/>
          <w:rtl/>
        </w:rPr>
        <w:t>وقد توسّعت هذه النظرية عبر الزمن لتشمل مستويين</w:t>
      </w:r>
      <w:r w:rsidRPr="00CF0100">
        <w:rPr>
          <w:sz w:val="24"/>
          <w:szCs w:val="24"/>
        </w:rPr>
        <w:t xml:space="preserve">: </w:t>
      </w:r>
      <w:r w:rsidRPr="00CF0100">
        <w:rPr>
          <w:sz w:val="24"/>
          <w:szCs w:val="24"/>
          <w:rtl/>
        </w:rPr>
        <w:t>المستوى الأول المتعلق بترتيب القضايا، والمستوى الثاني المتعلق بترتيب السمات والصفات المرتبطة بهذه القضايا</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وفي سياق الأزمات الاجتماعية، تكتسب هذه النظرية أهمية استثنائية بالغة الأثر، إذ تملك منصات الإعلام الرقمي قدرة هائلة على صياغة أجندة الأزمة وإعادة ترتيب أولوياتها في أذهان الجمهور، من خلال التركيز على جوانب بعينها وإغفال أخرى، واختيار الأطر اللغوية والمرئية التي تُشكّل الإدراك العام للحدث</w:t>
      </w:r>
      <w:r w:rsidRPr="00CF0100">
        <w:rPr>
          <w:sz w:val="24"/>
          <w:szCs w:val="24"/>
        </w:rPr>
        <w:t xml:space="preserve">. </w:t>
      </w:r>
      <w:r w:rsidRPr="00CF0100">
        <w:rPr>
          <w:sz w:val="24"/>
          <w:szCs w:val="24"/>
          <w:rtl/>
        </w:rPr>
        <w:t>ويتجلى توظيف هذه النظرية في الدراسة الحالية من خلال دراسة كيفية تحديد المؤسسات المعنية بإدارة الأزمات لأولويات رسائلها الاتصالية عبر المنصات الرقمية، وما إذا كانت هذه الأولويات تنعكس فعلياً على توجّهات الجمهور وتفاعله مع القضايا الأزموية</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1.3 </w:t>
      </w:r>
      <w:r w:rsidRPr="00CF0100">
        <w:rPr>
          <w:b/>
          <w:bCs/>
          <w:color w:val="000000" w:themeColor="text1"/>
          <w:sz w:val="24"/>
          <w:szCs w:val="24"/>
          <w:rtl/>
        </w:rPr>
        <w:t xml:space="preserve">نظرية التأطير </w:t>
      </w:r>
      <w:r w:rsidRPr="00CF0100">
        <w:rPr>
          <w:b/>
          <w:bCs/>
          <w:color w:val="000000" w:themeColor="text1"/>
          <w:sz w:val="24"/>
          <w:szCs w:val="24"/>
        </w:rPr>
        <w:t>Framing Theory</w:t>
      </w:r>
    </w:p>
    <w:p w:rsidR="00CF0100" w:rsidRPr="00CF0100" w:rsidRDefault="00CF0100" w:rsidP="00CF0100">
      <w:pPr>
        <w:bidi/>
        <w:spacing w:after="180" w:line="360" w:lineRule="auto"/>
        <w:jc w:val="lowKashida"/>
        <w:rPr>
          <w:sz w:val="20"/>
          <w:szCs w:val="24"/>
        </w:rPr>
      </w:pPr>
      <w:r w:rsidRPr="00CF0100">
        <w:rPr>
          <w:sz w:val="24"/>
          <w:szCs w:val="24"/>
          <w:rtl/>
        </w:rPr>
        <w:t>أسّس إرفينغ غوفمان لهذه النظرية من منظور سوسيولوجي، ثم طوّرها روبرت إنتمان وآخرون في السياق الإعلامي لتُشكّل أحد أبرز الأعمدة النظرية في دراسات الإعلام</w:t>
      </w:r>
      <w:r w:rsidRPr="00CF0100">
        <w:rPr>
          <w:sz w:val="24"/>
          <w:szCs w:val="24"/>
        </w:rPr>
        <w:t xml:space="preserve">. </w:t>
      </w:r>
      <w:r w:rsidRPr="00CF0100">
        <w:rPr>
          <w:sz w:val="24"/>
          <w:szCs w:val="24"/>
          <w:rtl/>
        </w:rPr>
        <w:t>تُبيّن هذه النظرية أن الإعلام لا يُنقل الواقع بصورة حرفية محايدة، بل يُقدّمه من خلال أطر تفسيرية مُعيّنة تُؤثر في كيفية فهم الجمهور للأحداث وتقييمه لها</w:t>
      </w:r>
      <w:r w:rsidRPr="00CF0100">
        <w:rPr>
          <w:sz w:val="24"/>
          <w:szCs w:val="24"/>
        </w:rPr>
        <w:t xml:space="preserve">. </w:t>
      </w:r>
      <w:r w:rsidRPr="00CF0100">
        <w:rPr>
          <w:sz w:val="24"/>
          <w:szCs w:val="24"/>
          <w:rtl/>
        </w:rPr>
        <w:t>فالإطار الإعلامي يُحدد ما يُدرج في الرسالة وما يُستبعد منها، وما يُبرز من أسباب، وما يُقترح من حلول، وما يُصاغ من أحكام أخلاقية</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وفي سياق الأزمات الاجتماعية، تبرز أهمية هذه النظرية بوضوح شديد في تحليل الأطر التي يعتمدها الإعلام الرقمي في تناوله للأزمة</w:t>
      </w:r>
      <w:r w:rsidRPr="00CF0100">
        <w:rPr>
          <w:sz w:val="24"/>
          <w:szCs w:val="24"/>
        </w:rPr>
        <w:t xml:space="preserve">: </w:t>
      </w:r>
      <w:r w:rsidRPr="00CF0100">
        <w:rPr>
          <w:sz w:val="24"/>
          <w:szCs w:val="24"/>
          <w:rtl/>
        </w:rPr>
        <w:t>هل يُقدّمها باعتبارها ظاهرة فردية أم بنيوية؟ هل يُؤطّرها ضمن خطاب الخوف والاستنفار أم خطاب الأمل والتضامن؟ وهل يُسهم التأطير الرقمي في تخفيف حدة الأزمة أم في تضخيمها وتعميق جراحها؟ تُعين هذه الأسئلة الدراسةَ الحالية على تحليل الرسائل الاتصالية الرقمية بعمق ودقة، واستجلاء الأبعاد الخفية لأسلوب تناول الأزمات رقمياً</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lastRenderedPageBreak/>
        <w:t xml:space="preserve">1.4 </w:t>
      </w:r>
      <w:r w:rsidRPr="00CF0100">
        <w:rPr>
          <w:b/>
          <w:bCs/>
          <w:color w:val="000000" w:themeColor="text1"/>
          <w:sz w:val="24"/>
          <w:szCs w:val="24"/>
          <w:rtl/>
        </w:rPr>
        <w:t>نظرية الاعتماد على وسائل الإعلام</w:t>
      </w:r>
      <w:r w:rsidRPr="00CF0100">
        <w:rPr>
          <w:b/>
          <w:bCs/>
          <w:color w:val="000000" w:themeColor="text1"/>
          <w:sz w:val="24"/>
          <w:szCs w:val="24"/>
        </w:rPr>
        <w:t xml:space="preserve"> Media Dependency Theory</w:t>
      </w:r>
    </w:p>
    <w:p w:rsidR="00CF0100" w:rsidRPr="00CF0100" w:rsidRDefault="00CF0100" w:rsidP="00CF0100">
      <w:pPr>
        <w:bidi/>
        <w:spacing w:after="180" w:line="360" w:lineRule="auto"/>
        <w:jc w:val="lowKashida"/>
        <w:rPr>
          <w:sz w:val="20"/>
          <w:szCs w:val="24"/>
        </w:rPr>
      </w:pPr>
      <w:r w:rsidRPr="00CF0100">
        <w:rPr>
          <w:sz w:val="24"/>
          <w:szCs w:val="24"/>
          <w:rtl/>
        </w:rPr>
        <w:t>طوّر هذه النظرية ساندرا بول</w:t>
      </w:r>
      <w:r w:rsidRPr="00CF0100">
        <w:rPr>
          <w:sz w:val="24"/>
          <w:szCs w:val="24"/>
        </w:rPr>
        <w:t>-</w:t>
      </w:r>
      <w:r w:rsidRPr="00CF0100">
        <w:rPr>
          <w:sz w:val="24"/>
          <w:szCs w:val="24"/>
          <w:rtl/>
        </w:rPr>
        <w:t xml:space="preserve">روكيتش وميلفن ديفلور عام </w:t>
      </w:r>
      <w:r w:rsidRPr="00CF0100">
        <w:rPr>
          <w:sz w:val="24"/>
          <w:szCs w:val="24"/>
        </w:rPr>
        <w:t>1976</w:t>
      </w:r>
      <w:r w:rsidRPr="00CF0100">
        <w:rPr>
          <w:sz w:val="24"/>
          <w:szCs w:val="24"/>
          <w:rtl/>
        </w:rPr>
        <w:t>م، وتنبثق من تصوّر منظومي يرى أن الجمهور والمؤسسات الإعلامية والمجتمع تتشابك في علاقة اعتماد متبادل</w:t>
      </w:r>
      <w:r w:rsidRPr="00CF0100">
        <w:rPr>
          <w:sz w:val="24"/>
          <w:szCs w:val="24"/>
        </w:rPr>
        <w:t xml:space="preserve">. </w:t>
      </w:r>
      <w:r w:rsidRPr="00CF0100">
        <w:rPr>
          <w:sz w:val="24"/>
          <w:szCs w:val="24"/>
          <w:rtl/>
        </w:rPr>
        <w:t>وتُقرّ النظرية بأن علاقة الجمهور بوسائل الإعلام تشتدّ وتتعمق في أوقات الأزمات والغموض وعدم اليقين؛ فكلما ازداد الغموض المحيط بالأزمة، كلما ازداد اعتماد الأفراد على وسائل الإعلام للحصول على المعلومات وتفسير الأحداث وتوجيه قراراتهم وسلوكياتهم</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وفي عصر الإعلام الرقمي، تحوّل هذا الاعتماد من الوسائل التقليدية كالتلفاز والصحافة المطبوعة نحو المنصات الرقمية ومواقع التواصل الاجتماعي التي باتت المصدر الأول للمعلومات لدى شريحة واسعة من الجمهور في لحظات الأزمة</w:t>
      </w:r>
      <w:r w:rsidRPr="00CF0100">
        <w:rPr>
          <w:sz w:val="24"/>
          <w:szCs w:val="24"/>
        </w:rPr>
        <w:t xml:space="preserve">. </w:t>
      </w:r>
      <w:r w:rsidRPr="00CF0100">
        <w:rPr>
          <w:sz w:val="24"/>
          <w:szCs w:val="24"/>
          <w:rtl/>
        </w:rPr>
        <w:t>وتُسهم هذه النظرية في إطار الدراسة الحالية في تفسير السبب الذي يجعل الإعلام الرقمي ذا تأثير استثنائي في إدارة الأزمات الاجتماعية، مما يُلقي على عاتق المؤسسات المعنية مسؤولية توظيف هذه الثقة الجماهيرية توظيفاً مدروساً ومسؤولاً وأخلاقياً</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1.5 </w:t>
      </w:r>
      <w:r w:rsidRPr="00CF0100">
        <w:rPr>
          <w:b/>
          <w:bCs/>
          <w:color w:val="000000" w:themeColor="text1"/>
          <w:sz w:val="24"/>
          <w:szCs w:val="24"/>
          <w:rtl/>
        </w:rPr>
        <w:t xml:space="preserve">نظرية الاتصال في الأزمات والتجديد </w:t>
      </w:r>
      <w:r w:rsidRPr="00CF0100">
        <w:rPr>
          <w:b/>
          <w:bCs/>
          <w:color w:val="000000" w:themeColor="text1"/>
          <w:sz w:val="24"/>
          <w:szCs w:val="24"/>
        </w:rPr>
        <w:t>Discourse of Renewal Theory</w:t>
      </w:r>
    </w:p>
    <w:p w:rsidR="00CF0100" w:rsidRPr="00CF0100" w:rsidRDefault="00CF0100" w:rsidP="00CF0100">
      <w:pPr>
        <w:bidi/>
        <w:spacing w:after="180" w:line="360" w:lineRule="auto"/>
        <w:jc w:val="lowKashida"/>
        <w:rPr>
          <w:sz w:val="20"/>
          <w:szCs w:val="24"/>
        </w:rPr>
      </w:pPr>
      <w:r w:rsidRPr="00CF0100">
        <w:rPr>
          <w:sz w:val="24"/>
          <w:szCs w:val="24"/>
          <w:rtl/>
        </w:rPr>
        <w:t xml:space="preserve">طوّر هذه النظرية ماتهيوز وسيجر وسيلنو عام </w:t>
      </w:r>
      <w:r w:rsidRPr="00CF0100">
        <w:rPr>
          <w:sz w:val="24"/>
          <w:szCs w:val="24"/>
        </w:rPr>
        <w:t>2003</w:t>
      </w:r>
      <w:r w:rsidRPr="00CF0100">
        <w:rPr>
          <w:sz w:val="24"/>
          <w:szCs w:val="24"/>
          <w:rtl/>
        </w:rPr>
        <w:t>م، وتُقدّم مقاربة إيجابية استشرافية لإدارة الأزمات عبر الاتصال، إذ ترى أن الأزمة لا تُمثّل نهاية أو كارثة محضة، بل تنطوي على فرصة للتجديد والنمو المؤسسي والمجتمعي إذا أُحسن توظيف الاتصال فيها</w:t>
      </w:r>
      <w:r w:rsidRPr="00CF0100">
        <w:rPr>
          <w:sz w:val="24"/>
          <w:szCs w:val="24"/>
        </w:rPr>
        <w:t xml:space="preserve">. </w:t>
      </w:r>
      <w:r w:rsidRPr="00CF0100">
        <w:rPr>
          <w:sz w:val="24"/>
          <w:szCs w:val="24"/>
          <w:rtl/>
        </w:rPr>
        <w:t>وتُركّز النظرية على أهمية الاتصال الصادق والشفاف مع الجمهور في المراحل المختلفة للأزمة</w:t>
      </w:r>
      <w:r w:rsidRPr="00CF0100">
        <w:rPr>
          <w:sz w:val="24"/>
          <w:szCs w:val="24"/>
        </w:rPr>
        <w:t xml:space="preserve">: </w:t>
      </w:r>
      <w:r w:rsidRPr="00CF0100">
        <w:rPr>
          <w:sz w:val="24"/>
          <w:szCs w:val="24"/>
          <w:rtl/>
        </w:rPr>
        <w:t>قبلها، وخلالها، وبعدها</w:t>
      </w:r>
      <w:r w:rsidRPr="00CF0100">
        <w:rPr>
          <w:sz w:val="24"/>
          <w:szCs w:val="24"/>
        </w:rPr>
        <w:t xml:space="preserve">. </w:t>
      </w:r>
      <w:r w:rsidRPr="00CF0100">
        <w:rPr>
          <w:sz w:val="24"/>
          <w:szCs w:val="24"/>
          <w:rtl/>
        </w:rPr>
        <w:t>كما تُبرز دور القيادة المؤسسية في بناء رواية اتصالية تُعزز الثقة وتُسهم في التعافي الجمعي</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وتنسجم هذه النظرية مع محاور الدراسة الحالية في تحليل مدى قدرة الإعلام الرقمي على تحويل الأزمة الاجتماعية من حالة اضطراب وفوضى وقلق جمعي إلى فرصة للتضامن المجتمعي وإعادة بناء الثقة بين المؤسسات والجمهور، وهو ما تسعى الدراسة إلى الكشف عنه ميدانياً</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1.6 </w:t>
      </w:r>
      <w:r w:rsidRPr="00CF0100">
        <w:rPr>
          <w:b/>
          <w:bCs/>
          <w:color w:val="000000" w:themeColor="text1"/>
          <w:sz w:val="24"/>
          <w:szCs w:val="24"/>
          <w:rtl/>
        </w:rPr>
        <w:t xml:space="preserve">نظرية الاتصال التشاركي </w:t>
      </w:r>
      <w:r w:rsidRPr="00CF0100">
        <w:rPr>
          <w:b/>
          <w:bCs/>
          <w:color w:val="000000" w:themeColor="text1"/>
          <w:sz w:val="24"/>
          <w:szCs w:val="24"/>
        </w:rPr>
        <w:t>Participatory Communication Theory</w:t>
      </w:r>
    </w:p>
    <w:p w:rsidR="00CF0100" w:rsidRPr="00CF0100" w:rsidRDefault="00CF0100" w:rsidP="00CF0100">
      <w:pPr>
        <w:bidi/>
        <w:spacing w:after="180" w:line="360" w:lineRule="auto"/>
        <w:jc w:val="lowKashida"/>
        <w:rPr>
          <w:sz w:val="20"/>
          <w:szCs w:val="24"/>
        </w:rPr>
      </w:pPr>
      <w:r w:rsidRPr="00CF0100">
        <w:rPr>
          <w:sz w:val="24"/>
          <w:szCs w:val="24"/>
          <w:rtl/>
        </w:rPr>
        <w:t>تنبثق أهمية هذه النظرية في سياق الإعلام الرقمي من كونها تُقرّ بأن الجمهور ليس متلقياً سلبياً للرسائل الإعلامية، بل شريكاً فاعلاً في إنتاجها وتداولها وتشكيل معانيها وتأويلاتها</w:t>
      </w:r>
      <w:r w:rsidRPr="00CF0100">
        <w:rPr>
          <w:sz w:val="24"/>
          <w:szCs w:val="24"/>
        </w:rPr>
        <w:t xml:space="preserve">. </w:t>
      </w:r>
      <w:r w:rsidRPr="00CF0100">
        <w:rPr>
          <w:sz w:val="24"/>
          <w:szCs w:val="24"/>
          <w:rtl/>
        </w:rPr>
        <w:t>وقد أسهمت الثورة الرقمية في تعزيز هذا الدور التشاركي بصورة لم يشهدها تاريخ الإعلام من قبل؛ إذ أتاحت للجمهور إنتاج المحتوى ومشاركته والتأثير في مسار الأزمة من خلال التعليقات والتغريدات والمقاطع المصوّرة والمنشورات على مواقع التواصل الاجتماعي</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وتُستثمر هذه النظرية في الدراسة الحالية لتحليل طبيعة التفاعل بين المؤسسات المعنية بإدارة الأزمات وجمهورها عبر المنصات الرقمية، ومدى استيعاب هذه المؤسسات لمبدأ الاتصال التشاركي في استراتيجياتها الاتصالية، ومدى توظيفها لمشاركة الجمهور الفاعلة في تشكيل خطابها الأزموي</w:t>
      </w:r>
      <w:r w:rsidRPr="00CF0100">
        <w:rPr>
          <w:sz w:val="24"/>
          <w:szCs w:val="24"/>
        </w:rPr>
        <w:t>.</w:t>
      </w:r>
    </w:p>
    <w:p w:rsidR="00CF0100" w:rsidRPr="00CF0100" w:rsidRDefault="00CF0100" w:rsidP="00CF0100">
      <w:pPr>
        <w:bidi/>
        <w:spacing w:after="80" w:line="360" w:lineRule="auto"/>
        <w:jc w:val="lowKashida"/>
        <w:rPr>
          <w:sz w:val="20"/>
          <w:szCs w:val="24"/>
        </w:rPr>
      </w:pPr>
    </w:p>
    <w:p w:rsidR="00CF0100" w:rsidRPr="00CF0100" w:rsidRDefault="00CF0100" w:rsidP="00CF0100">
      <w:pPr>
        <w:pBdr>
          <w:bottom w:val="single" w:sz="6" w:space="1" w:color="BBBBBB"/>
        </w:pBdr>
        <w:bidi/>
        <w:spacing w:after="160" w:line="360" w:lineRule="auto"/>
        <w:jc w:val="lowKashida"/>
        <w:rPr>
          <w:sz w:val="20"/>
          <w:szCs w:val="24"/>
        </w:rPr>
      </w:pPr>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lastRenderedPageBreak/>
        <w:t>ثانياً</w:t>
      </w:r>
      <w:r w:rsidRPr="00CF0100">
        <w:rPr>
          <w:b/>
          <w:bCs/>
          <w:color w:val="000000" w:themeColor="text1"/>
          <w:sz w:val="28"/>
        </w:rPr>
        <w:t xml:space="preserve">: </w:t>
      </w:r>
      <w:r w:rsidRPr="00CF0100">
        <w:rPr>
          <w:b/>
          <w:bCs/>
          <w:color w:val="000000" w:themeColor="text1"/>
          <w:sz w:val="28"/>
          <w:rtl/>
        </w:rPr>
        <w:t>منهج الدراسة ونوعها</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2.1 </w:t>
      </w:r>
      <w:r w:rsidRPr="00CF0100">
        <w:rPr>
          <w:b/>
          <w:bCs/>
          <w:color w:val="000000" w:themeColor="text1"/>
          <w:sz w:val="24"/>
          <w:szCs w:val="24"/>
          <w:rtl/>
        </w:rPr>
        <w:t>نوع الدراسة</w:t>
      </w:r>
    </w:p>
    <w:p w:rsidR="00CF0100" w:rsidRPr="00CF0100" w:rsidRDefault="00CF0100" w:rsidP="00CF0100">
      <w:pPr>
        <w:bidi/>
        <w:spacing w:after="180" w:line="360" w:lineRule="auto"/>
        <w:jc w:val="lowKashida"/>
        <w:rPr>
          <w:sz w:val="20"/>
          <w:szCs w:val="24"/>
        </w:rPr>
      </w:pPr>
      <w:r w:rsidRPr="00CF0100">
        <w:rPr>
          <w:sz w:val="24"/>
          <w:szCs w:val="24"/>
          <w:rtl/>
        </w:rPr>
        <w:t xml:space="preserve">تنتمي هذه الدراسة إلى نوع الدراسات الوصفية التحليلية </w:t>
      </w:r>
      <w:r w:rsidRPr="00CF0100">
        <w:rPr>
          <w:sz w:val="24"/>
          <w:szCs w:val="24"/>
        </w:rPr>
        <w:t>Descriptive-Analytical Study</w:t>
      </w:r>
      <w:r w:rsidRPr="00CF0100">
        <w:rPr>
          <w:sz w:val="24"/>
          <w:szCs w:val="24"/>
          <w:rtl/>
        </w:rPr>
        <w:t>، التي تهدف إلى رصد ظاهرة بحثية قائمة ووصفها وتحليل أبعادها وعلاقاتها وفق منهج علمي منظّم ودقيق</w:t>
      </w:r>
      <w:r w:rsidRPr="00CF0100">
        <w:rPr>
          <w:sz w:val="24"/>
          <w:szCs w:val="24"/>
        </w:rPr>
        <w:t xml:space="preserve">. </w:t>
      </w:r>
      <w:r w:rsidRPr="00CF0100">
        <w:rPr>
          <w:sz w:val="24"/>
          <w:szCs w:val="24"/>
          <w:rtl/>
        </w:rPr>
        <w:t xml:space="preserve">وتُعرَّف الدراسة الوصفية التحليلية بأنها </w:t>
      </w:r>
      <w:r w:rsidRPr="00CF0100">
        <w:rPr>
          <w:sz w:val="24"/>
          <w:szCs w:val="24"/>
        </w:rPr>
        <w:t>"</w:t>
      </w:r>
      <w:r w:rsidRPr="00CF0100">
        <w:rPr>
          <w:sz w:val="24"/>
          <w:szCs w:val="24"/>
          <w:rtl/>
        </w:rPr>
        <w:t>الدراسة التي تصف ظاهرة موجودة في الواقع أو حدثاً قد وقع، من خلال جمع بيانات كافية عنه وتحليلها وتفسيرها للخروج بنتائج وتوصيات ذات دلالة علمية</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وقد اختارت الباحثة هذا النوع لأسباب عدة أبرزها</w:t>
      </w:r>
      <w:r w:rsidRPr="00CF0100">
        <w:rPr>
          <w:sz w:val="24"/>
          <w:szCs w:val="24"/>
        </w:rPr>
        <w:t xml:space="preserve">: </w:t>
      </w:r>
      <w:r w:rsidRPr="00CF0100">
        <w:rPr>
          <w:sz w:val="24"/>
          <w:szCs w:val="24"/>
          <w:rtl/>
        </w:rPr>
        <w:t>أنه يُلائم طبيعة موضوع البحث الساعي إلى الكشف عن واقع استخدام الإعلام الرقمي في إدارة الأزمات الاجتماعية، ويُمكّن من تحليل أبعاده المتشعّبة من حيث الأساليب والمعوقات والفروق الديموغرافية دون تدخّل تجريبي في المتغيرات</w:t>
      </w:r>
      <w:r w:rsidRPr="00CF0100">
        <w:rPr>
          <w:sz w:val="24"/>
          <w:szCs w:val="24"/>
        </w:rPr>
        <w:t xml:space="preserve">. </w:t>
      </w:r>
      <w:r w:rsidRPr="00CF0100">
        <w:rPr>
          <w:sz w:val="24"/>
          <w:szCs w:val="24"/>
          <w:rtl/>
        </w:rPr>
        <w:t xml:space="preserve">فضلاً عن ذلك، تجمع هذه الدراسة بين المقاربتين الكمية والكيفية </w:t>
      </w:r>
      <w:r w:rsidRPr="00CF0100">
        <w:rPr>
          <w:sz w:val="24"/>
          <w:szCs w:val="24"/>
        </w:rPr>
        <w:t>Mixed Approach</w:t>
      </w:r>
      <w:r w:rsidRPr="00CF0100">
        <w:rPr>
          <w:sz w:val="24"/>
          <w:szCs w:val="24"/>
          <w:rtl/>
        </w:rPr>
        <w:t>، إذ تعتمد على الاستبانة أداةً رئيسية لجمع البيانات الكمية وتحليلها إحصائياً، فيما تستكمل الجانب الكيفي من خلال المقابلات المعمّقة وتحليل المضمون، مما يُغني نتائج الدراسة ويُعمّق دلالتها</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2.2 </w:t>
      </w:r>
      <w:r w:rsidRPr="00CF0100">
        <w:rPr>
          <w:b/>
          <w:bCs/>
          <w:color w:val="000000" w:themeColor="text1"/>
          <w:sz w:val="24"/>
          <w:szCs w:val="24"/>
          <w:rtl/>
        </w:rPr>
        <w:t>المنهج المستخدم</w:t>
      </w:r>
    </w:p>
    <w:p w:rsidR="00CF0100" w:rsidRPr="00CF0100" w:rsidRDefault="00CF0100" w:rsidP="00CF0100">
      <w:pPr>
        <w:bidi/>
        <w:spacing w:after="180" w:line="360" w:lineRule="auto"/>
        <w:jc w:val="lowKashida"/>
        <w:rPr>
          <w:sz w:val="20"/>
          <w:szCs w:val="24"/>
        </w:rPr>
      </w:pPr>
      <w:r w:rsidRPr="00CF0100">
        <w:rPr>
          <w:sz w:val="24"/>
          <w:szCs w:val="24"/>
          <w:rtl/>
        </w:rPr>
        <w:t xml:space="preserve">اعتمدت الدراسة الحالية على المنهج المسحي </w:t>
      </w:r>
      <w:r w:rsidRPr="00CF0100">
        <w:rPr>
          <w:sz w:val="24"/>
          <w:szCs w:val="24"/>
        </w:rPr>
        <w:t xml:space="preserve">Survey Method </w:t>
      </w:r>
      <w:r w:rsidRPr="00CF0100">
        <w:rPr>
          <w:sz w:val="24"/>
          <w:szCs w:val="24"/>
          <w:rtl/>
        </w:rPr>
        <w:t>بوصفه المنهج الرئيسي</w:t>
      </w:r>
      <w:r w:rsidRPr="00CF0100">
        <w:rPr>
          <w:sz w:val="24"/>
          <w:szCs w:val="24"/>
        </w:rPr>
        <w:t xml:space="preserve">. </w:t>
      </w:r>
      <w:r w:rsidRPr="00CF0100">
        <w:rPr>
          <w:sz w:val="24"/>
          <w:szCs w:val="24"/>
          <w:rtl/>
        </w:rPr>
        <w:t xml:space="preserve">يُعرَّف المنهج المسحي بأنه </w:t>
      </w:r>
      <w:r w:rsidRPr="00CF0100">
        <w:rPr>
          <w:sz w:val="24"/>
          <w:szCs w:val="24"/>
        </w:rPr>
        <w:t>"</w:t>
      </w:r>
      <w:r w:rsidRPr="00CF0100">
        <w:rPr>
          <w:sz w:val="24"/>
          <w:szCs w:val="24"/>
          <w:rtl/>
        </w:rPr>
        <w:t>الأسلوب العلمي الذي يُستخدم لدراسة الظواهر الاجتماعية والإعلامية في ميدانها الطبيعي، من خلال جمع البيانات من عينة ممثّلة للمجتمع المعني، ثم تحليلها والخروج بنتائج ذات دلالة علمية</w:t>
      </w:r>
      <w:r w:rsidRPr="00CF0100">
        <w:rPr>
          <w:sz w:val="24"/>
          <w:szCs w:val="24"/>
        </w:rPr>
        <w:t xml:space="preserve">". </w:t>
      </w:r>
      <w:r w:rsidRPr="00CF0100">
        <w:rPr>
          <w:sz w:val="24"/>
          <w:szCs w:val="24"/>
          <w:rtl/>
        </w:rPr>
        <w:t>ويُعدّ هذا المنهج الأكثر شيوعاً في البحوث الإعلامية الوصفية لقدرته على الكشف عن الاتجاهات والمواقف والممارسات</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ويُعدّ المنهج المسحي الأنسب لهذه الدراسة للأسباب الآتية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يُمكّن من قياس اتجاهات الجمهور وآرائه ومستوى وعيه بدور الإعلام الرقمي في إدارة الأزمات الاجتماعية بصورة منظمة وشاملة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يُتيح إجراء مقارنات وفق المتغيرات الديموغرافية كالجنس والعمر والمستوى التعليمي وطبيعة العمل، وهو ما تسعى الدراسة إليه في تساؤلاتها الفرعية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يُناسب طبيعة الدراسة التي تستهدف مجتمعاً بحثياً واسعاً يصعب دراسته كلياً، مما يستلزم الاستعانة بعينة ممثّلة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 xml:space="preserve">يُتيح جمع بيانات كمية قابلة للتحليل الإحصائي الدقيق بالاستناد إلى برامج معالجة البيانات كـ </w:t>
      </w:r>
      <w:r w:rsidRPr="00CF0100">
        <w:rPr>
          <w:sz w:val="24"/>
          <w:szCs w:val="24"/>
        </w:rPr>
        <w:t>SPSS.</w:t>
      </w: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Pr="00CF0100" w:rsidRDefault="00CF0100" w:rsidP="00CF0100">
      <w:pPr>
        <w:bidi/>
        <w:spacing w:after="80" w:line="360" w:lineRule="auto"/>
        <w:jc w:val="lowKashida"/>
        <w:rPr>
          <w:sz w:val="20"/>
          <w:szCs w:val="24"/>
        </w:rPr>
      </w:pP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lastRenderedPageBreak/>
        <w:t xml:space="preserve">2.3 </w:t>
      </w:r>
      <w:r w:rsidRPr="00CF0100">
        <w:rPr>
          <w:b/>
          <w:bCs/>
          <w:color w:val="000000" w:themeColor="text1"/>
          <w:sz w:val="24"/>
          <w:szCs w:val="24"/>
          <w:rtl/>
        </w:rPr>
        <w:t>المنهج المكمّل</w:t>
      </w:r>
      <w:r w:rsidRPr="00CF0100">
        <w:rPr>
          <w:b/>
          <w:bCs/>
          <w:color w:val="000000" w:themeColor="text1"/>
          <w:sz w:val="24"/>
          <w:szCs w:val="24"/>
        </w:rPr>
        <w:t xml:space="preserve">: </w:t>
      </w:r>
      <w:r w:rsidRPr="00CF0100">
        <w:rPr>
          <w:b/>
          <w:bCs/>
          <w:color w:val="000000" w:themeColor="text1"/>
          <w:sz w:val="24"/>
          <w:szCs w:val="24"/>
          <w:rtl/>
        </w:rPr>
        <w:t>تحليل المضمون</w:t>
      </w:r>
    </w:p>
    <w:p w:rsidR="00CF0100" w:rsidRPr="00CF0100" w:rsidRDefault="00CF0100" w:rsidP="00CF0100">
      <w:pPr>
        <w:bidi/>
        <w:spacing w:after="180" w:line="360" w:lineRule="auto"/>
        <w:jc w:val="lowKashida"/>
        <w:rPr>
          <w:sz w:val="20"/>
          <w:szCs w:val="24"/>
        </w:rPr>
      </w:pPr>
      <w:r w:rsidRPr="00CF0100">
        <w:rPr>
          <w:sz w:val="24"/>
          <w:szCs w:val="24"/>
          <w:rtl/>
        </w:rPr>
        <w:t xml:space="preserve">استعانت الدراسة بمنهج تحليل المضمون </w:t>
      </w:r>
      <w:r w:rsidRPr="00CF0100">
        <w:rPr>
          <w:sz w:val="24"/>
          <w:szCs w:val="24"/>
        </w:rPr>
        <w:t xml:space="preserve">Content Analysis </w:t>
      </w:r>
      <w:r w:rsidRPr="00CF0100">
        <w:rPr>
          <w:sz w:val="24"/>
          <w:szCs w:val="24"/>
          <w:rtl/>
        </w:rPr>
        <w:t>بصورة مكمّلة للمنهج المسحي، وذلك لتحليل نماذج من الرسائل الاتصالية التي تُنتجها المؤسسات المعنية عبر منصات الإعلام الرقمي أثناء الأزمات الاجتماعية</w:t>
      </w:r>
      <w:r w:rsidRPr="00CF0100">
        <w:rPr>
          <w:sz w:val="24"/>
          <w:szCs w:val="24"/>
        </w:rPr>
        <w:t xml:space="preserve">. </w:t>
      </w:r>
      <w:r w:rsidRPr="00CF0100">
        <w:rPr>
          <w:sz w:val="24"/>
          <w:szCs w:val="24"/>
          <w:rtl/>
        </w:rPr>
        <w:t xml:space="preserve">ويُعرَّف تحليل المضمون بأنه </w:t>
      </w:r>
      <w:r w:rsidRPr="00CF0100">
        <w:rPr>
          <w:sz w:val="24"/>
          <w:szCs w:val="24"/>
        </w:rPr>
        <w:t>"</w:t>
      </w:r>
      <w:r w:rsidRPr="00CF0100">
        <w:rPr>
          <w:sz w:val="24"/>
          <w:szCs w:val="24"/>
          <w:rtl/>
        </w:rPr>
        <w:t>أسلوب بحثي منهجي وموضوعي يُستخدم لوصف المحتوى الظاهر للاتصال وتحليله وتفسيره كمياً وكيفياً</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ويُعزز هذا المنهج المكمّل الجانب التحليلي للدراسة ويُضيف إليها بُعداً توثيقياً، من خلال تحليل المحتوى الفعلي للرسائل الاتصالية الرقمية وتصنيفها واستخلاص أنماطها وتوجّهاتها، مما يُتيح مقاربةً أكثر عمقاً وموثوقية لظاهرة التواصل الرقمي في الأزمات</w:t>
      </w:r>
      <w:r w:rsidRPr="00CF0100">
        <w:rPr>
          <w:sz w:val="24"/>
          <w:szCs w:val="24"/>
        </w:rPr>
        <w:t>.</w:t>
      </w:r>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t>ثالثاً</w:t>
      </w:r>
      <w:r w:rsidRPr="00CF0100">
        <w:rPr>
          <w:b/>
          <w:bCs/>
          <w:color w:val="000000" w:themeColor="text1"/>
          <w:sz w:val="28"/>
        </w:rPr>
        <w:t xml:space="preserve">: </w:t>
      </w:r>
      <w:r w:rsidRPr="00CF0100">
        <w:rPr>
          <w:b/>
          <w:bCs/>
          <w:color w:val="000000" w:themeColor="text1"/>
          <w:sz w:val="28"/>
          <w:rtl/>
        </w:rPr>
        <w:t>عينة الدراسة</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3.1 </w:t>
      </w:r>
      <w:r w:rsidRPr="00CF0100">
        <w:rPr>
          <w:b/>
          <w:bCs/>
          <w:color w:val="000000" w:themeColor="text1"/>
          <w:sz w:val="24"/>
          <w:szCs w:val="24"/>
          <w:rtl/>
        </w:rPr>
        <w:t>مجتمع الدراسة</w:t>
      </w:r>
    </w:p>
    <w:p w:rsidR="00CF0100" w:rsidRPr="00CF0100" w:rsidRDefault="00CF0100" w:rsidP="00CF0100">
      <w:pPr>
        <w:bidi/>
        <w:spacing w:after="180" w:line="360" w:lineRule="auto"/>
        <w:jc w:val="lowKashida"/>
        <w:rPr>
          <w:sz w:val="20"/>
          <w:szCs w:val="24"/>
        </w:rPr>
      </w:pPr>
      <w:r w:rsidRPr="00CF0100">
        <w:rPr>
          <w:sz w:val="24"/>
          <w:szCs w:val="24"/>
          <w:rtl/>
        </w:rPr>
        <w:t>يتكوّن مجتمع الدراسة الأصلي من مستخدمي منصات الإعلام الرقمي في المجتمع العربي الذين مرّوا بتجربة متابعة أزمة اجتماعية عبر هذه المنصات أو التعامل معها</w:t>
      </w:r>
      <w:r w:rsidRPr="00CF0100">
        <w:rPr>
          <w:sz w:val="24"/>
          <w:szCs w:val="24"/>
        </w:rPr>
        <w:t xml:space="preserve">. </w:t>
      </w:r>
      <w:r w:rsidRPr="00CF0100">
        <w:rPr>
          <w:sz w:val="24"/>
          <w:szCs w:val="24"/>
          <w:rtl/>
        </w:rPr>
        <w:t>ويشمل هذا المجتمع الفئات الآتية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الأفراد العاديون المتفاعلون مع منصات الإعلام الرقمي والمهتمون بمتابعة الشأن الاجتماعي</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العاملون في مجال الإعلام والعلاقات العامة والاتصال المؤسسي</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المتخصصون في إدارة الأزمات والتخطيط الاستراتيجي</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المسؤولون في المؤسسات الحكومية والأهلية المعنية بإدارة الأزمات والتواصل مع الجمهور</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الأكاديميون والباحثون في حقل الإعلام والاتصال والعلوم الاجتماعية</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ونظراً لاتساع هذا المجتمع وتشعّب فئاته وعدم إمكانية الحصر الشامل لأفراده، اعتمدت الباحثة على العينة بدلاً من الحصر الكلي، مع الحرص على تمثيل الفئات الجوهرية المكوّنة لهذا المجتمع</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3.2 </w:t>
      </w:r>
      <w:r w:rsidRPr="00CF0100">
        <w:rPr>
          <w:b/>
          <w:bCs/>
          <w:color w:val="000000" w:themeColor="text1"/>
          <w:sz w:val="24"/>
          <w:szCs w:val="24"/>
          <w:rtl/>
        </w:rPr>
        <w:t>نوع العينة</w:t>
      </w:r>
    </w:p>
    <w:p w:rsidR="00CF0100" w:rsidRPr="00CF0100" w:rsidRDefault="00CF0100" w:rsidP="00CF0100">
      <w:pPr>
        <w:bidi/>
        <w:spacing w:after="180" w:line="360" w:lineRule="auto"/>
        <w:jc w:val="lowKashida"/>
        <w:rPr>
          <w:sz w:val="20"/>
          <w:szCs w:val="24"/>
        </w:rPr>
      </w:pPr>
      <w:r w:rsidRPr="00CF0100">
        <w:rPr>
          <w:sz w:val="24"/>
          <w:szCs w:val="24"/>
          <w:rtl/>
        </w:rPr>
        <w:t xml:space="preserve">اعتمدت الدراسة على العينة القصدية العمدية </w:t>
      </w:r>
      <w:r w:rsidRPr="00CF0100">
        <w:rPr>
          <w:sz w:val="24"/>
          <w:szCs w:val="24"/>
        </w:rPr>
        <w:t>Purposive Sampling</w:t>
      </w:r>
      <w:r w:rsidRPr="00CF0100">
        <w:rPr>
          <w:sz w:val="24"/>
          <w:szCs w:val="24"/>
          <w:rtl/>
        </w:rPr>
        <w:t>، وهي أسلوب من أساليب العينات غير الاحتمالية يقوم على اختيار المفردات بصورة مقصودة وفق معايير مُحدّدة مسبقاً، تضمن أن المستجيبين يمتلكون خبرة أو معرفة أو مشاركة فعلية في موضوع الدراسة</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sz w:val="24"/>
          <w:szCs w:val="24"/>
          <w:rtl/>
        </w:rPr>
        <w:t>وقد اختارت الباحثة هذا النوع لجملة من المبررات العلمية، أبرزها</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أن طبيعة موضوع الدراسة يستلزم استهداف فئات بعينها تمتلك تجربة فعلية في متابعة الأزمات الاجتماعية عبر الإعلام الرقمي، لا أي فرد من عموم الجمهور</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lastRenderedPageBreak/>
        <w:t>صعوبة الوصول إلى عينة احتمالية عشوائية في البيئات الرقمية نظراً لعدم توافر قوائم شاملة ودقيقة لجميع أفراد المجتمع الأصلي</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ملاءمة هذا الأسلوب للدراسات الإعلامية الاجتماعية التي تسعى إلى الحصول على آراء مستنيرة ذات عمق ودلالة</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إثبات الدراسات المنهجية المقارنة لكفاءة هذا النوع من العينات في الدراسات الإعلامية المسحية الوصفية</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3.3 </w:t>
      </w:r>
      <w:r w:rsidRPr="00CF0100">
        <w:rPr>
          <w:b/>
          <w:bCs/>
          <w:color w:val="000000" w:themeColor="text1"/>
          <w:sz w:val="24"/>
          <w:szCs w:val="24"/>
          <w:rtl/>
        </w:rPr>
        <w:t>حجم العينة ومعايير الاختيار</w:t>
      </w:r>
    </w:p>
    <w:p w:rsidR="00CF0100" w:rsidRPr="00CF0100" w:rsidRDefault="00CF0100" w:rsidP="00CF0100">
      <w:pPr>
        <w:bidi/>
        <w:spacing w:after="180" w:line="360" w:lineRule="auto"/>
        <w:jc w:val="lowKashida"/>
        <w:rPr>
          <w:sz w:val="20"/>
          <w:szCs w:val="24"/>
        </w:rPr>
      </w:pPr>
      <w:r w:rsidRPr="00CF0100">
        <w:rPr>
          <w:sz w:val="24"/>
          <w:szCs w:val="24"/>
          <w:rtl/>
        </w:rPr>
        <w:t xml:space="preserve">تتكوّن عينة الدراسة من </w:t>
      </w:r>
      <w:r w:rsidRPr="00CF0100">
        <w:rPr>
          <w:sz w:val="24"/>
          <w:szCs w:val="24"/>
        </w:rPr>
        <w:t xml:space="preserve">350 </w:t>
      </w:r>
      <w:r w:rsidRPr="00CF0100">
        <w:rPr>
          <w:sz w:val="24"/>
          <w:szCs w:val="24"/>
          <w:rtl/>
        </w:rPr>
        <w:t>مفردة، وقد روعي في تحديد هذا الحجم معيارا الكفاية الإحصائية والتمثيل النسبي للفئات المستهدفة</w:t>
      </w:r>
      <w:r w:rsidRPr="00CF0100">
        <w:rPr>
          <w:sz w:val="24"/>
          <w:szCs w:val="24"/>
        </w:rPr>
        <w:t xml:space="preserve">. </w:t>
      </w:r>
      <w:r w:rsidRPr="00CF0100">
        <w:rPr>
          <w:sz w:val="24"/>
          <w:szCs w:val="24"/>
          <w:rtl/>
        </w:rPr>
        <w:t>واعتُمدت المعايير الآتية في اختيار أفراد العينة</w:t>
      </w:r>
      <w:r w:rsidRPr="00CF0100">
        <w:rPr>
          <w:sz w:val="24"/>
          <w:szCs w:val="24"/>
        </w:rPr>
        <w:t>:</w:t>
      </w:r>
    </w:p>
    <w:p w:rsidR="00CF0100" w:rsidRPr="00CF0100" w:rsidRDefault="00CF0100" w:rsidP="00CF0100">
      <w:pPr>
        <w:pStyle w:val="ListParagraph"/>
        <w:numPr>
          <w:ilvl w:val="0"/>
          <w:numId w:val="9"/>
        </w:numPr>
        <w:bidi/>
        <w:spacing w:after="140" w:line="360" w:lineRule="auto"/>
        <w:jc w:val="lowKashida"/>
        <w:rPr>
          <w:sz w:val="24"/>
          <w:szCs w:val="24"/>
        </w:rPr>
      </w:pPr>
      <w:r w:rsidRPr="00CF0100">
        <w:rPr>
          <w:sz w:val="24"/>
          <w:szCs w:val="24"/>
          <w:rtl/>
        </w:rPr>
        <w:t>أن يكون المستجيب مستخدماً نشطاً لإحدى منصات الإعلام الرقمي فيسبوك، إكس</w:t>
      </w:r>
      <w:r w:rsidRPr="00CF0100">
        <w:rPr>
          <w:sz w:val="24"/>
          <w:szCs w:val="24"/>
        </w:rPr>
        <w:t>/</w:t>
      </w:r>
      <w:r w:rsidRPr="00CF0100">
        <w:rPr>
          <w:sz w:val="24"/>
          <w:szCs w:val="24"/>
          <w:rtl/>
        </w:rPr>
        <w:t>تويتر، إنستغرام، تيليغرام، يوتيوب</w:t>
      </w:r>
      <w:r w:rsidRPr="00CF0100">
        <w:rPr>
          <w:sz w:val="24"/>
          <w:szCs w:val="24"/>
        </w:rPr>
        <w:t xml:space="preserve"> </w:t>
      </w:r>
      <w:r w:rsidRPr="00CF0100">
        <w:rPr>
          <w:sz w:val="24"/>
          <w:szCs w:val="24"/>
          <w:rtl/>
        </w:rPr>
        <w:t>بصورة منتظمة لا تقلّ عن ثلاث مرات أسبوعياً</w:t>
      </w:r>
      <w:r w:rsidRPr="00CF0100">
        <w:rPr>
          <w:sz w:val="24"/>
          <w:szCs w:val="24"/>
        </w:rPr>
        <w:t>.</w:t>
      </w:r>
    </w:p>
    <w:p w:rsidR="00CF0100" w:rsidRPr="00CF0100" w:rsidRDefault="00CF0100" w:rsidP="00CF0100">
      <w:pPr>
        <w:pStyle w:val="ListParagraph"/>
        <w:numPr>
          <w:ilvl w:val="0"/>
          <w:numId w:val="9"/>
        </w:numPr>
        <w:bidi/>
        <w:spacing w:after="140" w:line="360" w:lineRule="auto"/>
        <w:jc w:val="lowKashida"/>
        <w:rPr>
          <w:sz w:val="24"/>
          <w:szCs w:val="24"/>
        </w:rPr>
      </w:pPr>
      <w:r w:rsidRPr="00CF0100">
        <w:rPr>
          <w:sz w:val="24"/>
          <w:szCs w:val="24"/>
          <w:rtl/>
        </w:rPr>
        <w:t xml:space="preserve">أن يكون المستجيب قد تابع أزمة اجتماعية أو مرّ بتجربة اتصال رقمي مرتبطة بأزمة خلال السنوات الثلاث الأخيرة </w:t>
      </w:r>
      <w:r w:rsidRPr="00CF0100">
        <w:rPr>
          <w:sz w:val="24"/>
          <w:szCs w:val="24"/>
        </w:rPr>
        <w:t>2022-2025</w:t>
      </w:r>
      <w:r w:rsidRPr="00CF0100">
        <w:rPr>
          <w:sz w:val="24"/>
          <w:szCs w:val="24"/>
          <w:rtl/>
        </w:rPr>
        <w:t>م</w:t>
      </w:r>
      <w:r w:rsidRPr="00CF0100">
        <w:rPr>
          <w:sz w:val="24"/>
          <w:szCs w:val="24"/>
        </w:rPr>
        <w:t>.</w:t>
      </w:r>
    </w:p>
    <w:p w:rsidR="00CF0100" w:rsidRPr="00CF0100" w:rsidRDefault="00CF0100" w:rsidP="00CF0100">
      <w:pPr>
        <w:pStyle w:val="ListParagraph"/>
        <w:numPr>
          <w:ilvl w:val="0"/>
          <w:numId w:val="9"/>
        </w:numPr>
        <w:bidi/>
        <w:spacing w:after="140" w:line="360" w:lineRule="auto"/>
        <w:jc w:val="lowKashida"/>
        <w:rPr>
          <w:sz w:val="24"/>
          <w:szCs w:val="24"/>
        </w:rPr>
      </w:pPr>
      <w:r w:rsidRPr="00CF0100">
        <w:rPr>
          <w:sz w:val="24"/>
          <w:szCs w:val="24"/>
          <w:rtl/>
        </w:rPr>
        <w:t>ألّا يقلّ عمر المستجيب عن ثمانية عشر عاماً</w:t>
      </w:r>
      <w:r w:rsidRPr="00CF0100">
        <w:rPr>
          <w:sz w:val="24"/>
          <w:szCs w:val="24"/>
        </w:rPr>
        <w:t>.</w:t>
      </w:r>
    </w:p>
    <w:p w:rsidR="00CF0100" w:rsidRPr="00CF0100" w:rsidRDefault="00CF0100" w:rsidP="00CF0100">
      <w:pPr>
        <w:pStyle w:val="ListParagraph"/>
        <w:numPr>
          <w:ilvl w:val="0"/>
          <w:numId w:val="9"/>
        </w:numPr>
        <w:bidi/>
        <w:spacing w:after="140" w:line="360" w:lineRule="auto"/>
        <w:jc w:val="lowKashida"/>
        <w:rPr>
          <w:sz w:val="24"/>
          <w:szCs w:val="24"/>
        </w:rPr>
      </w:pPr>
      <w:r w:rsidRPr="00CF0100">
        <w:rPr>
          <w:sz w:val="24"/>
          <w:szCs w:val="24"/>
          <w:rtl/>
        </w:rPr>
        <w:t>أن يكون المستجيب قادراً على الفهم الجيد وتقديم إجابات موضوعية ومُعبّرة عن تجربته الحقيقية</w:t>
      </w:r>
      <w:r w:rsidRPr="00CF0100">
        <w:rPr>
          <w:sz w:val="24"/>
          <w:szCs w:val="24"/>
        </w:rPr>
        <w:t>.</w:t>
      </w:r>
    </w:p>
    <w:p w:rsidR="00CF0100" w:rsidRPr="00CF0100" w:rsidRDefault="00CF0100" w:rsidP="00CF0100">
      <w:pPr>
        <w:pStyle w:val="ListParagraph"/>
        <w:numPr>
          <w:ilvl w:val="0"/>
          <w:numId w:val="9"/>
        </w:numPr>
        <w:bidi/>
        <w:spacing w:after="140" w:line="360" w:lineRule="auto"/>
        <w:jc w:val="lowKashida"/>
        <w:rPr>
          <w:sz w:val="24"/>
          <w:szCs w:val="24"/>
        </w:rPr>
      </w:pPr>
      <w:r w:rsidRPr="00CF0100">
        <w:rPr>
          <w:sz w:val="24"/>
          <w:szCs w:val="24"/>
          <w:rtl/>
        </w:rPr>
        <w:t>أن يُعبّر المستجيب عن موافقته الطوعية على المشاركة في الدراسة</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3.4 </w:t>
      </w:r>
      <w:r w:rsidRPr="00CF0100">
        <w:rPr>
          <w:b/>
          <w:bCs/>
          <w:color w:val="000000" w:themeColor="text1"/>
          <w:sz w:val="24"/>
          <w:szCs w:val="24"/>
          <w:rtl/>
        </w:rPr>
        <w:t>التوزيع الديموغرافي للعينة</w:t>
      </w:r>
    </w:p>
    <w:p w:rsidR="00CF0100" w:rsidRPr="00CF0100" w:rsidRDefault="00CF0100" w:rsidP="00CF0100">
      <w:pPr>
        <w:bidi/>
        <w:spacing w:after="180" w:line="360" w:lineRule="auto"/>
        <w:jc w:val="lowKashida"/>
        <w:rPr>
          <w:sz w:val="20"/>
          <w:szCs w:val="24"/>
        </w:rPr>
      </w:pPr>
      <w:r w:rsidRPr="00CF0100">
        <w:rPr>
          <w:sz w:val="24"/>
          <w:szCs w:val="24"/>
          <w:rtl/>
        </w:rPr>
        <w:t xml:space="preserve">تتوزع عينة الدراسة </w:t>
      </w:r>
      <w:r w:rsidRPr="00CF0100">
        <w:rPr>
          <w:sz w:val="24"/>
          <w:szCs w:val="24"/>
        </w:rPr>
        <w:t xml:space="preserve">350 </w:t>
      </w:r>
      <w:r w:rsidRPr="00CF0100">
        <w:rPr>
          <w:sz w:val="24"/>
          <w:szCs w:val="24"/>
          <w:rtl/>
        </w:rPr>
        <w:t>مفردة</w:t>
      </w:r>
      <w:r w:rsidRPr="00CF0100">
        <w:rPr>
          <w:sz w:val="24"/>
          <w:szCs w:val="24"/>
        </w:rPr>
        <w:t xml:space="preserve"> </w:t>
      </w:r>
      <w:r w:rsidRPr="00CF0100">
        <w:rPr>
          <w:sz w:val="24"/>
          <w:szCs w:val="24"/>
          <w:rtl/>
        </w:rPr>
        <w:t>وفق الخصائص الديموغرافية الآتية</w:t>
      </w:r>
      <w:r w:rsidRPr="00CF0100">
        <w:rPr>
          <w:sz w:val="24"/>
          <w:szCs w:val="24"/>
        </w:rPr>
        <w:t>:</w:t>
      </w: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أ</w:t>
      </w:r>
      <w:r w:rsidRPr="00CF0100">
        <w:rPr>
          <w:b/>
          <w:bCs/>
          <w:color w:val="000000" w:themeColor="text1"/>
          <w:sz w:val="24"/>
          <w:szCs w:val="24"/>
        </w:rPr>
        <w:t xml:space="preserve">. </w:t>
      </w:r>
      <w:r w:rsidRPr="00CF0100">
        <w:rPr>
          <w:b/>
          <w:bCs/>
          <w:color w:val="000000" w:themeColor="text1"/>
          <w:sz w:val="24"/>
          <w:szCs w:val="24"/>
          <w:rtl/>
        </w:rPr>
        <w:t>التوزيع حسب الجنس</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194F96">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الجنس</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العدد</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النسبة المئوية</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ذكور</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157</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45%</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إناث</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193</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55%</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350</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100%</w:t>
            </w:r>
          </w:p>
        </w:tc>
      </w:tr>
    </w:tbl>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ب</w:t>
      </w:r>
      <w:r w:rsidRPr="00CF0100">
        <w:rPr>
          <w:b/>
          <w:bCs/>
          <w:color w:val="000000" w:themeColor="text1"/>
          <w:sz w:val="24"/>
          <w:szCs w:val="24"/>
        </w:rPr>
        <w:t xml:space="preserve">. </w:t>
      </w:r>
      <w:r w:rsidRPr="00CF0100">
        <w:rPr>
          <w:b/>
          <w:bCs/>
          <w:color w:val="000000" w:themeColor="text1"/>
          <w:sz w:val="24"/>
          <w:szCs w:val="24"/>
          <w:rtl/>
        </w:rPr>
        <w:t>التوزيع حسب الفئة العمرية</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194F96">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الفئة العمرية</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العدد</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النسبة المئوية</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18 - 24 </w:t>
            </w:r>
            <w:r w:rsidRPr="00CF0100">
              <w:rPr>
                <w:sz w:val="20"/>
                <w:szCs w:val="20"/>
                <w:rtl/>
              </w:rPr>
              <w:t>سنة</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87</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25%</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25 - 34 </w:t>
            </w:r>
            <w:r w:rsidRPr="00CF0100">
              <w:rPr>
                <w:sz w:val="20"/>
                <w:szCs w:val="20"/>
                <w:rtl/>
              </w:rPr>
              <w:t>سنة</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123</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35%</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lastRenderedPageBreak/>
              <w:t xml:space="preserve">35 - 44 </w:t>
            </w:r>
            <w:r w:rsidRPr="00CF0100">
              <w:rPr>
                <w:sz w:val="20"/>
                <w:szCs w:val="20"/>
                <w:rtl/>
              </w:rPr>
              <w:t>سنة</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87</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25%</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45 </w:t>
            </w:r>
            <w:r w:rsidRPr="00CF0100">
              <w:rPr>
                <w:sz w:val="20"/>
                <w:szCs w:val="20"/>
                <w:rtl/>
              </w:rPr>
              <w:t>سنة فأكثر</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53</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15%</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350</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100%</w:t>
            </w:r>
          </w:p>
        </w:tc>
      </w:tr>
    </w:tbl>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ج</w:t>
      </w:r>
      <w:r w:rsidRPr="00CF0100">
        <w:rPr>
          <w:b/>
          <w:bCs/>
          <w:color w:val="000000" w:themeColor="text1"/>
          <w:sz w:val="24"/>
          <w:szCs w:val="24"/>
        </w:rPr>
        <w:t xml:space="preserve">. </w:t>
      </w:r>
      <w:r w:rsidRPr="00CF0100">
        <w:rPr>
          <w:b/>
          <w:bCs/>
          <w:color w:val="000000" w:themeColor="text1"/>
          <w:sz w:val="24"/>
          <w:szCs w:val="24"/>
          <w:rtl/>
        </w:rPr>
        <w:t>التوزيع حسب المستوى التعليمي</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194F96">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المستوى التعليمي</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العدد</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النسبة المئوية</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ثانوية عامة أو أقل</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35</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 xml:space="preserve">دبلوم </w:t>
            </w:r>
            <w:r w:rsidRPr="00CF0100">
              <w:rPr>
                <w:sz w:val="20"/>
                <w:szCs w:val="20"/>
              </w:rPr>
              <w:t xml:space="preserve">/ </w:t>
            </w:r>
            <w:r w:rsidRPr="00CF0100">
              <w:rPr>
                <w:sz w:val="20"/>
                <w:szCs w:val="20"/>
                <w:rtl/>
              </w:rPr>
              <w:t>بكالوريوس</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193</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55%</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 xml:space="preserve">ماجستير </w:t>
            </w:r>
            <w:r w:rsidRPr="00CF0100">
              <w:rPr>
                <w:sz w:val="20"/>
                <w:szCs w:val="20"/>
              </w:rPr>
              <w:t xml:space="preserve">/ </w:t>
            </w:r>
            <w:r w:rsidRPr="00CF0100">
              <w:rPr>
                <w:sz w:val="20"/>
                <w:szCs w:val="20"/>
                <w:rtl/>
              </w:rPr>
              <w:t>دكتوراه</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122</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35%</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350</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100%</w:t>
            </w:r>
          </w:p>
        </w:tc>
      </w:tr>
    </w:tbl>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د</w:t>
      </w:r>
      <w:r w:rsidRPr="00CF0100">
        <w:rPr>
          <w:b/>
          <w:bCs/>
          <w:color w:val="000000" w:themeColor="text1"/>
          <w:sz w:val="24"/>
          <w:szCs w:val="24"/>
        </w:rPr>
        <w:t xml:space="preserve">. </w:t>
      </w:r>
      <w:r w:rsidRPr="00CF0100">
        <w:rPr>
          <w:b/>
          <w:bCs/>
          <w:color w:val="000000" w:themeColor="text1"/>
          <w:sz w:val="24"/>
          <w:szCs w:val="24"/>
          <w:rtl/>
        </w:rPr>
        <w:t>التوزيع حسب طبيعة العمل</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194F96">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طبيعة العمل</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العدد</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النسبة المئوية</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إعلاميون وعلاقات عامة</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105</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30%</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 xml:space="preserve">موظفون حكوميون </w:t>
            </w:r>
            <w:r w:rsidRPr="00CF0100">
              <w:rPr>
                <w:sz w:val="20"/>
                <w:szCs w:val="20"/>
              </w:rPr>
              <w:t xml:space="preserve">/ </w:t>
            </w:r>
            <w:r w:rsidRPr="00CF0100">
              <w:rPr>
                <w:sz w:val="20"/>
                <w:szCs w:val="20"/>
                <w:rtl/>
              </w:rPr>
              <w:t>أهليون</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70</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20%</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أكاديميون وباحثون</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53</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15%</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أفراد من عامة الجمهور</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122</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35%</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350</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100%</w:t>
            </w:r>
          </w:p>
        </w:tc>
      </w:tr>
    </w:tbl>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هـ</w:t>
      </w:r>
      <w:r w:rsidRPr="00CF0100">
        <w:rPr>
          <w:b/>
          <w:bCs/>
          <w:color w:val="000000" w:themeColor="text1"/>
          <w:sz w:val="24"/>
          <w:szCs w:val="24"/>
        </w:rPr>
        <w:t xml:space="preserve">. </w:t>
      </w:r>
      <w:r w:rsidRPr="00CF0100">
        <w:rPr>
          <w:b/>
          <w:bCs/>
          <w:color w:val="000000" w:themeColor="text1"/>
          <w:sz w:val="24"/>
          <w:szCs w:val="24"/>
          <w:rtl/>
        </w:rPr>
        <w:t>التوزيع حسب المنصة الرقمية الأكثر استخداماً</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194F96">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المنصة الرقمية</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العدد</w:t>
            </w:r>
          </w:p>
        </w:tc>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النسبة المئوية</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فيسبوك</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98</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28%</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إكس تويتر</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84</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24%</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إنستغرام</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70</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20%</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تيليغرام</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56</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16%</w:t>
            </w:r>
          </w:p>
        </w:tc>
      </w:tr>
      <w:tr w:rsidR="00CF0100" w:rsidRPr="00CF0100" w:rsidTr="00194F96">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يوتيوب</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42</w:t>
            </w:r>
          </w:p>
        </w:tc>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12%</w:t>
            </w:r>
          </w:p>
        </w:tc>
      </w:tr>
      <w:tr w:rsidR="00CF0100" w:rsidRPr="00CF0100" w:rsidTr="00194F96">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350</w:t>
            </w:r>
          </w:p>
        </w:tc>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100%</w:t>
            </w:r>
          </w:p>
        </w:tc>
      </w:tr>
    </w:tbl>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lastRenderedPageBreak/>
        <w:t>رابعاً</w:t>
      </w:r>
      <w:r w:rsidRPr="00CF0100">
        <w:rPr>
          <w:b/>
          <w:bCs/>
          <w:color w:val="000000" w:themeColor="text1"/>
          <w:sz w:val="28"/>
        </w:rPr>
        <w:t xml:space="preserve">: </w:t>
      </w:r>
      <w:r w:rsidRPr="00CF0100">
        <w:rPr>
          <w:b/>
          <w:bCs/>
          <w:color w:val="000000" w:themeColor="text1"/>
          <w:sz w:val="28"/>
          <w:rtl/>
        </w:rPr>
        <w:t>أدوات جمع البيانات</w:t>
      </w:r>
    </w:p>
    <w:p w:rsidR="00CF0100" w:rsidRPr="00CF0100" w:rsidRDefault="00CF0100" w:rsidP="00CF0100">
      <w:pPr>
        <w:bidi/>
        <w:spacing w:after="180" w:line="360" w:lineRule="auto"/>
        <w:jc w:val="lowKashida"/>
        <w:rPr>
          <w:sz w:val="20"/>
          <w:szCs w:val="24"/>
        </w:rPr>
      </w:pPr>
      <w:r w:rsidRPr="00CF0100">
        <w:rPr>
          <w:sz w:val="24"/>
          <w:szCs w:val="24"/>
          <w:rtl/>
        </w:rPr>
        <w:t>اعتمدت الدراسة على منظومة متكاملة من الأدوات البحثية التي تتوافق مع طبيعة منهجها الوصفي التحليلي ومجتمعها البحثي، وتتوزع بين أداة رئيسية وأدوات مكمّلة، على النحو الآتي</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4.1 </w:t>
      </w:r>
      <w:r w:rsidRPr="00CF0100">
        <w:rPr>
          <w:b/>
          <w:bCs/>
          <w:color w:val="000000" w:themeColor="text1"/>
          <w:sz w:val="24"/>
          <w:szCs w:val="24"/>
          <w:rtl/>
        </w:rPr>
        <w:t>الاستبانة الأداة الرئيسية</w:t>
      </w:r>
    </w:p>
    <w:p w:rsidR="00CF0100" w:rsidRPr="00CF0100" w:rsidRDefault="00CF0100" w:rsidP="00CF0100">
      <w:pPr>
        <w:bidi/>
        <w:spacing w:after="180" w:line="360" w:lineRule="auto"/>
        <w:jc w:val="lowKashida"/>
        <w:rPr>
          <w:sz w:val="20"/>
          <w:szCs w:val="24"/>
        </w:rPr>
      </w:pPr>
      <w:r w:rsidRPr="00CF0100">
        <w:rPr>
          <w:sz w:val="24"/>
          <w:szCs w:val="24"/>
          <w:rtl/>
        </w:rPr>
        <w:t>تُعدّ الاستبانة الأداة الرئيسية لجمع البيانات في هذه الدراسة</w:t>
      </w:r>
      <w:r w:rsidRPr="00CF0100">
        <w:rPr>
          <w:sz w:val="24"/>
          <w:szCs w:val="24"/>
        </w:rPr>
        <w:t xml:space="preserve">. </w:t>
      </w:r>
      <w:r w:rsidRPr="00CF0100">
        <w:rPr>
          <w:sz w:val="24"/>
          <w:szCs w:val="24"/>
          <w:rtl/>
        </w:rPr>
        <w:t xml:space="preserve">تُعرَّف الاستبانة بأنها </w:t>
      </w:r>
      <w:r w:rsidRPr="00CF0100">
        <w:rPr>
          <w:sz w:val="24"/>
          <w:szCs w:val="24"/>
        </w:rPr>
        <w:t>"</w:t>
      </w:r>
      <w:r w:rsidRPr="00CF0100">
        <w:rPr>
          <w:sz w:val="24"/>
          <w:szCs w:val="24"/>
          <w:rtl/>
        </w:rPr>
        <w:t>أداة بحثية تتكوّن من مجموعة منظّمة من الأسئلة والعبارات التي تُوجَّه إلى أفراد العينة للإجابة عنها بصورة مكتوبة أو إلكترونية</w:t>
      </w:r>
      <w:r w:rsidRPr="00CF0100">
        <w:rPr>
          <w:sz w:val="24"/>
          <w:szCs w:val="24"/>
        </w:rPr>
        <w:t xml:space="preserve">". </w:t>
      </w:r>
      <w:r w:rsidRPr="00CF0100">
        <w:rPr>
          <w:sz w:val="24"/>
          <w:szCs w:val="24"/>
          <w:rtl/>
        </w:rPr>
        <w:t>وتتميز الاستبانة بقدرتها على جمع كميات كبيرة من البيانات من أعداد واسعة في وقت قياسي وبتكلفة معقولة، فضلاً عن تسهيلها لعمليات التحليل الإحصائي وإجراء المقارنات</w:t>
      </w:r>
      <w:r w:rsidRPr="00CF0100">
        <w:rPr>
          <w:sz w:val="24"/>
          <w:szCs w:val="24"/>
        </w:rPr>
        <w:t>.</w:t>
      </w: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أ</w:t>
      </w:r>
      <w:r w:rsidRPr="00CF0100">
        <w:rPr>
          <w:b/>
          <w:bCs/>
          <w:color w:val="000000" w:themeColor="text1"/>
          <w:sz w:val="24"/>
          <w:szCs w:val="24"/>
        </w:rPr>
        <w:t xml:space="preserve">. </w:t>
      </w:r>
      <w:r w:rsidRPr="00CF0100">
        <w:rPr>
          <w:b/>
          <w:bCs/>
          <w:color w:val="000000" w:themeColor="text1"/>
          <w:sz w:val="24"/>
          <w:szCs w:val="24"/>
          <w:rtl/>
        </w:rPr>
        <w:t>بناء الاستبانة وتطويرها</w:t>
      </w:r>
    </w:p>
    <w:p w:rsidR="00CF0100" w:rsidRPr="00CF0100" w:rsidRDefault="00CF0100" w:rsidP="00CF0100">
      <w:pPr>
        <w:bidi/>
        <w:spacing w:after="180" w:line="360" w:lineRule="auto"/>
        <w:jc w:val="lowKashida"/>
        <w:rPr>
          <w:sz w:val="20"/>
          <w:szCs w:val="24"/>
        </w:rPr>
      </w:pPr>
      <w:r w:rsidRPr="00CF0100">
        <w:rPr>
          <w:sz w:val="24"/>
          <w:szCs w:val="24"/>
          <w:rtl/>
        </w:rPr>
        <w:t>بُنيت الاستبانة من خلال المراحل الآتية</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مراجعة الأهداف البحثية والتساؤلات الفرعية للدراسة لتحديد المحاور الرئيسية</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 xml:space="preserve">الاستئناس بالدراسات السابقة ذات الصلة الشمري </w:t>
      </w:r>
      <w:r w:rsidRPr="00CF0100">
        <w:rPr>
          <w:sz w:val="24"/>
          <w:szCs w:val="24"/>
        </w:rPr>
        <w:t>2025</w:t>
      </w:r>
      <w:r w:rsidRPr="00CF0100">
        <w:rPr>
          <w:sz w:val="24"/>
          <w:szCs w:val="24"/>
          <w:rtl/>
        </w:rPr>
        <w:t xml:space="preserve">، العنزي </w:t>
      </w:r>
      <w:r w:rsidRPr="00CF0100">
        <w:rPr>
          <w:sz w:val="24"/>
          <w:szCs w:val="24"/>
        </w:rPr>
        <w:t>2024</w:t>
      </w:r>
      <w:r w:rsidRPr="00CF0100">
        <w:rPr>
          <w:sz w:val="24"/>
          <w:szCs w:val="24"/>
          <w:rtl/>
        </w:rPr>
        <w:t xml:space="preserve">، الحربي </w:t>
      </w:r>
      <w:r w:rsidRPr="00CF0100">
        <w:rPr>
          <w:sz w:val="24"/>
          <w:szCs w:val="24"/>
        </w:rPr>
        <w:t xml:space="preserve">2024 </w:t>
      </w:r>
      <w:r w:rsidRPr="00CF0100">
        <w:rPr>
          <w:sz w:val="24"/>
          <w:szCs w:val="24"/>
          <w:rtl/>
        </w:rPr>
        <w:t>واستخلاص البنود الملائمة</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الاطلاع على المقاييس الدولية المعتمدة في قياس الاتصال في الأزمات والتفاعل الجماهيري الرقمي</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صياغة العبارات بأسلوب واضح وسليم لغوياً خالٍ من الغموض والتحيّز</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عرض الاستبانة على محكّمين متخصصين وتعديلها في ضوء ملاحظاتهم</w:t>
      </w:r>
      <w:r w:rsidRPr="00CF0100">
        <w:rPr>
          <w:sz w:val="24"/>
          <w:szCs w:val="24"/>
        </w:rPr>
        <w:t>.</w:t>
      </w:r>
    </w:p>
    <w:p w:rsidR="00CF0100" w:rsidRPr="00CF0100" w:rsidRDefault="00CF0100" w:rsidP="00CF0100">
      <w:pPr>
        <w:pStyle w:val="ListParagraph"/>
        <w:numPr>
          <w:ilvl w:val="0"/>
          <w:numId w:val="13"/>
        </w:numPr>
        <w:bidi/>
        <w:spacing w:after="140" w:line="360" w:lineRule="auto"/>
        <w:jc w:val="lowKashida"/>
        <w:rPr>
          <w:sz w:val="24"/>
          <w:szCs w:val="24"/>
        </w:rPr>
      </w:pPr>
      <w:r w:rsidRPr="00CF0100">
        <w:rPr>
          <w:sz w:val="24"/>
          <w:szCs w:val="24"/>
          <w:rtl/>
        </w:rPr>
        <w:t xml:space="preserve">إجراء الدراسة الاستطلاعية </w:t>
      </w:r>
      <w:r w:rsidRPr="00CF0100">
        <w:rPr>
          <w:sz w:val="24"/>
          <w:szCs w:val="24"/>
        </w:rPr>
        <w:t xml:space="preserve">Pilot Study </w:t>
      </w:r>
      <w:r w:rsidRPr="00CF0100">
        <w:rPr>
          <w:sz w:val="24"/>
          <w:szCs w:val="24"/>
          <w:rtl/>
        </w:rPr>
        <w:t xml:space="preserve">على عينة صغيرة </w:t>
      </w:r>
      <w:r w:rsidRPr="00CF0100">
        <w:rPr>
          <w:sz w:val="24"/>
          <w:szCs w:val="24"/>
        </w:rPr>
        <w:t xml:space="preserve">30 </w:t>
      </w:r>
      <w:r w:rsidRPr="00CF0100">
        <w:rPr>
          <w:sz w:val="24"/>
          <w:szCs w:val="24"/>
          <w:rtl/>
        </w:rPr>
        <w:t>مفردة</w:t>
      </w:r>
      <w:r w:rsidRPr="00CF0100">
        <w:rPr>
          <w:sz w:val="24"/>
          <w:szCs w:val="24"/>
        </w:rPr>
        <w:t xml:space="preserve"> </w:t>
      </w:r>
      <w:r w:rsidRPr="00CF0100">
        <w:rPr>
          <w:sz w:val="24"/>
          <w:szCs w:val="24"/>
          <w:rtl/>
        </w:rPr>
        <w:t>للتحقق من وضوح العبارات وملاءمتها</w:t>
      </w:r>
      <w:r w:rsidRPr="00CF0100">
        <w:rPr>
          <w:sz w:val="24"/>
          <w:szCs w:val="24"/>
        </w:rPr>
        <w:t>.</w:t>
      </w:r>
    </w:p>
    <w:p w:rsidR="00CF0100" w:rsidRPr="00CF0100" w:rsidRDefault="00CF0100" w:rsidP="00CF0100">
      <w:pPr>
        <w:bidi/>
        <w:spacing w:before="200" w:after="120" w:line="360" w:lineRule="auto"/>
        <w:jc w:val="lowKashida"/>
        <w:rPr>
          <w:sz w:val="20"/>
          <w:szCs w:val="24"/>
        </w:rPr>
      </w:pPr>
      <w:r w:rsidRPr="00CF0100">
        <w:rPr>
          <w:b/>
          <w:bCs/>
          <w:color w:val="000000" w:themeColor="text1"/>
          <w:sz w:val="24"/>
          <w:szCs w:val="24"/>
          <w:rtl/>
        </w:rPr>
        <w:t>ب</w:t>
      </w:r>
      <w:r w:rsidRPr="00CF0100">
        <w:rPr>
          <w:b/>
          <w:bCs/>
          <w:color w:val="000000" w:themeColor="text1"/>
          <w:sz w:val="24"/>
          <w:szCs w:val="24"/>
        </w:rPr>
        <w:t xml:space="preserve">. </w:t>
      </w:r>
      <w:r w:rsidRPr="00CF0100">
        <w:rPr>
          <w:b/>
          <w:bCs/>
          <w:color w:val="000000" w:themeColor="text1"/>
          <w:sz w:val="24"/>
          <w:szCs w:val="24"/>
          <w:rtl/>
        </w:rPr>
        <w:t>محاور الاستبانة</w:t>
      </w:r>
    </w:p>
    <w:p w:rsidR="00CF0100" w:rsidRPr="00CF0100" w:rsidRDefault="00CF0100" w:rsidP="00CF0100">
      <w:pPr>
        <w:bidi/>
        <w:spacing w:after="180" w:line="360" w:lineRule="auto"/>
        <w:jc w:val="lowKashida"/>
        <w:rPr>
          <w:sz w:val="20"/>
          <w:szCs w:val="24"/>
        </w:rPr>
      </w:pPr>
      <w:r w:rsidRPr="00CF0100">
        <w:rPr>
          <w:sz w:val="24"/>
          <w:szCs w:val="24"/>
          <w:rtl/>
        </w:rPr>
        <w:t>تتكوّن الاستبانة من ستة محاور رئيسية شاملة</w:t>
      </w:r>
      <w:r w:rsidRPr="00CF0100">
        <w:rPr>
          <w:sz w:val="24"/>
          <w:szCs w:val="24"/>
        </w:rPr>
        <w:t>:</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66"/>
        <w:gridCol w:w="3067"/>
        <w:gridCol w:w="3067"/>
      </w:tblGrid>
      <w:tr w:rsidR="00CF0100" w:rsidRPr="00CF0100" w:rsidTr="00CF0100">
        <w:tblPrEx>
          <w:tblCellMar>
            <w:top w:w="0" w:type="dxa"/>
            <w:bottom w:w="0" w:type="dxa"/>
          </w:tblCellMar>
        </w:tblPrEx>
        <w:trPr>
          <w:tblHeader/>
        </w:trPr>
        <w:tc>
          <w:tcPr>
            <w:tcW w:w="3066"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المحور</w:t>
            </w:r>
          </w:p>
        </w:tc>
        <w:tc>
          <w:tcPr>
            <w:tcW w:w="3067"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الموضوع</w:t>
            </w:r>
          </w:p>
        </w:tc>
        <w:tc>
          <w:tcPr>
            <w:tcW w:w="3067"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عدد العبارات</w:t>
            </w:r>
          </w:p>
        </w:tc>
      </w:tr>
      <w:tr w:rsidR="00CF0100" w:rsidRPr="00CF0100" w:rsidTr="00CF0100">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الأول</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البيانات الشخصية والديموغرافية</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5 </w:t>
            </w:r>
            <w:r w:rsidRPr="00CF0100">
              <w:rPr>
                <w:sz w:val="20"/>
                <w:szCs w:val="20"/>
                <w:rtl/>
              </w:rPr>
              <w:t>أسئلة</w:t>
            </w:r>
          </w:p>
        </w:tc>
      </w:tr>
      <w:tr w:rsidR="00CF0100" w:rsidRPr="00CF0100" w:rsidTr="00CF0100">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الثاني</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واقع استخدام منصات الإعلام الرقمي في إدارة الأزمات الاجتماعية</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10 </w:t>
            </w:r>
            <w:r w:rsidRPr="00CF0100">
              <w:rPr>
                <w:sz w:val="20"/>
                <w:szCs w:val="20"/>
                <w:rtl/>
              </w:rPr>
              <w:t>عبارات</w:t>
            </w:r>
          </w:p>
        </w:tc>
      </w:tr>
      <w:tr w:rsidR="00CF0100" w:rsidRPr="00CF0100" w:rsidTr="00CF0100">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الثالث</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الأساليب والاستراتيجيات الاتصالية الرقمية في التعامل مع الأزمات</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10 </w:t>
            </w:r>
            <w:r w:rsidRPr="00CF0100">
              <w:rPr>
                <w:sz w:val="20"/>
                <w:szCs w:val="20"/>
                <w:rtl/>
              </w:rPr>
              <w:t>عبارات</w:t>
            </w:r>
          </w:p>
        </w:tc>
      </w:tr>
      <w:tr w:rsidR="00CF0100" w:rsidRPr="00CF0100" w:rsidTr="00CF0100">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lastRenderedPageBreak/>
              <w:t>الرابع</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دور الإعلام الرقمي في التواصل المباشر والتفاعلي مع الجمهور</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8 </w:t>
            </w:r>
            <w:r w:rsidRPr="00CF0100">
              <w:rPr>
                <w:sz w:val="20"/>
                <w:szCs w:val="20"/>
                <w:rtl/>
              </w:rPr>
              <w:t>عبارات</w:t>
            </w:r>
          </w:p>
        </w:tc>
      </w:tr>
      <w:tr w:rsidR="00CF0100" w:rsidRPr="00CF0100" w:rsidTr="00CF0100">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الخامس</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دور الإعلام الرقمي في الحد من انتشار الشائعات والمعلومات المضللة</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8 </w:t>
            </w:r>
            <w:r w:rsidRPr="00CF0100">
              <w:rPr>
                <w:sz w:val="20"/>
                <w:szCs w:val="20"/>
                <w:rtl/>
              </w:rPr>
              <w:t>عبارات</w:t>
            </w:r>
          </w:p>
        </w:tc>
      </w:tr>
      <w:tr w:rsidR="00CF0100" w:rsidRPr="00CF0100" w:rsidTr="00CF0100">
        <w:tblPrEx>
          <w:tblCellMar>
            <w:top w:w="0" w:type="dxa"/>
            <w:bottom w:w="0" w:type="dxa"/>
          </w:tblCellMar>
        </w:tblPrEx>
        <w:tc>
          <w:tcPr>
            <w:tcW w:w="3066"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السادس</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المعوقات والسبل المقترحة لتطوير التوظيف الرقمي في الأزمات</w:t>
            </w:r>
          </w:p>
        </w:tc>
        <w:tc>
          <w:tcPr>
            <w:tcW w:w="3067"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10 </w:t>
            </w:r>
            <w:r w:rsidRPr="00CF0100">
              <w:rPr>
                <w:sz w:val="20"/>
                <w:szCs w:val="20"/>
                <w:rtl/>
              </w:rPr>
              <w:t>عبارات</w:t>
            </w:r>
          </w:p>
        </w:tc>
      </w:tr>
      <w:tr w:rsidR="00CF0100" w:rsidRPr="00CF0100" w:rsidTr="00CF0100">
        <w:tblPrEx>
          <w:tblCellMar>
            <w:top w:w="0" w:type="dxa"/>
            <w:bottom w:w="0" w:type="dxa"/>
          </w:tblCellMar>
        </w:tblPrEx>
        <w:tc>
          <w:tcPr>
            <w:tcW w:w="3066"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المجموع</w:t>
            </w: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p>
        </w:tc>
        <w:tc>
          <w:tcPr>
            <w:tcW w:w="3067"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 xml:space="preserve">51 </w:t>
            </w:r>
            <w:r w:rsidRPr="00CF0100">
              <w:rPr>
                <w:sz w:val="20"/>
                <w:szCs w:val="20"/>
                <w:rtl/>
              </w:rPr>
              <w:t xml:space="preserve">عبارة </w:t>
            </w:r>
            <w:r w:rsidRPr="00CF0100">
              <w:rPr>
                <w:sz w:val="20"/>
                <w:szCs w:val="20"/>
              </w:rPr>
              <w:t xml:space="preserve">+ 5 </w:t>
            </w:r>
            <w:r w:rsidRPr="00CF0100">
              <w:rPr>
                <w:sz w:val="20"/>
                <w:szCs w:val="20"/>
                <w:rtl/>
              </w:rPr>
              <w:t>أسئلة</w:t>
            </w:r>
          </w:p>
        </w:tc>
      </w:tr>
    </w:tbl>
    <w:p w:rsidR="00CF0100" w:rsidRPr="00CF0100" w:rsidRDefault="00CF0100" w:rsidP="00CF0100">
      <w:pPr>
        <w:bidi/>
        <w:spacing w:after="80" w:line="360" w:lineRule="auto"/>
        <w:jc w:val="lowKashida"/>
        <w:rPr>
          <w:sz w:val="20"/>
          <w:szCs w:val="24"/>
        </w:rPr>
      </w:pP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ج</w:t>
      </w:r>
      <w:r w:rsidRPr="00CF0100">
        <w:rPr>
          <w:b/>
          <w:bCs/>
          <w:color w:val="000000" w:themeColor="text1"/>
          <w:sz w:val="24"/>
          <w:szCs w:val="24"/>
        </w:rPr>
        <w:t xml:space="preserve">. </w:t>
      </w:r>
      <w:r w:rsidRPr="00CF0100">
        <w:rPr>
          <w:b/>
          <w:bCs/>
          <w:color w:val="000000" w:themeColor="text1"/>
          <w:sz w:val="24"/>
          <w:szCs w:val="24"/>
          <w:rtl/>
        </w:rPr>
        <w:t>مقياس الاستجابة مقياس ليكرت الخماسي</w:t>
      </w:r>
    </w:p>
    <w:p w:rsidR="00CF0100" w:rsidRPr="00CF0100" w:rsidRDefault="00CF0100" w:rsidP="00CF0100">
      <w:pPr>
        <w:bidi/>
        <w:spacing w:after="180" w:line="360" w:lineRule="auto"/>
        <w:jc w:val="lowKashida"/>
        <w:rPr>
          <w:sz w:val="20"/>
          <w:szCs w:val="24"/>
        </w:rPr>
      </w:pPr>
      <w:r w:rsidRPr="00CF0100">
        <w:rPr>
          <w:sz w:val="24"/>
          <w:szCs w:val="24"/>
          <w:rtl/>
        </w:rPr>
        <w:t xml:space="preserve">اعتمدت الاستبانة على مقياس ليكرت الخماسي </w:t>
      </w:r>
      <w:r w:rsidRPr="00CF0100">
        <w:rPr>
          <w:sz w:val="24"/>
          <w:szCs w:val="24"/>
        </w:rPr>
        <w:t xml:space="preserve">Likert Scale </w:t>
      </w:r>
      <w:r w:rsidRPr="00CF0100">
        <w:rPr>
          <w:sz w:val="24"/>
          <w:szCs w:val="24"/>
          <w:rtl/>
        </w:rPr>
        <w:t>للإجابة عن عبارات المحاور من الثاني إلى السادس</w:t>
      </w:r>
      <w:r w:rsidRPr="00CF0100">
        <w:rPr>
          <w:sz w:val="24"/>
          <w:szCs w:val="24"/>
        </w:rPr>
        <w:t>:</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00"/>
        <w:gridCol w:w="4600"/>
      </w:tblGrid>
      <w:tr w:rsidR="00CF0100" w:rsidRPr="00CF0100" w:rsidTr="00194F96">
        <w:tblPrEx>
          <w:tblCellMar>
            <w:top w:w="0" w:type="dxa"/>
            <w:bottom w:w="0" w:type="dxa"/>
          </w:tblCellMar>
        </w:tblPrEx>
        <w:trPr>
          <w:tblHeader/>
        </w:trPr>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درجة الموافقة</w:t>
            </w:r>
          </w:p>
        </w:tc>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القيمة العددية</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موافق بشدة</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5</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موافق</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4</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محايد</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غير موافق</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2</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غير موافق بشدة</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w:t>
            </w:r>
          </w:p>
        </w:tc>
      </w:tr>
    </w:tbl>
    <w:p w:rsidR="00CF0100" w:rsidRPr="00CF0100" w:rsidRDefault="00CF0100" w:rsidP="00CF0100">
      <w:pPr>
        <w:bidi/>
        <w:spacing w:after="80" w:line="360" w:lineRule="auto"/>
        <w:jc w:val="lowKashida"/>
        <w:rPr>
          <w:sz w:val="20"/>
          <w:szCs w:val="24"/>
        </w:rPr>
      </w:pPr>
    </w:p>
    <w:p w:rsidR="00CF0100" w:rsidRPr="00CF0100" w:rsidRDefault="00CF0100" w:rsidP="00CF0100">
      <w:pPr>
        <w:bidi/>
        <w:spacing w:after="180" w:line="360" w:lineRule="auto"/>
        <w:jc w:val="lowKashida"/>
        <w:rPr>
          <w:sz w:val="20"/>
          <w:szCs w:val="24"/>
        </w:rPr>
      </w:pPr>
      <w:r w:rsidRPr="00CF0100">
        <w:rPr>
          <w:sz w:val="24"/>
          <w:szCs w:val="24"/>
          <w:rtl/>
        </w:rPr>
        <w:t>وتُعتمد المعادلة الآتية لتحديد مستويات الاستجابة</w:t>
      </w:r>
      <w:r w:rsidRPr="00CF0100">
        <w:rPr>
          <w:sz w:val="24"/>
          <w:szCs w:val="24"/>
        </w:rPr>
        <w:t>:</w:t>
      </w:r>
    </w:p>
    <w:p w:rsidR="00CF0100" w:rsidRPr="00CF0100" w:rsidRDefault="00CF0100" w:rsidP="00CF0100">
      <w:pPr>
        <w:bidi/>
        <w:spacing w:after="180" w:line="360" w:lineRule="auto"/>
        <w:jc w:val="lowKashida"/>
        <w:rPr>
          <w:sz w:val="20"/>
          <w:szCs w:val="24"/>
        </w:rPr>
      </w:pPr>
      <w:r w:rsidRPr="00CF0100">
        <w:rPr>
          <w:color w:val="1F3864"/>
          <w:sz w:val="24"/>
          <w:szCs w:val="24"/>
          <w:rtl/>
        </w:rPr>
        <w:t xml:space="preserve">طول الفئة </w:t>
      </w:r>
      <w:r w:rsidRPr="00CF0100">
        <w:rPr>
          <w:color w:val="1F3864"/>
          <w:sz w:val="24"/>
          <w:szCs w:val="24"/>
        </w:rPr>
        <w:t xml:space="preserve">= </w:t>
      </w:r>
      <w:r w:rsidRPr="00CF0100">
        <w:rPr>
          <w:color w:val="1F3864"/>
          <w:sz w:val="24"/>
          <w:szCs w:val="24"/>
          <w:rtl/>
        </w:rPr>
        <w:t xml:space="preserve">القيمة العظمى </w:t>
      </w:r>
      <w:r w:rsidRPr="00CF0100">
        <w:rPr>
          <w:color w:val="1F3864"/>
          <w:sz w:val="24"/>
          <w:szCs w:val="24"/>
        </w:rPr>
        <w:t xml:space="preserve">– </w:t>
      </w:r>
      <w:r w:rsidRPr="00CF0100">
        <w:rPr>
          <w:color w:val="1F3864"/>
          <w:sz w:val="24"/>
          <w:szCs w:val="24"/>
          <w:rtl/>
        </w:rPr>
        <w:t>القيمة الصغرى</w:t>
      </w:r>
      <w:r w:rsidRPr="00CF0100">
        <w:rPr>
          <w:color w:val="1F3864"/>
          <w:sz w:val="24"/>
          <w:szCs w:val="24"/>
        </w:rPr>
        <w:t xml:space="preserve"> ÷ </w:t>
      </w:r>
      <w:r w:rsidRPr="00CF0100">
        <w:rPr>
          <w:color w:val="1F3864"/>
          <w:sz w:val="24"/>
          <w:szCs w:val="24"/>
          <w:rtl/>
        </w:rPr>
        <w:t xml:space="preserve">عدد المستويات </w:t>
      </w:r>
      <w:r w:rsidRPr="00CF0100">
        <w:rPr>
          <w:color w:val="1F3864"/>
          <w:sz w:val="24"/>
          <w:szCs w:val="24"/>
        </w:rPr>
        <w:t>= 5 – 1 ÷ 3 = 1.33</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00"/>
        <w:gridCol w:w="4600"/>
      </w:tblGrid>
      <w:tr w:rsidR="00CF0100" w:rsidRPr="00CF0100" w:rsidTr="00194F96">
        <w:tblPrEx>
          <w:tblCellMar>
            <w:top w:w="0" w:type="dxa"/>
            <w:bottom w:w="0" w:type="dxa"/>
          </w:tblCellMar>
        </w:tblPrEx>
        <w:trPr>
          <w:tblHeader/>
        </w:trPr>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المدى</w:t>
            </w:r>
          </w:p>
        </w:tc>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مستوى الاستجابة</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1.00 – 2.33</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مستوى منخفض</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Pr>
              <w:t>2.34 – 3.67</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مستوى متوسط</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Pr>
              <w:t>3.68 – 5.00</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مستوى مرتفع</w:t>
            </w:r>
          </w:p>
        </w:tc>
      </w:tr>
    </w:tbl>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Pr="00CF0100" w:rsidRDefault="00CF0100" w:rsidP="00CF0100">
      <w:pPr>
        <w:bidi/>
        <w:spacing w:after="80" w:line="360" w:lineRule="auto"/>
        <w:jc w:val="lowKashida"/>
        <w:rPr>
          <w:sz w:val="20"/>
          <w:szCs w:val="24"/>
        </w:rPr>
      </w:pP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د</w:t>
      </w:r>
      <w:r w:rsidRPr="00CF0100">
        <w:rPr>
          <w:b/>
          <w:bCs/>
          <w:color w:val="000000" w:themeColor="text1"/>
          <w:sz w:val="24"/>
          <w:szCs w:val="24"/>
        </w:rPr>
        <w:t xml:space="preserve">. </w:t>
      </w:r>
      <w:r w:rsidRPr="00CF0100">
        <w:rPr>
          <w:b/>
          <w:bCs/>
          <w:color w:val="000000" w:themeColor="text1"/>
          <w:sz w:val="24"/>
          <w:szCs w:val="24"/>
          <w:rtl/>
        </w:rPr>
        <w:t>صدق الاستبانة</w:t>
      </w:r>
    </w:p>
    <w:p w:rsidR="00CF0100" w:rsidRPr="00CF0100" w:rsidRDefault="00CF0100" w:rsidP="00CF0100">
      <w:pPr>
        <w:bidi/>
        <w:spacing w:after="180" w:line="360" w:lineRule="auto"/>
        <w:jc w:val="lowKashida"/>
        <w:rPr>
          <w:sz w:val="20"/>
          <w:szCs w:val="24"/>
        </w:rPr>
      </w:pPr>
      <w:r w:rsidRPr="00CF0100">
        <w:rPr>
          <w:sz w:val="24"/>
          <w:szCs w:val="24"/>
          <w:rtl/>
        </w:rPr>
        <w:lastRenderedPageBreak/>
        <w:t>للتحقق من صدق الأداة، ستُطبَّق الإجراءات الآتية</w:t>
      </w:r>
      <w:r w:rsidRPr="00CF0100">
        <w:rPr>
          <w:sz w:val="24"/>
          <w:szCs w:val="24"/>
        </w:rPr>
        <w:t>:</w:t>
      </w:r>
    </w:p>
    <w:p w:rsidR="00CF0100" w:rsidRPr="00CF0100" w:rsidRDefault="00CF0100" w:rsidP="00CF0100">
      <w:pPr>
        <w:pStyle w:val="ListParagraph"/>
        <w:numPr>
          <w:ilvl w:val="0"/>
          <w:numId w:val="10"/>
        </w:numPr>
        <w:bidi/>
        <w:spacing w:after="140" w:line="360" w:lineRule="auto"/>
        <w:jc w:val="lowKashida"/>
        <w:rPr>
          <w:sz w:val="24"/>
          <w:szCs w:val="24"/>
        </w:rPr>
      </w:pPr>
      <w:r w:rsidRPr="00CF0100">
        <w:rPr>
          <w:sz w:val="24"/>
          <w:szCs w:val="24"/>
          <w:rtl/>
        </w:rPr>
        <w:t xml:space="preserve">الصدق الظاهري </w:t>
      </w:r>
      <w:r w:rsidRPr="00CF0100">
        <w:rPr>
          <w:sz w:val="24"/>
          <w:szCs w:val="24"/>
        </w:rPr>
        <w:t xml:space="preserve">Face Validity: </w:t>
      </w:r>
      <w:r w:rsidRPr="00CF0100">
        <w:rPr>
          <w:sz w:val="24"/>
          <w:szCs w:val="24"/>
          <w:rtl/>
        </w:rPr>
        <w:t xml:space="preserve">عرض الاستبانة على </w:t>
      </w:r>
      <w:r w:rsidRPr="00CF0100">
        <w:rPr>
          <w:sz w:val="24"/>
          <w:szCs w:val="24"/>
        </w:rPr>
        <w:t xml:space="preserve">7 </w:t>
      </w:r>
      <w:r w:rsidRPr="00CF0100">
        <w:rPr>
          <w:sz w:val="24"/>
          <w:szCs w:val="24"/>
          <w:rtl/>
        </w:rPr>
        <w:t>محكّمين متخصصين في الإعلام والاتصال وإدارة الأزمات للحكم على مدى وضوح العبارات ودقتها وشموليتها وملاءمتها لقياس الأهداف البحثية</w:t>
      </w:r>
      <w:r w:rsidRPr="00CF0100">
        <w:rPr>
          <w:sz w:val="24"/>
          <w:szCs w:val="24"/>
        </w:rPr>
        <w:t xml:space="preserve">. </w:t>
      </w:r>
      <w:r w:rsidRPr="00CF0100">
        <w:rPr>
          <w:sz w:val="24"/>
          <w:szCs w:val="24"/>
          <w:rtl/>
        </w:rPr>
        <w:t xml:space="preserve">وتُعدَّل الاستبانة وفق آرائهم بشرط اتفاق </w:t>
      </w:r>
      <w:r w:rsidRPr="00CF0100">
        <w:rPr>
          <w:sz w:val="24"/>
          <w:szCs w:val="24"/>
        </w:rPr>
        <w:t xml:space="preserve">80% </w:t>
      </w:r>
      <w:r w:rsidRPr="00CF0100">
        <w:rPr>
          <w:sz w:val="24"/>
          <w:szCs w:val="24"/>
          <w:rtl/>
        </w:rPr>
        <w:t>فأكثر منهم على ملاءمة العبارة</w:t>
      </w:r>
      <w:r w:rsidRPr="00CF0100">
        <w:rPr>
          <w:sz w:val="24"/>
          <w:szCs w:val="24"/>
        </w:rPr>
        <w:t>.</w:t>
      </w:r>
    </w:p>
    <w:p w:rsidR="00CF0100" w:rsidRPr="00CF0100" w:rsidRDefault="00CF0100" w:rsidP="00CF0100">
      <w:pPr>
        <w:pStyle w:val="ListParagraph"/>
        <w:numPr>
          <w:ilvl w:val="0"/>
          <w:numId w:val="10"/>
        </w:numPr>
        <w:bidi/>
        <w:spacing w:after="140" w:line="360" w:lineRule="auto"/>
        <w:jc w:val="lowKashida"/>
        <w:rPr>
          <w:sz w:val="24"/>
          <w:szCs w:val="24"/>
        </w:rPr>
      </w:pPr>
      <w:r w:rsidRPr="00CF0100">
        <w:rPr>
          <w:sz w:val="24"/>
          <w:szCs w:val="24"/>
          <w:rtl/>
        </w:rPr>
        <w:t xml:space="preserve">صدق الاتساق الداخلي </w:t>
      </w:r>
      <w:r w:rsidRPr="00CF0100">
        <w:rPr>
          <w:sz w:val="24"/>
          <w:szCs w:val="24"/>
        </w:rPr>
        <w:t xml:space="preserve">Internal Consistency: </w:t>
      </w:r>
      <w:r w:rsidRPr="00CF0100">
        <w:rPr>
          <w:sz w:val="24"/>
          <w:szCs w:val="24"/>
          <w:rtl/>
        </w:rPr>
        <w:t xml:space="preserve">التحقق من ارتباط كل عبارة بالمحور الذي تنتمي إليه، من خلال حساب معاملات ارتباط بيرسون بين درجة كل عبارة والدرجة الكلية للمحور، ويُعدّ الارتباط دالاً عند مستوى </w:t>
      </w:r>
      <w:r w:rsidRPr="00CF0100">
        <w:rPr>
          <w:sz w:val="24"/>
          <w:szCs w:val="24"/>
        </w:rPr>
        <w:t xml:space="preserve">0.05 </w:t>
      </w:r>
      <w:r w:rsidRPr="00CF0100">
        <w:rPr>
          <w:sz w:val="24"/>
          <w:szCs w:val="24"/>
          <w:rtl/>
        </w:rPr>
        <w:t>فأقل</w:t>
      </w:r>
      <w:r w:rsidRPr="00CF0100">
        <w:rPr>
          <w:sz w:val="24"/>
          <w:szCs w:val="24"/>
        </w:rPr>
        <w:t>.</w:t>
      </w:r>
    </w:p>
    <w:p w:rsidR="00CF0100" w:rsidRPr="00CF0100" w:rsidRDefault="00CF0100" w:rsidP="00CF0100">
      <w:pPr>
        <w:pStyle w:val="ListParagraph"/>
        <w:numPr>
          <w:ilvl w:val="0"/>
          <w:numId w:val="10"/>
        </w:numPr>
        <w:bidi/>
        <w:spacing w:after="140" w:line="360" w:lineRule="auto"/>
        <w:jc w:val="lowKashida"/>
        <w:rPr>
          <w:sz w:val="24"/>
          <w:szCs w:val="24"/>
        </w:rPr>
      </w:pPr>
      <w:r w:rsidRPr="00CF0100">
        <w:rPr>
          <w:sz w:val="24"/>
          <w:szCs w:val="24"/>
          <w:rtl/>
        </w:rPr>
        <w:t xml:space="preserve">الصدق البنائي </w:t>
      </w:r>
      <w:r w:rsidRPr="00CF0100">
        <w:rPr>
          <w:sz w:val="24"/>
          <w:szCs w:val="24"/>
        </w:rPr>
        <w:t xml:space="preserve">Construct Validity: </w:t>
      </w:r>
      <w:r w:rsidRPr="00CF0100">
        <w:rPr>
          <w:sz w:val="24"/>
          <w:szCs w:val="24"/>
          <w:rtl/>
        </w:rPr>
        <w:t>التحقق من ارتباط درجة كل محور بالدرجة الكلية للاستبانة عبر حساب معاملات الارتباط</w:t>
      </w:r>
      <w:r w:rsidRPr="00CF0100">
        <w:rPr>
          <w:sz w:val="24"/>
          <w:szCs w:val="24"/>
        </w:rPr>
        <w:t>.</w:t>
      </w: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هـ</w:t>
      </w:r>
      <w:r w:rsidRPr="00CF0100">
        <w:rPr>
          <w:b/>
          <w:bCs/>
          <w:color w:val="000000" w:themeColor="text1"/>
          <w:sz w:val="24"/>
          <w:szCs w:val="24"/>
        </w:rPr>
        <w:t xml:space="preserve">. </w:t>
      </w:r>
      <w:r w:rsidRPr="00CF0100">
        <w:rPr>
          <w:b/>
          <w:bCs/>
          <w:color w:val="000000" w:themeColor="text1"/>
          <w:sz w:val="24"/>
          <w:szCs w:val="24"/>
          <w:rtl/>
        </w:rPr>
        <w:t>ثبات الاستبانة</w:t>
      </w:r>
    </w:p>
    <w:p w:rsidR="00CF0100" w:rsidRPr="00CF0100" w:rsidRDefault="00CF0100" w:rsidP="00CF0100">
      <w:pPr>
        <w:bidi/>
        <w:spacing w:after="180" w:line="360" w:lineRule="auto"/>
        <w:jc w:val="lowKashida"/>
        <w:rPr>
          <w:sz w:val="20"/>
          <w:szCs w:val="24"/>
        </w:rPr>
      </w:pPr>
      <w:r w:rsidRPr="00CF0100">
        <w:rPr>
          <w:sz w:val="24"/>
          <w:szCs w:val="24"/>
          <w:rtl/>
        </w:rPr>
        <w:t>يُقاس ثبات الأداة بأسلوبين متكاملين</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 xml:space="preserve">معامل ألفا كرونباخ </w:t>
      </w:r>
      <w:r w:rsidRPr="00CF0100">
        <w:rPr>
          <w:sz w:val="24"/>
          <w:szCs w:val="24"/>
        </w:rPr>
        <w:t xml:space="preserve">Cronbach's Alpha: </w:t>
      </w:r>
      <w:r w:rsidRPr="00CF0100">
        <w:rPr>
          <w:sz w:val="24"/>
          <w:szCs w:val="24"/>
          <w:rtl/>
        </w:rPr>
        <w:t xml:space="preserve">يُعدّ الثبات مقبولاً إذا بلغت قيمة المعامل </w:t>
      </w:r>
      <w:r w:rsidRPr="00CF0100">
        <w:rPr>
          <w:sz w:val="24"/>
          <w:szCs w:val="24"/>
        </w:rPr>
        <w:t xml:space="preserve">0.70 </w:t>
      </w:r>
      <w:r w:rsidRPr="00CF0100">
        <w:rPr>
          <w:sz w:val="24"/>
          <w:szCs w:val="24"/>
          <w:rtl/>
        </w:rPr>
        <w:t xml:space="preserve">فأكثر، وعالياً إذا تجاوزت </w:t>
      </w:r>
      <w:r w:rsidRPr="00CF0100">
        <w:rPr>
          <w:sz w:val="24"/>
          <w:szCs w:val="24"/>
        </w:rPr>
        <w:t>0.80.</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 xml:space="preserve">أسلوب الإعادة </w:t>
      </w:r>
      <w:r w:rsidRPr="00CF0100">
        <w:rPr>
          <w:sz w:val="24"/>
          <w:szCs w:val="24"/>
        </w:rPr>
        <w:t xml:space="preserve">Test-Retest: </w:t>
      </w:r>
      <w:r w:rsidRPr="00CF0100">
        <w:rPr>
          <w:sz w:val="24"/>
          <w:szCs w:val="24"/>
          <w:rtl/>
        </w:rPr>
        <w:t>تطبيق الاستبانة مرتين على عينة استطلاعية بفاصل زمني أسبوعين، وحساب معامل الارتباط بين التطبيقين</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4.2 </w:t>
      </w:r>
      <w:r w:rsidRPr="00CF0100">
        <w:rPr>
          <w:b/>
          <w:bCs/>
          <w:color w:val="000000" w:themeColor="text1"/>
          <w:sz w:val="24"/>
          <w:szCs w:val="24"/>
          <w:rtl/>
        </w:rPr>
        <w:t>المقابلة المعمّقة أداة مكمّلة</w:t>
      </w:r>
    </w:p>
    <w:p w:rsidR="00CF0100" w:rsidRPr="00CF0100" w:rsidRDefault="00CF0100" w:rsidP="00CF0100">
      <w:pPr>
        <w:bidi/>
        <w:spacing w:after="180" w:line="360" w:lineRule="auto"/>
        <w:jc w:val="lowKashida"/>
        <w:rPr>
          <w:color w:val="000000" w:themeColor="text1"/>
          <w:sz w:val="20"/>
          <w:szCs w:val="24"/>
        </w:rPr>
      </w:pPr>
      <w:r w:rsidRPr="00CF0100">
        <w:rPr>
          <w:sz w:val="24"/>
          <w:szCs w:val="24"/>
          <w:rtl/>
        </w:rPr>
        <w:t xml:space="preserve">تُوظَّف المقابلة المعمّقة </w:t>
      </w:r>
      <w:r w:rsidRPr="00CF0100">
        <w:rPr>
          <w:sz w:val="24"/>
          <w:szCs w:val="24"/>
        </w:rPr>
        <w:t xml:space="preserve">In-Depth Interview </w:t>
      </w:r>
      <w:r w:rsidRPr="00CF0100">
        <w:rPr>
          <w:sz w:val="24"/>
          <w:szCs w:val="24"/>
          <w:rtl/>
        </w:rPr>
        <w:t>بوصفها أداة مكمّلة للاستبانة، وذلك لإثراء البيانات الكمية ببيانات كيفية تُعمّق الفهم وتكشف عن الأبعاد الخفية للظاهرة التي لا تستطيع الاستبانة الوصول إليها</w:t>
      </w:r>
      <w:r w:rsidRPr="00CF0100">
        <w:rPr>
          <w:sz w:val="24"/>
          <w:szCs w:val="24"/>
        </w:rPr>
        <w:t xml:space="preserve">. </w:t>
      </w:r>
      <w:r w:rsidRPr="00CF0100">
        <w:rPr>
          <w:sz w:val="24"/>
          <w:szCs w:val="24"/>
          <w:rtl/>
        </w:rPr>
        <w:t xml:space="preserve">وتُعرَّف المقابلة المعمّقة بأنها </w:t>
      </w:r>
      <w:r w:rsidRPr="00CF0100">
        <w:rPr>
          <w:sz w:val="24"/>
          <w:szCs w:val="24"/>
        </w:rPr>
        <w:t>"</w:t>
      </w:r>
      <w:r w:rsidRPr="00CF0100">
        <w:rPr>
          <w:sz w:val="24"/>
          <w:szCs w:val="24"/>
          <w:rtl/>
        </w:rPr>
        <w:t>حوار موجّه ومنظّم يجري بين الباحث والمبحوث لاستجلاء مواقفه وتجاربه وآرائه في موضوع الدراسة بصورة مُعمَّقة</w:t>
      </w:r>
      <w:r w:rsidRPr="00CF0100">
        <w:rPr>
          <w:sz w:val="24"/>
          <w:szCs w:val="24"/>
        </w:rPr>
        <w:t>".</w:t>
      </w:r>
    </w:p>
    <w:p w:rsidR="00CF0100" w:rsidRPr="00CF0100" w:rsidRDefault="00CF0100" w:rsidP="00CF0100">
      <w:pPr>
        <w:bidi/>
        <w:spacing w:before="200" w:after="120" w:line="360" w:lineRule="auto"/>
        <w:jc w:val="lowKashida"/>
        <w:rPr>
          <w:sz w:val="20"/>
          <w:szCs w:val="24"/>
        </w:rPr>
      </w:pPr>
      <w:r w:rsidRPr="00CF0100">
        <w:rPr>
          <w:b/>
          <w:bCs/>
          <w:color w:val="000000" w:themeColor="text1"/>
          <w:sz w:val="24"/>
          <w:szCs w:val="24"/>
          <w:rtl/>
        </w:rPr>
        <w:t>أ</w:t>
      </w:r>
      <w:r w:rsidRPr="00CF0100">
        <w:rPr>
          <w:b/>
          <w:bCs/>
          <w:color w:val="000000" w:themeColor="text1"/>
          <w:sz w:val="24"/>
          <w:szCs w:val="24"/>
        </w:rPr>
        <w:t xml:space="preserve">. </w:t>
      </w:r>
      <w:r w:rsidRPr="00CF0100">
        <w:rPr>
          <w:b/>
          <w:bCs/>
          <w:color w:val="000000" w:themeColor="text1"/>
          <w:sz w:val="24"/>
          <w:szCs w:val="24"/>
          <w:rtl/>
        </w:rPr>
        <w:t>عينة المقابلات</w:t>
      </w:r>
    </w:p>
    <w:p w:rsidR="00CF0100" w:rsidRPr="00CF0100" w:rsidRDefault="00CF0100" w:rsidP="00CF0100">
      <w:pPr>
        <w:bidi/>
        <w:spacing w:after="180" w:line="360" w:lineRule="auto"/>
        <w:jc w:val="lowKashida"/>
        <w:rPr>
          <w:sz w:val="20"/>
          <w:szCs w:val="24"/>
        </w:rPr>
      </w:pPr>
      <w:r w:rsidRPr="00CF0100">
        <w:rPr>
          <w:sz w:val="24"/>
          <w:szCs w:val="24"/>
          <w:rtl/>
        </w:rPr>
        <w:t xml:space="preserve">تستهدف المقابلات عيّنة قصدية مصغّرة تتكوّن من </w:t>
      </w:r>
      <w:r w:rsidRPr="00CF0100">
        <w:rPr>
          <w:sz w:val="24"/>
          <w:szCs w:val="24"/>
        </w:rPr>
        <w:t xml:space="preserve">12 </w:t>
      </w:r>
      <w:r w:rsidRPr="00CF0100">
        <w:rPr>
          <w:sz w:val="24"/>
          <w:szCs w:val="24"/>
          <w:rtl/>
        </w:rPr>
        <w:t>متخصصاً يُمثّلون الفئات الآتية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أربعة متخصصين في الإعلام الرقمي وإدارة محتوى منصات التواصل الاجتماعي</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ثلاثة مسؤولين في المؤسسات الحكومية والأهلية المعنية بالتواصل المؤسسي وإدارة الأزمات</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ثلاثة أكاديميين متخصصين في الإعلام والاتصال والعلوم الاجتماعية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اثنان من ممارسي العلاقات العامة الرقمية في المؤسسات الخاصة</w:t>
      </w:r>
      <w:r w:rsidRPr="00CF0100">
        <w:rPr>
          <w:sz w:val="24"/>
          <w:szCs w:val="24"/>
        </w:rPr>
        <w:t>.</w:t>
      </w: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ب</w:t>
      </w:r>
      <w:r w:rsidRPr="00CF0100">
        <w:rPr>
          <w:b/>
          <w:bCs/>
          <w:color w:val="000000" w:themeColor="text1"/>
          <w:sz w:val="24"/>
          <w:szCs w:val="24"/>
        </w:rPr>
        <w:t xml:space="preserve">. </w:t>
      </w:r>
      <w:r w:rsidRPr="00CF0100">
        <w:rPr>
          <w:b/>
          <w:bCs/>
          <w:color w:val="000000" w:themeColor="text1"/>
          <w:sz w:val="24"/>
          <w:szCs w:val="24"/>
          <w:rtl/>
        </w:rPr>
        <w:t>محاور المقابلات</w:t>
      </w:r>
    </w:p>
    <w:p w:rsidR="00CF0100" w:rsidRPr="00CF0100" w:rsidRDefault="00CF0100" w:rsidP="00CF0100">
      <w:pPr>
        <w:bidi/>
        <w:spacing w:after="180" w:line="360" w:lineRule="auto"/>
        <w:jc w:val="lowKashida"/>
        <w:rPr>
          <w:sz w:val="20"/>
          <w:szCs w:val="24"/>
        </w:rPr>
      </w:pPr>
      <w:r w:rsidRPr="00CF0100">
        <w:rPr>
          <w:sz w:val="24"/>
          <w:szCs w:val="24"/>
          <w:rtl/>
        </w:rPr>
        <w:lastRenderedPageBreak/>
        <w:t>تتمحور المقابلات المعمّقة حول الموضوعات الكيفية الآتية</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الدور الفعلي للإعلام الرقمي في إدارة الأزمات الاجتماعية من منظور التجربة الميدانية المباشرة</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أبرز الاستراتيجيات الاتصالية الناجعة التي أثبتت فاعليتها في التعامل مع الأزمات الاجتماعية رقمياً</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التحديات الحقيقية التي تواجه المؤسسات في توظيف الإعلام الرقمي أثناء الأزمات</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آليات مواجهة الشائعات والمعلومات المضللة في الفضاء الرقمي خلال الأزمات</w:t>
      </w:r>
      <w:r w:rsidRPr="00CF0100">
        <w:rPr>
          <w:sz w:val="24"/>
          <w:szCs w:val="24"/>
        </w:rPr>
        <w:t>.</w:t>
      </w:r>
    </w:p>
    <w:p w:rsidR="00CF0100" w:rsidRPr="00CF0100" w:rsidRDefault="00CF0100" w:rsidP="00CF0100">
      <w:pPr>
        <w:pStyle w:val="ListParagraph"/>
        <w:numPr>
          <w:ilvl w:val="0"/>
          <w:numId w:val="8"/>
        </w:numPr>
        <w:bidi/>
        <w:spacing w:after="140" w:line="360" w:lineRule="auto"/>
        <w:ind w:left="720"/>
        <w:jc w:val="lowKashida"/>
        <w:rPr>
          <w:sz w:val="24"/>
          <w:szCs w:val="24"/>
        </w:rPr>
      </w:pPr>
      <w:r w:rsidRPr="00CF0100">
        <w:rPr>
          <w:sz w:val="24"/>
          <w:szCs w:val="24"/>
          <w:rtl/>
        </w:rPr>
        <w:t>مقترحات التطوير على المستويين الاستراتيجي والتقني لتعزيز كفاءة الإعلام الرقمي في إدارة الأزمات</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4.3 </w:t>
      </w:r>
      <w:r w:rsidRPr="00CF0100">
        <w:rPr>
          <w:b/>
          <w:bCs/>
          <w:color w:val="000000" w:themeColor="text1"/>
          <w:sz w:val="24"/>
          <w:szCs w:val="24"/>
          <w:rtl/>
        </w:rPr>
        <w:t>تحليل المضمون أداة مكمّلة</w:t>
      </w:r>
    </w:p>
    <w:p w:rsidR="00CF0100" w:rsidRPr="00CF0100" w:rsidRDefault="00CF0100" w:rsidP="00CF0100">
      <w:pPr>
        <w:bidi/>
        <w:spacing w:after="180" w:line="360" w:lineRule="auto"/>
        <w:jc w:val="lowKashida"/>
        <w:rPr>
          <w:sz w:val="20"/>
          <w:szCs w:val="24"/>
        </w:rPr>
      </w:pPr>
      <w:r w:rsidRPr="00CF0100">
        <w:rPr>
          <w:sz w:val="24"/>
          <w:szCs w:val="24"/>
          <w:rtl/>
        </w:rPr>
        <w:t>تُستخدم هذه الأداة لتحليل عينة مقصودة من المنشورات والرسائل الاتصالية التي تُنتجها المؤسسات المعنية بإدارة الأزمات الاجتماعية عبر منصات الإعلام الرقمي، وذلك لإثراء البيانات الميدانية بتحليل موضوعي للمحتوى الرقمي الفعلي</w:t>
      </w:r>
      <w:r w:rsidRPr="00CF0100">
        <w:rPr>
          <w:sz w:val="24"/>
          <w:szCs w:val="24"/>
        </w:rPr>
        <w:t>.</w:t>
      </w:r>
    </w:p>
    <w:p w:rsidR="00CF0100" w:rsidRPr="00CF0100" w:rsidRDefault="00CF0100" w:rsidP="00CF0100">
      <w:pPr>
        <w:bidi/>
        <w:spacing w:before="200" w:after="120" w:line="360" w:lineRule="auto"/>
        <w:jc w:val="lowKashida"/>
        <w:rPr>
          <w:rFonts w:hint="cs"/>
          <w:color w:val="000000" w:themeColor="text1"/>
          <w:sz w:val="20"/>
          <w:szCs w:val="24"/>
          <w:rtl/>
          <w:lang w:bidi="ar-YE"/>
        </w:rPr>
      </w:pPr>
      <w:r w:rsidRPr="00CF0100">
        <w:rPr>
          <w:b/>
          <w:bCs/>
          <w:color w:val="000000" w:themeColor="text1"/>
          <w:sz w:val="24"/>
          <w:szCs w:val="24"/>
          <w:rtl/>
        </w:rPr>
        <w:t>أ</w:t>
      </w:r>
      <w:r w:rsidRPr="00CF0100">
        <w:rPr>
          <w:b/>
          <w:bCs/>
          <w:color w:val="000000" w:themeColor="text1"/>
          <w:sz w:val="24"/>
          <w:szCs w:val="24"/>
        </w:rPr>
        <w:t xml:space="preserve">. </w:t>
      </w:r>
      <w:r w:rsidRPr="00CF0100">
        <w:rPr>
          <w:b/>
          <w:bCs/>
          <w:color w:val="000000" w:themeColor="text1"/>
          <w:sz w:val="24"/>
          <w:szCs w:val="24"/>
          <w:rtl/>
        </w:rPr>
        <w:t>أهداف تحليل المضمون</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رصد أنماط الرسائل الاتصالية المستخدمة وتصنيفها وفق أطر موضوعية ووظيفية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تحليل مدى توافق الخطاب الرقمي مع معايير الاتصال في الأزمات المستمدة من النظريات الموظَّفة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مقارنة مستويات التفاعل الجماهيري مع الأنماط المختلفة من الرسائل الاتصالية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رصد حجم المعلومات المضللة والشائعات وأساليب التعامل معها مؤسسياً</w:t>
      </w:r>
      <w:r w:rsidRPr="00CF0100">
        <w:rPr>
          <w:sz w:val="24"/>
          <w:szCs w:val="24"/>
        </w:rPr>
        <w:t>.</w:t>
      </w: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ب</w:t>
      </w:r>
      <w:r w:rsidRPr="00CF0100">
        <w:rPr>
          <w:b/>
          <w:bCs/>
          <w:color w:val="000000" w:themeColor="text1"/>
          <w:sz w:val="24"/>
          <w:szCs w:val="24"/>
        </w:rPr>
        <w:t xml:space="preserve">. </w:t>
      </w:r>
      <w:r w:rsidRPr="00CF0100">
        <w:rPr>
          <w:b/>
          <w:bCs/>
          <w:color w:val="000000" w:themeColor="text1"/>
          <w:sz w:val="24"/>
          <w:szCs w:val="24"/>
          <w:rtl/>
        </w:rPr>
        <w:t>وحدات وفئات التحليل</w:t>
      </w:r>
    </w:p>
    <w:p w:rsidR="00CF0100" w:rsidRPr="00CF0100" w:rsidRDefault="00CF0100" w:rsidP="00CF0100">
      <w:pPr>
        <w:bidi/>
        <w:spacing w:after="180" w:line="360" w:lineRule="auto"/>
        <w:jc w:val="lowKashida"/>
        <w:rPr>
          <w:sz w:val="20"/>
          <w:szCs w:val="24"/>
        </w:rPr>
      </w:pPr>
      <w:r w:rsidRPr="00CF0100">
        <w:rPr>
          <w:sz w:val="24"/>
          <w:szCs w:val="24"/>
          <w:rtl/>
        </w:rPr>
        <w:t xml:space="preserve">تعتمد الدراسة وحدة الفكرة </w:t>
      </w:r>
      <w:r w:rsidRPr="00CF0100">
        <w:rPr>
          <w:sz w:val="24"/>
          <w:szCs w:val="24"/>
        </w:rPr>
        <w:t xml:space="preserve">Theme </w:t>
      </w:r>
      <w:r w:rsidRPr="00CF0100">
        <w:rPr>
          <w:sz w:val="24"/>
          <w:szCs w:val="24"/>
          <w:rtl/>
        </w:rPr>
        <w:t>وحدةً أساسية للتحليل، وتتوزع الفئات التحليلية على</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فئة الموضوع</w:t>
      </w:r>
      <w:r w:rsidRPr="00CF0100">
        <w:rPr>
          <w:sz w:val="24"/>
          <w:szCs w:val="24"/>
        </w:rPr>
        <w:t xml:space="preserve">: </w:t>
      </w:r>
      <w:r w:rsidRPr="00CF0100">
        <w:rPr>
          <w:sz w:val="24"/>
          <w:szCs w:val="24"/>
          <w:rtl/>
        </w:rPr>
        <w:t xml:space="preserve">نوع الأزمة الاجتماعية اقتصادية </w:t>
      </w:r>
      <w:r w:rsidRPr="00CF0100">
        <w:rPr>
          <w:sz w:val="24"/>
          <w:szCs w:val="24"/>
        </w:rPr>
        <w:t xml:space="preserve">/ </w:t>
      </w:r>
      <w:r w:rsidRPr="00CF0100">
        <w:rPr>
          <w:sz w:val="24"/>
          <w:szCs w:val="24"/>
          <w:rtl/>
        </w:rPr>
        <w:t xml:space="preserve">صحية </w:t>
      </w:r>
      <w:r w:rsidRPr="00CF0100">
        <w:rPr>
          <w:sz w:val="24"/>
          <w:szCs w:val="24"/>
        </w:rPr>
        <w:t xml:space="preserve">/ </w:t>
      </w:r>
      <w:r w:rsidRPr="00CF0100">
        <w:rPr>
          <w:sz w:val="24"/>
          <w:szCs w:val="24"/>
          <w:rtl/>
        </w:rPr>
        <w:t xml:space="preserve">أسرية </w:t>
      </w:r>
      <w:r w:rsidRPr="00CF0100">
        <w:rPr>
          <w:sz w:val="24"/>
          <w:szCs w:val="24"/>
        </w:rPr>
        <w:t xml:space="preserve">/ </w:t>
      </w:r>
      <w:r w:rsidRPr="00CF0100">
        <w:rPr>
          <w:sz w:val="24"/>
          <w:szCs w:val="24"/>
          <w:rtl/>
        </w:rPr>
        <w:t xml:space="preserve">مجتمعية </w:t>
      </w:r>
      <w:r w:rsidRPr="00CF0100">
        <w:rPr>
          <w:sz w:val="24"/>
          <w:szCs w:val="24"/>
        </w:rPr>
        <w:t xml:space="preserve">/ </w:t>
      </w:r>
      <w:r w:rsidRPr="00CF0100">
        <w:rPr>
          <w:sz w:val="24"/>
          <w:szCs w:val="24"/>
          <w:rtl/>
        </w:rPr>
        <w:t>بيئية</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فئة الاتجاه</w:t>
      </w:r>
      <w:r w:rsidRPr="00CF0100">
        <w:rPr>
          <w:sz w:val="24"/>
          <w:szCs w:val="24"/>
        </w:rPr>
        <w:t xml:space="preserve">: </w:t>
      </w:r>
      <w:r w:rsidRPr="00CF0100">
        <w:rPr>
          <w:sz w:val="24"/>
          <w:szCs w:val="24"/>
          <w:rtl/>
        </w:rPr>
        <w:t xml:space="preserve">إيجابي </w:t>
      </w:r>
      <w:r w:rsidRPr="00CF0100">
        <w:rPr>
          <w:sz w:val="24"/>
          <w:szCs w:val="24"/>
        </w:rPr>
        <w:t xml:space="preserve">/ </w:t>
      </w:r>
      <w:r w:rsidRPr="00CF0100">
        <w:rPr>
          <w:sz w:val="24"/>
          <w:szCs w:val="24"/>
          <w:rtl/>
        </w:rPr>
        <w:t xml:space="preserve">سلبي </w:t>
      </w:r>
      <w:r w:rsidRPr="00CF0100">
        <w:rPr>
          <w:sz w:val="24"/>
          <w:szCs w:val="24"/>
        </w:rPr>
        <w:t xml:space="preserve">/ </w:t>
      </w:r>
      <w:r w:rsidRPr="00CF0100">
        <w:rPr>
          <w:sz w:val="24"/>
          <w:szCs w:val="24"/>
          <w:rtl/>
        </w:rPr>
        <w:t>محايد</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فئة الشكل</w:t>
      </w:r>
      <w:r w:rsidRPr="00CF0100">
        <w:rPr>
          <w:sz w:val="24"/>
          <w:szCs w:val="24"/>
        </w:rPr>
        <w:t xml:space="preserve">: </w:t>
      </w:r>
      <w:r w:rsidRPr="00CF0100">
        <w:rPr>
          <w:sz w:val="24"/>
          <w:szCs w:val="24"/>
          <w:rtl/>
        </w:rPr>
        <w:t xml:space="preserve">نص </w:t>
      </w:r>
      <w:r w:rsidRPr="00CF0100">
        <w:rPr>
          <w:sz w:val="24"/>
          <w:szCs w:val="24"/>
        </w:rPr>
        <w:t xml:space="preserve">/ </w:t>
      </w:r>
      <w:r w:rsidRPr="00CF0100">
        <w:rPr>
          <w:sz w:val="24"/>
          <w:szCs w:val="24"/>
          <w:rtl/>
        </w:rPr>
        <w:t xml:space="preserve">صورة </w:t>
      </w:r>
      <w:r w:rsidRPr="00CF0100">
        <w:rPr>
          <w:sz w:val="24"/>
          <w:szCs w:val="24"/>
        </w:rPr>
        <w:t xml:space="preserve">/ </w:t>
      </w:r>
      <w:r w:rsidRPr="00CF0100">
        <w:rPr>
          <w:sz w:val="24"/>
          <w:szCs w:val="24"/>
          <w:rtl/>
        </w:rPr>
        <w:t xml:space="preserve">فيديو </w:t>
      </w:r>
      <w:r w:rsidRPr="00CF0100">
        <w:rPr>
          <w:sz w:val="24"/>
          <w:szCs w:val="24"/>
        </w:rPr>
        <w:t xml:space="preserve">/ </w:t>
      </w:r>
      <w:r w:rsidRPr="00CF0100">
        <w:rPr>
          <w:sz w:val="24"/>
          <w:szCs w:val="24"/>
          <w:rtl/>
        </w:rPr>
        <w:t xml:space="preserve">إنفوغرافيك </w:t>
      </w:r>
      <w:r w:rsidRPr="00CF0100">
        <w:rPr>
          <w:sz w:val="24"/>
          <w:szCs w:val="24"/>
        </w:rPr>
        <w:t xml:space="preserve">/ </w:t>
      </w:r>
      <w:r w:rsidRPr="00CF0100">
        <w:rPr>
          <w:sz w:val="24"/>
          <w:szCs w:val="24"/>
          <w:rtl/>
        </w:rPr>
        <w:t>بثّ مباشر</w:t>
      </w:r>
      <w:r w:rsidRPr="00CF0100">
        <w:rPr>
          <w:sz w:val="24"/>
          <w:szCs w:val="24"/>
        </w:rPr>
        <w:t>.</w:t>
      </w:r>
    </w:p>
    <w:p w:rsidR="00CF0100" w:rsidRP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فئة التفاعل</w:t>
      </w:r>
      <w:r w:rsidRPr="00CF0100">
        <w:rPr>
          <w:sz w:val="24"/>
          <w:szCs w:val="24"/>
        </w:rPr>
        <w:t xml:space="preserve">: </w:t>
      </w:r>
      <w:r w:rsidRPr="00CF0100">
        <w:rPr>
          <w:sz w:val="24"/>
          <w:szCs w:val="24"/>
          <w:rtl/>
        </w:rPr>
        <w:t xml:space="preserve">عدد الإعجابات </w:t>
      </w:r>
      <w:r w:rsidRPr="00CF0100">
        <w:rPr>
          <w:sz w:val="24"/>
          <w:szCs w:val="24"/>
        </w:rPr>
        <w:t xml:space="preserve">/ </w:t>
      </w:r>
      <w:r w:rsidRPr="00CF0100">
        <w:rPr>
          <w:sz w:val="24"/>
          <w:szCs w:val="24"/>
          <w:rtl/>
        </w:rPr>
        <w:t xml:space="preserve">التعليقات </w:t>
      </w:r>
      <w:r w:rsidRPr="00CF0100">
        <w:rPr>
          <w:sz w:val="24"/>
          <w:szCs w:val="24"/>
        </w:rPr>
        <w:t xml:space="preserve">/ </w:t>
      </w:r>
      <w:r w:rsidRPr="00CF0100">
        <w:rPr>
          <w:sz w:val="24"/>
          <w:szCs w:val="24"/>
          <w:rtl/>
        </w:rPr>
        <w:t xml:space="preserve">إعادة النشر </w:t>
      </w:r>
      <w:r w:rsidRPr="00CF0100">
        <w:rPr>
          <w:sz w:val="24"/>
          <w:szCs w:val="24"/>
        </w:rPr>
        <w:t xml:space="preserve">/ </w:t>
      </w:r>
      <w:r w:rsidRPr="00CF0100">
        <w:rPr>
          <w:sz w:val="24"/>
          <w:szCs w:val="24"/>
          <w:rtl/>
        </w:rPr>
        <w:t>المشاركات</w:t>
      </w:r>
      <w:r w:rsidRPr="00CF0100">
        <w:rPr>
          <w:sz w:val="24"/>
          <w:szCs w:val="24"/>
        </w:rPr>
        <w:t>.</w:t>
      </w:r>
    </w:p>
    <w:p w:rsidR="00CF0100" w:rsidRDefault="00CF0100" w:rsidP="00CF0100">
      <w:pPr>
        <w:pStyle w:val="ListParagraph"/>
        <w:numPr>
          <w:ilvl w:val="0"/>
          <w:numId w:val="1"/>
        </w:numPr>
        <w:bidi/>
        <w:spacing w:after="120" w:line="360" w:lineRule="auto"/>
        <w:ind w:left="600" w:hanging="300"/>
        <w:jc w:val="lowKashida"/>
        <w:rPr>
          <w:sz w:val="24"/>
          <w:szCs w:val="24"/>
        </w:rPr>
      </w:pPr>
      <w:r w:rsidRPr="00CF0100">
        <w:rPr>
          <w:sz w:val="24"/>
          <w:szCs w:val="24"/>
          <w:rtl/>
        </w:rPr>
        <w:t>فئة الرسالة الاتصالية</w:t>
      </w:r>
      <w:r w:rsidRPr="00CF0100">
        <w:rPr>
          <w:sz w:val="24"/>
          <w:szCs w:val="24"/>
        </w:rPr>
        <w:t xml:space="preserve">: </w:t>
      </w:r>
      <w:r w:rsidRPr="00CF0100">
        <w:rPr>
          <w:sz w:val="24"/>
          <w:szCs w:val="24"/>
          <w:rtl/>
        </w:rPr>
        <w:t xml:space="preserve">إعلامية </w:t>
      </w:r>
      <w:r w:rsidRPr="00CF0100">
        <w:rPr>
          <w:sz w:val="24"/>
          <w:szCs w:val="24"/>
        </w:rPr>
        <w:t xml:space="preserve">/ </w:t>
      </w:r>
      <w:r w:rsidRPr="00CF0100">
        <w:rPr>
          <w:sz w:val="24"/>
          <w:szCs w:val="24"/>
          <w:rtl/>
        </w:rPr>
        <w:t xml:space="preserve">توجيهية </w:t>
      </w:r>
      <w:r w:rsidRPr="00CF0100">
        <w:rPr>
          <w:sz w:val="24"/>
          <w:szCs w:val="24"/>
        </w:rPr>
        <w:t xml:space="preserve">/ </w:t>
      </w:r>
      <w:r w:rsidRPr="00CF0100">
        <w:rPr>
          <w:sz w:val="24"/>
          <w:szCs w:val="24"/>
          <w:rtl/>
        </w:rPr>
        <w:t xml:space="preserve">طمأنينية </w:t>
      </w:r>
      <w:r w:rsidRPr="00CF0100">
        <w:rPr>
          <w:sz w:val="24"/>
          <w:szCs w:val="24"/>
        </w:rPr>
        <w:t xml:space="preserve">/ </w:t>
      </w:r>
      <w:r w:rsidRPr="00CF0100">
        <w:rPr>
          <w:sz w:val="24"/>
          <w:szCs w:val="24"/>
          <w:rtl/>
        </w:rPr>
        <w:t xml:space="preserve">تعبوية </w:t>
      </w:r>
      <w:r w:rsidRPr="00CF0100">
        <w:rPr>
          <w:sz w:val="24"/>
          <w:szCs w:val="24"/>
        </w:rPr>
        <w:t xml:space="preserve">/ </w:t>
      </w:r>
      <w:r w:rsidRPr="00CF0100">
        <w:rPr>
          <w:sz w:val="24"/>
          <w:szCs w:val="24"/>
          <w:rtl/>
        </w:rPr>
        <w:t>تصحيحية</w:t>
      </w:r>
      <w:r w:rsidRPr="00CF0100">
        <w:rPr>
          <w:sz w:val="24"/>
          <w:szCs w:val="24"/>
        </w:rPr>
        <w:t>.</w:t>
      </w:r>
    </w:p>
    <w:p w:rsidR="00CF0100" w:rsidRDefault="00CF0100" w:rsidP="00CF0100">
      <w:pPr>
        <w:bidi/>
        <w:spacing w:after="120" w:line="360" w:lineRule="auto"/>
        <w:jc w:val="lowKashida"/>
        <w:rPr>
          <w:sz w:val="24"/>
          <w:szCs w:val="24"/>
          <w:rtl/>
        </w:rPr>
      </w:pPr>
    </w:p>
    <w:p w:rsidR="00CF0100" w:rsidRPr="00CF0100" w:rsidRDefault="00CF0100" w:rsidP="00CF0100">
      <w:pPr>
        <w:bidi/>
        <w:spacing w:after="120" w:line="360" w:lineRule="auto"/>
        <w:jc w:val="lowKashida"/>
        <w:rPr>
          <w:sz w:val="24"/>
          <w:szCs w:val="24"/>
        </w:rPr>
      </w:pPr>
    </w:p>
    <w:p w:rsidR="00CF0100" w:rsidRPr="00CF0100" w:rsidRDefault="00CF0100" w:rsidP="00CF0100">
      <w:pPr>
        <w:bidi/>
        <w:spacing w:before="200" w:after="120" w:line="360" w:lineRule="auto"/>
        <w:jc w:val="lowKashida"/>
        <w:rPr>
          <w:color w:val="000000" w:themeColor="text1"/>
          <w:sz w:val="20"/>
          <w:szCs w:val="24"/>
        </w:rPr>
      </w:pPr>
      <w:r w:rsidRPr="00CF0100">
        <w:rPr>
          <w:b/>
          <w:bCs/>
          <w:color w:val="000000" w:themeColor="text1"/>
          <w:sz w:val="24"/>
          <w:szCs w:val="24"/>
          <w:rtl/>
        </w:rPr>
        <w:t>ج</w:t>
      </w:r>
      <w:r w:rsidRPr="00CF0100">
        <w:rPr>
          <w:b/>
          <w:bCs/>
          <w:color w:val="000000" w:themeColor="text1"/>
          <w:sz w:val="24"/>
          <w:szCs w:val="24"/>
        </w:rPr>
        <w:t xml:space="preserve">. </w:t>
      </w:r>
      <w:r w:rsidRPr="00CF0100">
        <w:rPr>
          <w:b/>
          <w:bCs/>
          <w:color w:val="000000" w:themeColor="text1"/>
          <w:sz w:val="24"/>
          <w:szCs w:val="24"/>
          <w:rtl/>
        </w:rPr>
        <w:t>عينة المضمون</w:t>
      </w:r>
    </w:p>
    <w:p w:rsidR="00CF0100" w:rsidRPr="00CF0100" w:rsidRDefault="00CF0100" w:rsidP="00CF0100">
      <w:pPr>
        <w:bidi/>
        <w:spacing w:after="180" w:line="360" w:lineRule="auto"/>
        <w:jc w:val="lowKashida"/>
        <w:rPr>
          <w:sz w:val="20"/>
          <w:szCs w:val="24"/>
        </w:rPr>
      </w:pPr>
      <w:r w:rsidRPr="00CF0100">
        <w:rPr>
          <w:sz w:val="24"/>
          <w:szCs w:val="24"/>
          <w:rtl/>
        </w:rPr>
        <w:lastRenderedPageBreak/>
        <w:t>تُطبَّق هذه الأداة على عينة مقصودة من منشورات المؤسسات المعنية على منصتي إكس</w:t>
      </w:r>
      <w:r w:rsidRPr="00CF0100">
        <w:rPr>
          <w:sz w:val="24"/>
          <w:szCs w:val="24"/>
        </w:rPr>
        <w:t>/</w:t>
      </w:r>
      <w:r w:rsidRPr="00CF0100">
        <w:rPr>
          <w:sz w:val="24"/>
          <w:szCs w:val="24"/>
          <w:rtl/>
        </w:rPr>
        <w:t>تويتر</w:t>
      </w:r>
      <w:r w:rsidRPr="00CF0100">
        <w:rPr>
          <w:sz w:val="24"/>
          <w:szCs w:val="24"/>
        </w:rPr>
        <w:t xml:space="preserve"> </w:t>
      </w:r>
      <w:r w:rsidRPr="00CF0100">
        <w:rPr>
          <w:sz w:val="24"/>
          <w:szCs w:val="24"/>
          <w:rtl/>
        </w:rPr>
        <w:t>وفيسبوك</w:t>
      </w:r>
      <w:r w:rsidRPr="00CF0100">
        <w:rPr>
          <w:sz w:val="24"/>
          <w:szCs w:val="24"/>
        </w:rPr>
        <w:t xml:space="preserve"> </w:t>
      </w:r>
      <w:r w:rsidRPr="00CF0100">
        <w:rPr>
          <w:sz w:val="24"/>
          <w:szCs w:val="24"/>
          <w:rtl/>
        </w:rPr>
        <w:t xml:space="preserve">خلال فترة أزمة اجتماعية بارزة، بواقع </w:t>
      </w:r>
      <w:r w:rsidRPr="00CF0100">
        <w:rPr>
          <w:sz w:val="24"/>
          <w:szCs w:val="24"/>
        </w:rPr>
        <w:t xml:space="preserve">200 </w:t>
      </w:r>
      <w:r w:rsidRPr="00CF0100">
        <w:rPr>
          <w:sz w:val="24"/>
          <w:szCs w:val="24"/>
          <w:rtl/>
        </w:rPr>
        <w:t>منشور موزّعة على المنصتين</w:t>
      </w:r>
      <w:r w:rsidRPr="00CF0100">
        <w:rPr>
          <w:sz w:val="24"/>
          <w:szCs w:val="24"/>
        </w:rPr>
        <w:t xml:space="preserve">. </w:t>
      </w:r>
      <w:r w:rsidRPr="00CF0100">
        <w:rPr>
          <w:sz w:val="24"/>
          <w:szCs w:val="24"/>
          <w:rtl/>
        </w:rPr>
        <w:t xml:space="preserve">ويُعتمد معيار اتساق ما بين المحللين </w:t>
      </w:r>
      <w:r w:rsidRPr="00CF0100">
        <w:rPr>
          <w:sz w:val="24"/>
          <w:szCs w:val="24"/>
        </w:rPr>
        <w:t xml:space="preserve">Inter-coder Reliability </w:t>
      </w:r>
      <w:r w:rsidRPr="00CF0100">
        <w:rPr>
          <w:sz w:val="24"/>
          <w:szCs w:val="24"/>
          <w:rtl/>
        </w:rPr>
        <w:t xml:space="preserve">بقيمة لا تقلّ عن </w:t>
      </w:r>
      <w:r w:rsidRPr="00CF0100">
        <w:rPr>
          <w:sz w:val="24"/>
          <w:szCs w:val="24"/>
        </w:rPr>
        <w:t xml:space="preserve">80% </w:t>
      </w:r>
      <w:r w:rsidRPr="00CF0100">
        <w:rPr>
          <w:sz w:val="24"/>
          <w:szCs w:val="24"/>
          <w:rtl/>
        </w:rPr>
        <w:t>لضمان موثوقية التحليل</w:t>
      </w:r>
      <w:r w:rsidRPr="00CF0100">
        <w:rPr>
          <w:sz w:val="24"/>
          <w:szCs w:val="24"/>
        </w:rPr>
        <w:t>.</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Pr>
        <w:t xml:space="preserve">4.4 </w:t>
      </w:r>
      <w:r w:rsidRPr="00CF0100">
        <w:rPr>
          <w:b/>
          <w:bCs/>
          <w:color w:val="000000" w:themeColor="text1"/>
          <w:sz w:val="24"/>
          <w:szCs w:val="24"/>
          <w:rtl/>
        </w:rPr>
        <w:t>الأساليب الإحصائية المستخدمة</w:t>
      </w:r>
    </w:p>
    <w:p w:rsidR="00CF0100" w:rsidRPr="00CF0100" w:rsidRDefault="00CF0100" w:rsidP="00CF0100">
      <w:pPr>
        <w:bidi/>
        <w:spacing w:after="180" w:line="360" w:lineRule="auto"/>
        <w:jc w:val="lowKashida"/>
        <w:rPr>
          <w:sz w:val="20"/>
          <w:szCs w:val="24"/>
        </w:rPr>
      </w:pPr>
      <w:r w:rsidRPr="00CF0100">
        <w:rPr>
          <w:sz w:val="24"/>
          <w:szCs w:val="24"/>
          <w:rtl/>
        </w:rPr>
        <w:t xml:space="preserve">ستُعالَج البيانات الكمية المجمّعة بالاستعانة ببرنامج الحزمة الإحصائية للعلوم الاجتماعية </w:t>
      </w:r>
      <w:r w:rsidRPr="00CF0100">
        <w:rPr>
          <w:sz w:val="24"/>
          <w:szCs w:val="24"/>
        </w:rPr>
        <w:t>SPSS v.26</w:t>
      </w:r>
      <w:r w:rsidRPr="00CF0100">
        <w:rPr>
          <w:sz w:val="24"/>
          <w:szCs w:val="24"/>
          <w:rtl/>
        </w:rPr>
        <w:t>، من خلال الأساليب الإحصائية الآتية</w:t>
      </w:r>
      <w:r w:rsidRPr="00CF0100">
        <w:rPr>
          <w:sz w:val="24"/>
          <w:szCs w:val="24"/>
        </w:rPr>
        <w:t>:</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00"/>
        <w:gridCol w:w="4600"/>
      </w:tblGrid>
      <w:tr w:rsidR="00CF0100" w:rsidRPr="00CF0100" w:rsidTr="00194F96">
        <w:tblPrEx>
          <w:tblCellMar>
            <w:top w:w="0" w:type="dxa"/>
            <w:bottom w:w="0" w:type="dxa"/>
          </w:tblCellMar>
        </w:tblPrEx>
        <w:trPr>
          <w:tblHeader/>
        </w:trPr>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الأسلوب الإحصائي</w:t>
            </w:r>
          </w:p>
        </w:tc>
        <w:tc>
          <w:tcPr>
            <w:tcW w:w="4600" w:type="dxa"/>
            <w:shd w:val="clear" w:color="auto" w:fill="2E74B5"/>
            <w:vAlign w:val="center"/>
          </w:tcPr>
          <w:p w:rsidR="00CF0100" w:rsidRPr="00CF0100" w:rsidRDefault="00CF0100" w:rsidP="00CF0100">
            <w:pPr>
              <w:bidi/>
              <w:spacing w:line="360" w:lineRule="auto"/>
              <w:jc w:val="lowKashida"/>
              <w:rPr>
                <w:sz w:val="20"/>
                <w:szCs w:val="24"/>
              </w:rPr>
            </w:pPr>
            <w:r w:rsidRPr="00CF0100">
              <w:rPr>
                <w:b/>
                <w:bCs/>
                <w:color w:val="FFFFFF"/>
                <w:sz w:val="20"/>
                <w:szCs w:val="20"/>
                <w:rtl/>
              </w:rPr>
              <w:t>الغرض منه</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التكرارات والنسب المئوية</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وصف خصائص العينة وتوزيعها الديموغرافي</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المتوسطات الحسابية والانحرافات المعيارية</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قياس مستويات الاستجابة على محاور الاستبانة</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معامل ألفا كرونباخ</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قياس ثبات أداة الدراسة</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اختبار ت</w:t>
            </w:r>
            <w:r w:rsidRPr="00CF0100">
              <w:rPr>
                <w:sz w:val="20"/>
                <w:szCs w:val="20"/>
              </w:rPr>
              <w:t xml:space="preserve"> </w:t>
            </w:r>
            <w:r w:rsidRPr="00CF0100">
              <w:rPr>
                <w:sz w:val="20"/>
                <w:szCs w:val="20"/>
                <w:rtl/>
              </w:rPr>
              <w:t>للعينات المستقلة</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الكشف عن الفروق وفق متغير الجنس</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 xml:space="preserve">تحليل التباين الأحادي </w:t>
            </w:r>
            <w:r w:rsidRPr="00CF0100">
              <w:rPr>
                <w:sz w:val="20"/>
                <w:szCs w:val="20"/>
              </w:rPr>
              <w:t>ANOVA</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الكشف عن الفروق وفق العمر والتعليم وطبيعة العمل</w:t>
            </w:r>
          </w:p>
        </w:tc>
      </w:tr>
      <w:tr w:rsidR="00CF0100" w:rsidRPr="00CF0100" w:rsidTr="00194F96">
        <w:tblPrEx>
          <w:tblCellMar>
            <w:top w:w="0" w:type="dxa"/>
            <w:bottom w:w="0" w:type="dxa"/>
          </w:tblCellMar>
        </w:tblPrEx>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 xml:space="preserve">اختبار شيفيه </w:t>
            </w:r>
            <w:r w:rsidRPr="00CF0100">
              <w:rPr>
                <w:sz w:val="20"/>
                <w:szCs w:val="20"/>
              </w:rPr>
              <w:t>Scheffe</w:t>
            </w:r>
          </w:p>
        </w:tc>
        <w:tc>
          <w:tcPr>
            <w:tcW w:w="4600" w:type="dxa"/>
            <w:shd w:val="clear" w:color="auto" w:fill="EBF3FB"/>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تحديد اتجاه الفروق الدالة إحصائياً</w:t>
            </w:r>
          </w:p>
        </w:tc>
      </w:tr>
      <w:tr w:rsidR="00CF0100" w:rsidRPr="00CF0100" w:rsidTr="00194F96">
        <w:tblPrEx>
          <w:tblCellMar>
            <w:top w:w="0" w:type="dxa"/>
            <w:bottom w:w="0" w:type="dxa"/>
          </w:tblCellMar>
        </w:tblPrEx>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معامل ارتباط بيرسون</w:t>
            </w:r>
          </w:p>
        </w:tc>
        <w:tc>
          <w:tcPr>
            <w:tcW w:w="4600" w:type="dxa"/>
            <w:shd w:val="clear" w:color="auto" w:fill="FFFFFF"/>
            <w:vAlign w:val="center"/>
          </w:tcPr>
          <w:p w:rsidR="00CF0100" w:rsidRPr="00CF0100" w:rsidRDefault="00CF0100" w:rsidP="00CF0100">
            <w:pPr>
              <w:bidi/>
              <w:spacing w:before="60" w:after="60" w:line="360" w:lineRule="auto"/>
              <w:jc w:val="lowKashida"/>
              <w:rPr>
                <w:sz w:val="20"/>
                <w:szCs w:val="24"/>
              </w:rPr>
            </w:pPr>
            <w:r w:rsidRPr="00CF0100">
              <w:rPr>
                <w:sz w:val="20"/>
                <w:szCs w:val="20"/>
                <w:rtl/>
              </w:rPr>
              <w:t>دراسة العلاقات الارتباطية بين متغيرات الدراسة</w:t>
            </w:r>
          </w:p>
        </w:tc>
      </w:tr>
    </w:tbl>
    <w:p w:rsidR="00CF0100" w:rsidRPr="00CF0100" w:rsidRDefault="00CF0100" w:rsidP="00CF0100">
      <w:pPr>
        <w:bidi/>
        <w:spacing w:after="80" w:line="360" w:lineRule="auto"/>
        <w:jc w:val="lowKashida"/>
        <w:rPr>
          <w:sz w:val="20"/>
          <w:szCs w:val="24"/>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Default="00CF0100" w:rsidP="00CF0100">
      <w:pPr>
        <w:bidi/>
        <w:spacing w:after="80" w:line="360" w:lineRule="auto"/>
        <w:jc w:val="lowKashida"/>
        <w:rPr>
          <w:sz w:val="20"/>
          <w:szCs w:val="24"/>
          <w:rtl/>
        </w:rPr>
      </w:pPr>
    </w:p>
    <w:p w:rsidR="00CF0100" w:rsidRPr="00CF0100" w:rsidRDefault="00CF0100" w:rsidP="00CF0100">
      <w:pPr>
        <w:bidi/>
        <w:spacing w:after="80" w:line="360" w:lineRule="auto"/>
        <w:jc w:val="lowKashida"/>
        <w:rPr>
          <w:sz w:val="20"/>
          <w:szCs w:val="24"/>
        </w:rPr>
      </w:pPr>
    </w:p>
    <w:p w:rsidR="00CF0100" w:rsidRPr="00CF0100" w:rsidRDefault="00CF0100" w:rsidP="00CF0100">
      <w:pPr>
        <w:pBdr>
          <w:bottom w:val="single" w:sz="8" w:space="4" w:color="1F3864"/>
        </w:pBdr>
        <w:bidi/>
        <w:spacing w:before="360" w:after="200" w:line="360" w:lineRule="auto"/>
        <w:jc w:val="lowKashida"/>
        <w:rPr>
          <w:color w:val="000000" w:themeColor="text1"/>
          <w:sz w:val="20"/>
          <w:szCs w:val="24"/>
        </w:rPr>
      </w:pPr>
      <w:r w:rsidRPr="00CF0100">
        <w:rPr>
          <w:b/>
          <w:bCs/>
          <w:color w:val="000000" w:themeColor="text1"/>
          <w:sz w:val="28"/>
          <w:rtl/>
        </w:rPr>
        <w:t>المراجع والمصادر</w:t>
      </w:r>
    </w:p>
    <w:p w:rsidR="00CF0100" w:rsidRPr="00CF0100" w:rsidRDefault="00CF0100" w:rsidP="00CF0100">
      <w:pPr>
        <w:bidi/>
        <w:spacing w:before="280" w:after="160" w:line="360" w:lineRule="auto"/>
        <w:jc w:val="lowKashida"/>
        <w:rPr>
          <w:color w:val="000000" w:themeColor="text1"/>
          <w:sz w:val="20"/>
          <w:szCs w:val="24"/>
        </w:rPr>
      </w:pPr>
      <w:r w:rsidRPr="00CF0100">
        <w:rPr>
          <w:b/>
          <w:bCs/>
          <w:color w:val="000000" w:themeColor="text1"/>
          <w:sz w:val="24"/>
          <w:szCs w:val="24"/>
          <w:rtl/>
        </w:rPr>
        <w:lastRenderedPageBreak/>
        <w:t>أولاً</w:t>
      </w:r>
      <w:r w:rsidRPr="00CF0100">
        <w:rPr>
          <w:b/>
          <w:bCs/>
          <w:color w:val="000000" w:themeColor="text1"/>
          <w:sz w:val="24"/>
          <w:szCs w:val="24"/>
        </w:rPr>
        <w:t xml:space="preserve">: </w:t>
      </w:r>
      <w:r w:rsidRPr="00CF0100">
        <w:rPr>
          <w:b/>
          <w:bCs/>
          <w:color w:val="000000" w:themeColor="text1"/>
          <w:sz w:val="24"/>
          <w:szCs w:val="24"/>
          <w:rtl/>
        </w:rPr>
        <w:t>المراجع العربية</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الشمري، خالد</w:t>
      </w:r>
      <w:r w:rsidRPr="00CF0100">
        <w:rPr>
          <w:sz w:val="24"/>
          <w:szCs w:val="24"/>
        </w:rPr>
        <w:t xml:space="preserve">. 2025. </w:t>
      </w:r>
      <w:r w:rsidRPr="00CF0100">
        <w:rPr>
          <w:sz w:val="24"/>
          <w:szCs w:val="24"/>
          <w:rtl/>
        </w:rPr>
        <w:t>دور الإعلام الرقمي في إدارة الأزمات في القطاع الخاص بالمملكة العربية السعودية</w:t>
      </w:r>
      <w:r w:rsidRPr="00CF0100">
        <w:rPr>
          <w:sz w:val="24"/>
          <w:szCs w:val="24"/>
        </w:rPr>
        <w:t xml:space="preserve">. </w:t>
      </w:r>
      <w:r w:rsidRPr="00CF0100">
        <w:rPr>
          <w:sz w:val="24"/>
          <w:szCs w:val="24"/>
          <w:rtl/>
        </w:rPr>
        <w:t>المجلة الدولية للعلوم التربوية والنفسية، مج</w:t>
      </w:r>
      <w:r w:rsidRPr="00CF0100">
        <w:rPr>
          <w:sz w:val="24"/>
          <w:szCs w:val="24"/>
        </w:rPr>
        <w:t>4</w:t>
      </w:r>
      <w:r w:rsidRPr="00CF0100">
        <w:rPr>
          <w:sz w:val="24"/>
          <w:szCs w:val="24"/>
          <w:rtl/>
        </w:rPr>
        <w:t>، ع</w:t>
      </w:r>
      <w:r w:rsidRPr="00CF0100">
        <w:rPr>
          <w:sz w:val="24"/>
          <w:szCs w:val="24"/>
        </w:rPr>
        <w:t>4.</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الحربي، بندر</w:t>
      </w:r>
      <w:r w:rsidRPr="00CF0100">
        <w:rPr>
          <w:sz w:val="24"/>
          <w:szCs w:val="24"/>
        </w:rPr>
        <w:t xml:space="preserve">. 2024. </w:t>
      </w:r>
      <w:r w:rsidRPr="00CF0100">
        <w:rPr>
          <w:sz w:val="24"/>
          <w:szCs w:val="24"/>
          <w:rtl/>
        </w:rPr>
        <w:t>دور العلاقات العامة الرقمية في إدارة الأزمات المؤسسية في العصر الرقمي</w:t>
      </w:r>
      <w:r w:rsidRPr="00CF0100">
        <w:rPr>
          <w:sz w:val="24"/>
          <w:szCs w:val="24"/>
        </w:rPr>
        <w:t xml:space="preserve">. </w:t>
      </w:r>
      <w:r w:rsidRPr="00CF0100">
        <w:rPr>
          <w:sz w:val="24"/>
          <w:szCs w:val="24"/>
          <w:rtl/>
        </w:rPr>
        <w:t>المجلة الدولية للعلوم المالية والإدارية والاقتصادية، مج</w:t>
      </w:r>
      <w:r w:rsidRPr="00CF0100">
        <w:rPr>
          <w:sz w:val="24"/>
          <w:szCs w:val="24"/>
        </w:rPr>
        <w:t>3</w:t>
      </w:r>
      <w:r w:rsidRPr="00CF0100">
        <w:rPr>
          <w:sz w:val="24"/>
          <w:szCs w:val="24"/>
          <w:rtl/>
        </w:rPr>
        <w:t>، ع</w:t>
      </w:r>
      <w:r w:rsidRPr="00CF0100">
        <w:rPr>
          <w:sz w:val="24"/>
          <w:szCs w:val="24"/>
        </w:rPr>
        <w:t>10.</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العنزي، طلال عيد</w:t>
      </w:r>
      <w:r w:rsidRPr="00CF0100">
        <w:rPr>
          <w:sz w:val="24"/>
          <w:szCs w:val="24"/>
        </w:rPr>
        <w:t xml:space="preserve">. 2024. </w:t>
      </w:r>
      <w:r w:rsidRPr="00CF0100">
        <w:rPr>
          <w:sz w:val="24"/>
          <w:szCs w:val="24"/>
          <w:rtl/>
        </w:rPr>
        <w:t>أثر وسائل الإعلام الرقمي على إدارة الأزمات في شركات الاتصالات</w:t>
      </w:r>
      <w:r w:rsidRPr="00CF0100">
        <w:rPr>
          <w:sz w:val="24"/>
          <w:szCs w:val="24"/>
        </w:rPr>
        <w:t xml:space="preserve">: </w:t>
      </w:r>
      <w:r w:rsidRPr="00CF0100">
        <w:rPr>
          <w:sz w:val="24"/>
          <w:szCs w:val="24"/>
          <w:rtl/>
        </w:rPr>
        <w:t>دراسة ميدانية</w:t>
      </w:r>
      <w:r w:rsidRPr="00CF0100">
        <w:rPr>
          <w:sz w:val="24"/>
          <w:szCs w:val="24"/>
        </w:rPr>
        <w:t>. Journal of Educational and Human Sciences</w:t>
      </w:r>
      <w:r w:rsidRPr="00CF0100">
        <w:rPr>
          <w:sz w:val="24"/>
          <w:szCs w:val="24"/>
          <w:rtl/>
        </w:rPr>
        <w:t xml:space="preserve">، </w:t>
      </w:r>
      <w:r w:rsidRPr="00CF0100">
        <w:rPr>
          <w:sz w:val="24"/>
          <w:szCs w:val="24"/>
        </w:rPr>
        <w:t>38</w:t>
      </w:r>
      <w:r w:rsidRPr="00CF0100">
        <w:rPr>
          <w:sz w:val="24"/>
          <w:szCs w:val="24"/>
          <w:rtl/>
        </w:rPr>
        <w:t xml:space="preserve">، </w:t>
      </w:r>
      <w:r w:rsidRPr="00CF0100">
        <w:rPr>
          <w:sz w:val="24"/>
          <w:szCs w:val="24"/>
        </w:rPr>
        <w:t>188-212.</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عبد الرحمن، السيد عبد الرحمن علي</w:t>
      </w:r>
      <w:r w:rsidRPr="00CF0100">
        <w:rPr>
          <w:sz w:val="24"/>
          <w:szCs w:val="24"/>
        </w:rPr>
        <w:t xml:space="preserve">. 2021. </w:t>
      </w:r>
      <w:r w:rsidRPr="00CF0100">
        <w:rPr>
          <w:sz w:val="24"/>
          <w:szCs w:val="24"/>
          <w:rtl/>
        </w:rPr>
        <w:t>إدارة الأزمات في الإعلام التقليدي والرقمي</w:t>
      </w:r>
      <w:r w:rsidRPr="00CF0100">
        <w:rPr>
          <w:sz w:val="24"/>
          <w:szCs w:val="24"/>
        </w:rPr>
        <w:t xml:space="preserve">: </w:t>
      </w:r>
      <w:r w:rsidRPr="00CF0100">
        <w:rPr>
          <w:sz w:val="24"/>
          <w:szCs w:val="24"/>
          <w:rtl/>
        </w:rPr>
        <w:t>دراسة تحليلية</w:t>
      </w:r>
      <w:r w:rsidRPr="00CF0100">
        <w:rPr>
          <w:sz w:val="24"/>
          <w:szCs w:val="24"/>
        </w:rPr>
        <w:t xml:space="preserve">. </w:t>
      </w:r>
      <w:r w:rsidRPr="00CF0100">
        <w:rPr>
          <w:sz w:val="24"/>
          <w:szCs w:val="24"/>
          <w:rtl/>
        </w:rPr>
        <w:t xml:space="preserve">المجلة المصرية لبحوث الإعلام، </w:t>
      </w:r>
      <w:r w:rsidRPr="00CF0100">
        <w:rPr>
          <w:sz w:val="24"/>
          <w:szCs w:val="24"/>
        </w:rPr>
        <w:t>771</w:t>
      </w:r>
      <w:r w:rsidRPr="00CF0100">
        <w:rPr>
          <w:sz w:val="24"/>
          <w:szCs w:val="24"/>
          <w:rtl/>
        </w:rPr>
        <w:t>،</w:t>
      </w:r>
      <w:r w:rsidRPr="00CF0100">
        <w:rPr>
          <w:sz w:val="24"/>
          <w:szCs w:val="24"/>
        </w:rPr>
        <w:t xml:space="preserve"> 109-159.</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سالم، شيماء</w:t>
      </w:r>
      <w:r w:rsidRPr="00CF0100">
        <w:rPr>
          <w:sz w:val="24"/>
          <w:szCs w:val="24"/>
        </w:rPr>
        <w:t xml:space="preserve">. 2016. </w:t>
      </w:r>
      <w:r w:rsidRPr="00CF0100">
        <w:rPr>
          <w:sz w:val="24"/>
          <w:szCs w:val="24"/>
          <w:rtl/>
        </w:rPr>
        <w:t>دور وسائل الإعلام الاجتماعي في إدارة اتصالات الأزمات والكوارث</w:t>
      </w:r>
      <w:r w:rsidRPr="00CF0100">
        <w:rPr>
          <w:sz w:val="24"/>
          <w:szCs w:val="24"/>
        </w:rPr>
        <w:t xml:space="preserve">. </w:t>
      </w:r>
      <w:r w:rsidRPr="00CF0100">
        <w:rPr>
          <w:sz w:val="24"/>
          <w:szCs w:val="24"/>
          <w:rtl/>
        </w:rPr>
        <w:t xml:space="preserve">المجلة المصرية لبحوث الإعلام، </w:t>
      </w:r>
      <w:r w:rsidRPr="00CF0100">
        <w:rPr>
          <w:sz w:val="24"/>
          <w:szCs w:val="24"/>
        </w:rPr>
        <w:t>561</w:t>
      </w:r>
      <w:r w:rsidRPr="00CF0100">
        <w:rPr>
          <w:sz w:val="24"/>
          <w:szCs w:val="24"/>
          <w:rtl/>
        </w:rPr>
        <w:t xml:space="preserve">، </w:t>
      </w:r>
      <w:r w:rsidRPr="00CF0100">
        <w:rPr>
          <w:sz w:val="24"/>
          <w:szCs w:val="24"/>
        </w:rPr>
        <w:t>313-387.</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ماكومبز، ماكسويل</w:t>
      </w:r>
      <w:r w:rsidRPr="00CF0100">
        <w:rPr>
          <w:sz w:val="24"/>
          <w:szCs w:val="24"/>
        </w:rPr>
        <w:t xml:space="preserve">. 2014. </w:t>
      </w:r>
      <w:r w:rsidRPr="00CF0100">
        <w:rPr>
          <w:sz w:val="24"/>
          <w:szCs w:val="24"/>
          <w:rtl/>
        </w:rPr>
        <w:t>ترتيب الأولويات</w:t>
      </w:r>
      <w:r w:rsidRPr="00CF0100">
        <w:rPr>
          <w:sz w:val="24"/>
          <w:szCs w:val="24"/>
        </w:rPr>
        <w:t xml:space="preserve">: </w:t>
      </w:r>
      <w:r w:rsidRPr="00CF0100">
        <w:rPr>
          <w:sz w:val="24"/>
          <w:szCs w:val="24"/>
          <w:rtl/>
        </w:rPr>
        <w:t>وسائل الإعلام والرأي العام</w:t>
      </w:r>
      <w:r w:rsidRPr="00CF0100">
        <w:rPr>
          <w:sz w:val="24"/>
          <w:szCs w:val="24"/>
        </w:rPr>
        <w:t xml:space="preserve">. </w:t>
      </w:r>
      <w:r w:rsidRPr="00CF0100">
        <w:rPr>
          <w:sz w:val="24"/>
          <w:szCs w:val="24"/>
          <w:rtl/>
        </w:rPr>
        <w:t>ترجمة</w:t>
      </w:r>
      <w:r w:rsidRPr="00CF0100">
        <w:rPr>
          <w:sz w:val="24"/>
          <w:szCs w:val="24"/>
        </w:rPr>
        <w:t xml:space="preserve">: </w:t>
      </w:r>
      <w:r w:rsidRPr="00CF0100">
        <w:rPr>
          <w:sz w:val="24"/>
          <w:szCs w:val="24"/>
          <w:rtl/>
        </w:rPr>
        <w:t>عبد الحكيم الخزامى</w:t>
      </w:r>
      <w:r w:rsidRPr="00CF0100">
        <w:rPr>
          <w:sz w:val="24"/>
          <w:szCs w:val="24"/>
        </w:rPr>
        <w:t xml:space="preserve">. </w:t>
      </w:r>
      <w:r w:rsidRPr="00CF0100">
        <w:rPr>
          <w:sz w:val="24"/>
          <w:szCs w:val="24"/>
          <w:rtl/>
        </w:rPr>
        <w:t>القاهرة</w:t>
      </w:r>
      <w:r w:rsidRPr="00CF0100">
        <w:rPr>
          <w:sz w:val="24"/>
          <w:szCs w:val="24"/>
        </w:rPr>
        <w:t xml:space="preserve">: </w:t>
      </w:r>
      <w:r w:rsidRPr="00CF0100">
        <w:rPr>
          <w:sz w:val="24"/>
          <w:szCs w:val="24"/>
          <w:rtl/>
        </w:rPr>
        <w:t>دار الفاروق للنشر والتوزيع</w:t>
      </w:r>
      <w:r w:rsidRPr="00CF0100">
        <w:rPr>
          <w:sz w:val="24"/>
          <w:szCs w:val="24"/>
        </w:rPr>
        <w:t>.</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السيد، حسن عماد</w:t>
      </w:r>
      <w:r w:rsidRPr="00CF0100">
        <w:rPr>
          <w:sz w:val="24"/>
          <w:szCs w:val="24"/>
        </w:rPr>
        <w:t xml:space="preserve">. 2010. </w:t>
      </w:r>
      <w:r w:rsidRPr="00CF0100">
        <w:rPr>
          <w:sz w:val="24"/>
          <w:szCs w:val="24"/>
          <w:rtl/>
        </w:rPr>
        <w:t>نظريات الاتصال</w:t>
      </w:r>
      <w:r w:rsidRPr="00CF0100">
        <w:rPr>
          <w:sz w:val="24"/>
          <w:szCs w:val="24"/>
        </w:rPr>
        <w:t xml:space="preserve">. </w:t>
      </w:r>
      <w:r w:rsidRPr="00CF0100">
        <w:rPr>
          <w:sz w:val="24"/>
          <w:szCs w:val="24"/>
          <w:rtl/>
        </w:rPr>
        <w:t>القاهرة</w:t>
      </w:r>
      <w:r w:rsidRPr="00CF0100">
        <w:rPr>
          <w:sz w:val="24"/>
          <w:szCs w:val="24"/>
        </w:rPr>
        <w:t xml:space="preserve">: </w:t>
      </w:r>
      <w:r w:rsidRPr="00CF0100">
        <w:rPr>
          <w:sz w:val="24"/>
          <w:szCs w:val="24"/>
          <w:rtl/>
        </w:rPr>
        <w:t>دار الفجر للنشر والتوزيع</w:t>
      </w:r>
      <w:r w:rsidRPr="00CF0100">
        <w:rPr>
          <w:sz w:val="24"/>
          <w:szCs w:val="24"/>
        </w:rPr>
        <w:t>.</w:t>
      </w:r>
    </w:p>
    <w:p w:rsidR="00CF0100" w:rsidRPr="00CF0100" w:rsidRDefault="00CF0100" w:rsidP="00CF0100">
      <w:pPr>
        <w:pStyle w:val="ListParagraph"/>
        <w:numPr>
          <w:ilvl w:val="0"/>
          <w:numId w:val="11"/>
        </w:numPr>
        <w:bidi/>
        <w:spacing w:after="140" w:line="360" w:lineRule="auto"/>
        <w:jc w:val="lowKashida"/>
        <w:rPr>
          <w:sz w:val="24"/>
          <w:szCs w:val="24"/>
        </w:rPr>
      </w:pPr>
      <w:r w:rsidRPr="00CF0100">
        <w:rPr>
          <w:sz w:val="24"/>
          <w:szCs w:val="24"/>
          <w:rtl/>
        </w:rPr>
        <w:t>حجاب، محمد منير</w:t>
      </w:r>
      <w:r w:rsidRPr="00CF0100">
        <w:rPr>
          <w:sz w:val="24"/>
          <w:szCs w:val="24"/>
        </w:rPr>
        <w:t xml:space="preserve">. 2007. </w:t>
      </w:r>
      <w:r w:rsidRPr="00CF0100">
        <w:rPr>
          <w:sz w:val="24"/>
          <w:szCs w:val="24"/>
          <w:rtl/>
        </w:rPr>
        <w:t>موسوعة الإعلام والاتصال الطبعة الثانية</w:t>
      </w:r>
      <w:r w:rsidRPr="00CF0100">
        <w:rPr>
          <w:sz w:val="24"/>
          <w:szCs w:val="24"/>
        </w:rPr>
        <w:t xml:space="preserve">. </w:t>
      </w:r>
      <w:r w:rsidRPr="00CF0100">
        <w:rPr>
          <w:sz w:val="24"/>
          <w:szCs w:val="24"/>
          <w:rtl/>
        </w:rPr>
        <w:t>القاهرة</w:t>
      </w:r>
      <w:r w:rsidRPr="00CF0100">
        <w:rPr>
          <w:sz w:val="24"/>
          <w:szCs w:val="24"/>
        </w:rPr>
        <w:t xml:space="preserve">: </w:t>
      </w:r>
      <w:r w:rsidRPr="00CF0100">
        <w:rPr>
          <w:sz w:val="24"/>
          <w:szCs w:val="24"/>
          <w:rtl/>
        </w:rPr>
        <w:t>دار الفجر للنشر والتوزيع</w:t>
      </w:r>
      <w:r w:rsidRPr="00CF0100">
        <w:rPr>
          <w:sz w:val="24"/>
          <w:szCs w:val="24"/>
        </w:rPr>
        <w:t>.</w:t>
      </w:r>
    </w:p>
    <w:p w:rsidR="00CF0100" w:rsidRPr="00CF0100" w:rsidRDefault="00CF0100" w:rsidP="00CF0100">
      <w:pPr>
        <w:bidi/>
        <w:spacing w:before="280" w:after="160" w:line="360" w:lineRule="auto"/>
        <w:jc w:val="lowKashida"/>
        <w:rPr>
          <w:sz w:val="20"/>
          <w:szCs w:val="24"/>
        </w:rPr>
      </w:pPr>
      <w:r w:rsidRPr="00CF0100">
        <w:rPr>
          <w:b/>
          <w:bCs/>
          <w:color w:val="2E74B5"/>
          <w:sz w:val="24"/>
          <w:szCs w:val="24"/>
          <w:rtl/>
        </w:rPr>
        <w:t>ثانياً</w:t>
      </w:r>
      <w:r w:rsidRPr="00CF0100">
        <w:rPr>
          <w:b/>
          <w:bCs/>
          <w:color w:val="2E74B5"/>
          <w:sz w:val="24"/>
          <w:szCs w:val="24"/>
        </w:rPr>
        <w:t xml:space="preserve">: </w:t>
      </w:r>
      <w:r w:rsidRPr="00CF0100">
        <w:rPr>
          <w:b/>
          <w:bCs/>
          <w:color w:val="2E74B5"/>
          <w:sz w:val="24"/>
          <w:szCs w:val="24"/>
          <w:rtl/>
        </w:rPr>
        <w:t>المراجع الأجنبية</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Larsson, A. O., &amp; Hasselström, A. E. 2025. Crisis? What crisis? Assessing overtime public engagement with crisis communication on social media during COVID-19 in Scandinavia. Information, Communication &amp; Society, 2813, 3104-3121.</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Wang, Y., Zhang, L., &amp; Liu, M. 2025. Social media crisis communication and public engagement during COVID-19. Scientific Reports, 152, 112-128.</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Kumalasari, A., &amp; Musa, H. G. 2024. How digital communication transparency and public trust shape crisis communication. Komunikator, 161, 45-59.</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Pratama, R. 2024. Social media and crisis communication: A narrative literature review. Sinergi International Journal of Communication Sciences, 51, 74-88.</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Bukar, U. A., et al. 2021. How social media crisis response and social interaction is helping people recover from Covid-19. Journal of Computational Social Science, 51, 781-809.</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lastRenderedPageBreak/>
        <w:t>Coombs, W. T. 2015. Ongoing crisis communication: Planning, managing, and responding 4th ed.. SAGE Publications.</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Sellnow, T. L., &amp; Seeger, M. W. 2013. Theorizing crisis communication. Wiley-Blackwell.</w:t>
      </w:r>
    </w:p>
    <w:p w:rsidR="00CF0100" w:rsidRPr="00CF0100" w:rsidRDefault="00CF0100" w:rsidP="00CF0100">
      <w:pPr>
        <w:pStyle w:val="ListParagraph"/>
        <w:numPr>
          <w:ilvl w:val="0"/>
          <w:numId w:val="12"/>
        </w:numPr>
        <w:spacing w:after="140" w:line="360" w:lineRule="auto"/>
        <w:jc w:val="lowKashida"/>
        <w:rPr>
          <w:sz w:val="24"/>
          <w:szCs w:val="24"/>
        </w:rPr>
      </w:pPr>
      <w:r w:rsidRPr="00CF0100">
        <w:rPr>
          <w:sz w:val="24"/>
          <w:szCs w:val="24"/>
        </w:rPr>
        <w:t>McCombs, M. E., &amp; Shaw, D. L. 1972. The agenda-setting function of mass media. Public Opinion Quarterly, 362, 176-187.</w:t>
      </w:r>
    </w:p>
    <w:p w:rsidR="00CF0100" w:rsidRPr="00CF0100" w:rsidRDefault="00CF0100" w:rsidP="00CF0100">
      <w:pPr>
        <w:bidi/>
        <w:spacing w:after="80" w:line="360" w:lineRule="auto"/>
        <w:jc w:val="lowKashida"/>
        <w:rPr>
          <w:sz w:val="20"/>
          <w:szCs w:val="24"/>
        </w:rPr>
      </w:pPr>
    </w:p>
    <w:p w:rsidR="00512E91" w:rsidRPr="00CF0100" w:rsidRDefault="00512E91" w:rsidP="00CF0100">
      <w:pPr>
        <w:bidi/>
        <w:spacing w:after="120" w:line="360" w:lineRule="auto"/>
        <w:jc w:val="lowKashida"/>
        <w:rPr>
          <w:rFonts w:hint="cs"/>
          <w:sz w:val="20"/>
          <w:szCs w:val="24"/>
          <w:lang w:bidi="ar-YE"/>
        </w:rPr>
      </w:pPr>
    </w:p>
    <w:sectPr w:rsidR="00512E91" w:rsidRPr="00CF0100" w:rsidSect="00F91088">
      <w:footerReference w:type="default" r:id="rId8"/>
      <w:pgSz w:w="11906" w:h="16838"/>
      <w:pgMar w:top="1440" w:right="180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D35" w:rsidRDefault="009B2D35">
      <w:r>
        <w:separator/>
      </w:r>
    </w:p>
  </w:endnote>
  <w:endnote w:type="continuationSeparator" w:id="0">
    <w:p w:rsidR="009B2D35" w:rsidRDefault="009B2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91" w:rsidRDefault="00796DA8" w:rsidP="00DB67AF">
    <w:pPr>
      <w:pBdr>
        <w:top w:val="single" w:sz="4" w:space="4" w:color="CCCCCC"/>
      </w:pBdr>
      <w:bidi/>
      <w:spacing w:before="80"/>
      <w:jc w:val="center"/>
    </w:pPr>
    <w:r>
      <w:rPr>
        <w:color w:val="666666"/>
        <w:sz w:val="18"/>
        <w:szCs w:val="18"/>
        <w:rtl/>
      </w:rPr>
      <w:t xml:space="preserve">جامعة </w:t>
    </w:r>
    <w:r w:rsidR="00DB67AF">
      <w:rPr>
        <w:rFonts w:hint="cs"/>
        <w:color w:val="666666"/>
        <w:sz w:val="18"/>
        <w:szCs w:val="18"/>
        <w:rtl/>
      </w:rPr>
      <w:t>ميدأوشن</w:t>
    </w:r>
    <w:r>
      <w:rPr>
        <w:color w:val="666666"/>
        <w:sz w:val="18"/>
        <w:szCs w:val="18"/>
        <w:rtl/>
      </w:rPr>
      <w:t xml:space="preserve"> </w:t>
    </w:r>
    <w:r>
      <w:rPr>
        <w:color w:val="666666"/>
        <w:sz w:val="18"/>
        <w:szCs w:val="18"/>
      </w:rPr>
      <w:t xml:space="preserve">| 2026 | </w:t>
    </w:r>
    <w:r>
      <w:rPr>
        <w:color w:val="666666"/>
        <w:sz w:val="18"/>
        <w:szCs w:val="18"/>
        <w:rtl/>
      </w:rPr>
      <w:t xml:space="preserve">الصفحة </w:t>
    </w:r>
    <w:r>
      <w:rPr>
        <w:color w:val="2E74B5"/>
        <w:sz w:val="18"/>
        <w:szCs w:val="18"/>
      </w:rPr>
      <w:fldChar w:fldCharType="begin"/>
    </w:r>
    <w:r>
      <w:rPr>
        <w:color w:val="2E74B5"/>
        <w:sz w:val="18"/>
        <w:szCs w:val="18"/>
      </w:rPr>
      <w:instrText>PAGE</w:instrText>
    </w:r>
    <w:r>
      <w:rPr>
        <w:color w:val="2E74B5"/>
        <w:sz w:val="18"/>
        <w:szCs w:val="18"/>
      </w:rPr>
      <w:fldChar w:fldCharType="separate"/>
    </w:r>
    <w:r w:rsidR="00CF0100">
      <w:rPr>
        <w:noProof/>
        <w:color w:val="2E74B5"/>
        <w:sz w:val="18"/>
        <w:szCs w:val="18"/>
        <w:rtl/>
      </w:rPr>
      <w:t>1</w:t>
    </w:r>
    <w:r>
      <w:rPr>
        <w:color w:val="2E74B5"/>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D35" w:rsidRDefault="009B2D35">
      <w:r>
        <w:separator/>
      </w:r>
    </w:p>
  </w:footnote>
  <w:footnote w:type="continuationSeparator" w:id="0">
    <w:p w:rsidR="009B2D35" w:rsidRDefault="009B2D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C9B4B31A"/>
    <w:lvl w:ilvl="0" w:tplc="04090011">
      <w:start w:val="1"/>
      <w:numFmt w:val="decimal"/>
      <w:lvlText w:val="%1)"/>
      <w:lvlJc w:val="left"/>
      <w:pPr>
        <w:ind w:left="-2160" w:hanging="360"/>
      </w:pPr>
    </w:lvl>
    <w:lvl w:ilvl="1" w:tplc="75220824">
      <w:numFmt w:val="decimal"/>
      <w:lvlText w:val=""/>
      <w:lvlJc w:val="left"/>
    </w:lvl>
    <w:lvl w:ilvl="2" w:tplc="9B302014">
      <w:numFmt w:val="decimal"/>
      <w:lvlText w:val=""/>
      <w:lvlJc w:val="left"/>
    </w:lvl>
    <w:lvl w:ilvl="3" w:tplc="FC1C4C28">
      <w:numFmt w:val="decimal"/>
      <w:lvlText w:val=""/>
      <w:lvlJc w:val="left"/>
    </w:lvl>
    <w:lvl w:ilvl="4" w:tplc="F13C49BC">
      <w:numFmt w:val="decimal"/>
      <w:lvlText w:val=""/>
      <w:lvlJc w:val="left"/>
    </w:lvl>
    <w:lvl w:ilvl="5" w:tplc="0A662C22">
      <w:numFmt w:val="decimal"/>
      <w:lvlText w:val=""/>
      <w:lvlJc w:val="left"/>
    </w:lvl>
    <w:lvl w:ilvl="6" w:tplc="90069E18">
      <w:numFmt w:val="decimal"/>
      <w:lvlText w:val=""/>
      <w:lvlJc w:val="left"/>
    </w:lvl>
    <w:lvl w:ilvl="7" w:tplc="950433E4">
      <w:numFmt w:val="decimal"/>
      <w:lvlText w:val=""/>
      <w:lvlJc w:val="left"/>
    </w:lvl>
    <w:lvl w:ilvl="8" w:tplc="07FA6ACE">
      <w:numFmt w:val="decimal"/>
      <w:lvlText w:val=""/>
      <w:lvlJc w:val="left"/>
    </w:lvl>
  </w:abstractNum>
  <w:abstractNum w:abstractNumId="1" w15:restartNumberingAfterBreak="0">
    <w:nsid w:val="00000002"/>
    <w:multiLevelType w:val="hybridMultilevel"/>
    <w:tmpl w:val="FFFFFFFF"/>
    <w:lvl w:ilvl="0" w:tplc="ACF4985E">
      <w:start w:val="1"/>
      <w:numFmt w:val="bullet"/>
      <w:lvlText w:val="•"/>
      <w:lvlJc w:val="right"/>
      <w:pPr>
        <w:ind w:left="-540" w:hanging="360"/>
      </w:pPr>
    </w:lvl>
    <w:lvl w:ilvl="1" w:tplc="B30A0EEE">
      <w:numFmt w:val="decimal"/>
      <w:lvlText w:val=""/>
      <w:lvlJc w:val="left"/>
    </w:lvl>
    <w:lvl w:ilvl="2" w:tplc="024A3906">
      <w:numFmt w:val="decimal"/>
      <w:lvlText w:val=""/>
      <w:lvlJc w:val="left"/>
    </w:lvl>
    <w:lvl w:ilvl="3" w:tplc="15CECE96">
      <w:numFmt w:val="decimal"/>
      <w:lvlText w:val=""/>
      <w:lvlJc w:val="left"/>
    </w:lvl>
    <w:lvl w:ilvl="4" w:tplc="E8465890">
      <w:numFmt w:val="decimal"/>
      <w:lvlText w:val=""/>
      <w:lvlJc w:val="left"/>
    </w:lvl>
    <w:lvl w:ilvl="5" w:tplc="15E09ED6">
      <w:numFmt w:val="decimal"/>
      <w:lvlText w:val=""/>
      <w:lvlJc w:val="left"/>
    </w:lvl>
    <w:lvl w:ilvl="6" w:tplc="27347B30">
      <w:numFmt w:val="decimal"/>
      <w:lvlText w:val=""/>
      <w:lvlJc w:val="left"/>
    </w:lvl>
    <w:lvl w:ilvl="7" w:tplc="60F4EBBA">
      <w:numFmt w:val="decimal"/>
      <w:lvlText w:val=""/>
      <w:lvlJc w:val="left"/>
    </w:lvl>
    <w:lvl w:ilvl="8" w:tplc="E4542210">
      <w:numFmt w:val="decimal"/>
      <w:lvlText w:val=""/>
      <w:lvlJc w:val="left"/>
    </w:lvl>
  </w:abstractNum>
  <w:abstractNum w:abstractNumId="2" w15:restartNumberingAfterBreak="0">
    <w:nsid w:val="06CA276B"/>
    <w:multiLevelType w:val="hybridMultilevel"/>
    <w:tmpl w:val="C67AD4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7D4D89"/>
    <w:multiLevelType w:val="hybridMultilevel"/>
    <w:tmpl w:val="FFFFFFFF"/>
    <w:lvl w:ilvl="0" w:tplc="53707526" w:tentative="1">
      <w:start w:val="1"/>
      <w:numFmt w:val="bullet"/>
      <w:lvlText w:val="●"/>
      <w:lvlJc w:val="left"/>
      <w:pPr>
        <w:ind w:left="720" w:hanging="360"/>
      </w:pPr>
    </w:lvl>
    <w:lvl w:ilvl="1" w:tplc="98068590" w:tentative="1">
      <w:start w:val="1"/>
      <w:numFmt w:val="bullet"/>
      <w:lvlText w:val="○"/>
      <w:lvlJc w:val="left"/>
      <w:pPr>
        <w:ind w:left="1440" w:hanging="360"/>
      </w:pPr>
    </w:lvl>
    <w:lvl w:ilvl="2" w:tplc="86EC9770" w:tentative="1">
      <w:start w:val="1"/>
      <w:numFmt w:val="bullet"/>
      <w:lvlText w:val="■"/>
      <w:lvlJc w:val="left"/>
      <w:pPr>
        <w:ind w:left="2160" w:hanging="360"/>
      </w:pPr>
    </w:lvl>
    <w:lvl w:ilvl="3" w:tplc="44781DE0" w:tentative="1">
      <w:start w:val="1"/>
      <w:numFmt w:val="bullet"/>
      <w:lvlText w:val="●"/>
      <w:lvlJc w:val="left"/>
      <w:pPr>
        <w:ind w:left="2880" w:hanging="360"/>
      </w:pPr>
    </w:lvl>
    <w:lvl w:ilvl="4" w:tplc="8AA085CE" w:tentative="1">
      <w:start w:val="1"/>
      <w:numFmt w:val="bullet"/>
      <w:lvlText w:val="○"/>
      <w:lvlJc w:val="left"/>
      <w:pPr>
        <w:ind w:left="3600" w:hanging="360"/>
      </w:pPr>
    </w:lvl>
    <w:lvl w:ilvl="5" w:tplc="D8921664" w:tentative="1">
      <w:start w:val="1"/>
      <w:numFmt w:val="bullet"/>
      <w:lvlText w:val="■"/>
      <w:lvlJc w:val="left"/>
      <w:pPr>
        <w:ind w:left="4320" w:hanging="360"/>
      </w:pPr>
    </w:lvl>
    <w:lvl w:ilvl="6" w:tplc="5058C00A" w:tentative="1">
      <w:start w:val="1"/>
      <w:numFmt w:val="bullet"/>
      <w:lvlText w:val="●"/>
      <w:lvlJc w:val="left"/>
      <w:pPr>
        <w:ind w:left="5040" w:hanging="360"/>
      </w:pPr>
    </w:lvl>
    <w:lvl w:ilvl="7" w:tplc="D63C58F4" w:tentative="1">
      <w:start w:val="1"/>
      <w:numFmt w:val="bullet"/>
      <w:lvlText w:val="●"/>
      <w:lvlJc w:val="left"/>
      <w:pPr>
        <w:ind w:left="5760" w:hanging="360"/>
      </w:pPr>
    </w:lvl>
    <w:lvl w:ilvl="8" w:tplc="E8F6C976" w:tentative="1">
      <w:start w:val="1"/>
      <w:numFmt w:val="bullet"/>
      <w:lvlText w:val="●"/>
      <w:lvlJc w:val="left"/>
      <w:pPr>
        <w:ind w:left="6480" w:hanging="360"/>
      </w:pPr>
    </w:lvl>
  </w:abstractNum>
  <w:abstractNum w:abstractNumId="4" w15:restartNumberingAfterBreak="0">
    <w:nsid w:val="1ABD7B3E"/>
    <w:multiLevelType w:val="hybridMultilevel"/>
    <w:tmpl w:val="9A7866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9141FB6"/>
    <w:multiLevelType w:val="hybridMultilevel"/>
    <w:tmpl w:val="258EFF2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02519A0"/>
    <w:multiLevelType w:val="hybridMultilevel"/>
    <w:tmpl w:val="8B8037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5B02E9B"/>
    <w:multiLevelType w:val="hybridMultilevel"/>
    <w:tmpl w:val="F2E842B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8DB340F"/>
    <w:multiLevelType w:val="hybridMultilevel"/>
    <w:tmpl w:val="B96E34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427CBA"/>
    <w:multiLevelType w:val="hybridMultilevel"/>
    <w:tmpl w:val="5874C0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C5736C6"/>
    <w:multiLevelType w:val="hybridMultilevel"/>
    <w:tmpl w:val="F54AB2B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lvlOverride w:ilvl="0">
      <w:startOverride w:val="1"/>
    </w:lvlOverride>
  </w:num>
  <w:num w:numId="2">
    <w:abstractNumId w:val="3"/>
    <w:lvlOverride w:ilvl="0">
      <w:startOverride w:val="1"/>
    </w:lvlOverride>
  </w:num>
  <w:num w:numId="3">
    <w:abstractNumId w:val="0"/>
  </w:num>
  <w:num w:numId="4">
    <w:abstractNumId w:val="0"/>
  </w:num>
  <w:num w:numId="5">
    <w:abstractNumId w:val="10"/>
  </w:num>
  <w:num w:numId="6">
    <w:abstractNumId w:val="7"/>
  </w:num>
  <w:num w:numId="7">
    <w:abstractNumId w:val="5"/>
  </w:num>
  <w:num w:numId="8">
    <w:abstractNumId w:val="0"/>
    <w:lvlOverride w:ilvl="0">
      <w:startOverride w:val="1"/>
    </w:lvlOverride>
  </w:num>
  <w:num w:numId="9">
    <w:abstractNumId w:val="4"/>
  </w:num>
  <w:num w:numId="10">
    <w:abstractNumId w:val="6"/>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E91"/>
    <w:rsid w:val="00512E91"/>
    <w:rsid w:val="00796DA8"/>
    <w:rsid w:val="008E5237"/>
    <w:rsid w:val="009B2D35"/>
    <w:rsid w:val="00CE38C9"/>
    <w:rsid w:val="00CF0100"/>
    <w:rsid w:val="00DB67AF"/>
    <w:rsid w:val="00F910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6D0DF"/>
  <w15:docId w15:val="{0CC6903C-704B-425C-B1A6-265BFF8D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jc w:val="both"/>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11">
    <w:name w:val="العنوان 11"/>
    <w:qFormat/>
    <w:pPr>
      <w:spacing w:before="300" w:after="200"/>
      <w:jc w:val="right"/>
      <w:outlineLvl w:val="0"/>
    </w:pPr>
    <w:rPr>
      <w:b/>
      <w:bCs/>
      <w:color w:val="1F3864"/>
      <w:sz w:val="32"/>
      <w:szCs w:val="32"/>
    </w:rPr>
  </w:style>
  <w:style w:type="paragraph" w:customStyle="1" w:styleId="21">
    <w:name w:val="عنوان 21"/>
    <w:qFormat/>
    <w:pPr>
      <w:spacing w:before="240" w:after="160"/>
      <w:jc w:val="right"/>
      <w:outlineLvl w:val="1"/>
    </w:pPr>
    <w:rPr>
      <w:b/>
      <w:bCs/>
      <w:color w:val="2E74B5"/>
      <w:sz w:val="30"/>
      <w:szCs w:val="30"/>
    </w:rPr>
  </w:style>
  <w:style w:type="paragraph" w:customStyle="1" w:styleId="31">
    <w:name w:val="عنوان 31"/>
    <w:qFormat/>
    <w:pPr>
      <w:spacing w:before="200" w:after="120"/>
      <w:jc w:val="right"/>
      <w:outlineLvl w:val="2"/>
    </w:pPr>
    <w:rPr>
      <w:b/>
      <w:bCs/>
      <w:color w:val="2E74B5"/>
    </w:rPr>
  </w:style>
  <w:style w:type="paragraph" w:customStyle="1" w:styleId="41">
    <w:name w:val="عنوان 41"/>
    <w:qFormat/>
    <w:rPr>
      <w:i/>
      <w:iCs/>
      <w:color w:val="2E74B5"/>
    </w:rPr>
  </w:style>
  <w:style w:type="paragraph" w:customStyle="1" w:styleId="51">
    <w:name w:val="عنوان 51"/>
    <w:qFormat/>
    <w:rPr>
      <w:color w:val="2E74B5"/>
    </w:rPr>
  </w:style>
  <w:style w:type="paragraph" w:customStyle="1" w:styleId="61">
    <w:name w:val="عنوان 61"/>
    <w:qFormat/>
    <w:rPr>
      <w:color w:val="1F4D78"/>
    </w:rPr>
  </w:style>
  <w:style w:type="paragraph" w:customStyle="1" w:styleId="Strong76f036e9-061d-4755-900e-e3d32bf1b60f">
    <w:name w:val="Strong_76f036e9-061d-4755-900e-e3d32bf1b60f"/>
    <w:qFormat/>
    <w:rPr>
      <w:b/>
      <w:bCs/>
    </w:rPr>
  </w:style>
  <w:style w:type="paragraph" w:styleId="ListParagraph">
    <w:name w:val="List Paragraph"/>
    <w:qFormat/>
  </w:style>
  <w:style w:type="character" w:styleId="Hyperlink">
    <w:name w:val="Hyperlink"/>
    <w:uiPriority w:val="99"/>
    <w:rPr>
      <w:color w:val="0563C1"/>
      <w:u w:val="single"/>
    </w:rPr>
  </w:style>
  <w:style w:type="character" w:styleId="FootnoteReference">
    <w:name w:val="footnote reference"/>
    <w:uiPriority w:val="99"/>
    <w:rPr>
      <w:vertAlign w:val="superscript"/>
    </w:rPr>
  </w:style>
  <w:style w:type="paragraph" w:styleId="FootnoteText">
    <w:name w:val="footnote text"/>
    <w:link w:val="FootnoteTextChar"/>
    <w:uiPriority w:val="99"/>
    <w:rPr>
      <w:sz w:val="20"/>
      <w:szCs w:val="20"/>
    </w:rPr>
  </w:style>
  <w:style w:type="character" w:customStyle="1" w:styleId="FootnoteTextChar">
    <w:name w:val="Footnote Text Char"/>
    <w:link w:val="FootnoteText"/>
    <w:uiPriority w:val="99"/>
    <w:rPr>
      <w:sz w:val="20"/>
      <w:szCs w:val="20"/>
    </w:rPr>
  </w:style>
  <w:style w:type="character" w:styleId="EndnoteReference">
    <w:name w:val="endnote reference"/>
    <w:uiPriority w:val="99"/>
    <w:rPr>
      <w:vertAlign w:val="superscript"/>
    </w:rPr>
  </w:style>
  <w:style w:type="paragraph" w:styleId="EndnoteText">
    <w:name w:val="endnote text"/>
    <w:link w:val="EndnoteTextChar"/>
    <w:uiPriority w:val="99"/>
    <w:rPr>
      <w:sz w:val="20"/>
      <w:szCs w:val="20"/>
    </w:rPr>
  </w:style>
  <w:style w:type="character" w:customStyle="1" w:styleId="EndnoteTextChar">
    <w:name w:val="Endnote Text Char"/>
    <w:link w:val="EndnoteText"/>
    <w:uiPriority w:val="99"/>
    <w:rPr>
      <w:sz w:val="20"/>
      <w:szCs w:val="20"/>
    </w:rPr>
  </w:style>
  <w:style w:type="paragraph" w:styleId="Header">
    <w:name w:val="header"/>
    <w:basedOn w:val="Normal"/>
    <w:link w:val="HeaderChar"/>
    <w:uiPriority w:val="99"/>
    <w:unhideWhenUsed/>
    <w:rsid w:val="00DB67AF"/>
    <w:pPr>
      <w:tabs>
        <w:tab w:val="center" w:pos="4153"/>
        <w:tab w:val="right" w:pos="8306"/>
      </w:tabs>
    </w:pPr>
  </w:style>
  <w:style w:type="character" w:customStyle="1" w:styleId="HeaderChar">
    <w:name w:val="Header Char"/>
    <w:basedOn w:val="DefaultParagraphFont"/>
    <w:link w:val="Header"/>
    <w:uiPriority w:val="99"/>
    <w:rsid w:val="00DB67AF"/>
    <w:rPr>
      <w:sz w:val="21"/>
    </w:rPr>
  </w:style>
  <w:style w:type="paragraph" w:styleId="Footer">
    <w:name w:val="footer"/>
    <w:basedOn w:val="Normal"/>
    <w:link w:val="FooterChar"/>
    <w:uiPriority w:val="99"/>
    <w:unhideWhenUsed/>
    <w:rsid w:val="00DB67AF"/>
    <w:pPr>
      <w:tabs>
        <w:tab w:val="center" w:pos="4153"/>
        <w:tab w:val="right" w:pos="8306"/>
      </w:tabs>
    </w:pPr>
  </w:style>
  <w:style w:type="character" w:customStyle="1" w:styleId="FooterChar">
    <w:name w:val="Footer Char"/>
    <w:basedOn w:val="DefaultParagraphFont"/>
    <w:link w:val="Footer"/>
    <w:uiPriority w:val="99"/>
    <w:rsid w:val="00DB67AF"/>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2959</Words>
  <Characters>16871</Characters>
  <Application>Microsoft Office Word</Application>
  <DocSecurity>0</DocSecurity>
  <Lines>140</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ABDALLH</cp:lastModifiedBy>
  <cp:revision>2</cp:revision>
  <dcterms:created xsi:type="dcterms:W3CDTF">2026-07-08T21:00:00Z</dcterms:created>
  <dcterms:modified xsi:type="dcterms:W3CDTF">2026-07-08T21:00:00Z</dcterms:modified>
</cp:coreProperties>
</file>