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F22606B" w14:textId="77777777" w:rsidR="009B29CF" w:rsidRDefault="00612DCC">
      <w:r>
        <w:rPr>
          <w:noProof/>
        </w:rPr>
        <w:drawing>
          <wp:inline distT="0" distB="0" distL="0" distR="0" wp14:anchorId="0FDE1BCD" wp14:editId="56DD3494">
            <wp:extent cx="1143000" cy="114300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1143000" cy="1143000"/>
                    </a:xfrm>
                    <a:prstGeom prst="rect">
                      <a:avLst/>
                    </a:prstGeom>
                  </pic:spPr>
                </pic:pic>
              </a:graphicData>
            </a:graphic>
          </wp:inline>
        </w:drawing>
      </w:r>
    </w:p>
    <w:p w14:paraId="74D9C076" w14:textId="77777777" w:rsidR="009B29CF" w:rsidRDefault="009B29CF">
      <w:pPr>
        <w:spacing w:before="200"/>
      </w:pPr>
    </w:p>
    <w:p w14:paraId="60B955AB" w14:textId="77777777" w:rsidR="009B29CF" w:rsidRDefault="009B29CF">
      <w:pPr>
        <w:pBdr>
          <w:bottom w:val="single" w:sz="8" w:space="2" w:color="000000"/>
        </w:pBdr>
        <w:jc w:val="center"/>
      </w:pPr>
    </w:p>
    <w:p w14:paraId="4118630D" w14:textId="77777777" w:rsidR="009B29CF" w:rsidRDefault="009B29CF">
      <w:pPr>
        <w:spacing w:before="160"/>
      </w:pPr>
    </w:p>
    <w:p w14:paraId="5F9CD312" w14:textId="77777777" w:rsidR="009B29CF" w:rsidRDefault="00612DCC">
      <w:pPr>
        <w:spacing w:after="80"/>
        <w:jc w:val="center"/>
      </w:pPr>
      <w:r>
        <w:rPr>
          <w:b/>
          <w:bCs/>
          <w:sz w:val="32"/>
          <w:szCs w:val="32"/>
          <w:rtl/>
        </w:rPr>
        <w:t>جامعة ميدأوشن</w:t>
      </w:r>
    </w:p>
    <w:p w14:paraId="1E5A4237" w14:textId="77777777" w:rsidR="009B29CF" w:rsidRDefault="00612DCC">
      <w:pPr>
        <w:spacing w:after="80"/>
        <w:jc w:val="center"/>
      </w:pPr>
      <w:r>
        <w:rPr>
          <w:b/>
          <w:bCs/>
          <w:sz w:val="28"/>
          <w:szCs w:val="28"/>
          <w:rtl/>
        </w:rPr>
        <w:t>كلية الإدارة</w:t>
      </w:r>
    </w:p>
    <w:p w14:paraId="07AB084F" w14:textId="77777777" w:rsidR="009B29CF" w:rsidRDefault="00612DCC">
      <w:pPr>
        <w:spacing w:after="300"/>
        <w:jc w:val="center"/>
      </w:pPr>
      <w:r>
        <w:rPr>
          <w:rtl/>
        </w:rPr>
        <w:t>قسم / إدارة الأعمال</w:t>
      </w:r>
    </w:p>
    <w:p w14:paraId="476A6763" w14:textId="77777777" w:rsidR="009B29CF" w:rsidRDefault="00612DCC">
      <w:pPr>
        <w:pBdr>
          <w:top w:val="single" w:sz="10" w:space="8" w:color="000000"/>
        </w:pBdr>
        <w:spacing w:after="80"/>
        <w:jc w:val="center"/>
      </w:pPr>
      <w:r>
        <w:rPr>
          <w:b/>
          <w:bCs/>
          <w:sz w:val="30"/>
          <w:szCs w:val="30"/>
          <w:rtl/>
        </w:rPr>
        <w:t>استراتيجيات النمو في المنتجات المالية الرقمية</w:t>
      </w:r>
    </w:p>
    <w:p w14:paraId="580D0CA4" w14:textId="77777777" w:rsidR="009B29CF" w:rsidRDefault="00612DCC">
      <w:pPr>
        <w:pBdr>
          <w:bottom w:val="single" w:sz="10" w:space="8" w:color="000000"/>
        </w:pBdr>
        <w:spacing w:after="200"/>
        <w:jc w:val="center"/>
      </w:pPr>
      <w:r>
        <w:rPr>
          <w:b/>
          <w:bCs/>
          <w:sz w:val="28"/>
          <w:szCs w:val="28"/>
          <w:rtl/>
        </w:rPr>
        <w:t>وأثرها على اكتساب وتفعيل العملاء في السوق السعودية</w:t>
      </w:r>
    </w:p>
    <w:p w14:paraId="07AADAF4" w14:textId="77777777" w:rsidR="009B29CF" w:rsidRDefault="009B29CF">
      <w:pPr>
        <w:spacing w:before="200"/>
      </w:pPr>
    </w:p>
    <w:p w14:paraId="409E8148" w14:textId="77777777" w:rsidR="009B29CF" w:rsidRDefault="00612DCC">
      <w:pPr>
        <w:spacing w:after="60"/>
        <w:jc w:val="center"/>
      </w:pPr>
      <w:r>
        <w:rPr>
          <w:b/>
          <w:bCs/>
          <w:rtl/>
        </w:rPr>
        <w:t>إعداد الطالب:</w:t>
      </w:r>
    </w:p>
    <w:p w14:paraId="1BD27B4E" w14:textId="77777777" w:rsidR="009B29CF" w:rsidRDefault="00612DCC">
      <w:pPr>
        <w:spacing w:after="200"/>
        <w:jc w:val="center"/>
      </w:pPr>
      <w:r>
        <w:rPr>
          <w:sz w:val="26"/>
          <w:szCs w:val="26"/>
          <w:rtl/>
        </w:rPr>
        <w:t>عبدالله فهد العبدان</w:t>
      </w:r>
    </w:p>
    <w:p w14:paraId="74D11222" w14:textId="77777777" w:rsidR="009B29CF" w:rsidRDefault="00612DCC">
      <w:pPr>
        <w:spacing w:after="60"/>
        <w:jc w:val="center"/>
      </w:pPr>
      <w:r>
        <w:rPr>
          <w:b/>
          <w:bCs/>
          <w:rtl/>
        </w:rPr>
        <w:t>إشراف:</w:t>
      </w:r>
    </w:p>
    <w:p w14:paraId="13B1A867" w14:textId="77777777" w:rsidR="009B29CF" w:rsidRDefault="00612DCC">
      <w:pPr>
        <w:spacing w:after="60"/>
        <w:jc w:val="center"/>
      </w:pPr>
      <w:r>
        <w:rPr>
          <w:rtl/>
        </w:rPr>
        <w:t>د. الفيصل عبد الحميد</w:t>
      </w:r>
    </w:p>
    <w:p w14:paraId="2196293F" w14:textId="6749A350" w:rsidR="009B29CF" w:rsidRPr="00612DCC" w:rsidRDefault="009B29CF">
      <w:pPr>
        <w:spacing w:after="280"/>
        <w:jc w:val="center"/>
        <w:rPr>
          <w:lang w:val="en-GB"/>
        </w:rPr>
      </w:pPr>
    </w:p>
    <w:p w14:paraId="18B927B6" w14:textId="77777777" w:rsidR="009B29CF" w:rsidRDefault="009B29CF">
      <w:pPr>
        <w:pBdr>
          <w:bottom w:val="single" w:sz="8" w:space="2" w:color="000000"/>
        </w:pBdr>
        <w:jc w:val="center"/>
      </w:pPr>
    </w:p>
    <w:p w14:paraId="12353215" w14:textId="77777777" w:rsidR="009B29CF" w:rsidRDefault="009B29CF">
      <w:pPr>
        <w:spacing w:before="80"/>
      </w:pPr>
    </w:p>
    <w:p w14:paraId="1DCF159D" w14:textId="77777777" w:rsidR="009B29CF" w:rsidRDefault="00612DCC">
      <w:pPr>
        <w:jc w:val="center"/>
      </w:pPr>
      <w:r>
        <w:rPr>
          <w:b/>
          <w:bCs/>
          <w:rtl/>
        </w:rPr>
        <w:t>العام الدراسي: 2026م</w:t>
      </w:r>
    </w:p>
    <w:p w14:paraId="2C7CF48A" w14:textId="77777777" w:rsidR="009B29CF" w:rsidRDefault="009B29CF">
      <w:pPr>
        <w:sectPr w:rsidR="009B29CF">
          <w:pgSz w:w="11906" w:h="16838"/>
          <w:pgMar w:top="1440" w:right="1800" w:bottom="1440" w:left="1800" w:header="708" w:footer="708" w:gutter="0"/>
          <w:cols w:space="720"/>
          <w:docGrid w:linePitch="360"/>
        </w:sectPr>
      </w:pPr>
    </w:p>
    <w:p w14:paraId="50BE1711" w14:textId="77777777" w:rsidR="009B29CF" w:rsidRDefault="00612DCC">
      <w:pPr>
        <w:pBdr>
          <w:bottom w:val="single" w:sz="6" w:space="3" w:color="000000"/>
        </w:pBdr>
        <w:spacing w:after="200" w:line="360" w:lineRule="auto"/>
        <w:jc w:val="right"/>
      </w:pPr>
      <w:r>
        <w:rPr>
          <w:b/>
          <w:bCs/>
          <w:sz w:val="28"/>
          <w:szCs w:val="28"/>
          <w:rtl/>
        </w:rPr>
        <w:lastRenderedPageBreak/>
        <w:t>أولاً: المقدمة</w:t>
      </w:r>
    </w:p>
    <w:p w14:paraId="2787C536" w14:textId="77777777" w:rsidR="009B29CF" w:rsidRDefault="00612DCC">
      <w:pPr>
        <w:spacing w:after="160" w:line="360" w:lineRule="auto"/>
        <w:jc w:val="both"/>
      </w:pPr>
      <w:r>
        <w:rPr>
          <w:rtl/>
        </w:rPr>
        <w:t>يشهد القطاع المالي في المملكة العربية السعودية تحولاً رقمياً متسارعاً مدفوعاً بتوجهات رؤية 2030 ومبادرات البنك المركزي السعودي (ساما) نحو تعزيز الشمول المالي الرقمي. وفي ظل هذا التحول، باتت المنتجات المالية الرقمية من تطبيقات مصرفية وخدمات دفع إلكتروني ومحافظ رقمية تحتل مكانةً محورية في حياة المستهلك السعودي، إذ تجاوزت نسبة المعاملات الرقمية 70% من إجمالي المعاملات المصرفية في المملكة بحلول عام 2024م.</w:t>
      </w:r>
    </w:p>
    <w:p w14:paraId="1EA580E3" w14:textId="77777777" w:rsidR="009B29CF" w:rsidRDefault="00612DCC">
      <w:pPr>
        <w:spacing w:after="160" w:line="360" w:lineRule="auto"/>
        <w:jc w:val="both"/>
      </w:pPr>
      <w:r>
        <w:rPr>
          <w:rtl/>
        </w:rPr>
        <w:t>غير أن نجاح هذه المنتجات لا يقتصر على جودة التقنية أو تنوع الخدمات، بل يمتد ليشمل القدرة على اكتساب عملاء جدد وتحويلهم إلى مستخدمين فعليين نشطين. وهنا تبرز أهمية استراتيجيات النمو (Growth Strategies) بوصفها المحرّك الرئيسي الذي يربط بين تصميم المنتج الرقمي وتحقيق الأهداف التجارية المرجوة.</w:t>
      </w:r>
    </w:p>
    <w:p w14:paraId="4E4E36E4" w14:textId="77777777" w:rsidR="009B29CF" w:rsidRDefault="00612DCC">
      <w:pPr>
        <w:spacing w:after="160" w:line="360" w:lineRule="auto"/>
        <w:jc w:val="both"/>
      </w:pPr>
      <w:r>
        <w:rPr>
          <w:rtl/>
        </w:rPr>
        <w:t>من هذا المنطلق، تسعى هذه الدراسة إلى استكشاف وتحليل استراتيجيات النمو المعتمدة في المنتجات المالية الرقمية السعودية، وقياس أثرها على مؤشرَي اكتساب العملاء وتفعيلهم، بهدف تقديم إطار عملي يُفيد صانعي القرار في القطاع المالي الرقمي.</w:t>
      </w:r>
    </w:p>
    <w:p w14:paraId="299CAC09" w14:textId="77777777" w:rsidR="009B29CF" w:rsidRDefault="009B29CF">
      <w:pPr>
        <w:sectPr w:rsidR="009B29CF">
          <w:headerReference w:type="default" r:id="rId8"/>
          <w:footerReference w:type="default" r:id="rId9"/>
          <w:pgSz w:w="11906" w:h="16838"/>
          <w:pgMar w:top="1440" w:right="1800" w:bottom="1440" w:left="1800" w:header="708" w:footer="708" w:gutter="0"/>
          <w:cols w:space="720"/>
          <w:docGrid w:linePitch="360"/>
        </w:sectPr>
      </w:pPr>
    </w:p>
    <w:p w14:paraId="7A809BA0" w14:textId="77777777" w:rsidR="009B29CF" w:rsidRDefault="00612DCC">
      <w:pPr>
        <w:pBdr>
          <w:bottom w:val="single" w:sz="6" w:space="3" w:color="000000"/>
        </w:pBdr>
        <w:spacing w:after="200" w:line="360" w:lineRule="auto"/>
        <w:jc w:val="right"/>
      </w:pPr>
      <w:r>
        <w:rPr>
          <w:b/>
          <w:bCs/>
          <w:sz w:val="28"/>
          <w:szCs w:val="28"/>
          <w:rtl/>
        </w:rPr>
        <w:t>ثانياً: مشكلة الدراسة</w:t>
      </w:r>
    </w:p>
    <w:p w14:paraId="32DF3878" w14:textId="77777777" w:rsidR="009B29CF" w:rsidRDefault="00612DCC">
      <w:pPr>
        <w:spacing w:after="160" w:line="360" w:lineRule="auto"/>
        <w:jc w:val="both"/>
      </w:pPr>
      <w:r>
        <w:rPr>
          <w:rtl/>
        </w:rPr>
        <w:t>على الرغم من التوسع الملحوظ في عدد المنتجات المالية الرقمية في السوق السعودية، تعاني كثير من هذه المنتجات من فجوة واضحة بين أعداد المستخدمين المسجّلين وأعداد المستخدمين الفعليين النشطين، وهو ما يُعرف في أدبيات إدارة المنتجات بـ«فجوة التفعيل» (Activation Gap). وتشير التقارير إلى أن نسبة كبيرة من مستخدمي التطبيقات المصرفية الرقمية في المنطقة يُوقفون استخدامها خلال الأشهر الثلاثة الأولى من التسجيل.</w:t>
      </w:r>
    </w:p>
    <w:p w14:paraId="38862A49" w14:textId="77777777" w:rsidR="009B29CF" w:rsidRDefault="00612DCC">
      <w:pPr>
        <w:spacing w:after="160" w:line="360" w:lineRule="auto"/>
        <w:jc w:val="both"/>
      </w:pPr>
      <w:r>
        <w:rPr>
          <w:rtl/>
        </w:rPr>
        <w:t>وتتمحور مشكلة الدراسة حول التساؤل الجوهري الآتي:</w:t>
      </w:r>
    </w:p>
    <w:p w14:paraId="0E11126E" w14:textId="77777777" w:rsidR="009B29CF" w:rsidRDefault="00612DCC">
      <w:pPr>
        <w:spacing w:after="160" w:line="360" w:lineRule="auto"/>
        <w:jc w:val="both"/>
      </w:pPr>
      <w:r>
        <w:rPr>
          <w:rtl/>
        </w:rPr>
        <w:t>ما استراتيجيات النمو المعتمدة في المنتجات المالية الرقمية بالسوق السعودية، وما أثرها على اكتساب العملاء وتفعيلهم؟</w:t>
      </w:r>
    </w:p>
    <w:p w14:paraId="3FFCCC9E" w14:textId="77777777" w:rsidR="009B29CF" w:rsidRDefault="00612DCC">
      <w:pPr>
        <w:spacing w:after="160" w:line="360" w:lineRule="auto"/>
        <w:jc w:val="both"/>
      </w:pPr>
      <w:r>
        <w:rPr>
          <w:rtl/>
        </w:rPr>
        <w:t>وتنبثق من هذه المشكلة إشكاليات فرعية تتعلق بمدى توافق الاستراتيجيات المعتمدة مع خصائص المستهلك السعودي، وغياب إطار بحثي محلي يربط بين منهجيات النمو الرقمي ومؤشرات الأداء في السياق المصرفي السعودي.</w:t>
      </w:r>
    </w:p>
    <w:p w14:paraId="6042AE40" w14:textId="77777777" w:rsidR="009B29CF" w:rsidRDefault="009B29CF">
      <w:pPr>
        <w:sectPr w:rsidR="009B29CF">
          <w:headerReference w:type="default" r:id="rId10"/>
          <w:footerReference w:type="default" r:id="rId11"/>
          <w:pgSz w:w="11906" w:h="16838"/>
          <w:pgMar w:top="1440" w:right="1800" w:bottom="1440" w:left="1800" w:header="708" w:footer="708" w:gutter="0"/>
          <w:cols w:space="720"/>
          <w:docGrid w:linePitch="360"/>
        </w:sectPr>
      </w:pPr>
    </w:p>
    <w:p w14:paraId="7923B9D1" w14:textId="77777777" w:rsidR="009B29CF" w:rsidRDefault="00612DCC">
      <w:pPr>
        <w:pBdr>
          <w:bottom w:val="single" w:sz="6" w:space="3" w:color="000000"/>
        </w:pBdr>
        <w:spacing w:after="200" w:line="360" w:lineRule="auto"/>
        <w:jc w:val="right"/>
      </w:pPr>
      <w:r>
        <w:rPr>
          <w:b/>
          <w:bCs/>
          <w:sz w:val="28"/>
          <w:szCs w:val="28"/>
          <w:rtl/>
        </w:rPr>
        <w:t>ثالثاً: أهمية الدراسة</w:t>
      </w:r>
    </w:p>
    <w:p w14:paraId="6A9C8EB2" w14:textId="77777777" w:rsidR="009B29CF" w:rsidRDefault="00612DCC">
      <w:pPr>
        <w:spacing w:after="160" w:line="360" w:lineRule="auto"/>
        <w:jc w:val="both"/>
      </w:pPr>
      <w:r>
        <w:rPr>
          <w:rtl/>
        </w:rPr>
        <w:t>تكتسب هذه الدراسة أهميةً على مستويين:</w:t>
      </w:r>
    </w:p>
    <w:p w14:paraId="131B219A" w14:textId="77777777" w:rsidR="009B29CF" w:rsidRDefault="00612DCC">
      <w:pPr>
        <w:spacing w:after="160" w:line="360" w:lineRule="auto"/>
        <w:jc w:val="both"/>
      </w:pPr>
      <w:r>
        <w:rPr>
          <w:b/>
          <w:bCs/>
          <w:rtl/>
        </w:rPr>
        <w:t xml:space="preserve">الأهمية النظرية: </w:t>
      </w:r>
    </w:p>
    <w:p w14:paraId="12E4C9BE" w14:textId="77777777" w:rsidR="009B29CF" w:rsidRDefault="00612DCC">
      <w:pPr>
        <w:pStyle w:val="a4"/>
        <w:numPr>
          <w:ilvl w:val="0"/>
          <w:numId w:val="2"/>
        </w:numPr>
        <w:bidi/>
        <w:spacing w:after="100" w:line="360" w:lineRule="auto"/>
        <w:jc w:val="right"/>
      </w:pPr>
      <w:r>
        <w:rPr>
          <w:rtl/>
        </w:rPr>
        <w:t>تُسهم في سد الفجوة البحثية المتعلقة باستراتيجيات النمو الرقمي في سياق الأسواق الناشئة، ولا سيما السوق السعودية.</w:t>
      </w:r>
    </w:p>
    <w:p w14:paraId="6E1C4BB9" w14:textId="77777777" w:rsidR="009B29CF" w:rsidRDefault="00612DCC">
      <w:pPr>
        <w:pStyle w:val="a4"/>
        <w:numPr>
          <w:ilvl w:val="0"/>
          <w:numId w:val="2"/>
        </w:numPr>
        <w:bidi/>
        <w:spacing w:after="100" w:line="360" w:lineRule="auto"/>
        <w:jc w:val="right"/>
      </w:pPr>
      <w:r>
        <w:rPr>
          <w:rtl/>
        </w:rPr>
        <w:t>تُوفر إطاراً نظرياً يجمع بين نماذج النمو الرقمي المعتمدة دولياً (كنموذج AARRR) وخصوصية البيئة التنظيمية والاجتماعية السعودية.</w:t>
      </w:r>
    </w:p>
    <w:p w14:paraId="4E91DFE8" w14:textId="77777777" w:rsidR="009B29CF" w:rsidRDefault="00612DCC">
      <w:pPr>
        <w:pStyle w:val="a4"/>
        <w:numPr>
          <w:ilvl w:val="0"/>
          <w:numId w:val="2"/>
        </w:numPr>
        <w:bidi/>
        <w:spacing w:after="100" w:line="360" w:lineRule="auto"/>
        <w:jc w:val="right"/>
      </w:pPr>
      <w:r>
        <w:rPr>
          <w:rtl/>
        </w:rPr>
        <w:t>تُثري الأدبيات العربية في مجال إدارة المنتجات المالية الرقمية.</w:t>
      </w:r>
    </w:p>
    <w:p w14:paraId="4D47B01B" w14:textId="77777777" w:rsidR="009B29CF" w:rsidRDefault="00612DCC">
      <w:pPr>
        <w:spacing w:after="160" w:line="360" w:lineRule="auto"/>
        <w:jc w:val="both"/>
      </w:pPr>
      <w:r>
        <w:rPr>
          <w:b/>
          <w:bCs/>
          <w:rtl/>
        </w:rPr>
        <w:t xml:space="preserve">الأهمية التطبيقية: </w:t>
      </w:r>
    </w:p>
    <w:p w14:paraId="523BDA11" w14:textId="77777777" w:rsidR="009B29CF" w:rsidRDefault="00612DCC">
      <w:pPr>
        <w:pStyle w:val="a4"/>
        <w:numPr>
          <w:ilvl w:val="0"/>
          <w:numId w:val="2"/>
        </w:numPr>
        <w:bidi/>
        <w:spacing w:after="100" w:line="360" w:lineRule="auto"/>
        <w:jc w:val="right"/>
      </w:pPr>
      <w:r>
        <w:rPr>
          <w:rtl/>
        </w:rPr>
        <w:t>تُقدّم توصيات عملية لمديري المنتجات الرقمية في البنوك السعودية لتحسين معدلات الاكتساب والتفعيل.</w:t>
      </w:r>
    </w:p>
    <w:p w14:paraId="5D29AB58" w14:textId="77777777" w:rsidR="009B29CF" w:rsidRDefault="00612DCC">
      <w:pPr>
        <w:pStyle w:val="a4"/>
        <w:numPr>
          <w:ilvl w:val="0"/>
          <w:numId w:val="2"/>
        </w:numPr>
        <w:bidi/>
        <w:spacing w:after="100" w:line="360" w:lineRule="auto"/>
        <w:jc w:val="right"/>
      </w:pPr>
      <w:r>
        <w:rPr>
          <w:rtl/>
        </w:rPr>
        <w:t>تدعم توجهات رؤية 2030 في تعزيز الشمول المالي الرقمي وتطوير خدمات التقنية المالية (FinTech).</w:t>
      </w:r>
    </w:p>
    <w:p w14:paraId="229F41C3" w14:textId="77777777" w:rsidR="009B29CF" w:rsidRDefault="00612DCC">
      <w:pPr>
        <w:pStyle w:val="a4"/>
        <w:numPr>
          <w:ilvl w:val="0"/>
          <w:numId w:val="2"/>
        </w:numPr>
        <w:bidi/>
        <w:spacing w:after="100" w:line="360" w:lineRule="auto"/>
        <w:jc w:val="right"/>
      </w:pPr>
      <w:r>
        <w:rPr>
          <w:rtl/>
        </w:rPr>
        <w:t>تُفيد الجهات التنظيمية كساما في فهم ديناميكيات اعتماد المنتجات المالية الرقمية.</w:t>
      </w:r>
    </w:p>
    <w:p w14:paraId="52AA93CE" w14:textId="77777777" w:rsidR="009B29CF" w:rsidRDefault="009B29CF">
      <w:pPr>
        <w:sectPr w:rsidR="009B29CF">
          <w:headerReference w:type="default" r:id="rId12"/>
          <w:footerReference w:type="default" r:id="rId13"/>
          <w:pgSz w:w="11906" w:h="16838"/>
          <w:pgMar w:top="1440" w:right="1800" w:bottom="1440" w:left="1800" w:header="708" w:footer="708" w:gutter="0"/>
          <w:cols w:space="720"/>
          <w:docGrid w:linePitch="360"/>
        </w:sectPr>
      </w:pPr>
    </w:p>
    <w:p w14:paraId="74F527FD" w14:textId="77777777" w:rsidR="009B29CF" w:rsidRDefault="00612DCC">
      <w:pPr>
        <w:pBdr>
          <w:bottom w:val="single" w:sz="6" w:space="3" w:color="000000"/>
        </w:pBdr>
        <w:spacing w:after="200" w:line="360" w:lineRule="auto"/>
        <w:jc w:val="right"/>
      </w:pPr>
      <w:r>
        <w:rPr>
          <w:b/>
          <w:bCs/>
          <w:sz w:val="28"/>
          <w:szCs w:val="28"/>
          <w:rtl/>
        </w:rPr>
        <w:t>رابعاً: أهداف الدراسة</w:t>
      </w:r>
    </w:p>
    <w:p w14:paraId="7C0C1329" w14:textId="77777777" w:rsidR="009B29CF" w:rsidRDefault="00612DCC">
      <w:pPr>
        <w:spacing w:after="160" w:line="360" w:lineRule="auto"/>
        <w:jc w:val="both"/>
      </w:pPr>
      <w:r>
        <w:rPr>
          <w:rtl/>
        </w:rPr>
        <w:t>تسعى الدراسة إلى تحقيق الأهداف الآتية:</w:t>
      </w:r>
    </w:p>
    <w:p w14:paraId="76480EA4" w14:textId="77777777" w:rsidR="009B29CF" w:rsidRDefault="00612DCC">
      <w:pPr>
        <w:pStyle w:val="a4"/>
        <w:numPr>
          <w:ilvl w:val="0"/>
          <w:numId w:val="3"/>
        </w:numPr>
        <w:bidi/>
        <w:spacing w:after="100" w:line="360" w:lineRule="auto"/>
        <w:jc w:val="right"/>
      </w:pPr>
      <w:r>
        <w:rPr>
          <w:rtl/>
        </w:rPr>
        <w:t>تحديد وتصنيف استراتيجيات النمو المعتمدة في المنتجات المالية الرقمية بالسوق السعودية.</w:t>
      </w:r>
    </w:p>
    <w:p w14:paraId="4566A86F" w14:textId="77777777" w:rsidR="009B29CF" w:rsidRDefault="00612DCC">
      <w:pPr>
        <w:pStyle w:val="a4"/>
        <w:numPr>
          <w:ilvl w:val="0"/>
          <w:numId w:val="3"/>
        </w:numPr>
        <w:bidi/>
        <w:spacing w:after="100" w:line="360" w:lineRule="auto"/>
        <w:jc w:val="right"/>
      </w:pPr>
      <w:r>
        <w:rPr>
          <w:rtl/>
        </w:rPr>
        <w:t>قياس أثر استراتيجيات النمو على معدلات اكتساب العملاء في المنتجات المالية الرقمية.</w:t>
      </w:r>
    </w:p>
    <w:p w14:paraId="0E5871BC" w14:textId="77777777" w:rsidR="009B29CF" w:rsidRDefault="00612DCC">
      <w:pPr>
        <w:pStyle w:val="a4"/>
        <w:numPr>
          <w:ilvl w:val="0"/>
          <w:numId w:val="3"/>
        </w:numPr>
        <w:bidi/>
        <w:spacing w:after="100" w:line="360" w:lineRule="auto"/>
        <w:jc w:val="right"/>
      </w:pPr>
      <w:r>
        <w:rPr>
          <w:rtl/>
        </w:rPr>
        <w:t>قياس أثر استراتيجيات النمو على معدلات تفعيل العملاء واستمرارهم في استخدام المنتج.</w:t>
      </w:r>
    </w:p>
    <w:p w14:paraId="720FF0BE" w14:textId="77777777" w:rsidR="009B29CF" w:rsidRDefault="00612DCC">
      <w:pPr>
        <w:pStyle w:val="a4"/>
        <w:numPr>
          <w:ilvl w:val="0"/>
          <w:numId w:val="3"/>
        </w:numPr>
        <w:bidi/>
        <w:spacing w:after="100" w:line="360" w:lineRule="auto"/>
        <w:jc w:val="right"/>
      </w:pPr>
      <w:r>
        <w:rPr>
          <w:rtl/>
        </w:rPr>
        <w:t>تحديد العوامل الديموغرافية والسلوكية المؤثرة في استجابة المستهلك السعودي لاستراتيجيات النمو الرقمية.</w:t>
      </w:r>
    </w:p>
    <w:p w14:paraId="689392BF" w14:textId="77777777" w:rsidR="009B29CF" w:rsidRDefault="00612DCC">
      <w:pPr>
        <w:pStyle w:val="a4"/>
        <w:numPr>
          <w:ilvl w:val="0"/>
          <w:numId w:val="3"/>
        </w:numPr>
        <w:bidi/>
        <w:spacing w:after="100" w:line="360" w:lineRule="auto"/>
        <w:jc w:val="right"/>
      </w:pPr>
      <w:r>
        <w:rPr>
          <w:rtl/>
        </w:rPr>
        <w:t>تقديم نموذج مقترح لاستراتيجيات النمو الملائمة للبيئة المالية الرقمية السعودية.</w:t>
      </w:r>
    </w:p>
    <w:p w14:paraId="00718E9E" w14:textId="77777777" w:rsidR="009B29CF" w:rsidRDefault="009B29CF">
      <w:pPr>
        <w:sectPr w:rsidR="009B29CF">
          <w:headerReference w:type="default" r:id="rId14"/>
          <w:footerReference w:type="default" r:id="rId15"/>
          <w:pgSz w:w="11906" w:h="16838"/>
          <w:pgMar w:top="1440" w:right="1800" w:bottom="1440" w:left="1800" w:header="708" w:footer="708" w:gutter="0"/>
          <w:cols w:space="720"/>
          <w:docGrid w:linePitch="360"/>
        </w:sectPr>
      </w:pPr>
    </w:p>
    <w:p w14:paraId="1F790616" w14:textId="77777777" w:rsidR="009B29CF" w:rsidRDefault="00612DCC">
      <w:pPr>
        <w:pBdr>
          <w:bottom w:val="single" w:sz="6" w:space="3" w:color="000000"/>
        </w:pBdr>
        <w:spacing w:after="200" w:line="360" w:lineRule="auto"/>
        <w:jc w:val="right"/>
      </w:pPr>
      <w:r>
        <w:rPr>
          <w:b/>
          <w:bCs/>
          <w:sz w:val="28"/>
          <w:szCs w:val="28"/>
          <w:rtl/>
        </w:rPr>
        <w:t>خامساً: تساؤلات الدراسة</w:t>
      </w:r>
    </w:p>
    <w:p w14:paraId="00EB46CD" w14:textId="77777777" w:rsidR="009B29CF" w:rsidRDefault="00612DCC">
      <w:pPr>
        <w:spacing w:after="160" w:line="360" w:lineRule="auto"/>
        <w:jc w:val="both"/>
      </w:pPr>
      <w:r>
        <w:rPr>
          <w:rtl/>
        </w:rPr>
        <w:t>تسعى الدراسة للإجابة عن التساؤل الرئيسي الآتي:</w:t>
      </w:r>
    </w:p>
    <w:p w14:paraId="5D07C60E" w14:textId="77777777" w:rsidR="009B29CF" w:rsidRDefault="00612DCC">
      <w:pPr>
        <w:spacing w:after="160" w:line="360" w:lineRule="auto"/>
        <w:jc w:val="both"/>
      </w:pPr>
      <w:r>
        <w:rPr>
          <w:rtl/>
        </w:rPr>
        <w:t>ما أثر استراتيجيات النمو في المنتجات المالية الرقمية على اكتساب وتفعيل العملاء في السوق السعودية؟</w:t>
      </w:r>
    </w:p>
    <w:p w14:paraId="0E45E34A" w14:textId="77777777" w:rsidR="009B29CF" w:rsidRDefault="00612DCC">
      <w:pPr>
        <w:spacing w:after="160" w:line="360" w:lineRule="auto"/>
        <w:jc w:val="both"/>
      </w:pPr>
      <w:r>
        <w:rPr>
          <w:rtl/>
        </w:rPr>
        <w:t>ويتفرع عنه التساؤلات الفرعية الآتية:</w:t>
      </w:r>
    </w:p>
    <w:p w14:paraId="2A2D4D33" w14:textId="77777777" w:rsidR="009B29CF" w:rsidRDefault="00612DCC">
      <w:pPr>
        <w:pStyle w:val="a4"/>
        <w:numPr>
          <w:ilvl w:val="0"/>
          <w:numId w:val="3"/>
        </w:numPr>
        <w:bidi/>
        <w:spacing w:after="100" w:line="360" w:lineRule="auto"/>
        <w:jc w:val="right"/>
      </w:pPr>
      <w:r>
        <w:rPr>
          <w:rtl/>
        </w:rPr>
        <w:t>ما أبرز استراتيجيات النمو المعتمدة في المنتجات المالية الرقمية بالسوق السعودية؟</w:t>
      </w:r>
    </w:p>
    <w:p w14:paraId="26F763A9" w14:textId="77777777" w:rsidR="009B29CF" w:rsidRDefault="00612DCC">
      <w:pPr>
        <w:pStyle w:val="a4"/>
        <w:numPr>
          <w:ilvl w:val="0"/>
          <w:numId w:val="3"/>
        </w:numPr>
        <w:bidi/>
        <w:spacing w:after="100" w:line="360" w:lineRule="auto"/>
        <w:jc w:val="right"/>
      </w:pPr>
      <w:r>
        <w:rPr>
          <w:rtl/>
        </w:rPr>
        <w:t>ما مستوى أثر استراتيجيات النمو على معدلات اكتساب العملاء في التطبيقات المصرفية الرقمية؟</w:t>
      </w:r>
    </w:p>
    <w:p w14:paraId="7BB724D4" w14:textId="77777777" w:rsidR="009B29CF" w:rsidRDefault="00612DCC">
      <w:pPr>
        <w:pStyle w:val="a4"/>
        <w:numPr>
          <w:ilvl w:val="0"/>
          <w:numId w:val="3"/>
        </w:numPr>
        <w:bidi/>
        <w:spacing w:after="100" w:line="360" w:lineRule="auto"/>
        <w:jc w:val="right"/>
      </w:pPr>
      <w:r>
        <w:rPr>
          <w:rtl/>
        </w:rPr>
        <w:t>ما مستوى أثر استراتيجيات النمو على معدلات تفعيل العملاء واستمراريتهم في الاستخدام؟</w:t>
      </w:r>
    </w:p>
    <w:p w14:paraId="3C0CE26F" w14:textId="77777777" w:rsidR="009B29CF" w:rsidRDefault="00612DCC">
      <w:pPr>
        <w:pStyle w:val="a4"/>
        <w:numPr>
          <w:ilvl w:val="0"/>
          <w:numId w:val="3"/>
        </w:numPr>
        <w:bidi/>
        <w:spacing w:after="100" w:line="360" w:lineRule="auto"/>
        <w:jc w:val="right"/>
      </w:pPr>
      <w:r>
        <w:rPr>
          <w:rtl/>
        </w:rPr>
        <w:t>هل تختلف استجابة المستهلكين السعوديين لاستراتيجيات النمو الرقمية باختلاف متغيراتهم الديموغرافية؟</w:t>
      </w:r>
    </w:p>
    <w:p w14:paraId="55579B1C" w14:textId="77777777" w:rsidR="009B29CF" w:rsidRDefault="00612DCC">
      <w:pPr>
        <w:pStyle w:val="a4"/>
        <w:numPr>
          <w:ilvl w:val="0"/>
          <w:numId w:val="3"/>
        </w:numPr>
        <w:bidi/>
        <w:spacing w:after="100" w:line="360" w:lineRule="auto"/>
        <w:jc w:val="right"/>
      </w:pPr>
      <w:r>
        <w:rPr>
          <w:rtl/>
        </w:rPr>
        <w:t>ما الاستراتيجيات الأكثر فاعلية في تحقيق التفعيل الفعلي للعميل بعد الاكتساب؟</w:t>
      </w:r>
    </w:p>
    <w:p w14:paraId="1CE65266" w14:textId="77777777" w:rsidR="009B29CF" w:rsidRDefault="009B29CF">
      <w:pPr>
        <w:sectPr w:rsidR="009B29CF">
          <w:headerReference w:type="default" r:id="rId16"/>
          <w:footerReference w:type="default" r:id="rId17"/>
          <w:pgSz w:w="11906" w:h="16838"/>
          <w:pgMar w:top="1440" w:right="1800" w:bottom="1440" w:left="1800" w:header="708" w:footer="708" w:gutter="0"/>
          <w:cols w:space="720"/>
          <w:docGrid w:linePitch="360"/>
        </w:sectPr>
      </w:pPr>
    </w:p>
    <w:p w14:paraId="4AF3C2A2" w14:textId="77777777" w:rsidR="009B29CF" w:rsidRDefault="00612DCC">
      <w:pPr>
        <w:pBdr>
          <w:bottom w:val="single" w:sz="6" w:space="3" w:color="000000"/>
        </w:pBdr>
        <w:spacing w:after="200" w:line="360" w:lineRule="auto"/>
        <w:jc w:val="right"/>
      </w:pPr>
      <w:r>
        <w:rPr>
          <w:b/>
          <w:bCs/>
          <w:sz w:val="28"/>
          <w:szCs w:val="28"/>
          <w:rtl/>
        </w:rPr>
        <w:t>سادساً: فروض الدراسة</w:t>
      </w:r>
    </w:p>
    <w:p w14:paraId="047EA7CF" w14:textId="77777777" w:rsidR="009B29CF" w:rsidRDefault="00612DCC">
      <w:pPr>
        <w:spacing w:after="160" w:line="360" w:lineRule="auto"/>
        <w:jc w:val="both"/>
      </w:pPr>
      <w:r>
        <w:rPr>
          <w:rtl/>
        </w:rPr>
        <w:t>بناءً على مراجعة الأدبيات ذات الصلة، تُصاغ الفروض الآتية:</w:t>
      </w:r>
    </w:p>
    <w:p w14:paraId="09F85358" w14:textId="77777777" w:rsidR="009B29CF" w:rsidRDefault="00612DCC">
      <w:pPr>
        <w:spacing w:after="160" w:line="360" w:lineRule="auto"/>
        <w:jc w:val="both"/>
      </w:pPr>
      <w:r>
        <w:rPr>
          <w:b/>
          <w:bCs/>
          <w:rtl/>
        </w:rPr>
        <w:t xml:space="preserve">الفرض الرئيسي: </w:t>
      </w:r>
      <w:r>
        <w:rPr>
          <w:rtl/>
        </w:rPr>
        <w:t>توجد علاقة ذات دلالة إحصائية بين استراتيجيات النمو المعتمدة في المنتجات المالية الرقمية ومعدلات اكتساب وتفعيل العملاء في السوق السعودية.</w:t>
      </w:r>
    </w:p>
    <w:p w14:paraId="16A211B7" w14:textId="77777777" w:rsidR="009B29CF" w:rsidRDefault="00612DCC">
      <w:pPr>
        <w:spacing w:after="160" w:line="360" w:lineRule="auto"/>
        <w:jc w:val="both"/>
      </w:pPr>
      <w:r>
        <w:rPr>
          <w:rtl/>
        </w:rPr>
        <w:t>الفروض الفرعية:</w:t>
      </w:r>
    </w:p>
    <w:p w14:paraId="628E5C8A" w14:textId="77777777" w:rsidR="009B29CF" w:rsidRDefault="00612DCC">
      <w:pPr>
        <w:pStyle w:val="a4"/>
        <w:numPr>
          <w:ilvl w:val="0"/>
          <w:numId w:val="3"/>
        </w:numPr>
        <w:bidi/>
        <w:spacing w:after="100" w:line="360" w:lineRule="auto"/>
        <w:jc w:val="right"/>
      </w:pPr>
      <w:r>
        <w:rPr>
          <w:rtl/>
        </w:rPr>
        <w:t>توجد علاقة إيجابية ذات دلالة إحصائية بين استراتيجيات التسويق الرقمي المستهدَف ومعدلات اكتساب العملاء.</w:t>
      </w:r>
    </w:p>
    <w:p w14:paraId="0A8109C8" w14:textId="77777777" w:rsidR="009B29CF" w:rsidRDefault="00612DCC">
      <w:pPr>
        <w:pStyle w:val="a4"/>
        <w:numPr>
          <w:ilvl w:val="0"/>
          <w:numId w:val="3"/>
        </w:numPr>
        <w:bidi/>
        <w:spacing w:after="100" w:line="360" w:lineRule="auto"/>
        <w:jc w:val="right"/>
      </w:pPr>
      <w:r>
        <w:rPr>
          <w:rtl/>
        </w:rPr>
        <w:t>توجد علاقة إيجابية ذات دلالة إحصائية بين جودة تجربة المستخدم (UX) خلال مرحلة الإعداد (Onboarding) ومعدلات تفعيل العملاء.</w:t>
      </w:r>
    </w:p>
    <w:p w14:paraId="1360E380" w14:textId="77777777" w:rsidR="009B29CF" w:rsidRDefault="00612DCC">
      <w:pPr>
        <w:pStyle w:val="a4"/>
        <w:numPr>
          <w:ilvl w:val="0"/>
          <w:numId w:val="3"/>
        </w:numPr>
        <w:bidi/>
        <w:spacing w:after="100" w:line="360" w:lineRule="auto"/>
        <w:jc w:val="right"/>
      </w:pPr>
      <w:r>
        <w:rPr>
          <w:rtl/>
        </w:rPr>
        <w:t>توجد علاقة إيجابية ذات دلالة إحصائية بين برامج الإحالة والمكافآت ومعدلات اكتساب عملاء جدد.</w:t>
      </w:r>
    </w:p>
    <w:p w14:paraId="07044E91" w14:textId="77777777" w:rsidR="009B29CF" w:rsidRDefault="00612DCC">
      <w:pPr>
        <w:pStyle w:val="a4"/>
        <w:numPr>
          <w:ilvl w:val="0"/>
          <w:numId w:val="3"/>
        </w:numPr>
        <w:bidi/>
        <w:spacing w:after="100" w:line="360" w:lineRule="auto"/>
        <w:jc w:val="right"/>
      </w:pPr>
      <w:r>
        <w:rPr>
          <w:rtl/>
        </w:rPr>
        <w:t>تختلف فاعلية استراتيجيات النمو تبعاً للفئة العمرية للمستخدم السعودي.</w:t>
      </w:r>
    </w:p>
    <w:p w14:paraId="4B46B278" w14:textId="77777777" w:rsidR="009B29CF" w:rsidRDefault="009B29CF">
      <w:pPr>
        <w:sectPr w:rsidR="009B29CF">
          <w:headerReference w:type="default" r:id="rId18"/>
          <w:footerReference w:type="default" r:id="rId19"/>
          <w:pgSz w:w="11906" w:h="16838"/>
          <w:pgMar w:top="1440" w:right="1800" w:bottom="1440" w:left="1800" w:header="708" w:footer="708" w:gutter="0"/>
          <w:cols w:space="720"/>
          <w:docGrid w:linePitch="360"/>
        </w:sectPr>
      </w:pPr>
    </w:p>
    <w:p w14:paraId="72397C5C" w14:textId="77777777" w:rsidR="009B29CF" w:rsidRDefault="00612DCC">
      <w:pPr>
        <w:pBdr>
          <w:bottom w:val="single" w:sz="6" w:space="3" w:color="000000"/>
        </w:pBdr>
        <w:spacing w:after="200" w:line="360" w:lineRule="auto"/>
        <w:jc w:val="right"/>
      </w:pPr>
      <w:r>
        <w:rPr>
          <w:b/>
          <w:bCs/>
          <w:sz w:val="28"/>
          <w:szCs w:val="28"/>
          <w:rtl/>
        </w:rPr>
        <w:t>سابعاً: الدراسات السابقة</w:t>
      </w:r>
    </w:p>
    <w:p w14:paraId="2264BC4D" w14:textId="77777777" w:rsidR="009B29CF" w:rsidRDefault="00612DCC">
      <w:pPr>
        <w:spacing w:after="160" w:line="360" w:lineRule="auto"/>
        <w:jc w:val="both"/>
      </w:pPr>
      <w:r>
        <w:rPr>
          <w:rtl/>
        </w:rPr>
        <w:t>تناولت عدد من الدراسات موضوع استراتيجيات النمو والتسويق الرقمي في القطاع المالي، ويمكن تصنيفها على النحو الآتي:</w:t>
      </w:r>
    </w:p>
    <w:p w14:paraId="0D989896" w14:textId="77777777" w:rsidR="009B29CF" w:rsidRDefault="00612DCC">
      <w:pPr>
        <w:spacing w:after="160" w:line="360" w:lineRule="auto"/>
        <w:jc w:val="both"/>
      </w:pPr>
      <w:r>
        <w:rPr>
          <w:b/>
          <w:bCs/>
          <w:rtl/>
        </w:rPr>
        <w:t xml:space="preserve">أولاً — دراسات النمو الرقمي في الخدمات المالية: </w:t>
      </w:r>
    </w:p>
    <w:p w14:paraId="32227854" w14:textId="77777777" w:rsidR="009B29CF" w:rsidRDefault="00612DCC">
      <w:pPr>
        <w:spacing w:after="160" w:line="360" w:lineRule="auto"/>
        <w:jc w:val="both"/>
      </w:pPr>
      <w:r>
        <w:rPr>
          <w:rtl/>
        </w:rPr>
        <w:t>أجرى Kumar et al. (2022) دراسة حول استراتيجيات اكتساب العملاء في تطبيقات الدفع الرقمي بالأسواق الناشئة، وخلصت إلى أن برامج الإحالة والتسويق عبر التطبيقات تُحقق أعلى معدلات اكتساب فعّال مقارنةً بالقنوات التقليدية. وتتقاطع هذه النتيجة مع موضوع الدراسة الحالية في بُعد الاكتساب، غير أنها لا تتناول السياق السعودي تحديداً.</w:t>
      </w:r>
    </w:p>
    <w:p w14:paraId="6F6EED14" w14:textId="77777777" w:rsidR="009B29CF" w:rsidRDefault="00612DCC">
      <w:pPr>
        <w:spacing w:after="160" w:line="360" w:lineRule="auto"/>
        <w:jc w:val="both"/>
      </w:pPr>
      <w:r>
        <w:rPr>
          <w:rtl/>
        </w:rPr>
        <w:t>وفي السياق ذاته، استعرضت دراسة Al-Otaibi &amp; Alnaser (2021) واقع التحول الرقمي في البنوك السعودية، وأكدت أن تجربة المستخدم وسرعة الأداء هما العاملان الأبرز في قرار استمرار استخدام التطبيق المصرفي. وتُشكّل هذه الدراسة مرجعاً محورياً لفرض تفعيل العملاء في الدراسة الحالية.</w:t>
      </w:r>
    </w:p>
    <w:p w14:paraId="0D8A0BCF" w14:textId="77777777" w:rsidR="009B29CF" w:rsidRDefault="00612DCC">
      <w:pPr>
        <w:spacing w:after="160" w:line="360" w:lineRule="auto"/>
        <w:jc w:val="both"/>
      </w:pPr>
      <w:r>
        <w:rPr>
          <w:b/>
          <w:bCs/>
          <w:rtl/>
        </w:rPr>
        <w:t xml:space="preserve">ثانياً — دراسات سلوك المستهلك الرقمي في السوق السعودية: </w:t>
      </w:r>
    </w:p>
    <w:p w14:paraId="03F3BB20" w14:textId="77777777" w:rsidR="009B29CF" w:rsidRDefault="00612DCC">
      <w:pPr>
        <w:spacing w:after="160" w:line="360" w:lineRule="auto"/>
        <w:jc w:val="both"/>
      </w:pPr>
      <w:r>
        <w:rPr>
          <w:rtl/>
        </w:rPr>
        <w:t>تناولت دراسة الشهري (2023) العوامل المؤثرة في اعتماد خدمات التقنية المالية لدى الشباب السعودي، وأشارت إلى أن الثقة والأمان الرقمي يتصدران العوامل المحددة لقرار التبني. وهذه النتيجة تُعزز أهمية دراسة مرحلة التفعيل كجزء من استراتيجية النمو.</w:t>
      </w:r>
    </w:p>
    <w:p w14:paraId="385E7392" w14:textId="77777777" w:rsidR="009B29CF" w:rsidRDefault="00612DCC">
      <w:pPr>
        <w:spacing w:after="160" w:line="360" w:lineRule="auto"/>
        <w:jc w:val="both"/>
      </w:pPr>
      <w:r>
        <w:rPr>
          <w:b/>
          <w:bCs/>
          <w:rtl/>
        </w:rPr>
        <w:t xml:space="preserve">الفجوة البحثية: </w:t>
      </w:r>
    </w:p>
    <w:p w14:paraId="1A8483AE" w14:textId="77777777" w:rsidR="009B29CF" w:rsidRDefault="00612DCC">
      <w:pPr>
        <w:spacing w:after="160" w:line="360" w:lineRule="auto"/>
        <w:jc w:val="both"/>
      </w:pPr>
      <w:r>
        <w:rPr>
          <w:rtl/>
        </w:rPr>
        <w:t>تكشف مراجعة الدراسات السابقة عن غياب دراسات تتناول بشكل متكامل العلاقة بين استراتيجيات النمو الرقمي ومؤشرَي الاكتساب والتفعيل معاً في السياق المصرفي السعودي، وهو ما تسعى الدراسة الحالية إلى معالجته.</w:t>
      </w:r>
    </w:p>
    <w:p w14:paraId="68BC634E" w14:textId="77777777" w:rsidR="009B29CF" w:rsidRDefault="009B29CF">
      <w:pPr>
        <w:sectPr w:rsidR="009B29CF">
          <w:headerReference w:type="default" r:id="rId20"/>
          <w:footerReference w:type="default" r:id="rId21"/>
          <w:pgSz w:w="11906" w:h="16838"/>
          <w:pgMar w:top="1440" w:right="1800" w:bottom="1440" w:left="1800" w:header="708" w:footer="708" w:gutter="0"/>
          <w:cols w:space="720"/>
          <w:docGrid w:linePitch="360"/>
        </w:sectPr>
      </w:pPr>
    </w:p>
    <w:p w14:paraId="1E3A90EA" w14:textId="77777777" w:rsidR="009B29CF" w:rsidRDefault="00612DCC">
      <w:pPr>
        <w:pBdr>
          <w:bottom w:val="single" w:sz="6" w:space="3" w:color="000000"/>
        </w:pBdr>
        <w:spacing w:after="200" w:line="360" w:lineRule="auto"/>
        <w:jc w:val="right"/>
      </w:pPr>
      <w:r>
        <w:rPr>
          <w:b/>
          <w:bCs/>
          <w:sz w:val="28"/>
          <w:szCs w:val="28"/>
          <w:rtl/>
        </w:rPr>
        <w:t>ثامناً: المنطلقات النظرية للدراسة</w:t>
      </w:r>
    </w:p>
    <w:p w14:paraId="47D611DC" w14:textId="77777777" w:rsidR="009B29CF" w:rsidRDefault="00612DCC">
      <w:pPr>
        <w:spacing w:after="160" w:line="360" w:lineRule="auto"/>
        <w:jc w:val="both"/>
      </w:pPr>
      <w:r>
        <w:rPr>
          <w:rtl/>
        </w:rPr>
        <w:t>تستند الدراسة إلى ثلاثة أطر نظرية رئيسية:</w:t>
      </w:r>
    </w:p>
    <w:p w14:paraId="7A780F3E" w14:textId="77777777" w:rsidR="009B29CF" w:rsidRDefault="00612DCC">
      <w:pPr>
        <w:spacing w:after="160" w:line="360" w:lineRule="auto"/>
        <w:jc w:val="both"/>
      </w:pPr>
      <w:r>
        <w:rPr>
          <w:b/>
          <w:bCs/>
          <w:rtl/>
        </w:rPr>
        <w:t xml:space="preserve">1. نموذج AARRR (مقاييس القرصان): </w:t>
      </w:r>
    </w:p>
    <w:p w14:paraId="6AEDB40F" w14:textId="77777777" w:rsidR="009B29CF" w:rsidRDefault="00612DCC">
      <w:pPr>
        <w:spacing w:after="160" w:line="360" w:lineRule="auto"/>
        <w:jc w:val="both"/>
      </w:pPr>
      <w:r>
        <w:rPr>
          <w:rtl/>
        </w:rPr>
        <w:t>طوّر McClure (2007) هذا النموذج الذي يُقسّم دورة حياة العميل الرقمي إلى خمس مراحل: الاكتساب (Acquisition)، والتفعيل (Activation)، والاستبقاء (Retention)، والإيراد (Revenue)، والإحالة (Referral). وتُركّز الدراسة تحديداً على مرحلتَي الاكتساب والتفعيل بوصفهما المحورَين الأساسيين لاستراتيجيات النمو في مرحلة إطلاق المنتج.</w:t>
      </w:r>
    </w:p>
    <w:p w14:paraId="3C218AED" w14:textId="77777777" w:rsidR="009B29CF" w:rsidRDefault="00612DCC">
      <w:pPr>
        <w:spacing w:after="160" w:line="360" w:lineRule="auto"/>
        <w:jc w:val="both"/>
      </w:pPr>
      <w:r>
        <w:rPr>
          <w:b/>
          <w:bCs/>
          <w:rtl/>
        </w:rPr>
        <w:t xml:space="preserve">2. نظرية اعتماد التقنية (TAM): </w:t>
      </w:r>
    </w:p>
    <w:p w14:paraId="6DDB7A17" w14:textId="77777777" w:rsidR="009B29CF" w:rsidRDefault="00612DCC">
      <w:pPr>
        <w:spacing w:after="160" w:line="360" w:lineRule="auto"/>
        <w:jc w:val="both"/>
      </w:pPr>
      <w:r>
        <w:rPr>
          <w:rtl/>
        </w:rPr>
        <w:t>تُفسّر نظرية Davis (1989) قرار المستخدم باعتماد تقنية أو خدمة رقمية جديدة من خلال متغيّرَي سهولة الاستخدام المُدرَكة والفائدة المُدرَكة. وتُشكّل هذه النظرية الإطار التفسيري لفهم استجابة المستهلك السعودي لاستراتيجيات تفعيل المنتجات المالية الرقمية.</w:t>
      </w:r>
    </w:p>
    <w:p w14:paraId="17E7B5F3" w14:textId="77777777" w:rsidR="009B29CF" w:rsidRDefault="00612DCC">
      <w:pPr>
        <w:spacing w:after="160" w:line="360" w:lineRule="auto"/>
        <w:jc w:val="both"/>
      </w:pPr>
      <w:r>
        <w:rPr>
          <w:b/>
          <w:bCs/>
          <w:rtl/>
        </w:rPr>
        <w:t xml:space="preserve">3. نموذج النمو بالمنتج (Product-Led Growth): </w:t>
      </w:r>
    </w:p>
    <w:p w14:paraId="2F3BECD7" w14:textId="77777777" w:rsidR="009B29CF" w:rsidRDefault="00612DCC">
      <w:pPr>
        <w:spacing w:after="160" w:line="360" w:lineRule="auto"/>
        <w:jc w:val="both"/>
      </w:pPr>
      <w:r>
        <w:rPr>
          <w:rtl/>
        </w:rPr>
        <w:t>يُركّز هذا النموذج الحديث على جعل المنتج ذاته هو المحرّك الرئيسي للاكتساب والتفعيل والاستبقاء، من خلال تصميم تجربة مستخدم استثنائية تُحوّل المستخدم المجرّب إلى مستخدم دائم ثم إلى داعية للمنتج. ويُعدّ هذا النهج ذا صلة وثيقة بالمنتجات المالية الرقمية في السوق السعودية.</w:t>
      </w:r>
    </w:p>
    <w:p w14:paraId="28F9CB79" w14:textId="77777777" w:rsidR="009B29CF" w:rsidRDefault="009B29CF">
      <w:pPr>
        <w:sectPr w:rsidR="009B29CF">
          <w:headerReference w:type="default" r:id="rId22"/>
          <w:footerReference w:type="default" r:id="rId23"/>
          <w:pgSz w:w="11906" w:h="16838"/>
          <w:pgMar w:top="1440" w:right="1800" w:bottom="1440" w:left="1800" w:header="708" w:footer="708" w:gutter="0"/>
          <w:cols w:space="720"/>
          <w:docGrid w:linePitch="360"/>
        </w:sectPr>
      </w:pPr>
    </w:p>
    <w:p w14:paraId="11FFB2DB" w14:textId="77777777" w:rsidR="009B29CF" w:rsidRDefault="00612DCC">
      <w:pPr>
        <w:pBdr>
          <w:bottom w:val="single" w:sz="6" w:space="3" w:color="000000"/>
        </w:pBdr>
        <w:spacing w:after="200" w:line="360" w:lineRule="auto"/>
        <w:jc w:val="right"/>
      </w:pPr>
      <w:r>
        <w:rPr>
          <w:b/>
          <w:bCs/>
          <w:sz w:val="28"/>
          <w:szCs w:val="28"/>
          <w:rtl/>
        </w:rPr>
        <w:t>تاسعاً: المنهجية وطرق البحث</w:t>
      </w:r>
    </w:p>
    <w:p w14:paraId="197D437E" w14:textId="77777777" w:rsidR="009B29CF" w:rsidRDefault="00612DCC">
      <w:pPr>
        <w:spacing w:after="160" w:line="360" w:lineRule="auto"/>
        <w:jc w:val="both"/>
      </w:pPr>
      <w:r>
        <w:rPr>
          <w:rtl/>
        </w:rPr>
        <w:t>تعتمد الدراسة المنهج الوصفي التحليلي الكمي، وذلك من خلال:</w:t>
      </w:r>
    </w:p>
    <w:p w14:paraId="7592FAA2" w14:textId="77777777" w:rsidR="009B29CF" w:rsidRDefault="00612DCC">
      <w:pPr>
        <w:spacing w:after="160" w:line="360" w:lineRule="auto"/>
        <w:jc w:val="both"/>
      </w:pPr>
      <w:r>
        <w:rPr>
          <w:b/>
          <w:bCs/>
          <w:rtl/>
        </w:rPr>
        <w:t xml:space="preserve">مجتمع الدراسة: </w:t>
      </w:r>
    </w:p>
    <w:p w14:paraId="22A60C18" w14:textId="77777777" w:rsidR="009B29CF" w:rsidRDefault="00612DCC">
      <w:pPr>
        <w:spacing w:after="160" w:line="360" w:lineRule="auto"/>
        <w:jc w:val="both"/>
      </w:pPr>
      <w:r>
        <w:rPr>
          <w:rtl/>
        </w:rPr>
        <w:t>يتكون مجتمع الدراسة من مستخدمي المنتجات المالية الرقمية (تطبيقات مصرفية، محافظ إلكترونية، خدمات دفع رقمي) في المملكة العربية السعودية، ممن تتراوح أعمارهم بين 18 و55 عاماً.</w:t>
      </w:r>
    </w:p>
    <w:p w14:paraId="572AB621" w14:textId="77777777" w:rsidR="009B29CF" w:rsidRDefault="00612DCC">
      <w:pPr>
        <w:spacing w:after="160" w:line="360" w:lineRule="auto"/>
        <w:jc w:val="both"/>
      </w:pPr>
      <w:r>
        <w:rPr>
          <w:b/>
          <w:bCs/>
          <w:rtl/>
        </w:rPr>
        <w:t xml:space="preserve">عينة الدراسة: </w:t>
      </w:r>
    </w:p>
    <w:p w14:paraId="1C99FFC9" w14:textId="57C9CEB9" w:rsidR="009B29CF" w:rsidRDefault="00612DCC">
      <w:pPr>
        <w:spacing w:after="160" w:line="360" w:lineRule="auto"/>
        <w:jc w:val="both"/>
      </w:pPr>
      <w:r>
        <w:rPr>
          <w:rtl/>
        </w:rPr>
        <w:t xml:space="preserve">ستُستخدم عينة عشوائية طبقية (Stratified Random Sampling) بحيث تُمثّل مختلف الفئات العمرية والمناطق الجغرافية الرئيسية في المملكة. ويُقدَّر حجم العينة المستهدفة بـ </w:t>
      </w:r>
      <w:r w:rsidR="00E9048D">
        <w:rPr>
          <w:rFonts w:hint="cs"/>
          <w:rtl/>
        </w:rPr>
        <w:t>٨٠ تقريبا</w:t>
      </w:r>
      <w:r w:rsidR="00A95321">
        <w:rPr>
          <w:rFonts w:hint="cs"/>
          <w:rtl/>
        </w:rPr>
        <w:t>ً</w:t>
      </w:r>
      <w:r>
        <w:rPr>
          <w:rtl/>
        </w:rPr>
        <w:t xml:space="preserve"> مستجيباً لضمان التمثيل الإحصائي الكافي.</w:t>
      </w:r>
    </w:p>
    <w:p w14:paraId="5AF675CB" w14:textId="77777777" w:rsidR="009B29CF" w:rsidRDefault="00612DCC">
      <w:pPr>
        <w:spacing w:after="160" w:line="360" w:lineRule="auto"/>
        <w:jc w:val="both"/>
      </w:pPr>
      <w:r>
        <w:rPr>
          <w:b/>
          <w:bCs/>
          <w:rtl/>
        </w:rPr>
        <w:t xml:space="preserve">أسلوب التحليل: </w:t>
      </w:r>
    </w:p>
    <w:p w14:paraId="3C11DA4B" w14:textId="77777777" w:rsidR="009B29CF" w:rsidRDefault="00612DCC">
      <w:pPr>
        <w:spacing w:after="160" w:line="360" w:lineRule="auto"/>
        <w:jc w:val="both"/>
      </w:pPr>
      <w:r>
        <w:rPr>
          <w:rtl/>
        </w:rPr>
        <w:t>سيُعتمد برنامج SPSS في تحليل البيانات، مع استخدام معامل ارتباط بيرسون وتحليل الانحدار المتعدد لاختبار الفروض واستخراج النتائج.</w:t>
      </w:r>
    </w:p>
    <w:p w14:paraId="13F03828" w14:textId="77777777" w:rsidR="009B29CF" w:rsidRDefault="009B29CF">
      <w:pPr>
        <w:sectPr w:rsidR="009B29CF">
          <w:headerReference w:type="default" r:id="rId24"/>
          <w:footerReference w:type="default" r:id="rId25"/>
          <w:pgSz w:w="11906" w:h="16838"/>
          <w:pgMar w:top="1440" w:right="1800" w:bottom="1440" w:left="1800" w:header="708" w:footer="708" w:gutter="0"/>
          <w:cols w:space="720"/>
          <w:docGrid w:linePitch="360"/>
        </w:sectPr>
      </w:pPr>
    </w:p>
    <w:p w14:paraId="01A6FFE5" w14:textId="77777777" w:rsidR="009B29CF" w:rsidRDefault="00612DCC">
      <w:pPr>
        <w:pBdr>
          <w:bottom w:val="single" w:sz="6" w:space="3" w:color="000000"/>
        </w:pBdr>
        <w:spacing w:after="200" w:line="360" w:lineRule="auto"/>
        <w:jc w:val="right"/>
      </w:pPr>
      <w:r>
        <w:rPr>
          <w:b/>
          <w:bCs/>
          <w:sz w:val="28"/>
          <w:szCs w:val="28"/>
          <w:rtl/>
        </w:rPr>
        <w:t>عاشراً: أدوات الدراسة</w:t>
      </w:r>
    </w:p>
    <w:p w14:paraId="7EB3B1DB" w14:textId="77777777" w:rsidR="009B29CF" w:rsidRDefault="00612DCC">
      <w:pPr>
        <w:spacing w:after="160" w:line="360" w:lineRule="auto"/>
        <w:jc w:val="both"/>
      </w:pPr>
      <w:r>
        <w:rPr>
          <w:rtl/>
        </w:rPr>
        <w:t>تعتمد الدراسة على الاستبيان بوصفه الأداة الرئيسية لجمع البيانات، وسيُصمَّم وفق المعايير الآتية:</w:t>
      </w:r>
    </w:p>
    <w:p w14:paraId="4EBB0B35" w14:textId="77777777" w:rsidR="009B29CF" w:rsidRDefault="00612DCC">
      <w:pPr>
        <w:pStyle w:val="a4"/>
        <w:numPr>
          <w:ilvl w:val="0"/>
          <w:numId w:val="2"/>
        </w:numPr>
        <w:bidi/>
        <w:spacing w:after="100" w:line="360" w:lineRule="auto"/>
        <w:jc w:val="right"/>
      </w:pPr>
      <w:r>
        <w:rPr>
          <w:rtl/>
        </w:rPr>
        <w:t>يتكون الاستبيان من ثلاثة محاور رئيسية: بيانات ديموغرافية، ومحور استراتيجيات النمو المُدرَكة، ومحور مؤشرات الاكتساب والتفعيل.</w:t>
      </w:r>
    </w:p>
    <w:p w14:paraId="78A9BDCD" w14:textId="77777777" w:rsidR="009B29CF" w:rsidRDefault="00612DCC">
      <w:pPr>
        <w:pStyle w:val="a4"/>
        <w:numPr>
          <w:ilvl w:val="0"/>
          <w:numId w:val="2"/>
        </w:numPr>
        <w:bidi/>
        <w:spacing w:after="100" w:line="360" w:lineRule="auto"/>
        <w:jc w:val="right"/>
      </w:pPr>
      <w:r>
        <w:rPr>
          <w:rtl/>
        </w:rPr>
        <w:t>سيُستخدم مقياس ليكرت الخماسي لقياس الاتجاهات والمواقف.</w:t>
      </w:r>
    </w:p>
    <w:p w14:paraId="22E3619A" w14:textId="77777777" w:rsidR="009B29CF" w:rsidRDefault="00612DCC">
      <w:pPr>
        <w:pStyle w:val="a4"/>
        <w:numPr>
          <w:ilvl w:val="0"/>
          <w:numId w:val="2"/>
        </w:numPr>
        <w:bidi/>
        <w:spacing w:after="100" w:line="360" w:lineRule="auto"/>
        <w:jc w:val="right"/>
      </w:pPr>
      <w:r>
        <w:rPr>
          <w:rtl/>
        </w:rPr>
        <w:t>سيُوزَّع الاستبيان إلكترونياً عبر منصات التواصل الاجتماعي والبريد الإلكتروني لضمان الوصول إلى شرائح متنوعة من المستجيبين.</w:t>
      </w:r>
    </w:p>
    <w:p w14:paraId="08241BA7" w14:textId="77777777" w:rsidR="009B29CF" w:rsidRDefault="00612DCC">
      <w:pPr>
        <w:pStyle w:val="a4"/>
        <w:numPr>
          <w:ilvl w:val="0"/>
          <w:numId w:val="2"/>
        </w:numPr>
        <w:bidi/>
        <w:spacing w:after="100" w:line="360" w:lineRule="auto"/>
        <w:jc w:val="right"/>
      </w:pPr>
      <w:r>
        <w:rPr>
          <w:rtl/>
        </w:rPr>
        <w:t>ستُجرى اختبارات الصدق والثبات (معامل ألفا كرونباخ) للتحقق من موثوقية الأداة قبل التوزيع النهائي.</w:t>
      </w:r>
    </w:p>
    <w:p w14:paraId="6C458CD0" w14:textId="77777777" w:rsidR="009B29CF" w:rsidRDefault="009B29CF">
      <w:pPr>
        <w:sectPr w:rsidR="009B29CF">
          <w:headerReference w:type="default" r:id="rId26"/>
          <w:footerReference w:type="default" r:id="rId27"/>
          <w:pgSz w:w="11906" w:h="16838"/>
          <w:pgMar w:top="1440" w:right="1800" w:bottom="1440" w:left="1800" w:header="708" w:footer="708" w:gutter="0"/>
          <w:cols w:space="720"/>
          <w:docGrid w:linePitch="360"/>
        </w:sectPr>
      </w:pPr>
    </w:p>
    <w:p w14:paraId="4337FBC7" w14:textId="77777777" w:rsidR="009B29CF" w:rsidRDefault="00612DCC">
      <w:pPr>
        <w:pBdr>
          <w:bottom w:val="single" w:sz="6" w:space="3" w:color="000000"/>
        </w:pBdr>
        <w:spacing w:after="200" w:line="360" w:lineRule="auto"/>
        <w:jc w:val="right"/>
      </w:pPr>
      <w:r>
        <w:rPr>
          <w:b/>
          <w:bCs/>
          <w:sz w:val="28"/>
          <w:szCs w:val="28"/>
          <w:rtl/>
        </w:rPr>
        <w:t>حادي عشر: حدود الدراسة</w:t>
      </w:r>
    </w:p>
    <w:p w14:paraId="55C2D0A4" w14:textId="77777777" w:rsidR="009B29CF" w:rsidRDefault="00612DCC">
      <w:pPr>
        <w:spacing w:after="160" w:line="360" w:lineRule="auto"/>
        <w:jc w:val="both"/>
      </w:pPr>
      <w:r>
        <w:rPr>
          <w:b/>
          <w:bCs/>
          <w:rtl/>
        </w:rPr>
        <w:t xml:space="preserve">الحد الموضوعي: </w:t>
      </w:r>
      <w:r>
        <w:rPr>
          <w:rtl/>
        </w:rPr>
        <w:t>تقتصر الدراسة على استراتيجيات النمو المتعلقة بمرحلتَي الاكتساب والتفعيل تحديداً، دون التوسع في مراحل الاستبقاء أو الإيراد أو الإحالة.</w:t>
      </w:r>
    </w:p>
    <w:p w14:paraId="2DCB0B21" w14:textId="77777777" w:rsidR="009B29CF" w:rsidRDefault="00612DCC">
      <w:pPr>
        <w:spacing w:after="160" w:line="360" w:lineRule="auto"/>
        <w:jc w:val="both"/>
      </w:pPr>
      <w:r>
        <w:rPr>
          <w:b/>
          <w:bCs/>
          <w:rtl/>
        </w:rPr>
        <w:t xml:space="preserve">الحد المكاني: </w:t>
      </w:r>
      <w:r>
        <w:rPr>
          <w:rtl/>
        </w:rPr>
        <w:t>تُجرى الدراسة في المملكة العربية السعودية، مع التركيز على المناطق الرئيسية الثلاث: الرياض، جدة، والمنطقة الشرقية.</w:t>
      </w:r>
    </w:p>
    <w:p w14:paraId="6176CBE0" w14:textId="193B049E" w:rsidR="009B29CF" w:rsidRDefault="00612DCC">
      <w:pPr>
        <w:spacing w:after="160" w:line="360" w:lineRule="auto"/>
        <w:jc w:val="both"/>
      </w:pPr>
      <w:r>
        <w:rPr>
          <w:b/>
          <w:bCs/>
          <w:rtl/>
        </w:rPr>
        <w:t xml:space="preserve">الحد الزماني: </w:t>
      </w:r>
      <w:r>
        <w:rPr>
          <w:rtl/>
        </w:rPr>
        <w:t>تُطبَّق أداة الدراسة خلال</w:t>
      </w:r>
      <w:r w:rsidR="00870BCC">
        <w:rPr>
          <w:rFonts w:hint="cs"/>
          <w:rtl/>
        </w:rPr>
        <w:t xml:space="preserve"> </w:t>
      </w:r>
      <w:r>
        <w:rPr>
          <w:rtl/>
        </w:rPr>
        <w:t>عام 2026م.</w:t>
      </w:r>
    </w:p>
    <w:p w14:paraId="257836E1" w14:textId="77777777" w:rsidR="009B29CF" w:rsidRDefault="00612DCC">
      <w:pPr>
        <w:spacing w:after="160" w:line="360" w:lineRule="auto"/>
        <w:jc w:val="both"/>
      </w:pPr>
      <w:r>
        <w:rPr>
          <w:b/>
          <w:bCs/>
          <w:rtl/>
        </w:rPr>
        <w:t xml:space="preserve">الحد البشري: </w:t>
      </w:r>
      <w:r>
        <w:rPr>
          <w:rtl/>
        </w:rPr>
        <w:t>يقتصر مجتمع الدراسة على المستخدمين البالغين للمنتجات المالية الرقمية في السوق السعودية، ممن تتراوح أعمارهم بين 18 و55 عاماً.</w:t>
      </w:r>
    </w:p>
    <w:sectPr w:rsidR="009B29CF">
      <w:headerReference w:type="default" r:id="rId28"/>
      <w:footerReference w:type="default" r:id="rId29"/>
      <w:pgSz w:w="11906" w:h="16838"/>
      <w:pgMar w:top="1440" w:right="180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BF4D6BD" w14:textId="77777777" w:rsidR="00612DCC" w:rsidRDefault="00612DCC">
      <w:r>
        <w:separator/>
      </w:r>
    </w:p>
  </w:endnote>
  <w:endnote w:type="continuationSeparator" w:id="0">
    <w:p w14:paraId="143049AD" w14:textId="77777777" w:rsidR="00612DCC" w:rsidRDefault="00612D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C5E4EF" w14:textId="7D6CB0DE"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2</w:t>
    </w:r>
    <w:r>
      <w:rPr>
        <w:color w:val="888888"/>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BE6819B" w14:textId="4DCA306E"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3</w:t>
    </w:r>
    <w:r>
      <w:rPr>
        <w:color w:val="888888"/>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18C4E2" w14:textId="60B0C87F"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4</w:t>
    </w:r>
    <w:r>
      <w:rPr>
        <w:color w:val="888888"/>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00AA97" w14:textId="7908967C"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5</w:t>
    </w:r>
    <w:r>
      <w:rPr>
        <w:color w:val="888888"/>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410472B" w14:textId="598217E5"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6</w:t>
    </w:r>
    <w:r>
      <w:rPr>
        <w:color w:val="888888"/>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E429B2" w14:textId="6EDB87FA"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7</w:t>
    </w:r>
    <w:r>
      <w:rPr>
        <w:color w:val="888888"/>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11D5DEE" w14:textId="76FC6F36"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8</w:t>
    </w:r>
    <w:r>
      <w:rPr>
        <w:color w:val="888888"/>
        <w:sz w:val="18"/>
        <w:szCs w:val="18"/>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CBE559" w14:textId="4D437250"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9</w:t>
    </w:r>
    <w:r>
      <w:rPr>
        <w:color w:val="888888"/>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72AACF" w14:textId="2F853F1B"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10</w:t>
    </w:r>
    <w:r>
      <w:rPr>
        <w:color w:val="888888"/>
        <w:sz w:val="18"/>
        <w:szCs w:val="18"/>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D0E2968" w14:textId="25D2B2B2"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11</w:t>
    </w:r>
    <w:r>
      <w:rPr>
        <w:color w:val="888888"/>
        <w:sz w:val="18"/>
        <w:szCs w:val="18"/>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893751" w14:textId="1F1E1FDF" w:rsidR="009B29CF" w:rsidRDefault="00612DCC">
    <w:pPr>
      <w:pBdr>
        <w:top w:val="single" w:sz="4" w:space="4" w:color="CCCCCC"/>
      </w:pBdr>
      <w:jc w:val="center"/>
    </w:pPr>
    <w:r>
      <w:rPr>
        <w:color w:val="888888"/>
        <w:sz w:val="18"/>
        <w:szCs w:val="18"/>
        <w:rtl/>
      </w:rPr>
      <w:t xml:space="preserve">جامعة ميدأوشن | كلية الإدارة | 2026  |  صفحة </w:t>
    </w:r>
    <w:r>
      <w:rPr>
        <w:color w:val="888888"/>
        <w:sz w:val="18"/>
        <w:szCs w:val="18"/>
      </w:rPr>
      <w:fldChar w:fldCharType="begin"/>
    </w:r>
    <w:r>
      <w:rPr>
        <w:color w:val="888888"/>
        <w:sz w:val="18"/>
        <w:szCs w:val="18"/>
      </w:rPr>
      <w:instrText>PAGE</w:instrText>
    </w:r>
    <w:r>
      <w:rPr>
        <w:color w:val="888888"/>
        <w:sz w:val="18"/>
        <w:szCs w:val="18"/>
      </w:rPr>
      <w:fldChar w:fldCharType="separate"/>
    </w:r>
    <w:r w:rsidR="00870BCC">
      <w:rPr>
        <w:noProof/>
        <w:color w:val="888888"/>
        <w:sz w:val="18"/>
        <w:szCs w:val="18"/>
        <w:rtl/>
      </w:rPr>
      <w:t>12</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AF913F5" w14:textId="77777777" w:rsidR="00612DCC" w:rsidRDefault="00612DCC">
      <w:r>
        <w:separator/>
      </w:r>
    </w:p>
  </w:footnote>
  <w:footnote w:type="continuationSeparator" w:id="0">
    <w:p w14:paraId="7A21B1CB" w14:textId="77777777" w:rsidR="00612DCC" w:rsidRDefault="00612D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F1A457"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09BC5E"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13F4B74"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58DEFD8"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4E6B72"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D38F5BE"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482DE2"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A51684"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145F67E"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0CAE60B"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3B8BE95" w14:textId="77777777" w:rsidR="009B29CF" w:rsidRDefault="00612DCC">
    <w:pPr>
      <w:pBdr>
        <w:bottom w:val="single" w:sz="4" w:space="4" w:color="888888"/>
      </w:pBdr>
      <w:jc w:val="center"/>
    </w:pPr>
    <w:r>
      <w:rPr>
        <w:color w:val="555555"/>
        <w:sz w:val="20"/>
        <w:szCs w:val="20"/>
        <w:rtl/>
      </w:rPr>
      <w:t>العرض المبدئي لمشروع التخرج | جامعة ميدأوشن</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7BA612B"/>
    <w:multiLevelType w:val="hybridMultilevel"/>
    <w:tmpl w:val="FFFFFFFF"/>
    <w:lvl w:ilvl="0" w:tplc="D2C0C3FC">
      <w:start w:val="1"/>
      <w:numFmt w:val="bullet"/>
      <w:lvlText w:val="•"/>
      <w:lvlJc w:val="right"/>
      <w:pPr>
        <w:ind w:right="720" w:hanging="360"/>
      </w:pPr>
    </w:lvl>
    <w:lvl w:ilvl="1" w:tplc="54C8E826">
      <w:numFmt w:val="decimal"/>
      <w:lvlText w:val=""/>
      <w:lvlJc w:val="left"/>
    </w:lvl>
    <w:lvl w:ilvl="2" w:tplc="A51E1AEC">
      <w:numFmt w:val="decimal"/>
      <w:lvlText w:val=""/>
      <w:lvlJc w:val="left"/>
    </w:lvl>
    <w:lvl w:ilvl="3" w:tplc="2C30770A">
      <w:numFmt w:val="decimal"/>
      <w:lvlText w:val=""/>
      <w:lvlJc w:val="left"/>
    </w:lvl>
    <w:lvl w:ilvl="4" w:tplc="21B0DA2C">
      <w:numFmt w:val="decimal"/>
      <w:lvlText w:val=""/>
      <w:lvlJc w:val="left"/>
    </w:lvl>
    <w:lvl w:ilvl="5" w:tplc="50B6CE52">
      <w:numFmt w:val="decimal"/>
      <w:lvlText w:val=""/>
      <w:lvlJc w:val="left"/>
    </w:lvl>
    <w:lvl w:ilvl="6" w:tplc="DA8A619A">
      <w:numFmt w:val="decimal"/>
      <w:lvlText w:val=""/>
      <w:lvlJc w:val="left"/>
    </w:lvl>
    <w:lvl w:ilvl="7" w:tplc="C9A09068">
      <w:numFmt w:val="decimal"/>
      <w:lvlText w:val=""/>
      <w:lvlJc w:val="left"/>
    </w:lvl>
    <w:lvl w:ilvl="8" w:tplc="5F5CC5EA">
      <w:numFmt w:val="decimal"/>
      <w:lvlText w:val=""/>
      <w:lvlJc w:val="left"/>
    </w:lvl>
  </w:abstractNum>
  <w:abstractNum w:abstractNumId="1" w15:restartNumberingAfterBreak="0">
    <w:nsid w:val="28A56FE6"/>
    <w:multiLevelType w:val="hybridMultilevel"/>
    <w:tmpl w:val="FFFFFFFF"/>
    <w:lvl w:ilvl="0" w:tplc="3A982F26">
      <w:start w:val="1"/>
      <w:numFmt w:val="decimal"/>
      <w:lvlText w:val="%1."/>
      <w:lvlJc w:val="right"/>
      <w:pPr>
        <w:ind w:right="720" w:hanging="360"/>
      </w:pPr>
    </w:lvl>
    <w:lvl w:ilvl="1" w:tplc="2B62B03A">
      <w:numFmt w:val="decimal"/>
      <w:lvlText w:val=""/>
      <w:lvlJc w:val="left"/>
    </w:lvl>
    <w:lvl w:ilvl="2" w:tplc="33D4A920">
      <w:numFmt w:val="decimal"/>
      <w:lvlText w:val=""/>
      <w:lvlJc w:val="left"/>
    </w:lvl>
    <w:lvl w:ilvl="3" w:tplc="DE143DD2">
      <w:numFmt w:val="decimal"/>
      <w:lvlText w:val=""/>
      <w:lvlJc w:val="left"/>
    </w:lvl>
    <w:lvl w:ilvl="4" w:tplc="EA009446">
      <w:numFmt w:val="decimal"/>
      <w:lvlText w:val=""/>
      <w:lvlJc w:val="left"/>
    </w:lvl>
    <w:lvl w:ilvl="5" w:tplc="AEA6A8DC">
      <w:numFmt w:val="decimal"/>
      <w:lvlText w:val=""/>
      <w:lvlJc w:val="left"/>
    </w:lvl>
    <w:lvl w:ilvl="6" w:tplc="7A00B0C4">
      <w:numFmt w:val="decimal"/>
      <w:lvlText w:val=""/>
      <w:lvlJc w:val="left"/>
    </w:lvl>
    <w:lvl w:ilvl="7" w:tplc="C3A8891C">
      <w:numFmt w:val="decimal"/>
      <w:lvlText w:val=""/>
      <w:lvlJc w:val="left"/>
    </w:lvl>
    <w:lvl w:ilvl="8" w:tplc="9A04312C">
      <w:numFmt w:val="decimal"/>
      <w:lvlText w:val=""/>
      <w:lvlJc w:val="left"/>
    </w:lvl>
  </w:abstractNum>
  <w:abstractNum w:abstractNumId="2" w15:restartNumberingAfterBreak="0">
    <w:nsid w:val="29E570F9"/>
    <w:multiLevelType w:val="hybridMultilevel"/>
    <w:tmpl w:val="FFFFFFFF"/>
    <w:lvl w:ilvl="0" w:tplc="B87881CE">
      <w:start w:val="1"/>
      <w:numFmt w:val="bullet"/>
      <w:lvlText w:val="●"/>
      <w:lvlJc w:val="left"/>
      <w:pPr>
        <w:ind w:left="720" w:hanging="360"/>
      </w:pPr>
    </w:lvl>
    <w:lvl w:ilvl="1" w:tplc="5EC8783A">
      <w:start w:val="1"/>
      <w:numFmt w:val="bullet"/>
      <w:lvlText w:val="○"/>
      <w:lvlJc w:val="left"/>
      <w:pPr>
        <w:ind w:left="1440" w:hanging="360"/>
      </w:pPr>
    </w:lvl>
    <w:lvl w:ilvl="2" w:tplc="AEFA3112">
      <w:start w:val="1"/>
      <w:numFmt w:val="bullet"/>
      <w:lvlText w:val="■"/>
      <w:lvlJc w:val="left"/>
      <w:pPr>
        <w:ind w:left="2160" w:hanging="360"/>
      </w:pPr>
    </w:lvl>
    <w:lvl w:ilvl="3" w:tplc="E4C63640">
      <w:start w:val="1"/>
      <w:numFmt w:val="bullet"/>
      <w:lvlText w:val="●"/>
      <w:lvlJc w:val="left"/>
      <w:pPr>
        <w:ind w:left="2880" w:hanging="360"/>
      </w:pPr>
    </w:lvl>
    <w:lvl w:ilvl="4" w:tplc="9F089896">
      <w:start w:val="1"/>
      <w:numFmt w:val="bullet"/>
      <w:lvlText w:val="○"/>
      <w:lvlJc w:val="left"/>
      <w:pPr>
        <w:ind w:left="3600" w:hanging="360"/>
      </w:pPr>
    </w:lvl>
    <w:lvl w:ilvl="5" w:tplc="458449B6">
      <w:start w:val="1"/>
      <w:numFmt w:val="bullet"/>
      <w:lvlText w:val="■"/>
      <w:lvlJc w:val="left"/>
      <w:pPr>
        <w:ind w:left="4320" w:hanging="360"/>
      </w:pPr>
    </w:lvl>
    <w:lvl w:ilvl="6" w:tplc="2BCCA14C">
      <w:start w:val="1"/>
      <w:numFmt w:val="bullet"/>
      <w:lvlText w:val="●"/>
      <w:lvlJc w:val="left"/>
      <w:pPr>
        <w:ind w:left="5040" w:hanging="360"/>
      </w:pPr>
    </w:lvl>
    <w:lvl w:ilvl="7" w:tplc="472CB5A8">
      <w:start w:val="1"/>
      <w:numFmt w:val="bullet"/>
      <w:lvlText w:val="●"/>
      <w:lvlJc w:val="left"/>
      <w:pPr>
        <w:ind w:left="5760" w:hanging="360"/>
      </w:pPr>
    </w:lvl>
    <w:lvl w:ilvl="8" w:tplc="8D52EB44">
      <w:start w:val="1"/>
      <w:numFmt w:val="bullet"/>
      <w:lvlText w:val="●"/>
      <w:lvlJc w:val="left"/>
      <w:pPr>
        <w:ind w:left="6480" w:hanging="360"/>
      </w:pPr>
    </w:lvl>
  </w:abstractNum>
  <w:num w:numId="1" w16cid:durableId="1116560038">
    <w:abstractNumId w:val="2"/>
    <w:lvlOverride w:ilvl="0">
      <w:startOverride w:val="1"/>
    </w:lvlOverride>
  </w:num>
  <w:num w:numId="2" w16cid:durableId="1708141426">
    <w:abstractNumId w:val="0"/>
    <w:lvlOverride w:ilvl="0">
      <w:startOverride w:val="1"/>
    </w:lvlOverride>
  </w:num>
  <w:num w:numId="3" w16cid:durableId="1801848117">
    <w:abstractNumId w:val="1"/>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9CF"/>
    <w:rsid w:val="00365C74"/>
    <w:rsid w:val="005864BD"/>
    <w:rsid w:val="00612DCC"/>
    <w:rsid w:val="00870BCC"/>
    <w:rsid w:val="009B29CF"/>
    <w:rsid w:val="009F4554"/>
    <w:rsid w:val="00A95321"/>
    <w:rsid w:val="00E904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693C155"/>
  <w15:docId w15:val="{E8BA707E-EAFB-114B-9222-30A1E7DFC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color w:val="000000"/>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11.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0.xml"/><Relationship Id="rId30"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1245</Words>
  <Characters>7101</Characters>
  <Application>Microsoft Office Word</Application>
  <DocSecurity>0</DocSecurity>
  <Lines>59</Lines>
  <Paragraphs>16</Paragraphs>
  <ScaleCrop>false</ScaleCrop>
  <Company/>
  <LinksUpToDate>false</LinksUpToDate>
  <CharactersWithSpaces>8330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Abdullah Alabdan</cp:lastModifiedBy>
  <cp:revision>2</cp:revision>
  <dcterms:created xsi:type="dcterms:W3CDTF">2026-06-19T17:53:00Z</dcterms:created>
  <dcterms:modified xsi:type="dcterms:W3CDTF">2026-06-19T17:53:00Z</dcterms:modified>
</cp:coreProperties>
</file>