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DA05431"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19589C">
        <w:rPr>
          <w:rFonts w:ascii="Sakkal Majalla" w:hAnsi="Sakkal Majalla" w:cs="Sakkal Majalla" w:hint="cs"/>
          <w:b/>
          <w:bCs/>
          <w:sz w:val="28"/>
          <w:szCs w:val="28"/>
          <w:rtl/>
          <w:lang w:bidi="ar-EG"/>
        </w:rPr>
        <w:t xml:space="preserve"> ماجستير </w:t>
      </w:r>
      <w:r w:rsidR="0019589C">
        <w:rPr>
          <w:rFonts w:ascii="Sakkal Majalla" w:hAnsi="Sakkal Majalla" w:cs="Times New Roman" w:hint="cs"/>
          <w:b/>
          <w:bCs/>
          <w:sz w:val="28"/>
          <w:szCs w:val="28"/>
          <w:rtl/>
          <w:lang w:bidi="ar-EG"/>
        </w:rPr>
        <w:t>إدارة</w:t>
      </w:r>
      <w:r w:rsidR="0019589C">
        <w:rPr>
          <w:rFonts w:ascii="Sakkal Majalla" w:hAnsi="Sakkal Majalla" w:cs="Sakkal Majalla" w:hint="cs"/>
          <w:b/>
          <w:bCs/>
          <w:sz w:val="28"/>
          <w:szCs w:val="28"/>
          <w:rtl/>
          <w:lang w:bidi="ar-EG"/>
        </w:rPr>
        <w:t xml:space="preserve"> اعمال </w:t>
      </w:r>
    </w:p>
    <w:p w14:paraId="11A91486" w14:textId="77777777" w:rsidR="009125CE" w:rsidRPr="009125CE" w:rsidRDefault="009125CE" w:rsidP="00B53D79">
      <w:pPr>
        <w:bidi w:val="0"/>
        <w:rPr>
          <w:rFonts w:ascii="Sakkal Majalla" w:hAnsi="Sakkal Majalla" w:cs="Sakkal Majalla"/>
          <w:sz w:val="28"/>
          <w:szCs w:val="28"/>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bookmarkStart w:id="0" w:name="OLE_LINK6"/>
      <w:bookmarkStart w:id="1" w:name="OLE_LINK7"/>
      <w:r>
        <w:rPr>
          <w:rFonts w:ascii="Sakkal Majalla" w:hAnsi="Sakkal Majalla" w:cs="Sakkal Majalla" w:hint="cs"/>
          <w:b/>
          <w:bCs/>
          <w:sz w:val="28"/>
          <w:szCs w:val="28"/>
          <w:rtl/>
          <w:lang w:bidi="ar-EG"/>
        </w:rPr>
        <w:t>عنوان البحث</w:t>
      </w:r>
    </w:p>
    <w:p w14:paraId="6B551ED1" w14:textId="77777777" w:rsidR="0019589C" w:rsidRDefault="0019589C" w:rsidP="0019589C">
      <w:pPr>
        <w:spacing w:before="100" w:beforeAutospacing="1" w:after="100" w:afterAutospacing="1" w:line="240" w:lineRule="auto"/>
        <w:jc w:val="center"/>
        <w:rPr>
          <w:rFonts w:ascii="Times New Roman" w:eastAsia="Times New Roman" w:hAnsi="Times New Roman" w:cs="Times New Roman"/>
          <w:b/>
          <w:bCs/>
          <w:color w:val="000000"/>
          <w:kern w:val="0"/>
          <w:sz w:val="24"/>
          <w:szCs w:val="24"/>
          <w14:ligatures w14:val="none"/>
        </w:rPr>
      </w:pPr>
      <w:r w:rsidRPr="00336C53">
        <w:rPr>
          <w:rFonts w:ascii="Times New Roman" w:eastAsia="Times New Roman" w:hAnsi="Times New Roman" w:cs="Times New Roman"/>
          <w:b/>
          <w:bCs/>
          <w:color w:val="000000"/>
          <w:kern w:val="0"/>
          <w:sz w:val="24"/>
          <w:szCs w:val="24"/>
          <w14:ligatures w14:val="none"/>
        </w:rPr>
        <w:br/>
      </w:r>
      <w:r w:rsidRPr="00336C53">
        <w:rPr>
          <w:rFonts w:ascii="Times New Roman" w:eastAsia="Times New Roman" w:hAnsi="Times New Roman" w:cs="Times New Roman"/>
          <w:b/>
          <w:bCs/>
          <w:color w:val="000000"/>
          <w:kern w:val="0"/>
          <w:sz w:val="24"/>
          <w:szCs w:val="24"/>
          <w:rtl/>
          <w14:ligatures w14:val="none"/>
        </w:rPr>
        <w:t>تقييم فعالية برامج التأمين الصحي في تحسين جودة الرعاية الصحية وتقليل المخاطر الصحية:</w:t>
      </w:r>
    </w:p>
    <w:p w14:paraId="489BCE6C" w14:textId="36295957" w:rsidR="0019589C" w:rsidRPr="00336C53" w:rsidRDefault="0019589C" w:rsidP="0019589C">
      <w:pPr>
        <w:spacing w:before="100" w:beforeAutospacing="1" w:after="100" w:afterAutospacing="1" w:line="240" w:lineRule="auto"/>
        <w:jc w:val="center"/>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b/>
          <w:bCs/>
          <w:color w:val="000000"/>
          <w:kern w:val="0"/>
          <w:sz w:val="24"/>
          <w:szCs w:val="24"/>
          <w:rtl/>
          <w14:ligatures w14:val="none"/>
        </w:rPr>
        <w:t xml:space="preserve"> دراسة تطبيقية على المملكة العربية السعودية</w:t>
      </w:r>
    </w:p>
    <w:bookmarkEnd w:id="0"/>
    <w:bookmarkEnd w:id="1"/>
    <w:p w14:paraId="15C28831" w14:textId="77777777" w:rsidR="009125CE" w:rsidRPr="0019589C"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hint="cs"/>
          <w:sz w:val="28"/>
          <w:szCs w:val="28"/>
          <w:rtl/>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bookmarkStart w:id="2" w:name="OLE_LINK4"/>
      <w:bookmarkStart w:id="3" w:name="OLE_LINK5"/>
    </w:p>
    <w:p w14:paraId="751A7E65" w14:textId="09F495D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9589C">
        <w:rPr>
          <w:rFonts w:ascii="Sakkal Majalla" w:hAnsi="Sakkal Majalla" w:cs="Sakkal Majalla" w:hint="cs"/>
          <w:b/>
          <w:bCs/>
          <w:sz w:val="28"/>
          <w:szCs w:val="28"/>
          <w:rtl/>
          <w:lang w:bidi="ar-EG"/>
        </w:rPr>
        <w:t>أ</w:t>
      </w:r>
      <w:r w:rsidR="0019589C" w:rsidRPr="0019589C">
        <w:rPr>
          <w:rFonts w:ascii="Sakkal Majalla" w:hAnsi="Sakkal Majalla" w:cs="Sakkal Majalla"/>
          <w:b/>
          <w:bCs/>
          <w:sz w:val="28"/>
          <w:szCs w:val="28"/>
          <w:rtl/>
          <w:lang w:bidi="ar-EG"/>
        </w:rPr>
        <w:t>مل سعيد</w:t>
      </w:r>
      <w:r w:rsidR="0019589C">
        <w:rPr>
          <w:rFonts w:ascii="Sakkal Majalla" w:hAnsi="Sakkal Majalla" w:cs="Sakkal Majalla" w:hint="cs"/>
          <w:b/>
          <w:bCs/>
          <w:sz w:val="28"/>
          <w:szCs w:val="28"/>
          <w:rtl/>
          <w:lang w:bidi="ar-EG"/>
        </w:rPr>
        <w:t xml:space="preserve"> عمر</w:t>
      </w:r>
      <w:r w:rsidR="0019589C" w:rsidRPr="0019589C">
        <w:rPr>
          <w:rFonts w:ascii="Sakkal Majalla" w:hAnsi="Sakkal Majalla" w:cs="Sakkal Majalla"/>
          <w:b/>
          <w:bCs/>
          <w:sz w:val="28"/>
          <w:szCs w:val="28"/>
          <w:rtl/>
          <w:lang w:bidi="ar-EG"/>
        </w:rPr>
        <w:t xml:space="preserve"> باقلب</w:t>
      </w:r>
    </w:p>
    <w:tbl>
      <w:tblPr>
        <w:tblW w:w="4243" w:type="pct"/>
        <w:jc w:val="center"/>
        <w:tblCellMar>
          <w:top w:w="15" w:type="dxa"/>
          <w:left w:w="15" w:type="dxa"/>
          <w:bottom w:w="15" w:type="dxa"/>
          <w:right w:w="15" w:type="dxa"/>
        </w:tblCellMar>
        <w:tblLook w:val="04A0" w:firstRow="1" w:lastRow="0" w:firstColumn="1" w:lastColumn="0" w:noHBand="0" w:noVBand="1"/>
      </w:tblPr>
      <w:tblGrid>
        <w:gridCol w:w="7495"/>
      </w:tblGrid>
      <w:tr w:rsidR="0019589C" w:rsidRPr="00E02462" w14:paraId="06E7D112" w14:textId="77777777" w:rsidTr="00862EA5">
        <w:trPr>
          <w:trHeight w:val="384"/>
          <w:jc w:val="center"/>
        </w:trPr>
        <w:tc>
          <w:tcPr>
            <w:tcW w:w="2400" w:type="pct"/>
            <w:tcMar>
              <w:top w:w="75" w:type="dxa"/>
              <w:left w:w="75" w:type="dxa"/>
              <w:bottom w:w="75" w:type="dxa"/>
              <w:right w:w="75" w:type="dxa"/>
            </w:tcMar>
            <w:vAlign w:val="center"/>
            <w:hideMark/>
          </w:tcPr>
          <w:p w14:paraId="3D051448" w14:textId="61A530E2" w:rsidR="0019589C" w:rsidRPr="0019589C" w:rsidRDefault="0019589C" w:rsidP="0019589C">
            <w:pPr>
              <w:spacing w:after="0" w:line="240" w:lineRule="auto"/>
              <w:jc w:val="center"/>
              <w:rPr>
                <w:rFonts w:ascii="Sakkal Majalla" w:hAnsi="Sakkal Majalla" w:cs="Sakkal Majalla"/>
                <w:b/>
                <w:bCs/>
                <w:sz w:val="28"/>
                <w:szCs w:val="28"/>
                <w:lang w:bidi="ar-EG"/>
              </w:rPr>
            </w:pPr>
            <w:r w:rsidRPr="0019589C">
              <w:rPr>
                <w:rFonts w:ascii="Sakkal Majalla" w:hAnsi="Sakkal Majalla" w:cs="Sakkal Majalla"/>
                <w:b/>
                <w:bCs/>
                <w:sz w:val="28"/>
                <w:szCs w:val="28"/>
                <w:rtl/>
                <w:lang w:bidi="ar-EG"/>
              </w:rPr>
              <w:t>الرقم الأكاديمي</w:t>
            </w:r>
            <w:r w:rsidRPr="0019589C">
              <w:rPr>
                <w:rFonts w:ascii="Sakkal Majalla" w:hAnsi="Sakkal Majalla" w:cs="Sakkal Majalla"/>
                <w:b/>
                <w:bCs/>
                <w:sz w:val="28"/>
                <w:szCs w:val="28"/>
                <w:lang w:bidi="ar-EG"/>
              </w:rPr>
              <w:t> 251002671</w:t>
            </w:r>
          </w:p>
        </w:tc>
      </w:tr>
      <w:bookmarkEnd w:id="2"/>
      <w:bookmarkEnd w:id="3"/>
    </w:tbl>
    <w:p w14:paraId="3D3CBDF8" w14:textId="77777777" w:rsidR="009125CE" w:rsidRPr="001902DB" w:rsidRDefault="009125CE" w:rsidP="0019589C">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306C7F9" w14:textId="4974576D" w:rsidR="0019589C" w:rsidRPr="001902DB" w:rsidRDefault="00B55620" w:rsidP="0019589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r w:rsidR="0019589C">
        <w:rPr>
          <w:rFonts w:ascii="Sakkal Majalla" w:hAnsi="Sakkal Majalla" w:cs="Sakkal Majalla"/>
          <w:b/>
          <w:bCs/>
          <w:sz w:val="28"/>
          <w:szCs w:val="28"/>
          <w:lang w:bidi="ar-EG"/>
        </w:rPr>
        <w:t xml:space="preserve"> </w:t>
      </w: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50AD0E8" w:rsidR="009125CE" w:rsidRPr="001902DB" w:rsidRDefault="0019589C"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5E0E4651" w14:textId="77777777" w:rsidR="0019589C" w:rsidRPr="00336C53" w:rsidRDefault="0019589C" w:rsidP="0019589C">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36C53">
        <w:rPr>
          <w:rFonts w:ascii="Times New Roman" w:eastAsia="Times New Roman" w:hAnsi="Times New Roman" w:cs="Times New Roman"/>
          <w:b/>
          <w:bCs/>
          <w:color w:val="000000"/>
          <w:kern w:val="36"/>
          <w:sz w:val="48"/>
          <w:szCs w:val="48"/>
          <w:rtl/>
          <w14:ligatures w14:val="none"/>
        </w:rPr>
        <w:lastRenderedPageBreak/>
        <w:t>فهرس المحتويات</w:t>
      </w:r>
    </w:p>
    <w:p w14:paraId="64AC8111" w14:textId="5A38E49A"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Pr>
          <w:rFonts w:ascii="Times New Roman" w:eastAsia="Times New Roman" w:hAnsi="Times New Roman" w:cs="Times New Roman"/>
          <w:color w:val="000000"/>
          <w:kern w:val="0"/>
          <w:sz w:val="32"/>
          <w:szCs w:val="32"/>
          <w14:ligatures w14:val="none"/>
        </w:rPr>
        <w:t xml:space="preserve">        </w:t>
      </w:r>
      <w:r w:rsidRPr="00336C53">
        <w:rPr>
          <w:rFonts w:ascii="Times New Roman" w:eastAsia="Times New Roman" w:hAnsi="Times New Roman" w:cs="Times New Roman"/>
          <w:color w:val="000000"/>
          <w:kern w:val="0"/>
          <w:sz w:val="36"/>
          <w:szCs w:val="36"/>
          <w:rtl/>
          <w14:ligatures w14:val="none"/>
        </w:rPr>
        <w:t>الملخص</w:t>
      </w:r>
      <w:r w:rsidRPr="00336C53">
        <w:rPr>
          <w:rFonts w:ascii="Times New Roman" w:eastAsia="Times New Roman" w:hAnsi="Times New Roman" w:cs="Times New Roman"/>
          <w:color w:val="000000"/>
          <w:kern w:val="0"/>
          <w:sz w:val="36"/>
          <w:szCs w:val="36"/>
          <w14:ligatures w14:val="none"/>
        </w:rPr>
        <w:t xml:space="preserve"> (Abstract)</w:t>
      </w: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14:ligatures w14:val="none"/>
        </w:rPr>
        <w:t xml:space="preserve">2 ........................................ </w:t>
      </w:r>
    </w:p>
    <w:p w14:paraId="48E05BBE" w14:textId="120B6546"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المقدمة .................................................. 3</w:t>
      </w:r>
    </w:p>
    <w:p w14:paraId="622C5772" w14:textId="05524F0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مراجعة الأدبيات ......................................... 4 3.1</w:t>
      </w:r>
    </w:p>
    <w:p w14:paraId="5A239EEF" w14:textId="41AE6010"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 </w:t>
      </w: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التأمين الصحي وجودة الرعاية الصحية ................ 4 3.2</w:t>
      </w:r>
    </w:p>
    <w:p w14:paraId="23950D98" w14:textId="7AA5B4EC"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 xml:space="preserve"> التأمين الصحي وتقليل المخاطر ........................ 5 3.3 </w:t>
      </w:r>
    </w:p>
    <w:p w14:paraId="283740BC" w14:textId="575D3FA2"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 xml:space="preserve">عوامل فعالية برامج التأمين الصحي ................... 6 3.4 </w:t>
      </w:r>
    </w:p>
    <w:p w14:paraId="6ABB2ED5" w14:textId="7DE2052F"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الفجوة البحثية ....................................... 7</w:t>
      </w:r>
    </w:p>
    <w:p w14:paraId="2A00869C" w14:textId="388717F0"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أهداف البحث .............................................. 8</w:t>
      </w:r>
    </w:p>
    <w:p w14:paraId="7138D15B" w14:textId="409A13A3"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19589C">
        <w:rPr>
          <w:rFonts w:ascii="Times New Roman" w:eastAsia="Times New Roman" w:hAnsi="Times New Roman" w:cs="Times New Roman"/>
          <w:color w:val="000000"/>
          <w:kern w:val="0"/>
          <w:sz w:val="36"/>
          <w:szCs w:val="36"/>
          <w14:ligatures w14:val="none"/>
        </w:rPr>
        <w:t xml:space="preserve">         </w:t>
      </w:r>
      <w:r w:rsidRPr="00336C53">
        <w:rPr>
          <w:rFonts w:ascii="Times New Roman" w:eastAsia="Times New Roman" w:hAnsi="Times New Roman" w:cs="Times New Roman"/>
          <w:color w:val="000000"/>
          <w:kern w:val="0"/>
          <w:sz w:val="36"/>
          <w:szCs w:val="36"/>
          <w:rtl/>
          <w14:ligatures w14:val="none"/>
        </w:rPr>
        <w:t>أسئلة البحث .............................................. 9</w:t>
      </w:r>
    </w:p>
    <w:p w14:paraId="2BC4833A"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الفرضيات ................................................ 10</w:t>
      </w:r>
    </w:p>
    <w:p w14:paraId="2CEB0297"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المنهجية ................................................. 11 7.1 </w:t>
      </w:r>
    </w:p>
    <w:p w14:paraId="4ECF2F60"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تصميم البحث ........................................ 11 7.2 </w:t>
      </w:r>
    </w:p>
    <w:p w14:paraId="7D594B84"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العينة .............................................. 12 7.3 </w:t>
      </w:r>
    </w:p>
    <w:p w14:paraId="65B2F865"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أدوات جمع البيانات .................................. 13 7.4 </w:t>
      </w:r>
    </w:p>
    <w:p w14:paraId="1DF014D5"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تحليل البيانات ...................................... 14</w:t>
      </w:r>
    </w:p>
    <w:p w14:paraId="1E5BF690"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الاعتبارات الأخلاقية .................................... 15</w:t>
      </w:r>
    </w:p>
    <w:p w14:paraId="490EBB38"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النتائج الافتراضية ...................................... 16 9.1 </w:t>
      </w:r>
    </w:p>
    <w:p w14:paraId="55312311"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أثر التأمين الصحي على جودة الرعاية ................. 16 9.2 </w:t>
      </w:r>
    </w:p>
    <w:p w14:paraId="591B2734"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العلاقة بين التأمين وتقليل المخاطر الصحية ......... 17 9.3 </w:t>
      </w:r>
    </w:p>
    <w:p w14:paraId="01BBE28A" w14:textId="77777777" w:rsidR="0019589C" w:rsidRPr="0019589C"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 xml:space="preserve">العوامل المؤثرة في الفعالية ........................ 18 9.4 </w:t>
      </w:r>
    </w:p>
    <w:p w14:paraId="1FEE8A26"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نتائج نوعية ......................................... 19</w:t>
      </w:r>
    </w:p>
    <w:p w14:paraId="1D368842"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المناقشة ................................................ 20</w:t>
      </w:r>
    </w:p>
    <w:p w14:paraId="50161C26"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الاستنتاجات ............................................ 21</w:t>
      </w:r>
    </w:p>
    <w:p w14:paraId="7B42C547"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التوصيات ................................................ 22</w:t>
      </w:r>
    </w:p>
    <w:p w14:paraId="4B972F13"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أهمية الدراسة ........................................... 23</w:t>
      </w:r>
    </w:p>
    <w:p w14:paraId="01F5D688" w14:textId="77777777" w:rsidR="0019589C" w:rsidRPr="00336C53" w:rsidRDefault="0019589C" w:rsidP="0019589C">
      <w:pPr>
        <w:numPr>
          <w:ilvl w:val="0"/>
          <w:numId w:val="1"/>
        </w:numPr>
        <w:spacing w:before="100" w:beforeAutospacing="1" w:after="100" w:afterAutospacing="1" w:line="240" w:lineRule="auto"/>
        <w:rPr>
          <w:rFonts w:ascii="Times New Roman" w:eastAsia="Times New Roman" w:hAnsi="Times New Roman" w:cs="Times New Roman"/>
          <w:color w:val="000000"/>
          <w:kern w:val="0"/>
          <w:sz w:val="36"/>
          <w:szCs w:val="36"/>
          <w14:ligatures w14:val="none"/>
        </w:rPr>
      </w:pPr>
      <w:r w:rsidRPr="00336C53">
        <w:rPr>
          <w:rFonts w:ascii="Times New Roman" w:eastAsia="Times New Roman" w:hAnsi="Times New Roman" w:cs="Times New Roman"/>
          <w:color w:val="000000"/>
          <w:kern w:val="0"/>
          <w:sz w:val="36"/>
          <w:szCs w:val="36"/>
          <w:rtl/>
          <w14:ligatures w14:val="none"/>
        </w:rPr>
        <w:t>المراجع</w:t>
      </w:r>
      <w:r w:rsidRPr="00336C53">
        <w:rPr>
          <w:rFonts w:ascii="Times New Roman" w:eastAsia="Times New Roman" w:hAnsi="Times New Roman" w:cs="Times New Roman"/>
          <w:color w:val="000000"/>
          <w:kern w:val="0"/>
          <w:sz w:val="36"/>
          <w:szCs w:val="36"/>
          <w14:ligatures w14:val="none"/>
        </w:rPr>
        <w:t xml:space="preserve"> (APA)</w:t>
      </w:r>
      <w:r w:rsidRPr="0019589C">
        <w:rPr>
          <w:rFonts w:ascii="Times New Roman" w:eastAsia="Times New Roman" w:hAnsi="Times New Roman" w:cs="Times New Roman"/>
          <w:color w:val="000000"/>
          <w:kern w:val="0"/>
          <w:sz w:val="36"/>
          <w:szCs w:val="36"/>
          <w14:ligatures w14:val="none"/>
        </w:rPr>
        <w:t>24</w:t>
      </w:r>
      <w:r w:rsidRPr="00336C53">
        <w:rPr>
          <w:rFonts w:ascii="Times New Roman" w:eastAsia="Times New Roman" w:hAnsi="Times New Roman" w:cs="Times New Roman"/>
          <w:color w:val="000000"/>
          <w:kern w:val="0"/>
          <w:sz w:val="36"/>
          <w:szCs w:val="36"/>
          <w14:ligatures w14:val="none"/>
        </w:rPr>
        <w:t xml:space="preserve"> ............................................ </w:t>
      </w:r>
    </w:p>
    <w:p w14:paraId="4F33BEBA" w14:textId="5632627D" w:rsidR="0019589C" w:rsidRPr="0019589C" w:rsidRDefault="0019589C" w:rsidP="0019589C">
      <w:pPr>
        <w:spacing w:after="0" w:line="240" w:lineRule="auto"/>
        <w:rPr>
          <w:rFonts w:ascii="Times New Roman" w:eastAsia="Times New Roman" w:hAnsi="Times New Roman" w:cs="Times New Roman"/>
          <w:color w:val="000000"/>
          <w:kern w:val="0"/>
          <w:sz w:val="36"/>
          <w:szCs w:val="36"/>
          <w14:ligatures w14:val="none"/>
        </w:rPr>
      </w:pPr>
    </w:p>
    <w:p w14:paraId="24B5EEFE"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26744678"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491936D4"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66CB005B"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7A3F8B31"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11742E25"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7324222D" w14:textId="77777777" w:rsidR="0019589C" w:rsidRPr="0019589C" w:rsidRDefault="0019589C" w:rsidP="0019589C">
      <w:pPr>
        <w:spacing w:after="0" w:line="240" w:lineRule="auto"/>
        <w:rPr>
          <w:rFonts w:ascii="Times New Roman" w:eastAsia="Times New Roman" w:hAnsi="Times New Roman" w:cs="Times New Roman"/>
          <w:color w:val="000000"/>
          <w:kern w:val="0"/>
          <w:sz w:val="32"/>
          <w:szCs w:val="32"/>
          <w14:ligatures w14:val="none"/>
        </w:rPr>
      </w:pPr>
    </w:p>
    <w:p w14:paraId="0411A0B0" w14:textId="77777777" w:rsidR="0019589C" w:rsidRDefault="0019589C" w:rsidP="0019589C">
      <w:pPr>
        <w:spacing w:after="0" w:line="240" w:lineRule="auto"/>
        <w:rPr>
          <w:rFonts w:ascii="Times New Roman" w:eastAsia="Times New Roman" w:hAnsi="Times New Roman" w:cs="Times New Roman"/>
          <w:color w:val="000000"/>
          <w:kern w:val="0"/>
          <w:sz w:val="24"/>
          <w:szCs w:val="24"/>
          <w14:ligatures w14:val="none"/>
        </w:rPr>
      </w:pPr>
    </w:p>
    <w:p w14:paraId="5C8F9EBA" w14:textId="77777777" w:rsidR="0019589C" w:rsidRPr="00336C53" w:rsidRDefault="0019589C" w:rsidP="0019589C">
      <w:pPr>
        <w:spacing w:after="0" w:line="240" w:lineRule="auto"/>
        <w:rPr>
          <w:rFonts w:ascii="Times New Roman" w:eastAsia="Times New Roman" w:hAnsi="Times New Roman" w:cs="Times New Roman"/>
          <w:color w:val="000000"/>
          <w:kern w:val="0"/>
          <w:sz w:val="24"/>
          <w:szCs w:val="24"/>
          <w14:ligatures w14:val="none"/>
        </w:rPr>
      </w:pPr>
    </w:p>
    <w:p w14:paraId="0F28BC91" w14:textId="77777777"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36C53">
        <w:rPr>
          <w:rFonts w:ascii="Times New Roman" w:eastAsia="Times New Roman" w:hAnsi="Times New Roman" w:cs="Times New Roman"/>
          <w:b/>
          <w:bCs/>
          <w:color w:val="000000"/>
          <w:kern w:val="0"/>
          <w:sz w:val="36"/>
          <w:szCs w:val="36"/>
          <w:rtl/>
          <w14:ligatures w14:val="none"/>
        </w:rPr>
        <w:t>الملخص</w:t>
      </w:r>
      <w:r w:rsidRPr="00336C53">
        <w:rPr>
          <w:rFonts w:ascii="Times New Roman" w:eastAsia="Times New Roman" w:hAnsi="Times New Roman" w:cs="Times New Roman"/>
          <w:b/>
          <w:bCs/>
          <w:color w:val="000000"/>
          <w:kern w:val="0"/>
          <w:sz w:val="36"/>
          <w:szCs w:val="36"/>
          <w14:ligatures w14:val="none"/>
        </w:rPr>
        <w:t xml:space="preserve"> (Abstract)</w:t>
      </w:r>
    </w:p>
    <w:p w14:paraId="28D6CCBC"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تهدف هذه الدراسة إلى تقييم فعالية برامج التأمين الصحي في المملكة العربية السعودية في تحسين جودة الرعاية الصحية وتقليل المخاطر الصحية. تم استخدام منهج مختلط يجمع بين الطرق الكمية والنوعية، شمل عينة من المستفيدين من التأمين، مقدمي الرعاية الصحية، وصناع القرار في شركات التأمين. النتائج الافتراضية تشير إلى أن التأمين الصحي يرتبط بتحسن ملحوظ في جودة الرعاية، زيادة الالتزام بالخدمات الوقائية، وتقليل المخاطر المالية والصحية على المستفيدين. توضح الدراسة المكونات الأساسية التي تجعل برامج التأمين أكثر فعالية، بما في ذلك التغطية الشاملة، رضا المستفيدين، وكفاءة شبكة مقدمي الخدمة. توفر الدراسة توصيات عملية لصانعي السياسات وشركات التأمين لتحسين تصميم وتنفيذ البرامج</w:t>
      </w:r>
      <w:r w:rsidRPr="00336C53">
        <w:rPr>
          <w:rFonts w:ascii="Times New Roman" w:eastAsia="Times New Roman" w:hAnsi="Times New Roman" w:cs="Times New Roman"/>
          <w:color w:val="000000"/>
          <w:kern w:val="0"/>
          <w:sz w:val="24"/>
          <w:szCs w:val="24"/>
          <w14:ligatures w14:val="none"/>
        </w:rPr>
        <w:t>.</w:t>
      </w:r>
    </w:p>
    <w:p w14:paraId="53791BC4" w14:textId="77777777"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36C53">
        <w:rPr>
          <w:rFonts w:ascii="Times New Roman" w:eastAsia="Times New Roman" w:hAnsi="Times New Roman" w:cs="Times New Roman"/>
          <w:b/>
          <w:bCs/>
          <w:color w:val="000000"/>
          <w:kern w:val="0"/>
          <w:sz w:val="36"/>
          <w:szCs w:val="36"/>
          <w14:ligatures w14:val="none"/>
        </w:rPr>
        <w:t xml:space="preserve">1. </w:t>
      </w:r>
      <w:r w:rsidRPr="00336C53">
        <w:rPr>
          <w:rFonts w:ascii="Times New Roman" w:eastAsia="Times New Roman" w:hAnsi="Times New Roman" w:cs="Times New Roman"/>
          <w:b/>
          <w:bCs/>
          <w:color w:val="000000"/>
          <w:kern w:val="0"/>
          <w:sz w:val="36"/>
          <w:szCs w:val="36"/>
          <w:rtl/>
          <w14:ligatures w14:val="none"/>
        </w:rPr>
        <w:t>المقدمة</w:t>
      </w:r>
    </w:p>
    <w:p w14:paraId="682B1561"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يلعب التأمين الصحي دورًا محوريًا في تعزيز الوصول إلى خدمات الرعاية الصحية وتحسين جودة الخدمة، إضافةً إلى التخفيف من المخاطر المالية المرتبطة بالمرض. في المملكة العربية السعودية، شهدت السنوات الأخيرة توسعًا كبيرًا في برامج التأمين الصحي، مما يمثل فرصة لدراسة تأثيرها على جودة الرعاية وتقليل المخاطر الصحية</w:t>
      </w:r>
      <w:r w:rsidRPr="00336C53">
        <w:rPr>
          <w:rFonts w:ascii="Times New Roman" w:eastAsia="Times New Roman" w:hAnsi="Times New Roman" w:cs="Times New Roman"/>
          <w:color w:val="000000"/>
          <w:kern w:val="0"/>
          <w:sz w:val="24"/>
          <w:szCs w:val="24"/>
          <w14:ligatures w14:val="none"/>
        </w:rPr>
        <w:t xml:space="preserve"> (WHO, 2021). </w:t>
      </w:r>
      <w:r w:rsidRPr="00336C53">
        <w:rPr>
          <w:rFonts w:ascii="Times New Roman" w:eastAsia="Times New Roman" w:hAnsi="Times New Roman" w:cs="Times New Roman"/>
          <w:color w:val="000000"/>
          <w:kern w:val="0"/>
          <w:sz w:val="24"/>
          <w:szCs w:val="24"/>
          <w:rtl/>
          <w14:ligatures w14:val="none"/>
        </w:rPr>
        <w:t>تعتبر دراسة فعالية التأمين الصحي ذات أهمية خاصة في الأسواق الناشئة حيث يمكن أن تكون النتائج متباينة حسب تصميم البرنامج، جودة التنفيذ، وكفاءة النظام الصحي</w:t>
      </w:r>
      <w:r w:rsidRPr="00336C53">
        <w:rPr>
          <w:rFonts w:ascii="Times New Roman" w:eastAsia="Times New Roman" w:hAnsi="Times New Roman" w:cs="Times New Roman"/>
          <w:color w:val="000000"/>
          <w:kern w:val="0"/>
          <w:sz w:val="24"/>
          <w:szCs w:val="24"/>
          <w14:ligatures w14:val="none"/>
        </w:rPr>
        <w:t>.</w:t>
      </w:r>
    </w:p>
    <w:p w14:paraId="57E008A6" w14:textId="791F0D36"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2 </w:t>
      </w:r>
      <w:r w:rsidRPr="00336C53">
        <w:rPr>
          <w:rFonts w:ascii="Times New Roman" w:eastAsia="Times New Roman" w:hAnsi="Times New Roman" w:cs="Times New Roman"/>
          <w:b/>
          <w:bCs/>
          <w:color w:val="000000"/>
          <w:kern w:val="0"/>
          <w:sz w:val="36"/>
          <w:szCs w:val="36"/>
          <w:rtl/>
          <w14:ligatures w14:val="none"/>
        </w:rPr>
        <w:t>مراجعة الأدبيات</w:t>
      </w:r>
    </w:p>
    <w:p w14:paraId="48B89D0C" w14:textId="7DEC2FC0"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2.1 </w:t>
      </w:r>
      <w:r w:rsidRPr="00336C53">
        <w:rPr>
          <w:rFonts w:ascii="Times New Roman" w:eastAsia="Times New Roman" w:hAnsi="Times New Roman" w:cs="Times New Roman"/>
          <w:b/>
          <w:bCs/>
          <w:color w:val="000000"/>
          <w:kern w:val="0"/>
          <w:sz w:val="27"/>
          <w:szCs w:val="27"/>
          <w:rtl/>
          <w14:ligatures w14:val="none"/>
        </w:rPr>
        <w:t>التأمين الصحي وجودة الرعاية الصحية</w:t>
      </w:r>
    </w:p>
    <w:p w14:paraId="6D6DBFE8"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تشير الدراسات إلى أن التغطية التأمينية ترتبط بتحسن مؤشرات الرعاية الصحية، مثل تقليل فترات الانتظار، وضمان استمرارية العلاج، وتحسين الالتزام بالخطة العلاجية</w:t>
      </w:r>
      <w:r w:rsidRPr="00336C53">
        <w:rPr>
          <w:rFonts w:ascii="Times New Roman" w:eastAsia="Times New Roman" w:hAnsi="Times New Roman" w:cs="Times New Roman"/>
          <w:color w:val="000000"/>
          <w:kern w:val="0"/>
          <w:sz w:val="24"/>
          <w:szCs w:val="24"/>
          <w14:ligatures w14:val="none"/>
        </w:rPr>
        <w:t xml:space="preserve"> (Smith et al., 2018; </w:t>
      </w:r>
      <w:proofErr w:type="spellStart"/>
      <w:r w:rsidRPr="00336C53">
        <w:rPr>
          <w:rFonts w:ascii="Times New Roman" w:eastAsia="Times New Roman" w:hAnsi="Times New Roman" w:cs="Times New Roman"/>
          <w:color w:val="000000"/>
          <w:kern w:val="0"/>
          <w:sz w:val="24"/>
          <w:szCs w:val="24"/>
          <w14:ligatures w14:val="none"/>
        </w:rPr>
        <w:t>Almalki</w:t>
      </w:r>
      <w:proofErr w:type="spellEnd"/>
      <w:r w:rsidRPr="00336C53">
        <w:rPr>
          <w:rFonts w:ascii="Times New Roman" w:eastAsia="Times New Roman" w:hAnsi="Times New Roman" w:cs="Times New Roman"/>
          <w:color w:val="000000"/>
          <w:kern w:val="0"/>
          <w:sz w:val="24"/>
          <w:szCs w:val="24"/>
          <w14:ligatures w14:val="none"/>
        </w:rPr>
        <w:t xml:space="preserve"> et al., 2020). </w:t>
      </w:r>
      <w:r w:rsidRPr="00336C53">
        <w:rPr>
          <w:rFonts w:ascii="Times New Roman" w:eastAsia="Times New Roman" w:hAnsi="Times New Roman" w:cs="Times New Roman"/>
          <w:color w:val="000000"/>
          <w:kern w:val="0"/>
          <w:sz w:val="24"/>
          <w:szCs w:val="24"/>
          <w:rtl/>
          <w14:ligatures w14:val="none"/>
        </w:rPr>
        <w:t>أظهرت دراسة محلية في السعودية أن المستفيدين من التأمين الصحي لديهم معدلات أعلى للزيارات الوقائية والفحوصات الدورية بنسبة تصل إلى 35% مقارنة بغير المؤمَّنين</w:t>
      </w:r>
      <w:r w:rsidRPr="00336C53">
        <w:rPr>
          <w:rFonts w:ascii="Times New Roman" w:eastAsia="Times New Roman" w:hAnsi="Times New Roman" w:cs="Times New Roman"/>
          <w:color w:val="000000"/>
          <w:kern w:val="0"/>
          <w:sz w:val="24"/>
          <w:szCs w:val="24"/>
          <w14:ligatures w14:val="none"/>
        </w:rPr>
        <w:t>.</w:t>
      </w:r>
    </w:p>
    <w:p w14:paraId="26680C5D" w14:textId="374ACE0C"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2.2 </w:t>
      </w:r>
      <w:r w:rsidRPr="00336C53">
        <w:rPr>
          <w:rFonts w:ascii="Times New Roman" w:eastAsia="Times New Roman" w:hAnsi="Times New Roman" w:cs="Times New Roman"/>
          <w:b/>
          <w:bCs/>
          <w:color w:val="000000"/>
          <w:kern w:val="0"/>
          <w:sz w:val="27"/>
          <w:szCs w:val="27"/>
          <w:rtl/>
          <w14:ligatures w14:val="none"/>
        </w:rPr>
        <w:t>ا</w:t>
      </w: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rtl/>
          <w14:ligatures w14:val="none"/>
        </w:rPr>
        <w:t>لتأمين الصحي وتقليل المخاطر</w:t>
      </w:r>
    </w:p>
    <w:p w14:paraId="00AF009D"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يساهم التأمين الصحي في تقليل النفقات المباشرة على المرضى ويشجع على الخدمات الوقائية، مما يقلل من عبء الأمراض ويمنع التعرض لأعباء مالية كارثية</w:t>
      </w:r>
      <w:r w:rsidRPr="00336C53">
        <w:rPr>
          <w:rFonts w:ascii="Times New Roman" w:eastAsia="Times New Roman" w:hAnsi="Times New Roman" w:cs="Times New Roman"/>
          <w:color w:val="000000"/>
          <w:kern w:val="0"/>
          <w:sz w:val="24"/>
          <w:szCs w:val="24"/>
          <w14:ligatures w14:val="none"/>
        </w:rPr>
        <w:t xml:space="preserve"> (Brown &amp; Finkelstein, 2019). </w:t>
      </w:r>
      <w:r w:rsidRPr="00336C53">
        <w:rPr>
          <w:rFonts w:ascii="Times New Roman" w:eastAsia="Times New Roman" w:hAnsi="Times New Roman" w:cs="Times New Roman"/>
          <w:color w:val="000000"/>
          <w:kern w:val="0"/>
          <w:sz w:val="24"/>
          <w:szCs w:val="24"/>
          <w:rtl/>
          <w14:ligatures w14:val="none"/>
        </w:rPr>
        <w:t>على سبيل المثال، أظهرت البيانات الافتراضية انخفاض النفقات الفردية على العلاج بنسبة 25% بين المؤمَّنين، وتحسن مؤشرات الصحة العامة مثل انخفاض معدل دخول المستشفى</w:t>
      </w:r>
      <w:r w:rsidRPr="00336C53">
        <w:rPr>
          <w:rFonts w:ascii="Times New Roman" w:eastAsia="Times New Roman" w:hAnsi="Times New Roman" w:cs="Times New Roman"/>
          <w:color w:val="000000"/>
          <w:kern w:val="0"/>
          <w:sz w:val="24"/>
          <w:szCs w:val="24"/>
          <w14:ligatures w14:val="none"/>
        </w:rPr>
        <w:t>.</w:t>
      </w:r>
    </w:p>
    <w:p w14:paraId="54B73CAF" w14:textId="2310EEF8"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2.3 </w:t>
      </w:r>
      <w:r w:rsidRPr="00336C53">
        <w:rPr>
          <w:rFonts w:ascii="Times New Roman" w:eastAsia="Times New Roman" w:hAnsi="Times New Roman" w:cs="Times New Roman"/>
          <w:b/>
          <w:bCs/>
          <w:color w:val="000000"/>
          <w:kern w:val="0"/>
          <w:sz w:val="27"/>
          <w:szCs w:val="27"/>
          <w:rtl/>
          <w14:ligatures w14:val="none"/>
        </w:rPr>
        <w:t>عوامل فعالية برامج التأمين الصحي</w:t>
      </w:r>
    </w:p>
    <w:p w14:paraId="149FE184"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تشمل عوامل الفعالية نطاق التغطية، تصميم المزايا، سياسات التعويض، وكفاءة شبكة مقدمي الخدمة. كما يعد رضا المستفيدين وثقتهم عوامل وسيطة تؤثر على النتائج الصحية</w:t>
      </w:r>
      <w:r w:rsidRPr="00336C53">
        <w:rPr>
          <w:rFonts w:ascii="Times New Roman" w:eastAsia="Times New Roman" w:hAnsi="Times New Roman" w:cs="Times New Roman"/>
          <w:color w:val="000000"/>
          <w:kern w:val="0"/>
          <w:sz w:val="24"/>
          <w:szCs w:val="24"/>
          <w14:ligatures w14:val="none"/>
        </w:rPr>
        <w:t xml:space="preserve"> (Lee &amp; Kim, 2020). </w:t>
      </w:r>
      <w:r w:rsidRPr="00336C53">
        <w:rPr>
          <w:rFonts w:ascii="Times New Roman" w:eastAsia="Times New Roman" w:hAnsi="Times New Roman" w:cs="Times New Roman"/>
          <w:color w:val="000000"/>
          <w:kern w:val="0"/>
          <w:sz w:val="24"/>
          <w:szCs w:val="24"/>
          <w:rtl/>
          <w14:ligatures w14:val="none"/>
        </w:rPr>
        <w:t>أظهرت الدراسات أن البرامج التي تتضمن تغطية شاملة تشمل الفحوصات الدورية والعلاجات الوقائية تحقق نتائج أفضل</w:t>
      </w:r>
      <w:r w:rsidRPr="00336C53">
        <w:rPr>
          <w:rFonts w:ascii="Times New Roman" w:eastAsia="Times New Roman" w:hAnsi="Times New Roman" w:cs="Times New Roman"/>
          <w:color w:val="000000"/>
          <w:kern w:val="0"/>
          <w:sz w:val="24"/>
          <w:szCs w:val="24"/>
          <w14:ligatures w14:val="none"/>
        </w:rPr>
        <w:t>.</w:t>
      </w:r>
    </w:p>
    <w:p w14:paraId="549B3F06" w14:textId="7A5BD316"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2.4 </w:t>
      </w:r>
      <w:r w:rsidRPr="00336C53">
        <w:rPr>
          <w:rFonts w:ascii="Times New Roman" w:eastAsia="Times New Roman" w:hAnsi="Times New Roman" w:cs="Times New Roman"/>
          <w:b/>
          <w:bCs/>
          <w:color w:val="000000"/>
          <w:kern w:val="0"/>
          <w:sz w:val="27"/>
          <w:szCs w:val="27"/>
          <w:rtl/>
          <w14:ligatures w14:val="none"/>
        </w:rPr>
        <w:t>الفجوة البحثية</w:t>
      </w:r>
    </w:p>
    <w:p w14:paraId="62CD9A40"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lastRenderedPageBreak/>
        <w:t>نقص الأدلة التجريبية من الأسواق الناشئة، بما فيها السعودية، يبرز الحاجة لدراسات ميدانية تربط بين التغطية التأمينية وتحسن جودة الرعاية وتقليل المخاطر الصحية. كما أن معظم الدراسات الحالية تركز على الجوانب المالية فقط دون النظر إلى الأثر الكلي على الصحة وجودة الخدمة</w:t>
      </w:r>
      <w:r w:rsidRPr="00336C53">
        <w:rPr>
          <w:rFonts w:ascii="Times New Roman" w:eastAsia="Times New Roman" w:hAnsi="Times New Roman" w:cs="Times New Roman"/>
          <w:color w:val="000000"/>
          <w:kern w:val="0"/>
          <w:sz w:val="24"/>
          <w:szCs w:val="24"/>
          <w14:ligatures w14:val="none"/>
        </w:rPr>
        <w:t>.</w:t>
      </w:r>
    </w:p>
    <w:p w14:paraId="04A377A0" w14:textId="6732C2AD"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3 </w:t>
      </w:r>
      <w:r w:rsidRPr="00336C53">
        <w:rPr>
          <w:rFonts w:ascii="Times New Roman" w:eastAsia="Times New Roman" w:hAnsi="Times New Roman" w:cs="Times New Roman"/>
          <w:b/>
          <w:bCs/>
          <w:color w:val="000000"/>
          <w:kern w:val="0"/>
          <w:sz w:val="36"/>
          <w:szCs w:val="36"/>
          <w:rtl/>
          <w14:ligatures w14:val="none"/>
        </w:rPr>
        <w:t>أهداف البحث</w:t>
      </w:r>
    </w:p>
    <w:p w14:paraId="0E30D798" w14:textId="77777777" w:rsidR="0019589C" w:rsidRPr="00336C53" w:rsidRDefault="0019589C" w:rsidP="0019589C">
      <w:pPr>
        <w:numPr>
          <w:ilvl w:val="0"/>
          <w:numId w:val="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تقييم أثر برامج التأمين الصحي على جودة خدمات الرعاية الصحية المقدمة للمستفيدين</w:t>
      </w:r>
      <w:r w:rsidRPr="00336C53">
        <w:rPr>
          <w:rFonts w:ascii="Times New Roman" w:eastAsia="Times New Roman" w:hAnsi="Times New Roman" w:cs="Times New Roman"/>
          <w:color w:val="000000"/>
          <w:kern w:val="0"/>
          <w:sz w:val="24"/>
          <w:szCs w:val="24"/>
          <w14:ligatures w14:val="none"/>
        </w:rPr>
        <w:t>.</w:t>
      </w:r>
    </w:p>
    <w:p w14:paraId="02CBAAFA" w14:textId="77777777" w:rsidR="0019589C" w:rsidRPr="00336C53" w:rsidRDefault="0019589C" w:rsidP="0019589C">
      <w:pPr>
        <w:numPr>
          <w:ilvl w:val="0"/>
          <w:numId w:val="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تحليل دور التأمين الصحي في تقليل المخاطر الصحية</w:t>
      </w:r>
      <w:r w:rsidRPr="00336C53">
        <w:rPr>
          <w:rFonts w:ascii="Times New Roman" w:eastAsia="Times New Roman" w:hAnsi="Times New Roman" w:cs="Times New Roman"/>
          <w:color w:val="000000"/>
          <w:kern w:val="0"/>
          <w:sz w:val="24"/>
          <w:szCs w:val="24"/>
          <w14:ligatures w14:val="none"/>
        </w:rPr>
        <w:t>.</w:t>
      </w:r>
    </w:p>
    <w:p w14:paraId="5A6AFA9B" w14:textId="77777777" w:rsidR="0019589C" w:rsidRPr="00336C53" w:rsidRDefault="0019589C" w:rsidP="0019589C">
      <w:pPr>
        <w:numPr>
          <w:ilvl w:val="0"/>
          <w:numId w:val="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تحديد المكونات والخصائص التي تجعل برامج التأمين أكثر فعالية</w:t>
      </w:r>
      <w:r w:rsidRPr="00336C53">
        <w:rPr>
          <w:rFonts w:ascii="Times New Roman" w:eastAsia="Times New Roman" w:hAnsi="Times New Roman" w:cs="Times New Roman"/>
          <w:color w:val="000000"/>
          <w:kern w:val="0"/>
          <w:sz w:val="24"/>
          <w:szCs w:val="24"/>
          <w14:ligatures w14:val="none"/>
        </w:rPr>
        <w:t>.</w:t>
      </w:r>
    </w:p>
    <w:p w14:paraId="551CF895" w14:textId="77777777" w:rsidR="0019589C" w:rsidRPr="00336C53" w:rsidRDefault="0019589C" w:rsidP="0019589C">
      <w:pPr>
        <w:numPr>
          <w:ilvl w:val="0"/>
          <w:numId w:val="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تقديم توصيات عملية لتحسين تصميم وتنفيذ برامج التأمين الصحي</w:t>
      </w:r>
      <w:r w:rsidRPr="00336C53">
        <w:rPr>
          <w:rFonts w:ascii="Times New Roman" w:eastAsia="Times New Roman" w:hAnsi="Times New Roman" w:cs="Times New Roman"/>
          <w:color w:val="000000"/>
          <w:kern w:val="0"/>
          <w:sz w:val="24"/>
          <w:szCs w:val="24"/>
          <w14:ligatures w14:val="none"/>
        </w:rPr>
        <w:t>.</w:t>
      </w:r>
    </w:p>
    <w:p w14:paraId="537948AA" w14:textId="234BBC04"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4 </w:t>
      </w:r>
      <w:r w:rsidRPr="00336C53">
        <w:rPr>
          <w:rFonts w:ascii="Times New Roman" w:eastAsia="Times New Roman" w:hAnsi="Times New Roman" w:cs="Times New Roman"/>
          <w:b/>
          <w:bCs/>
          <w:color w:val="000000"/>
          <w:kern w:val="0"/>
          <w:sz w:val="36"/>
          <w:szCs w:val="36"/>
          <w:rtl/>
          <w14:ligatures w14:val="none"/>
        </w:rPr>
        <w:t>أسئلة البحث</w:t>
      </w:r>
    </w:p>
    <w:p w14:paraId="6EE5881B" w14:textId="77777777" w:rsidR="0019589C" w:rsidRPr="00336C53" w:rsidRDefault="0019589C" w:rsidP="0019589C">
      <w:pPr>
        <w:numPr>
          <w:ilvl w:val="0"/>
          <w:numId w:val="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كيف تؤثر التغطية التأمينية على جودة الرعاية الصحية؟</w:t>
      </w:r>
    </w:p>
    <w:p w14:paraId="76A378A7" w14:textId="77777777" w:rsidR="0019589C" w:rsidRPr="00336C53" w:rsidRDefault="0019589C" w:rsidP="0019589C">
      <w:pPr>
        <w:numPr>
          <w:ilvl w:val="0"/>
          <w:numId w:val="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ما العلاقة بين امتلاك التأمين الصحي وتقليل المخاطر الصحية؟</w:t>
      </w:r>
    </w:p>
    <w:p w14:paraId="7858A0D1" w14:textId="77777777" w:rsidR="0019589C" w:rsidRPr="00336C53" w:rsidRDefault="0019589C" w:rsidP="0019589C">
      <w:pPr>
        <w:numPr>
          <w:ilvl w:val="0"/>
          <w:numId w:val="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ما العناصر الأكثر فعالية في برامج التأمين لتحقيق نتائج صحية أفضل؟</w:t>
      </w:r>
    </w:p>
    <w:p w14:paraId="7B1E5F65" w14:textId="77777777" w:rsidR="0019589C" w:rsidRPr="00336C53" w:rsidRDefault="0019589C" w:rsidP="0019589C">
      <w:pPr>
        <w:numPr>
          <w:ilvl w:val="0"/>
          <w:numId w:val="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ما التحديات التي تواجه مقدمي الرعاية وشركات التأمين في تطبيق هذه البرامج؟</w:t>
      </w:r>
    </w:p>
    <w:p w14:paraId="573E8E11" w14:textId="25ED19AC"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5 </w:t>
      </w:r>
      <w:r w:rsidRPr="00336C53">
        <w:rPr>
          <w:rFonts w:ascii="Times New Roman" w:eastAsia="Times New Roman" w:hAnsi="Times New Roman" w:cs="Times New Roman"/>
          <w:b/>
          <w:bCs/>
          <w:color w:val="000000"/>
          <w:kern w:val="0"/>
          <w:sz w:val="36"/>
          <w:szCs w:val="36"/>
          <w:rtl/>
          <w14:ligatures w14:val="none"/>
        </w:rPr>
        <w:t>الفرضيات</w:t>
      </w:r>
    </w:p>
    <w:p w14:paraId="15DCFD11" w14:textId="77777777" w:rsidR="0019589C" w:rsidRPr="00336C53" w:rsidRDefault="0019589C" w:rsidP="0019589C">
      <w:pPr>
        <w:numPr>
          <w:ilvl w:val="0"/>
          <w:numId w:val="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ف1: للتغطية التأمينية أثر إيجابي على جودة خدمات الرعاية الصحية</w:t>
      </w:r>
      <w:r w:rsidRPr="00336C53">
        <w:rPr>
          <w:rFonts w:ascii="Times New Roman" w:eastAsia="Times New Roman" w:hAnsi="Times New Roman" w:cs="Times New Roman"/>
          <w:color w:val="000000"/>
          <w:kern w:val="0"/>
          <w:sz w:val="24"/>
          <w:szCs w:val="24"/>
          <w14:ligatures w14:val="none"/>
        </w:rPr>
        <w:t>.</w:t>
      </w:r>
    </w:p>
    <w:p w14:paraId="59E53550" w14:textId="77777777" w:rsidR="0019589C" w:rsidRPr="00336C53" w:rsidRDefault="0019589C" w:rsidP="0019589C">
      <w:pPr>
        <w:numPr>
          <w:ilvl w:val="0"/>
          <w:numId w:val="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ف2: يرتبط التأمين الصحي بانخفاض ملحوظ في المخاطر الصحية</w:t>
      </w:r>
      <w:r w:rsidRPr="00336C53">
        <w:rPr>
          <w:rFonts w:ascii="Times New Roman" w:eastAsia="Times New Roman" w:hAnsi="Times New Roman" w:cs="Times New Roman"/>
          <w:color w:val="000000"/>
          <w:kern w:val="0"/>
          <w:sz w:val="24"/>
          <w:szCs w:val="24"/>
          <w14:ligatures w14:val="none"/>
        </w:rPr>
        <w:t>.</w:t>
      </w:r>
    </w:p>
    <w:p w14:paraId="493B2A7C" w14:textId="77777777" w:rsidR="0019589C" w:rsidRPr="00336C53" w:rsidRDefault="0019589C" w:rsidP="0019589C">
      <w:pPr>
        <w:numPr>
          <w:ilvl w:val="0"/>
          <w:numId w:val="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ف3: التغطية الشاملة ورضا المستفيدين عن خدمات التأمين يرتبطان إيجابيًا بتحسن النتائج الصحية</w:t>
      </w:r>
      <w:r w:rsidRPr="00336C53">
        <w:rPr>
          <w:rFonts w:ascii="Times New Roman" w:eastAsia="Times New Roman" w:hAnsi="Times New Roman" w:cs="Times New Roman"/>
          <w:color w:val="000000"/>
          <w:kern w:val="0"/>
          <w:sz w:val="24"/>
          <w:szCs w:val="24"/>
          <w14:ligatures w14:val="none"/>
        </w:rPr>
        <w:t>.</w:t>
      </w:r>
    </w:p>
    <w:p w14:paraId="7DD9AA83" w14:textId="77777777" w:rsidR="0019589C" w:rsidRPr="00336C53" w:rsidRDefault="0019589C" w:rsidP="0019589C">
      <w:pPr>
        <w:numPr>
          <w:ilvl w:val="0"/>
          <w:numId w:val="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ف4: تحسين التنسيق بين شركات التأمين والمستشفيات يؤدي إلى رفع جودة الخدمة</w:t>
      </w:r>
      <w:r w:rsidRPr="00336C53">
        <w:rPr>
          <w:rFonts w:ascii="Times New Roman" w:eastAsia="Times New Roman" w:hAnsi="Times New Roman" w:cs="Times New Roman"/>
          <w:color w:val="000000"/>
          <w:kern w:val="0"/>
          <w:sz w:val="24"/>
          <w:szCs w:val="24"/>
          <w14:ligatures w14:val="none"/>
        </w:rPr>
        <w:t>.</w:t>
      </w:r>
    </w:p>
    <w:p w14:paraId="226F7122" w14:textId="10F42704"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6 </w:t>
      </w:r>
      <w:r w:rsidRPr="00336C53">
        <w:rPr>
          <w:rFonts w:ascii="Times New Roman" w:eastAsia="Times New Roman" w:hAnsi="Times New Roman" w:cs="Times New Roman"/>
          <w:b/>
          <w:bCs/>
          <w:color w:val="000000"/>
          <w:kern w:val="0"/>
          <w:sz w:val="36"/>
          <w:szCs w:val="36"/>
          <w:rtl/>
          <w14:ligatures w14:val="none"/>
        </w:rPr>
        <w:t>المنهجية</w:t>
      </w:r>
    </w:p>
    <w:p w14:paraId="2853DD7A" w14:textId="684D8B3D"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w:t>
      </w:r>
      <w:r w:rsidRPr="00336C53">
        <w:rPr>
          <w:rFonts w:ascii="Times New Roman" w:eastAsia="Times New Roman" w:hAnsi="Times New Roman" w:cs="Times New Roman"/>
          <w:b/>
          <w:bCs/>
          <w:color w:val="000000"/>
          <w:kern w:val="0"/>
          <w:sz w:val="27"/>
          <w:szCs w:val="27"/>
          <w14:ligatures w14:val="none"/>
        </w:rPr>
        <w:t xml:space="preserve">6.1 </w:t>
      </w:r>
      <w:r w:rsidRPr="00336C53">
        <w:rPr>
          <w:rFonts w:ascii="Times New Roman" w:eastAsia="Times New Roman" w:hAnsi="Times New Roman" w:cs="Times New Roman"/>
          <w:b/>
          <w:bCs/>
          <w:color w:val="000000"/>
          <w:kern w:val="0"/>
          <w:sz w:val="27"/>
          <w:szCs w:val="27"/>
          <w:rtl/>
          <w14:ligatures w14:val="none"/>
        </w:rPr>
        <w:t>تصميم البحث</w:t>
      </w:r>
    </w:p>
    <w:p w14:paraId="346446AC"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منهج مختلط (كمّي + نوعي) لدراسة العلاقة بين التأمين الصحي وجودة الرعاية وتقليل المخاطر الصحية</w:t>
      </w:r>
      <w:r w:rsidRPr="00336C53">
        <w:rPr>
          <w:rFonts w:ascii="Times New Roman" w:eastAsia="Times New Roman" w:hAnsi="Times New Roman" w:cs="Times New Roman"/>
          <w:color w:val="000000"/>
          <w:kern w:val="0"/>
          <w:sz w:val="24"/>
          <w:szCs w:val="24"/>
          <w14:ligatures w14:val="none"/>
        </w:rPr>
        <w:t>.</w:t>
      </w:r>
    </w:p>
    <w:p w14:paraId="05F7F48D" w14:textId="1E777844"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w:t>
      </w:r>
      <w:r w:rsidRPr="00336C53">
        <w:rPr>
          <w:rFonts w:ascii="Times New Roman" w:eastAsia="Times New Roman" w:hAnsi="Times New Roman" w:cs="Times New Roman"/>
          <w:b/>
          <w:bCs/>
          <w:color w:val="000000"/>
          <w:kern w:val="0"/>
          <w:sz w:val="27"/>
          <w:szCs w:val="27"/>
          <w14:ligatures w14:val="none"/>
        </w:rPr>
        <w:t xml:space="preserve">6.2 </w:t>
      </w:r>
      <w:r w:rsidRPr="00336C53">
        <w:rPr>
          <w:rFonts w:ascii="Times New Roman" w:eastAsia="Times New Roman" w:hAnsi="Times New Roman" w:cs="Times New Roman"/>
          <w:b/>
          <w:bCs/>
          <w:color w:val="000000"/>
          <w:kern w:val="0"/>
          <w:sz w:val="27"/>
          <w:szCs w:val="27"/>
          <w:rtl/>
          <w14:ligatures w14:val="none"/>
        </w:rPr>
        <w:t>العينة</w:t>
      </w:r>
    </w:p>
    <w:p w14:paraId="146D8451" w14:textId="77777777" w:rsidR="0019589C" w:rsidRPr="00336C53" w:rsidRDefault="0019589C" w:rsidP="0019589C">
      <w:pPr>
        <w:numPr>
          <w:ilvl w:val="0"/>
          <w:numId w:val="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المستفيدون من برامج التأمين الصحي</w:t>
      </w:r>
      <w:r w:rsidRPr="00336C53">
        <w:rPr>
          <w:rFonts w:ascii="Times New Roman" w:eastAsia="Times New Roman" w:hAnsi="Times New Roman" w:cs="Times New Roman"/>
          <w:color w:val="000000"/>
          <w:kern w:val="0"/>
          <w:sz w:val="24"/>
          <w:szCs w:val="24"/>
          <w14:ligatures w14:val="none"/>
        </w:rPr>
        <w:t>.</w:t>
      </w:r>
    </w:p>
    <w:p w14:paraId="4879C8A7" w14:textId="77777777" w:rsidR="0019589C" w:rsidRPr="00336C53" w:rsidRDefault="0019589C" w:rsidP="0019589C">
      <w:pPr>
        <w:numPr>
          <w:ilvl w:val="0"/>
          <w:numId w:val="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مقدمو الرعاية الصحية</w:t>
      </w:r>
      <w:r w:rsidRPr="00336C53">
        <w:rPr>
          <w:rFonts w:ascii="Times New Roman" w:eastAsia="Times New Roman" w:hAnsi="Times New Roman" w:cs="Times New Roman"/>
          <w:color w:val="000000"/>
          <w:kern w:val="0"/>
          <w:sz w:val="24"/>
          <w:szCs w:val="24"/>
          <w14:ligatures w14:val="none"/>
        </w:rPr>
        <w:t>.</w:t>
      </w:r>
    </w:p>
    <w:p w14:paraId="03139579" w14:textId="77777777" w:rsidR="0019589C" w:rsidRPr="00336C53" w:rsidRDefault="0019589C" w:rsidP="0019589C">
      <w:pPr>
        <w:numPr>
          <w:ilvl w:val="0"/>
          <w:numId w:val="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واضعو السياسات ومديرو شركات التأمين</w:t>
      </w:r>
      <w:r w:rsidRPr="00336C53">
        <w:rPr>
          <w:rFonts w:ascii="Times New Roman" w:eastAsia="Times New Roman" w:hAnsi="Times New Roman" w:cs="Times New Roman"/>
          <w:color w:val="000000"/>
          <w:kern w:val="0"/>
          <w:sz w:val="24"/>
          <w:szCs w:val="24"/>
          <w14:ligatures w14:val="none"/>
        </w:rPr>
        <w:t>.</w:t>
      </w:r>
    </w:p>
    <w:p w14:paraId="2159FE87" w14:textId="77777777" w:rsidR="0019589C" w:rsidRPr="00336C53" w:rsidRDefault="0019589C" w:rsidP="0019589C">
      <w:pPr>
        <w:numPr>
          <w:ilvl w:val="0"/>
          <w:numId w:val="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اختيار العينة: عينة عشوائية طبقية للاستبيانات، وعينة محددة للمقابلات</w:t>
      </w:r>
      <w:r w:rsidRPr="00336C53">
        <w:rPr>
          <w:rFonts w:ascii="Times New Roman" w:eastAsia="Times New Roman" w:hAnsi="Times New Roman" w:cs="Times New Roman"/>
          <w:color w:val="000000"/>
          <w:kern w:val="0"/>
          <w:sz w:val="24"/>
          <w:szCs w:val="24"/>
          <w14:ligatures w14:val="none"/>
        </w:rPr>
        <w:t>.</w:t>
      </w:r>
    </w:p>
    <w:p w14:paraId="14864409" w14:textId="25829AC0"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6.3 </w:t>
      </w:r>
      <w:r w:rsidRPr="00336C53">
        <w:rPr>
          <w:rFonts w:ascii="Times New Roman" w:eastAsia="Times New Roman" w:hAnsi="Times New Roman" w:cs="Times New Roman"/>
          <w:b/>
          <w:bCs/>
          <w:color w:val="000000"/>
          <w:kern w:val="0"/>
          <w:sz w:val="27"/>
          <w:szCs w:val="27"/>
          <w:rtl/>
          <w14:ligatures w14:val="none"/>
        </w:rPr>
        <w:t>أدوات جمع البيانات</w:t>
      </w:r>
    </w:p>
    <w:p w14:paraId="7DECC038"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b/>
          <w:bCs/>
          <w:color w:val="000000"/>
          <w:kern w:val="0"/>
          <w:sz w:val="24"/>
          <w:szCs w:val="24"/>
          <w:rtl/>
          <w14:ligatures w14:val="none"/>
        </w:rPr>
        <w:t>كمّي</w:t>
      </w:r>
      <w:r w:rsidRPr="00336C53">
        <w:rPr>
          <w:rFonts w:ascii="Times New Roman" w:eastAsia="Times New Roman" w:hAnsi="Times New Roman" w:cs="Times New Roman"/>
          <w:b/>
          <w:bCs/>
          <w:color w:val="000000"/>
          <w:kern w:val="0"/>
          <w:sz w:val="24"/>
          <w:szCs w:val="24"/>
          <w14:ligatures w14:val="none"/>
        </w:rPr>
        <w:t>:</w:t>
      </w:r>
      <w:r w:rsidRPr="00336C53">
        <w:rPr>
          <w:rFonts w:ascii="Times New Roman" w:eastAsia="Times New Roman" w:hAnsi="Times New Roman" w:cs="Times New Roman"/>
          <w:color w:val="000000"/>
          <w:kern w:val="0"/>
          <w:sz w:val="24"/>
          <w:szCs w:val="24"/>
          <w14:ligatures w14:val="none"/>
        </w:rPr>
        <w:t> </w:t>
      </w:r>
      <w:r w:rsidRPr="00336C53">
        <w:rPr>
          <w:rFonts w:ascii="Times New Roman" w:eastAsia="Times New Roman" w:hAnsi="Times New Roman" w:cs="Times New Roman"/>
          <w:color w:val="000000"/>
          <w:kern w:val="0"/>
          <w:sz w:val="24"/>
          <w:szCs w:val="24"/>
          <w:rtl/>
          <w14:ligatures w14:val="none"/>
        </w:rPr>
        <w:t>استبيانات لقياس جودة الرعاية، تقليل المخاطر، ورضا المستفيدين؛ بيانات ثانوية من مطالبات التأمين ومؤشرات أداء المستشفيات</w:t>
      </w:r>
      <w:r w:rsidRPr="00336C53">
        <w:rPr>
          <w:rFonts w:ascii="Times New Roman" w:eastAsia="Times New Roman" w:hAnsi="Times New Roman" w:cs="Times New Roman"/>
          <w:color w:val="000000"/>
          <w:kern w:val="0"/>
          <w:sz w:val="24"/>
          <w:szCs w:val="24"/>
          <w14:ligatures w14:val="none"/>
        </w:rPr>
        <w:t>.</w:t>
      </w:r>
    </w:p>
    <w:p w14:paraId="7E9711F6"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b/>
          <w:bCs/>
          <w:color w:val="000000"/>
          <w:kern w:val="0"/>
          <w:sz w:val="24"/>
          <w:szCs w:val="24"/>
          <w:rtl/>
          <w14:ligatures w14:val="none"/>
        </w:rPr>
        <w:t>نوعي</w:t>
      </w:r>
      <w:r w:rsidRPr="00336C53">
        <w:rPr>
          <w:rFonts w:ascii="Times New Roman" w:eastAsia="Times New Roman" w:hAnsi="Times New Roman" w:cs="Times New Roman"/>
          <w:b/>
          <w:bCs/>
          <w:color w:val="000000"/>
          <w:kern w:val="0"/>
          <w:sz w:val="24"/>
          <w:szCs w:val="24"/>
          <w14:ligatures w14:val="none"/>
        </w:rPr>
        <w:t>:</w:t>
      </w:r>
      <w:r w:rsidRPr="00336C53">
        <w:rPr>
          <w:rFonts w:ascii="Times New Roman" w:eastAsia="Times New Roman" w:hAnsi="Times New Roman" w:cs="Times New Roman"/>
          <w:color w:val="000000"/>
          <w:kern w:val="0"/>
          <w:sz w:val="24"/>
          <w:szCs w:val="24"/>
          <w14:ligatures w14:val="none"/>
        </w:rPr>
        <w:t> </w:t>
      </w:r>
      <w:r w:rsidRPr="00336C53">
        <w:rPr>
          <w:rFonts w:ascii="Times New Roman" w:eastAsia="Times New Roman" w:hAnsi="Times New Roman" w:cs="Times New Roman"/>
          <w:color w:val="000000"/>
          <w:kern w:val="0"/>
          <w:sz w:val="24"/>
          <w:szCs w:val="24"/>
          <w:rtl/>
          <w14:ligatures w14:val="none"/>
        </w:rPr>
        <w:t>مقابلات مع المسؤولين وصناع القرار لاستكشاف التحديات والممارسات المثلى</w:t>
      </w:r>
      <w:r w:rsidRPr="00336C53">
        <w:rPr>
          <w:rFonts w:ascii="Times New Roman" w:eastAsia="Times New Roman" w:hAnsi="Times New Roman" w:cs="Times New Roman"/>
          <w:color w:val="000000"/>
          <w:kern w:val="0"/>
          <w:sz w:val="24"/>
          <w:szCs w:val="24"/>
          <w14:ligatures w14:val="none"/>
        </w:rPr>
        <w:t>.</w:t>
      </w:r>
    </w:p>
    <w:p w14:paraId="049900AF" w14:textId="4D7F3E37"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6.4 </w:t>
      </w:r>
      <w:r w:rsidRPr="00336C53">
        <w:rPr>
          <w:rFonts w:ascii="Times New Roman" w:eastAsia="Times New Roman" w:hAnsi="Times New Roman" w:cs="Times New Roman"/>
          <w:b/>
          <w:bCs/>
          <w:color w:val="000000"/>
          <w:kern w:val="0"/>
          <w:sz w:val="27"/>
          <w:szCs w:val="27"/>
          <w:rtl/>
          <w14:ligatures w14:val="none"/>
        </w:rPr>
        <w:t>تحليل البيانات</w:t>
      </w:r>
    </w:p>
    <w:p w14:paraId="7CBBE5DA" w14:textId="77777777" w:rsidR="0019589C" w:rsidRPr="00336C53" w:rsidRDefault="0019589C" w:rsidP="0019589C">
      <w:pPr>
        <w:numPr>
          <w:ilvl w:val="0"/>
          <w:numId w:val="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lastRenderedPageBreak/>
        <w:t>كمّي: إحصاءات وصفية، تحليل ارتباط</w:t>
      </w:r>
      <w:r w:rsidRPr="00336C53">
        <w:rPr>
          <w:rFonts w:ascii="Times New Roman" w:eastAsia="Times New Roman" w:hAnsi="Times New Roman" w:cs="Times New Roman"/>
          <w:color w:val="000000"/>
          <w:kern w:val="0"/>
          <w:sz w:val="24"/>
          <w:szCs w:val="24"/>
          <w14:ligatures w14:val="none"/>
        </w:rPr>
        <w:t xml:space="preserve"> (Pearson)</w:t>
      </w:r>
      <w:r w:rsidRPr="00336C53">
        <w:rPr>
          <w:rFonts w:ascii="Times New Roman" w:eastAsia="Times New Roman" w:hAnsi="Times New Roman" w:cs="Times New Roman"/>
          <w:color w:val="000000"/>
          <w:kern w:val="0"/>
          <w:sz w:val="24"/>
          <w:szCs w:val="24"/>
          <w:rtl/>
          <w14:ligatures w14:val="none"/>
        </w:rPr>
        <w:t xml:space="preserve">، انحدار متعدد، </w:t>
      </w:r>
      <w:r w:rsidRPr="00336C53">
        <w:rPr>
          <w:rFonts w:ascii="Times New Roman" w:eastAsia="Times New Roman" w:hAnsi="Times New Roman" w:cs="Times New Roman"/>
          <w:color w:val="000000"/>
          <w:kern w:val="0"/>
          <w:sz w:val="24"/>
          <w:szCs w:val="24"/>
          <w14:ligatures w14:val="none"/>
        </w:rPr>
        <w:t>T-Test</w:t>
      </w:r>
      <w:r w:rsidRPr="00336C53">
        <w:rPr>
          <w:rFonts w:ascii="Times New Roman" w:eastAsia="Times New Roman" w:hAnsi="Times New Roman" w:cs="Times New Roman"/>
          <w:color w:val="000000"/>
          <w:kern w:val="0"/>
          <w:sz w:val="24"/>
          <w:szCs w:val="24"/>
          <w:rtl/>
          <w14:ligatures w14:val="none"/>
        </w:rPr>
        <w:t xml:space="preserve">، </w:t>
      </w:r>
      <w:r w:rsidRPr="00336C53">
        <w:rPr>
          <w:rFonts w:ascii="Times New Roman" w:eastAsia="Times New Roman" w:hAnsi="Times New Roman" w:cs="Times New Roman"/>
          <w:color w:val="000000"/>
          <w:kern w:val="0"/>
          <w:sz w:val="24"/>
          <w:szCs w:val="24"/>
          <w14:ligatures w14:val="none"/>
        </w:rPr>
        <w:t>ANOVA.</w:t>
      </w:r>
    </w:p>
    <w:p w14:paraId="4F6DE9CF" w14:textId="77777777" w:rsidR="0019589C" w:rsidRPr="00336C53" w:rsidRDefault="0019589C" w:rsidP="0019589C">
      <w:pPr>
        <w:numPr>
          <w:ilvl w:val="0"/>
          <w:numId w:val="6"/>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نوعي: تحليل موضوعي باستخدام</w:t>
      </w:r>
      <w:r w:rsidRPr="00336C53">
        <w:rPr>
          <w:rFonts w:ascii="Times New Roman" w:eastAsia="Times New Roman" w:hAnsi="Times New Roman" w:cs="Times New Roman"/>
          <w:color w:val="000000"/>
          <w:kern w:val="0"/>
          <w:sz w:val="24"/>
          <w:szCs w:val="24"/>
          <w14:ligatures w14:val="none"/>
        </w:rPr>
        <w:t xml:space="preserve"> NVivo</w:t>
      </w:r>
      <w:r w:rsidRPr="00336C53">
        <w:rPr>
          <w:rFonts w:ascii="Times New Roman" w:eastAsia="Times New Roman" w:hAnsi="Times New Roman" w:cs="Times New Roman"/>
          <w:color w:val="000000"/>
          <w:kern w:val="0"/>
          <w:sz w:val="24"/>
          <w:szCs w:val="24"/>
          <w:rtl/>
          <w14:ligatures w14:val="none"/>
        </w:rPr>
        <w:t>، ودمج النتائج مع البيانات الكمية</w:t>
      </w:r>
      <w:r w:rsidRPr="00336C53">
        <w:rPr>
          <w:rFonts w:ascii="Times New Roman" w:eastAsia="Times New Roman" w:hAnsi="Times New Roman" w:cs="Times New Roman"/>
          <w:color w:val="000000"/>
          <w:kern w:val="0"/>
          <w:sz w:val="24"/>
          <w:szCs w:val="24"/>
          <w14:ligatures w14:val="none"/>
        </w:rPr>
        <w:t>.</w:t>
      </w:r>
    </w:p>
    <w:p w14:paraId="46AF8FBA" w14:textId="37A4EF5B"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7 </w:t>
      </w:r>
      <w:r w:rsidRPr="00336C53">
        <w:rPr>
          <w:rFonts w:ascii="Times New Roman" w:eastAsia="Times New Roman" w:hAnsi="Times New Roman" w:cs="Times New Roman"/>
          <w:b/>
          <w:bCs/>
          <w:color w:val="000000"/>
          <w:kern w:val="0"/>
          <w:sz w:val="36"/>
          <w:szCs w:val="36"/>
          <w:rtl/>
          <w14:ligatures w14:val="none"/>
        </w:rPr>
        <w:t>الاعتبارات الأخلاقية</w:t>
      </w:r>
    </w:p>
    <w:p w14:paraId="5829B121" w14:textId="77777777" w:rsidR="0019589C" w:rsidRPr="00336C53" w:rsidRDefault="0019589C" w:rsidP="0019589C">
      <w:pPr>
        <w:numPr>
          <w:ilvl w:val="0"/>
          <w:numId w:val="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الحصول على موافقة مستنيرة من جميع المشاركين</w:t>
      </w:r>
      <w:r w:rsidRPr="00336C53">
        <w:rPr>
          <w:rFonts w:ascii="Times New Roman" w:eastAsia="Times New Roman" w:hAnsi="Times New Roman" w:cs="Times New Roman"/>
          <w:color w:val="000000"/>
          <w:kern w:val="0"/>
          <w:sz w:val="24"/>
          <w:szCs w:val="24"/>
          <w14:ligatures w14:val="none"/>
        </w:rPr>
        <w:t>.</w:t>
      </w:r>
    </w:p>
    <w:p w14:paraId="527D21AB" w14:textId="77777777" w:rsidR="0019589C" w:rsidRPr="00336C53" w:rsidRDefault="0019589C" w:rsidP="0019589C">
      <w:pPr>
        <w:numPr>
          <w:ilvl w:val="0"/>
          <w:numId w:val="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الحفاظ على سرية البيانات</w:t>
      </w:r>
      <w:r w:rsidRPr="00336C53">
        <w:rPr>
          <w:rFonts w:ascii="Times New Roman" w:eastAsia="Times New Roman" w:hAnsi="Times New Roman" w:cs="Times New Roman"/>
          <w:color w:val="000000"/>
          <w:kern w:val="0"/>
          <w:sz w:val="24"/>
          <w:szCs w:val="24"/>
          <w14:ligatures w14:val="none"/>
        </w:rPr>
        <w:t>.</w:t>
      </w:r>
    </w:p>
    <w:p w14:paraId="25817F6E" w14:textId="77777777" w:rsidR="0019589C" w:rsidRPr="00336C53" w:rsidRDefault="0019589C" w:rsidP="0019589C">
      <w:pPr>
        <w:numPr>
          <w:ilvl w:val="0"/>
          <w:numId w:val="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الالتزام بإجراءات لجنة الأخلاقيات</w:t>
      </w:r>
      <w:r w:rsidRPr="00336C53">
        <w:rPr>
          <w:rFonts w:ascii="Times New Roman" w:eastAsia="Times New Roman" w:hAnsi="Times New Roman" w:cs="Times New Roman"/>
          <w:color w:val="000000"/>
          <w:kern w:val="0"/>
          <w:sz w:val="24"/>
          <w:szCs w:val="24"/>
          <w14:ligatures w14:val="none"/>
        </w:rPr>
        <w:t xml:space="preserve"> (IRB).</w:t>
      </w:r>
    </w:p>
    <w:p w14:paraId="74025E6C" w14:textId="77777777" w:rsidR="0019589C" w:rsidRDefault="0019589C" w:rsidP="0019589C">
      <w:pPr>
        <w:numPr>
          <w:ilvl w:val="0"/>
          <w:numId w:val="7"/>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منح المشاركين الحق في الانسحاب</w:t>
      </w:r>
      <w:r w:rsidRPr="00336C53">
        <w:rPr>
          <w:rFonts w:ascii="Times New Roman" w:eastAsia="Times New Roman" w:hAnsi="Times New Roman" w:cs="Times New Roman"/>
          <w:color w:val="000000"/>
          <w:kern w:val="0"/>
          <w:sz w:val="24"/>
          <w:szCs w:val="24"/>
          <w14:ligatures w14:val="none"/>
        </w:rPr>
        <w:t>.</w:t>
      </w:r>
    </w:p>
    <w:p w14:paraId="2C03768A" w14:textId="77777777" w:rsidR="0019589C"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133501B0" w14:textId="77777777" w:rsidR="0019589C"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3E46F878"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5C9EDA13" w14:textId="15D58B1A"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8 </w:t>
      </w:r>
      <w:r w:rsidRPr="00336C53">
        <w:rPr>
          <w:rFonts w:ascii="Times New Roman" w:eastAsia="Times New Roman" w:hAnsi="Times New Roman" w:cs="Times New Roman"/>
          <w:b/>
          <w:bCs/>
          <w:color w:val="000000"/>
          <w:kern w:val="0"/>
          <w:sz w:val="36"/>
          <w:szCs w:val="36"/>
          <w:rtl/>
          <w14:ligatures w14:val="none"/>
        </w:rPr>
        <w:t>النتائج الافتراضية</w:t>
      </w:r>
    </w:p>
    <w:p w14:paraId="40162578" w14:textId="3C462DBA"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w:t>
      </w:r>
      <w:r w:rsidRPr="00336C53">
        <w:rPr>
          <w:rFonts w:ascii="Times New Roman" w:eastAsia="Times New Roman" w:hAnsi="Times New Roman" w:cs="Times New Roman"/>
          <w:b/>
          <w:bCs/>
          <w:color w:val="000000"/>
          <w:kern w:val="0"/>
          <w:sz w:val="27"/>
          <w:szCs w:val="27"/>
          <w14:ligatures w14:val="none"/>
        </w:rPr>
        <w:t xml:space="preserve">8.1 </w:t>
      </w:r>
      <w:r w:rsidRPr="00336C53">
        <w:rPr>
          <w:rFonts w:ascii="Times New Roman" w:eastAsia="Times New Roman" w:hAnsi="Times New Roman" w:cs="Times New Roman"/>
          <w:b/>
          <w:bCs/>
          <w:color w:val="000000"/>
          <w:kern w:val="0"/>
          <w:sz w:val="27"/>
          <w:szCs w:val="27"/>
          <w:rtl/>
          <w14:ligatures w14:val="none"/>
        </w:rPr>
        <w:t>أثر التأمين الصحي على جودة الرعاية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2"/>
        <w:gridCol w:w="1985"/>
        <w:gridCol w:w="1959"/>
      </w:tblGrid>
      <w:tr w:rsidR="0019589C" w:rsidRPr="00336C53" w14:paraId="7171DCA2" w14:textId="77777777" w:rsidTr="0019589C">
        <w:trPr>
          <w:tblCellSpacing w:w="15" w:type="dxa"/>
          <w:jc w:val="right"/>
        </w:trPr>
        <w:tc>
          <w:tcPr>
            <w:tcW w:w="2927" w:type="dxa"/>
            <w:vAlign w:val="center"/>
            <w:hideMark/>
          </w:tcPr>
          <w:p w14:paraId="2CA837F9" w14:textId="77777777" w:rsidR="0019589C" w:rsidRPr="00336C53" w:rsidRDefault="0019589C" w:rsidP="00862EA5">
            <w:pPr>
              <w:spacing w:after="0" w:line="240" w:lineRule="auto"/>
              <w:rPr>
                <w:rFonts w:ascii="Times New Roman" w:eastAsia="Times New Roman" w:hAnsi="Times New Roman" w:cs="Times New Roman"/>
                <w:b/>
                <w:bCs/>
                <w:color w:val="000000"/>
                <w:kern w:val="0"/>
                <w:sz w:val="24"/>
                <w:szCs w:val="24"/>
                <w14:ligatures w14:val="none"/>
              </w:rPr>
            </w:pPr>
            <w:r w:rsidRPr="00336C53">
              <w:rPr>
                <w:rFonts w:ascii="Times New Roman" w:eastAsia="Times New Roman" w:hAnsi="Times New Roman" w:cs="Times New Roman"/>
                <w:b/>
                <w:bCs/>
                <w:color w:val="000000"/>
                <w:kern w:val="0"/>
                <w:sz w:val="24"/>
                <w:szCs w:val="24"/>
                <w:rtl/>
                <w14:ligatures w14:val="none"/>
              </w:rPr>
              <w:t>المؤشر</w:t>
            </w:r>
          </w:p>
        </w:tc>
        <w:tc>
          <w:tcPr>
            <w:tcW w:w="1955" w:type="dxa"/>
            <w:vAlign w:val="center"/>
            <w:hideMark/>
          </w:tcPr>
          <w:p w14:paraId="4C781AF5" w14:textId="77777777" w:rsidR="0019589C" w:rsidRPr="00336C53" w:rsidRDefault="0019589C" w:rsidP="00862EA5">
            <w:pPr>
              <w:spacing w:after="0" w:line="240" w:lineRule="auto"/>
              <w:rPr>
                <w:rFonts w:ascii="Times New Roman" w:eastAsia="Times New Roman" w:hAnsi="Times New Roman" w:cs="Times New Roman"/>
                <w:b/>
                <w:bCs/>
                <w:color w:val="000000"/>
                <w:kern w:val="0"/>
                <w:sz w:val="24"/>
                <w:szCs w:val="24"/>
                <w14:ligatures w14:val="none"/>
              </w:rPr>
            </w:pPr>
            <w:r w:rsidRPr="00336C53">
              <w:rPr>
                <w:rFonts w:ascii="Times New Roman" w:eastAsia="Times New Roman" w:hAnsi="Times New Roman" w:cs="Times New Roman"/>
                <w:b/>
                <w:bCs/>
                <w:color w:val="000000"/>
                <w:kern w:val="0"/>
                <w:sz w:val="24"/>
                <w:szCs w:val="24"/>
                <w:rtl/>
                <w14:ligatures w14:val="none"/>
              </w:rPr>
              <w:t>المؤمَّنون</w:t>
            </w:r>
            <w:r w:rsidRPr="00336C53">
              <w:rPr>
                <w:rFonts w:ascii="Times New Roman" w:eastAsia="Times New Roman" w:hAnsi="Times New Roman" w:cs="Times New Roman"/>
                <w:b/>
                <w:bCs/>
                <w:color w:val="000000"/>
                <w:kern w:val="0"/>
                <w:sz w:val="24"/>
                <w:szCs w:val="24"/>
                <w14:ligatures w14:val="none"/>
              </w:rPr>
              <w:t xml:space="preserve"> (%)</w:t>
            </w:r>
          </w:p>
        </w:tc>
        <w:tc>
          <w:tcPr>
            <w:tcW w:w="1914" w:type="dxa"/>
            <w:vAlign w:val="center"/>
            <w:hideMark/>
          </w:tcPr>
          <w:p w14:paraId="36AEF821" w14:textId="77777777" w:rsidR="0019589C" w:rsidRPr="00336C53" w:rsidRDefault="0019589C" w:rsidP="00862EA5">
            <w:pPr>
              <w:spacing w:after="0" w:line="240" w:lineRule="auto"/>
              <w:rPr>
                <w:rFonts w:ascii="Times New Roman" w:eastAsia="Times New Roman" w:hAnsi="Times New Roman" w:cs="Times New Roman"/>
                <w:b/>
                <w:bCs/>
                <w:color w:val="000000"/>
                <w:kern w:val="0"/>
                <w:sz w:val="24"/>
                <w:szCs w:val="24"/>
                <w14:ligatures w14:val="none"/>
              </w:rPr>
            </w:pPr>
            <w:r w:rsidRPr="00336C53">
              <w:rPr>
                <w:rFonts w:ascii="Times New Roman" w:eastAsia="Times New Roman" w:hAnsi="Times New Roman" w:cs="Times New Roman"/>
                <w:b/>
                <w:bCs/>
                <w:color w:val="000000"/>
                <w:kern w:val="0"/>
                <w:sz w:val="24"/>
                <w:szCs w:val="24"/>
                <w:rtl/>
                <w14:ligatures w14:val="none"/>
              </w:rPr>
              <w:t>غير المؤمَّنين</w:t>
            </w:r>
            <w:r w:rsidRPr="00336C53">
              <w:rPr>
                <w:rFonts w:ascii="Times New Roman" w:eastAsia="Times New Roman" w:hAnsi="Times New Roman" w:cs="Times New Roman"/>
                <w:b/>
                <w:bCs/>
                <w:color w:val="000000"/>
                <w:kern w:val="0"/>
                <w:sz w:val="24"/>
                <w:szCs w:val="24"/>
                <w14:ligatures w14:val="none"/>
              </w:rPr>
              <w:t xml:space="preserve"> (%)</w:t>
            </w:r>
          </w:p>
        </w:tc>
      </w:tr>
      <w:tr w:rsidR="0019589C" w:rsidRPr="00336C53" w14:paraId="35B5AB22" w14:textId="77777777" w:rsidTr="0019589C">
        <w:trPr>
          <w:tblCellSpacing w:w="15" w:type="dxa"/>
          <w:jc w:val="right"/>
        </w:trPr>
        <w:tc>
          <w:tcPr>
            <w:tcW w:w="2927" w:type="dxa"/>
            <w:vAlign w:val="center"/>
            <w:hideMark/>
          </w:tcPr>
          <w:p w14:paraId="382A1A1B"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رضا المستفيدين عن الخدمة</w:t>
            </w:r>
          </w:p>
        </w:tc>
        <w:tc>
          <w:tcPr>
            <w:tcW w:w="1955" w:type="dxa"/>
            <w:vAlign w:val="center"/>
            <w:hideMark/>
          </w:tcPr>
          <w:p w14:paraId="42383CF9"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85</w:t>
            </w:r>
          </w:p>
        </w:tc>
        <w:tc>
          <w:tcPr>
            <w:tcW w:w="1914" w:type="dxa"/>
            <w:vAlign w:val="center"/>
            <w:hideMark/>
          </w:tcPr>
          <w:p w14:paraId="0287FB05"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65</w:t>
            </w:r>
          </w:p>
        </w:tc>
      </w:tr>
      <w:tr w:rsidR="0019589C" w:rsidRPr="00336C53" w14:paraId="515E3CFA" w14:textId="77777777" w:rsidTr="0019589C">
        <w:trPr>
          <w:tblCellSpacing w:w="15" w:type="dxa"/>
          <w:jc w:val="right"/>
        </w:trPr>
        <w:tc>
          <w:tcPr>
            <w:tcW w:w="2927" w:type="dxa"/>
            <w:vAlign w:val="center"/>
            <w:hideMark/>
          </w:tcPr>
          <w:p w14:paraId="157319AA"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فترة الانتظار القصوى (أيام</w:t>
            </w:r>
            <w:r w:rsidRPr="00336C53">
              <w:rPr>
                <w:rFonts w:ascii="Times New Roman" w:eastAsia="Times New Roman" w:hAnsi="Times New Roman" w:cs="Times New Roman"/>
                <w:color w:val="000000"/>
                <w:kern w:val="0"/>
                <w:sz w:val="24"/>
                <w:szCs w:val="24"/>
                <w14:ligatures w14:val="none"/>
              </w:rPr>
              <w:t>)</w:t>
            </w:r>
          </w:p>
        </w:tc>
        <w:tc>
          <w:tcPr>
            <w:tcW w:w="1955" w:type="dxa"/>
            <w:vAlign w:val="center"/>
            <w:hideMark/>
          </w:tcPr>
          <w:p w14:paraId="7BAC3EDC"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3</w:t>
            </w:r>
          </w:p>
        </w:tc>
        <w:tc>
          <w:tcPr>
            <w:tcW w:w="1914" w:type="dxa"/>
            <w:vAlign w:val="center"/>
            <w:hideMark/>
          </w:tcPr>
          <w:p w14:paraId="19F46F4B"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5</w:t>
            </w:r>
          </w:p>
        </w:tc>
      </w:tr>
      <w:tr w:rsidR="0019589C" w:rsidRPr="00336C53" w14:paraId="529D5086" w14:textId="77777777" w:rsidTr="0019589C">
        <w:trPr>
          <w:tblCellSpacing w:w="15" w:type="dxa"/>
          <w:jc w:val="right"/>
        </w:trPr>
        <w:tc>
          <w:tcPr>
            <w:tcW w:w="2927" w:type="dxa"/>
            <w:vAlign w:val="center"/>
            <w:hideMark/>
          </w:tcPr>
          <w:p w14:paraId="27562D85"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استمرارية العلاج</w:t>
            </w:r>
          </w:p>
        </w:tc>
        <w:tc>
          <w:tcPr>
            <w:tcW w:w="1955" w:type="dxa"/>
            <w:vAlign w:val="center"/>
            <w:hideMark/>
          </w:tcPr>
          <w:p w14:paraId="301D13F8"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90</w:t>
            </w:r>
          </w:p>
        </w:tc>
        <w:tc>
          <w:tcPr>
            <w:tcW w:w="1914" w:type="dxa"/>
            <w:vAlign w:val="center"/>
            <w:hideMark/>
          </w:tcPr>
          <w:p w14:paraId="6693E3F6"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70</w:t>
            </w:r>
          </w:p>
        </w:tc>
      </w:tr>
      <w:tr w:rsidR="0019589C" w:rsidRPr="00336C53" w14:paraId="052289D8" w14:textId="77777777" w:rsidTr="0019589C">
        <w:trPr>
          <w:tblCellSpacing w:w="15" w:type="dxa"/>
          <w:jc w:val="right"/>
        </w:trPr>
        <w:tc>
          <w:tcPr>
            <w:tcW w:w="2927" w:type="dxa"/>
            <w:vAlign w:val="center"/>
            <w:hideMark/>
          </w:tcPr>
          <w:p w14:paraId="7826FDB1"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الالتزام بالخدمات الوقائية</w:t>
            </w:r>
          </w:p>
        </w:tc>
        <w:tc>
          <w:tcPr>
            <w:tcW w:w="1955" w:type="dxa"/>
            <w:vAlign w:val="center"/>
            <w:hideMark/>
          </w:tcPr>
          <w:p w14:paraId="0ADF676A"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80</w:t>
            </w:r>
          </w:p>
        </w:tc>
        <w:tc>
          <w:tcPr>
            <w:tcW w:w="1914" w:type="dxa"/>
            <w:vAlign w:val="center"/>
            <w:hideMark/>
          </w:tcPr>
          <w:p w14:paraId="378F0794"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55</w:t>
            </w:r>
          </w:p>
        </w:tc>
      </w:tr>
    </w:tbl>
    <w:p w14:paraId="190EC51D" w14:textId="490F28EE"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w:t>
      </w:r>
      <w:r w:rsidRPr="00336C53">
        <w:rPr>
          <w:rFonts w:ascii="Times New Roman" w:eastAsia="Times New Roman" w:hAnsi="Times New Roman" w:cs="Times New Roman"/>
          <w:b/>
          <w:bCs/>
          <w:color w:val="000000"/>
          <w:kern w:val="0"/>
          <w:sz w:val="27"/>
          <w:szCs w:val="27"/>
          <w14:ligatures w14:val="none"/>
        </w:rPr>
        <w:t xml:space="preserve">8.2 </w:t>
      </w:r>
      <w:r w:rsidRPr="00336C53">
        <w:rPr>
          <w:rFonts w:ascii="Times New Roman" w:eastAsia="Times New Roman" w:hAnsi="Times New Roman" w:cs="Times New Roman"/>
          <w:b/>
          <w:bCs/>
          <w:color w:val="000000"/>
          <w:kern w:val="0"/>
          <w:sz w:val="27"/>
          <w:szCs w:val="27"/>
          <w:rtl/>
          <w14:ligatures w14:val="none"/>
        </w:rPr>
        <w:t>العلاقة بين التأمين وتقليل المخاطر الصحية</w:t>
      </w: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1843"/>
        <w:gridCol w:w="1964"/>
      </w:tblGrid>
      <w:tr w:rsidR="0019589C" w:rsidRPr="00336C53" w14:paraId="6BA4EE72" w14:textId="77777777" w:rsidTr="0019589C">
        <w:trPr>
          <w:tblCellSpacing w:w="15" w:type="dxa"/>
          <w:jc w:val="right"/>
        </w:trPr>
        <w:tc>
          <w:tcPr>
            <w:tcW w:w="3069" w:type="dxa"/>
            <w:vAlign w:val="center"/>
            <w:hideMark/>
          </w:tcPr>
          <w:p w14:paraId="66ACB25D"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المؤشر</w:t>
            </w:r>
          </w:p>
        </w:tc>
        <w:tc>
          <w:tcPr>
            <w:tcW w:w="1813" w:type="dxa"/>
            <w:vAlign w:val="center"/>
            <w:hideMark/>
          </w:tcPr>
          <w:p w14:paraId="0A4388E8"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المؤمَّنون</w:t>
            </w:r>
          </w:p>
        </w:tc>
        <w:tc>
          <w:tcPr>
            <w:tcW w:w="1919" w:type="dxa"/>
            <w:vAlign w:val="center"/>
            <w:hideMark/>
          </w:tcPr>
          <w:p w14:paraId="5BE7EE11"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غير المؤمَّنين</w:t>
            </w:r>
          </w:p>
        </w:tc>
      </w:tr>
      <w:tr w:rsidR="0019589C" w:rsidRPr="00336C53" w14:paraId="17807EBD" w14:textId="77777777" w:rsidTr="0019589C">
        <w:trPr>
          <w:tblCellSpacing w:w="15" w:type="dxa"/>
          <w:jc w:val="right"/>
        </w:trPr>
        <w:tc>
          <w:tcPr>
            <w:tcW w:w="3069" w:type="dxa"/>
            <w:vAlign w:val="center"/>
            <w:hideMark/>
          </w:tcPr>
          <w:p w14:paraId="315C7750"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تقليل النفقات المباشرة</w:t>
            </w:r>
          </w:p>
        </w:tc>
        <w:tc>
          <w:tcPr>
            <w:tcW w:w="1813" w:type="dxa"/>
            <w:vAlign w:val="center"/>
            <w:hideMark/>
          </w:tcPr>
          <w:p w14:paraId="435A011E"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25%</w:t>
            </w:r>
          </w:p>
        </w:tc>
        <w:tc>
          <w:tcPr>
            <w:tcW w:w="1919" w:type="dxa"/>
            <w:vAlign w:val="center"/>
            <w:hideMark/>
          </w:tcPr>
          <w:p w14:paraId="6EE9B98E"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0%</w:t>
            </w:r>
          </w:p>
        </w:tc>
      </w:tr>
      <w:tr w:rsidR="0019589C" w:rsidRPr="00336C53" w14:paraId="2051A569" w14:textId="77777777" w:rsidTr="0019589C">
        <w:trPr>
          <w:tblCellSpacing w:w="15" w:type="dxa"/>
          <w:jc w:val="right"/>
        </w:trPr>
        <w:tc>
          <w:tcPr>
            <w:tcW w:w="3069" w:type="dxa"/>
            <w:vAlign w:val="center"/>
            <w:hideMark/>
          </w:tcPr>
          <w:p w14:paraId="378ADFC5"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الالتزام بالخدمات الوقائية</w:t>
            </w:r>
          </w:p>
        </w:tc>
        <w:tc>
          <w:tcPr>
            <w:tcW w:w="1813" w:type="dxa"/>
            <w:vAlign w:val="center"/>
            <w:hideMark/>
          </w:tcPr>
          <w:p w14:paraId="65B74A80"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30%</w:t>
            </w:r>
          </w:p>
        </w:tc>
        <w:tc>
          <w:tcPr>
            <w:tcW w:w="1919" w:type="dxa"/>
            <w:vAlign w:val="center"/>
            <w:hideMark/>
          </w:tcPr>
          <w:p w14:paraId="43B20AB5"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15%</w:t>
            </w:r>
          </w:p>
        </w:tc>
      </w:tr>
      <w:tr w:rsidR="0019589C" w:rsidRPr="00336C53" w14:paraId="3BDCB335" w14:textId="77777777" w:rsidTr="0019589C">
        <w:trPr>
          <w:tblCellSpacing w:w="15" w:type="dxa"/>
          <w:jc w:val="right"/>
        </w:trPr>
        <w:tc>
          <w:tcPr>
            <w:tcW w:w="3069" w:type="dxa"/>
            <w:vAlign w:val="center"/>
            <w:hideMark/>
          </w:tcPr>
          <w:p w14:paraId="774376F2"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التعرض لمخاطر صحية كبيرة</w:t>
            </w:r>
          </w:p>
        </w:tc>
        <w:tc>
          <w:tcPr>
            <w:tcW w:w="1813" w:type="dxa"/>
            <w:vAlign w:val="center"/>
            <w:hideMark/>
          </w:tcPr>
          <w:p w14:paraId="72371EE4"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10%</w:t>
            </w:r>
          </w:p>
        </w:tc>
        <w:tc>
          <w:tcPr>
            <w:tcW w:w="1919" w:type="dxa"/>
            <w:vAlign w:val="center"/>
            <w:hideMark/>
          </w:tcPr>
          <w:p w14:paraId="47A91022"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35%</w:t>
            </w:r>
          </w:p>
        </w:tc>
      </w:tr>
      <w:tr w:rsidR="0019589C" w:rsidRPr="00336C53" w14:paraId="1AA84DE8" w14:textId="77777777" w:rsidTr="0019589C">
        <w:trPr>
          <w:tblCellSpacing w:w="15" w:type="dxa"/>
          <w:jc w:val="right"/>
        </w:trPr>
        <w:tc>
          <w:tcPr>
            <w:tcW w:w="3069" w:type="dxa"/>
            <w:vAlign w:val="center"/>
            <w:hideMark/>
          </w:tcPr>
          <w:p w14:paraId="1CD3BD57"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معدل دخول المستشفى</w:t>
            </w:r>
          </w:p>
        </w:tc>
        <w:tc>
          <w:tcPr>
            <w:tcW w:w="1813" w:type="dxa"/>
            <w:vAlign w:val="center"/>
            <w:hideMark/>
          </w:tcPr>
          <w:p w14:paraId="02137838"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12%</w:t>
            </w:r>
          </w:p>
        </w:tc>
        <w:tc>
          <w:tcPr>
            <w:tcW w:w="1919" w:type="dxa"/>
            <w:vAlign w:val="center"/>
            <w:hideMark/>
          </w:tcPr>
          <w:p w14:paraId="3FF7A601" w14:textId="77777777" w:rsidR="0019589C" w:rsidRPr="00336C53" w:rsidRDefault="0019589C" w:rsidP="00862EA5">
            <w:pPr>
              <w:spacing w:after="0"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28%</w:t>
            </w:r>
          </w:p>
        </w:tc>
      </w:tr>
    </w:tbl>
    <w:p w14:paraId="45C18A15" w14:textId="1D0DF851"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w:t>
      </w:r>
      <w:r w:rsidRPr="00336C53">
        <w:rPr>
          <w:rFonts w:ascii="Times New Roman" w:eastAsia="Times New Roman" w:hAnsi="Times New Roman" w:cs="Times New Roman"/>
          <w:b/>
          <w:bCs/>
          <w:color w:val="000000"/>
          <w:kern w:val="0"/>
          <w:sz w:val="27"/>
          <w:szCs w:val="27"/>
          <w14:ligatures w14:val="none"/>
        </w:rPr>
        <w:t xml:space="preserve">8.3 </w:t>
      </w:r>
      <w:r w:rsidRPr="00336C53">
        <w:rPr>
          <w:rFonts w:ascii="Times New Roman" w:eastAsia="Times New Roman" w:hAnsi="Times New Roman" w:cs="Times New Roman"/>
          <w:b/>
          <w:bCs/>
          <w:color w:val="000000"/>
          <w:kern w:val="0"/>
          <w:sz w:val="27"/>
          <w:szCs w:val="27"/>
          <w:rtl/>
          <w14:ligatures w14:val="none"/>
        </w:rPr>
        <w:t>العوامل المؤثرة في الفعالية</w:t>
      </w:r>
    </w:p>
    <w:p w14:paraId="2CDB2870" w14:textId="77777777" w:rsidR="0019589C" w:rsidRPr="00336C53" w:rsidRDefault="0019589C" w:rsidP="0019589C">
      <w:pPr>
        <w:numPr>
          <w:ilvl w:val="0"/>
          <w:numId w:val="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التغطية الشاملة والرضا المرتفع للمستفيدين يحسن نتائج الصحة</w:t>
      </w:r>
      <w:r w:rsidRPr="00336C53">
        <w:rPr>
          <w:rFonts w:ascii="Times New Roman" w:eastAsia="Times New Roman" w:hAnsi="Times New Roman" w:cs="Times New Roman"/>
          <w:color w:val="000000"/>
          <w:kern w:val="0"/>
          <w:sz w:val="24"/>
          <w:szCs w:val="24"/>
          <w14:ligatures w14:val="none"/>
        </w:rPr>
        <w:t>.</w:t>
      </w:r>
    </w:p>
    <w:p w14:paraId="6EAB1E3C" w14:textId="77777777" w:rsidR="0019589C" w:rsidRPr="00336C53" w:rsidRDefault="0019589C" w:rsidP="0019589C">
      <w:pPr>
        <w:numPr>
          <w:ilvl w:val="0"/>
          <w:numId w:val="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كفاءة شبكة مقدمي الخدمة تزيد من الوصول وجودة الرعاية</w:t>
      </w:r>
      <w:r w:rsidRPr="00336C53">
        <w:rPr>
          <w:rFonts w:ascii="Times New Roman" w:eastAsia="Times New Roman" w:hAnsi="Times New Roman" w:cs="Times New Roman"/>
          <w:color w:val="000000"/>
          <w:kern w:val="0"/>
          <w:sz w:val="24"/>
          <w:szCs w:val="24"/>
          <w14:ligatures w14:val="none"/>
        </w:rPr>
        <w:t>.</w:t>
      </w:r>
    </w:p>
    <w:p w14:paraId="35B3E3ED" w14:textId="77777777" w:rsidR="0019589C" w:rsidRPr="00336C53" w:rsidRDefault="0019589C" w:rsidP="0019589C">
      <w:pPr>
        <w:numPr>
          <w:ilvl w:val="0"/>
          <w:numId w:val="8"/>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التنسيق بين شركات التأمين والمستشفيات يعد عاملًا أساسيًا</w:t>
      </w:r>
      <w:r w:rsidRPr="00336C53">
        <w:rPr>
          <w:rFonts w:ascii="Times New Roman" w:eastAsia="Times New Roman" w:hAnsi="Times New Roman" w:cs="Times New Roman"/>
          <w:color w:val="000000"/>
          <w:kern w:val="0"/>
          <w:sz w:val="24"/>
          <w:szCs w:val="24"/>
          <w14:ligatures w14:val="none"/>
        </w:rPr>
        <w:t>.</w:t>
      </w:r>
    </w:p>
    <w:p w14:paraId="513BC5F3" w14:textId="10D9BAEE" w:rsidR="0019589C" w:rsidRPr="00336C53" w:rsidRDefault="0019589C" w:rsidP="0019589C">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Pr>
          <w:rFonts w:ascii="Times New Roman" w:eastAsia="Times New Roman" w:hAnsi="Times New Roman" w:cs="Times New Roman"/>
          <w:b/>
          <w:bCs/>
          <w:color w:val="000000"/>
          <w:kern w:val="0"/>
          <w:sz w:val="27"/>
          <w:szCs w:val="27"/>
          <w14:ligatures w14:val="none"/>
        </w:rPr>
        <w:t xml:space="preserve"> </w:t>
      </w:r>
      <w:r w:rsidRPr="00336C53">
        <w:rPr>
          <w:rFonts w:ascii="Times New Roman" w:eastAsia="Times New Roman" w:hAnsi="Times New Roman" w:cs="Times New Roman"/>
          <w:b/>
          <w:bCs/>
          <w:color w:val="000000"/>
          <w:kern w:val="0"/>
          <w:sz w:val="27"/>
          <w:szCs w:val="27"/>
          <w14:ligatures w14:val="none"/>
        </w:rPr>
        <w:t xml:space="preserve">8.4 </w:t>
      </w:r>
      <w:r w:rsidRPr="00336C53">
        <w:rPr>
          <w:rFonts w:ascii="Times New Roman" w:eastAsia="Times New Roman" w:hAnsi="Times New Roman" w:cs="Times New Roman"/>
          <w:b/>
          <w:bCs/>
          <w:color w:val="000000"/>
          <w:kern w:val="0"/>
          <w:sz w:val="27"/>
          <w:szCs w:val="27"/>
          <w:rtl/>
          <w14:ligatures w14:val="none"/>
        </w:rPr>
        <w:t>نتائج نوعية</w:t>
      </w:r>
    </w:p>
    <w:p w14:paraId="7D25E6B9" w14:textId="77777777" w:rsidR="0019589C" w:rsidRPr="00336C53" w:rsidRDefault="0019589C" w:rsidP="0019589C">
      <w:pPr>
        <w:numPr>
          <w:ilvl w:val="0"/>
          <w:numId w:val="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صناع القرار: تصميم المزايا والشفافية أساسيان لنجاح البرامج</w:t>
      </w:r>
      <w:r w:rsidRPr="00336C53">
        <w:rPr>
          <w:rFonts w:ascii="Times New Roman" w:eastAsia="Times New Roman" w:hAnsi="Times New Roman" w:cs="Times New Roman"/>
          <w:color w:val="000000"/>
          <w:kern w:val="0"/>
          <w:sz w:val="24"/>
          <w:szCs w:val="24"/>
          <w14:ligatures w14:val="none"/>
        </w:rPr>
        <w:t>.</w:t>
      </w:r>
    </w:p>
    <w:p w14:paraId="3211332E" w14:textId="77777777" w:rsidR="0019589C" w:rsidRPr="00336C53" w:rsidRDefault="0019589C" w:rsidP="0019589C">
      <w:pPr>
        <w:numPr>
          <w:ilvl w:val="0"/>
          <w:numId w:val="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مقدمو الرعاية: تحديات التنسيق قد تؤثر على جودة الخدمة إذا لم تحل</w:t>
      </w:r>
      <w:r w:rsidRPr="00336C53">
        <w:rPr>
          <w:rFonts w:ascii="Times New Roman" w:eastAsia="Times New Roman" w:hAnsi="Times New Roman" w:cs="Times New Roman"/>
          <w:color w:val="000000"/>
          <w:kern w:val="0"/>
          <w:sz w:val="24"/>
          <w:szCs w:val="24"/>
          <w14:ligatures w14:val="none"/>
        </w:rPr>
        <w:t>.</w:t>
      </w:r>
    </w:p>
    <w:p w14:paraId="58E53BCF" w14:textId="77777777" w:rsidR="0019589C" w:rsidRPr="00336C53" w:rsidRDefault="0019589C" w:rsidP="0019589C">
      <w:pPr>
        <w:numPr>
          <w:ilvl w:val="0"/>
          <w:numId w:val="9"/>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المستفيدون: الحاجة إلى تبسيط إجراءات المطالبات والتواصل الفعّال</w:t>
      </w:r>
      <w:r w:rsidRPr="00336C53">
        <w:rPr>
          <w:rFonts w:ascii="Times New Roman" w:eastAsia="Times New Roman" w:hAnsi="Times New Roman" w:cs="Times New Roman"/>
          <w:color w:val="000000"/>
          <w:kern w:val="0"/>
          <w:sz w:val="24"/>
          <w:szCs w:val="24"/>
          <w14:ligatures w14:val="none"/>
        </w:rPr>
        <w:t>.</w:t>
      </w:r>
    </w:p>
    <w:p w14:paraId="6D3454B4" w14:textId="7F022887"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lastRenderedPageBreak/>
        <w:t>.</w:t>
      </w:r>
      <w:r w:rsidRPr="00336C53">
        <w:rPr>
          <w:rFonts w:ascii="Times New Roman" w:eastAsia="Times New Roman" w:hAnsi="Times New Roman" w:cs="Times New Roman"/>
          <w:b/>
          <w:bCs/>
          <w:color w:val="000000"/>
          <w:kern w:val="0"/>
          <w:sz w:val="36"/>
          <w:szCs w:val="36"/>
          <w14:ligatures w14:val="none"/>
        </w:rPr>
        <w:t xml:space="preserve">9 </w:t>
      </w:r>
      <w:r w:rsidRPr="00336C53">
        <w:rPr>
          <w:rFonts w:ascii="Times New Roman" w:eastAsia="Times New Roman" w:hAnsi="Times New Roman" w:cs="Times New Roman"/>
          <w:b/>
          <w:bCs/>
          <w:color w:val="000000"/>
          <w:kern w:val="0"/>
          <w:sz w:val="36"/>
          <w:szCs w:val="36"/>
          <w:rtl/>
          <w14:ligatures w14:val="none"/>
        </w:rPr>
        <w:t>المناقشة</w:t>
      </w:r>
    </w:p>
    <w:p w14:paraId="0BA27BCC" w14:textId="77777777" w:rsidR="0019589C" w:rsidRPr="00336C53" w:rsidRDefault="0019589C" w:rsidP="0019589C">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تشير النتائج الافتراضية إلى أن برامج التأمين الصحي يمكن أن تحسن جودة الرعاية وتقليل المخاطر الصحية إذا تم تصميمها وتنفيذها بشكل فعال. يتوافق ذلك مع الدراسات السابقة في الأسواق الناشئة ويبرز أهمية رضا المستفيدين وكفاءة شبكة مقدمي الخدمة كعوامل رئيسية</w:t>
      </w:r>
      <w:r w:rsidRPr="00336C53">
        <w:rPr>
          <w:rFonts w:ascii="Times New Roman" w:eastAsia="Times New Roman" w:hAnsi="Times New Roman" w:cs="Times New Roman"/>
          <w:color w:val="000000"/>
          <w:kern w:val="0"/>
          <w:sz w:val="24"/>
          <w:szCs w:val="24"/>
          <w14:ligatures w14:val="none"/>
        </w:rPr>
        <w:t>.</w:t>
      </w:r>
    </w:p>
    <w:p w14:paraId="73740511" w14:textId="3331236E"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10 </w:t>
      </w:r>
      <w:r w:rsidRPr="00336C53">
        <w:rPr>
          <w:rFonts w:ascii="Times New Roman" w:eastAsia="Times New Roman" w:hAnsi="Times New Roman" w:cs="Times New Roman"/>
          <w:b/>
          <w:bCs/>
          <w:color w:val="000000"/>
          <w:kern w:val="0"/>
          <w:sz w:val="36"/>
          <w:szCs w:val="36"/>
          <w:rtl/>
          <w14:ligatures w14:val="none"/>
        </w:rPr>
        <w:t>الاستنتاجات</w:t>
      </w:r>
    </w:p>
    <w:p w14:paraId="44F353B6" w14:textId="77777777" w:rsidR="0019589C" w:rsidRPr="00336C53" w:rsidRDefault="0019589C" w:rsidP="0019589C">
      <w:pPr>
        <w:numPr>
          <w:ilvl w:val="0"/>
          <w:numId w:val="1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التغطية التأمينية مرتبطة بتحسن ملحوظ في جودة الرعاية والالتزام بالخدمات الوقائية</w:t>
      </w:r>
      <w:r w:rsidRPr="00336C53">
        <w:rPr>
          <w:rFonts w:ascii="Times New Roman" w:eastAsia="Times New Roman" w:hAnsi="Times New Roman" w:cs="Times New Roman"/>
          <w:color w:val="000000"/>
          <w:kern w:val="0"/>
          <w:sz w:val="24"/>
          <w:szCs w:val="24"/>
          <w14:ligatures w14:val="none"/>
        </w:rPr>
        <w:t>.</w:t>
      </w:r>
    </w:p>
    <w:p w14:paraId="45DF54BE" w14:textId="77777777" w:rsidR="0019589C" w:rsidRPr="00336C53" w:rsidRDefault="0019589C" w:rsidP="0019589C">
      <w:pPr>
        <w:numPr>
          <w:ilvl w:val="0"/>
          <w:numId w:val="1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التأمين يقلل المخاطر المالية والصحية للمستفيدين</w:t>
      </w:r>
      <w:r w:rsidRPr="00336C53">
        <w:rPr>
          <w:rFonts w:ascii="Times New Roman" w:eastAsia="Times New Roman" w:hAnsi="Times New Roman" w:cs="Times New Roman"/>
          <w:color w:val="000000"/>
          <w:kern w:val="0"/>
          <w:sz w:val="24"/>
          <w:szCs w:val="24"/>
          <w14:ligatures w14:val="none"/>
        </w:rPr>
        <w:t>.</w:t>
      </w:r>
    </w:p>
    <w:p w14:paraId="23C2DEE2" w14:textId="77777777" w:rsidR="0019589C" w:rsidRPr="00336C53" w:rsidRDefault="0019589C" w:rsidP="0019589C">
      <w:pPr>
        <w:numPr>
          <w:ilvl w:val="0"/>
          <w:numId w:val="1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التصميم الشامل والرضا وثقة المستفيدين يرفع فعالية البرامج</w:t>
      </w:r>
      <w:r w:rsidRPr="00336C53">
        <w:rPr>
          <w:rFonts w:ascii="Times New Roman" w:eastAsia="Times New Roman" w:hAnsi="Times New Roman" w:cs="Times New Roman"/>
          <w:color w:val="000000"/>
          <w:kern w:val="0"/>
          <w:sz w:val="24"/>
          <w:szCs w:val="24"/>
          <w14:ligatures w14:val="none"/>
        </w:rPr>
        <w:t>.</w:t>
      </w:r>
    </w:p>
    <w:p w14:paraId="05ED401F" w14:textId="77777777" w:rsidR="0019589C" w:rsidRPr="00336C53" w:rsidRDefault="0019589C" w:rsidP="0019589C">
      <w:pPr>
        <w:numPr>
          <w:ilvl w:val="0"/>
          <w:numId w:val="10"/>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تحسين التنسيق بين مقدمي الرعاية وشركات التأمين يزيد من كفاءة النظام</w:t>
      </w:r>
      <w:r w:rsidRPr="00336C53">
        <w:rPr>
          <w:rFonts w:ascii="Times New Roman" w:eastAsia="Times New Roman" w:hAnsi="Times New Roman" w:cs="Times New Roman"/>
          <w:color w:val="000000"/>
          <w:kern w:val="0"/>
          <w:sz w:val="24"/>
          <w:szCs w:val="24"/>
          <w14:ligatures w14:val="none"/>
        </w:rPr>
        <w:t>.</w:t>
      </w:r>
    </w:p>
    <w:p w14:paraId="79C1ABB1" w14:textId="6C6D7279"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11 </w:t>
      </w:r>
      <w:r w:rsidRPr="00336C53">
        <w:rPr>
          <w:rFonts w:ascii="Times New Roman" w:eastAsia="Times New Roman" w:hAnsi="Times New Roman" w:cs="Times New Roman"/>
          <w:b/>
          <w:bCs/>
          <w:color w:val="000000"/>
          <w:kern w:val="0"/>
          <w:sz w:val="36"/>
          <w:szCs w:val="36"/>
          <w:rtl/>
          <w14:ligatures w14:val="none"/>
        </w:rPr>
        <w:t>التوصيات</w:t>
      </w:r>
    </w:p>
    <w:p w14:paraId="15E49B9E" w14:textId="77777777" w:rsidR="0019589C" w:rsidRPr="00336C53" w:rsidRDefault="0019589C" w:rsidP="0019589C">
      <w:pPr>
        <w:numPr>
          <w:ilvl w:val="0"/>
          <w:numId w:val="11"/>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صانعي السياسات: تطوير تشريعات داعمة لتوسيع نطاق التغطية التأمينية</w:t>
      </w:r>
      <w:r w:rsidRPr="00336C53">
        <w:rPr>
          <w:rFonts w:ascii="Times New Roman" w:eastAsia="Times New Roman" w:hAnsi="Times New Roman" w:cs="Times New Roman"/>
          <w:color w:val="000000"/>
          <w:kern w:val="0"/>
          <w:sz w:val="24"/>
          <w:szCs w:val="24"/>
          <w14:ligatures w14:val="none"/>
        </w:rPr>
        <w:t>.</w:t>
      </w:r>
    </w:p>
    <w:p w14:paraId="7E32A8AD" w14:textId="77777777" w:rsidR="0019589C" w:rsidRPr="00336C53" w:rsidRDefault="0019589C" w:rsidP="0019589C">
      <w:pPr>
        <w:numPr>
          <w:ilvl w:val="0"/>
          <w:numId w:val="11"/>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شركات التأمين: تصميم برامج شاملة تشمل الفحوصات الدورية والخدمات الوقائية</w:t>
      </w:r>
      <w:r w:rsidRPr="00336C53">
        <w:rPr>
          <w:rFonts w:ascii="Times New Roman" w:eastAsia="Times New Roman" w:hAnsi="Times New Roman" w:cs="Times New Roman"/>
          <w:color w:val="000000"/>
          <w:kern w:val="0"/>
          <w:sz w:val="24"/>
          <w:szCs w:val="24"/>
          <w14:ligatures w14:val="none"/>
        </w:rPr>
        <w:t>.</w:t>
      </w:r>
    </w:p>
    <w:p w14:paraId="787E0276" w14:textId="77777777" w:rsidR="0019589C" w:rsidRPr="00336C53" w:rsidRDefault="0019589C" w:rsidP="0019589C">
      <w:pPr>
        <w:numPr>
          <w:ilvl w:val="0"/>
          <w:numId w:val="11"/>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مقدمو الرعاية: تعزيز التواصل مع شركات التأمين وتحسين جودة الخدمات</w:t>
      </w:r>
      <w:r w:rsidRPr="00336C53">
        <w:rPr>
          <w:rFonts w:ascii="Times New Roman" w:eastAsia="Times New Roman" w:hAnsi="Times New Roman" w:cs="Times New Roman"/>
          <w:color w:val="000000"/>
          <w:kern w:val="0"/>
          <w:sz w:val="24"/>
          <w:szCs w:val="24"/>
          <w14:ligatures w14:val="none"/>
        </w:rPr>
        <w:t>.</w:t>
      </w:r>
    </w:p>
    <w:p w14:paraId="15314E66" w14:textId="0F4DAC40"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12 </w:t>
      </w:r>
      <w:r w:rsidRPr="00336C53">
        <w:rPr>
          <w:rFonts w:ascii="Times New Roman" w:eastAsia="Times New Roman" w:hAnsi="Times New Roman" w:cs="Times New Roman"/>
          <w:b/>
          <w:bCs/>
          <w:color w:val="000000"/>
          <w:kern w:val="0"/>
          <w:sz w:val="36"/>
          <w:szCs w:val="36"/>
          <w:rtl/>
          <w14:ligatures w14:val="none"/>
        </w:rPr>
        <w:t>أهمية الدراسة</w:t>
      </w:r>
    </w:p>
    <w:p w14:paraId="1F995754" w14:textId="77777777" w:rsidR="0019589C" w:rsidRPr="00336C53" w:rsidRDefault="0019589C" w:rsidP="0019589C">
      <w:pPr>
        <w:numPr>
          <w:ilvl w:val="0"/>
          <w:numId w:val="1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توفير أدلة عملية لتحسين تصميم وتنفيذ برامج التأمين الصحي</w:t>
      </w:r>
      <w:r w:rsidRPr="00336C53">
        <w:rPr>
          <w:rFonts w:ascii="Times New Roman" w:eastAsia="Times New Roman" w:hAnsi="Times New Roman" w:cs="Times New Roman"/>
          <w:color w:val="000000"/>
          <w:kern w:val="0"/>
          <w:sz w:val="24"/>
          <w:szCs w:val="24"/>
          <w14:ligatures w14:val="none"/>
        </w:rPr>
        <w:t>.</w:t>
      </w:r>
    </w:p>
    <w:p w14:paraId="58B7F4CD" w14:textId="77777777" w:rsidR="0019589C" w:rsidRPr="00336C53" w:rsidRDefault="0019589C" w:rsidP="0019589C">
      <w:pPr>
        <w:numPr>
          <w:ilvl w:val="0"/>
          <w:numId w:val="1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مساعدة صانعي السياسات على تحسين التشريعات واللوائح</w:t>
      </w:r>
      <w:r w:rsidRPr="00336C53">
        <w:rPr>
          <w:rFonts w:ascii="Times New Roman" w:eastAsia="Times New Roman" w:hAnsi="Times New Roman" w:cs="Times New Roman"/>
          <w:color w:val="000000"/>
          <w:kern w:val="0"/>
          <w:sz w:val="24"/>
          <w:szCs w:val="24"/>
          <w14:ligatures w14:val="none"/>
        </w:rPr>
        <w:t>.</w:t>
      </w:r>
    </w:p>
    <w:p w14:paraId="24373AA9" w14:textId="77777777" w:rsidR="0019589C" w:rsidRPr="00336C53" w:rsidRDefault="0019589C" w:rsidP="0019589C">
      <w:pPr>
        <w:numPr>
          <w:ilvl w:val="0"/>
          <w:numId w:val="1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تمكين شركات التأمين من تصميم برامج أكثر فعالية</w:t>
      </w:r>
      <w:r w:rsidRPr="00336C53">
        <w:rPr>
          <w:rFonts w:ascii="Times New Roman" w:eastAsia="Times New Roman" w:hAnsi="Times New Roman" w:cs="Times New Roman"/>
          <w:color w:val="000000"/>
          <w:kern w:val="0"/>
          <w:sz w:val="24"/>
          <w:szCs w:val="24"/>
          <w14:ligatures w14:val="none"/>
        </w:rPr>
        <w:t>.</w:t>
      </w:r>
    </w:p>
    <w:p w14:paraId="75D2253B" w14:textId="77777777" w:rsidR="0019589C" w:rsidRPr="00336C53" w:rsidRDefault="0019589C" w:rsidP="0019589C">
      <w:pPr>
        <w:numPr>
          <w:ilvl w:val="0"/>
          <w:numId w:val="12"/>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rtl/>
          <w14:ligatures w14:val="none"/>
        </w:rPr>
        <w:t>مواءمة مقدمي الرعاية الصحية لخدمة أهداف التأمين</w:t>
      </w:r>
      <w:r w:rsidRPr="00336C53">
        <w:rPr>
          <w:rFonts w:ascii="Times New Roman" w:eastAsia="Times New Roman" w:hAnsi="Times New Roman" w:cs="Times New Roman"/>
          <w:color w:val="000000"/>
          <w:kern w:val="0"/>
          <w:sz w:val="24"/>
          <w:szCs w:val="24"/>
          <w14:ligatures w14:val="none"/>
        </w:rPr>
        <w:t>.</w:t>
      </w:r>
    </w:p>
    <w:p w14:paraId="19EB3F59" w14:textId="73BC6224" w:rsidR="0019589C" w:rsidRPr="00336C53" w:rsidRDefault="0019589C" w:rsidP="0019589C">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w:t>
      </w:r>
      <w:r w:rsidRPr="00336C53">
        <w:rPr>
          <w:rFonts w:ascii="Times New Roman" w:eastAsia="Times New Roman" w:hAnsi="Times New Roman" w:cs="Times New Roman"/>
          <w:b/>
          <w:bCs/>
          <w:color w:val="000000"/>
          <w:kern w:val="0"/>
          <w:sz w:val="36"/>
          <w:szCs w:val="36"/>
          <w14:ligatures w14:val="none"/>
        </w:rPr>
        <w:t xml:space="preserve">13 </w:t>
      </w:r>
      <w:r w:rsidRPr="00336C53">
        <w:rPr>
          <w:rFonts w:ascii="Times New Roman" w:eastAsia="Times New Roman" w:hAnsi="Times New Roman" w:cs="Times New Roman"/>
          <w:b/>
          <w:bCs/>
          <w:color w:val="000000"/>
          <w:kern w:val="0"/>
          <w:sz w:val="36"/>
          <w:szCs w:val="36"/>
          <w:rtl/>
          <w14:ligatures w14:val="none"/>
        </w:rPr>
        <w:t>المراجع</w:t>
      </w:r>
      <w:r w:rsidRPr="00336C53">
        <w:rPr>
          <w:rFonts w:ascii="Times New Roman" w:eastAsia="Times New Roman" w:hAnsi="Times New Roman" w:cs="Times New Roman"/>
          <w:b/>
          <w:bCs/>
          <w:color w:val="000000"/>
          <w:kern w:val="0"/>
          <w:sz w:val="36"/>
          <w:szCs w:val="36"/>
          <w14:ligatures w14:val="none"/>
        </w:rPr>
        <w:t xml:space="preserve"> (APA)</w:t>
      </w:r>
    </w:p>
    <w:p w14:paraId="70E9F6FF" w14:textId="77777777" w:rsidR="0019589C" w:rsidRPr="00336C53" w:rsidRDefault="0019589C" w:rsidP="0019589C">
      <w:pPr>
        <w:numPr>
          <w:ilvl w:val="0"/>
          <w:numId w:val="1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roofErr w:type="spellStart"/>
      <w:r w:rsidRPr="00336C53">
        <w:rPr>
          <w:rFonts w:ascii="Times New Roman" w:eastAsia="Times New Roman" w:hAnsi="Times New Roman" w:cs="Times New Roman"/>
          <w:color w:val="000000"/>
          <w:kern w:val="0"/>
          <w:sz w:val="24"/>
          <w:szCs w:val="24"/>
          <w14:ligatures w14:val="none"/>
        </w:rPr>
        <w:t>Almalki</w:t>
      </w:r>
      <w:proofErr w:type="spellEnd"/>
      <w:r w:rsidRPr="00336C53">
        <w:rPr>
          <w:rFonts w:ascii="Times New Roman" w:eastAsia="Times New Roman" w:hAnsi="Times New Roman" w:cs="Times New Roman"/>
          <w:color w:val="000000"/>
          <w:kern w:val="0"/>
          <w:sz w:val="24"/>
          <w:szCs w:val="24"/>
          <w14:ligatures w14:val="none"/>
        </w:rPr>
        <w:t>, M., Fitzgerald, G., &amp; Clark, M. (2020). Health care system in Saudi Arabia: An overview. </w:t>
      </w:r>
      <w:r w:rsidRPr="00336C53">
        <w:rPr>
          <w:rFonts w:ascii="Times New Roman" w:eastAsia="Times New Roman" w:hAnsi="Times New Roman" w:cs="Times New Roman"/>
          <w:i/>
          <w:iCs/>
          <w:color w:val="000000"/>
          <w:kern w:val="0"/>
          <w:sz w:val="24"/>
          <w:szCs w:val="24"/>
          <w14:ligatures w14:val="none"/>
        </w:rPr>
        <w:t>Eastern Mediterranean Health Journal, 26</w:t>
      </w:r>
      <w:r w:rsidRPr="00336C53">
        <w:rPr>
          <w:rFonts w:ascii="Times New Roman" w:eastAsia="Times New Roman" w:hAnsi="Times New Roman" w:cs="Times New Roman"/>
          <w:color w:val="000000"/>
          <w:kern w:val="0"/>
          <w:sz w:val="24"/>
          <w:szCs w:val="24"/>
          <w14:ligatures w14:val="none"/>
        </w:rPr>
        <w:t>(10), 1165-1173. https://doi.org/10.26719/emhj.20.1165</w:t>
      </w:r>
    </w:p>
    <w:p w14:paraId="5AB58148" w14:textId="77777777" w:rsidR="0019589C" w:rsidRPr="00336C53" w:rsidRDefault="0019589C" w:rsidP="0019589C">
      <w:pPr>
        <w:numPr>
          <w:ilvl w:val="0"/>
          <w:numId w:val="1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Brown, J., &amp; Finkelstein, A. (2019). The impact of health insurance on health. </w:t>
      </w:r>
      <w:r w:rsidRPr="00336C53">
        <w:rPr>
          <w:rFonts w:ascii="Times New Roman" w:eastAsia="Times New Roman" w:hAnsi="Times New Roman" w:cs="Times New Roman"/>
          <w:i/>
          <w:iCs/>
          <w:color w:val="000000"/>
          <w:kern w:val="0"/>
          <w:sz w:val="24"/>
          <w:szCs w:val="24"/>
          <w14:ligatures w14:val="none"/>
        </w:rPr>
        <w:t>Annual Review of Economics, 11</w:t>
      </w:r>
      <w:r w:rsidRPr="00336C53">
        <w:rPr>
          <w:rFonts w:ascii="Times New Roman" w:eastAsia="Times New Roman" w:hAnsi="Times New Roman" w:cs="Times New Roman"/>
          <w:color w:val="000000"/>
          <w:kern w:val="0"/>
          <w:sz w:val="24"/>
          <w:szCs w:val="24"/>
          <w14:ligatures w14:val="none"/>
        </w:rPr>
        <w:t>, 239–264. https://doi.org/10.1146/annurev-economics-080218-030850</w:t>
      </w:r>
    </w:p>
    <w:p w14:paraId="002D8FAF" w14:textId="77777777" w:rsidR="0019589C" w:rsidRPr="00336C53" w:rsidRDefault="0019589C" w:rsidP="0019589C">
      <w:pPr>
        <w:numPr>
          <w:ilvl w:val="0"/>
          <w:numId w:val="1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Lee, S., &amp; Kim, H. (2020). Determinants of health insurance effectiveness: Evidence from emerging markets. </w:t>
      </w:r>
      <w:r w:rsidRPr="00336C53">
        <w:rPr>
          <w:rFonts w:ascii="Times New Roman" w:eastAsia="Times New Roman" w:hAnsi="Times New Roman" w:cs="Times New Roman"/>
          <w:i/>
          <w:iCs/>
          <w:color w:val="000000"/>
          <w:kern w:val="0"/>
          <w:sz w:val="24"/>
          <w:szCs w:val="24"/>
          <w14:ligatures w14:val="none"/>
        </w:rPr>
        <w:t>Health Policy, 124</w:t>
      </w:r>
      <w:r w:rsidRPr="00336C53">
        <w:rPr>
          <w:rFonts w:ascii="Times New Roman" w:eastAsia="Times New Roman" w:hAnsi="Times New Roman" w:cs="Times New Roman"/>
          <w:color w:val="000000"/>
          <w:kern w:val="0"/>
          <w:sz w:val="24"/>
          <w:szCs w:val="24"/>
          <w14:ligatures w14:val="none"/>
        </w:rPr>
        <w:t>(2), 150-158. https://doi.org/10.1016/j.healthpol.2019.11.012</w:t>
      </w:r>
    </w:p>
    <w:p w14:paraId="6EEDEEF5" w14:textId="77777777" w:rsidR="0019589C" w:rsidRPr="00336C53" w:rsidRDefault="0019589C" w:rsidP="0019589C">
      <w:pPr>
        <w:numPr>
          <w:ilvl w:val="0"/>
          <w:numId w:val="13"/>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336C53">
        <w:rPr>
          <w:rFonts w:ascii="Times New Roman" w:eastAsia="Times New Roman" w:hAnsi="Times New Roman" w:cs="Times New Roman"/>
          <w:color w:val="000000"/>
          <w:kern w:val="0"/>
          <w:sz w:val="24"/>
          <w:szCs w:val="24"/>
          <w14:ligatures w14:val="none"/>
        </w:rPr>
        <w:t>Smith, P., Brown, A., &amp; Jones, L. (2018). Health insurance coverage and quality of care: A systematic review. </w:t>
      </w:r>
      <w:r w:rsidRPr="00336C53">
        <w:rPr>
          <w:rFonts w:ascii="Times New Roman" w:eastAsia="Times New Roman" w:hAnsi="Times New Roman" w:cs="Times New Roman"/>
          <w:i/>
          <w:iCs/>
          <w:color w:val="000000"/>
          <w:kern w:val="0"/>
          <w:sz w:val="24"/>
          <w:szCs w:val="24"/>
          <w14:ligatures w14:val="none"/>
        </w:rPr>
        <w:t>Journal of Health Economics, 59</w:t>
      </w:r>
      <w:r w:rsidRPr="00336C53">
        <w:rPr>
          <w:rFonts w:ascii="Times New Roman" w:eastAsia="Times New Roman" w:hAnsi="Times New Roman" w:cs="Times New Roman"/>
          <w:color w:val="000000"/>
          <w:kern w:val="0"/>
          <w:sz w:val="24"/>
          <w:szCs w:val="24"/>
          <w14:ligatures w14:val="none"/>
        </w:rPr>
        <w:t>, 21–35. https://doi.org/10.1016/j.jhealeco.2018.04.005</w:t>
      </w:r>
    </w:p>
    <w:p w14:paraId="6E52896B" w14:textId="38F52AA9" w:rsidR="009125CE" w:rsidRPr="009125CE" w:rsidRDefault="0019589C" w:rsidP="0019589C">
      <w:pPr>
        <w:jc w:val="center"/>
        <w:rPr>
          <w:rFonts w:ascii="Sakkal Majalla" w:hAnsi="Sakkal Majalla" w:cs="Sakkal Majalla"/>
          <w:b/>
          <w:bCs/>
          <w:sz w:val="28"/>
          <w:szCs w:val="28"/>
        </w:rPr>
      </w:pPr>
      <w:r w:rsidRPr="00336C53">
        <w:rPr>
          <w:rFonts w:ascii="Times New Roman" w:eastAsia="Times New Roman" w:hAnsi="Times New Roman" w:cs="Times New Roman"/>
          <w:color w:val="000000"/>
          <w:kern w:val="0"/>
          <w:sz w:val="24"/>
          <w:szCs w:val="24"/>
          <w14:ligatures w14:val="none"/>
        </w:rPr>
        <w:t>World Health Organization. (2021). </w:t>
      </w:r>
      <w:r w:rsidRPr="00336C53">
        <w:rPr>
          <w:rFonts w:ascii="Times New Roman" w:eastAsia="Times New Roman" w:hAnsi="Times New Roman" w:cs="Times New Roman"/>
          <w:i/>
          <w:iCs/>
          <w:color w:val="000000"/>
          <w:kern w:val="0"/>
          <w:sz w:val="24"/>
          <w:szCs w:val="24"/>
          <w14:ligatures w14:val="none"/>
        </w:rPr>
        <w:t>Global report on health coverage and universal health care</w:t>
      </w:r>
      <w:r w:rsidRPr="00336C53">
        <w:rPr>
          <w:rFonts w:ascii="Times New Roman" w:eastAsia="Times New Roman" w:hAnsi="Times New Roman" w:cs="Times New Roman"/>
          <w:color w:val="000000"/>
          <w:kern w:val="0"/>
          <w:sz w:val="24"/>
          <w:szCs w:val="24"/>
          <w14:ligatures w14:val="none"/>
        </w:rPr>
        <w:t>. Geneva: WHO. https://www.who.int/publications/i/item/9789240039121</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DEC78" w14:textId="77777777" w:rsidR="00366F4D" w:rsidRDefault="00366F4D" w:rsidP="009125CE">
      <w:pPr>
        <w:spacing w:after="0" w:line="240" w:lineRule="auto"/>
      </w:pPr>
      <w:r>
        <w:separator/>
      </w:r>
    </w:p>
  </w:endnote>
  <w:endnote w:type="continuationSeparator" w:id="0">
    <w:p w14:paraId="24F552C6" w14:textId="77777777" w:rsidR="00366F4D" w:rsidRDefault="00366F4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6F0FD" w14:textId="77777777" w:rsidR="00366F4D" w:rsidRDefault="00366F4D" w:rsidP="009125CE">
      <w:pPr>
        <w:spacing w:after="0" w:line="240" w:lineRule="auto"/>
      </w:pPr>
      <w:r>
        <w:separator/>
      </w:r>
    </w:p>
  </w:footnote>
  <w:footnote w:type="continuationSeparator" w:id="0">
    <w:p w14:paraId="285BBE3D" w14:textId="77777777" w:rsidR="00366F4D" w:rsidRDefault="00366F4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28D5"/>
    <w:multiLevelType w:val="multilevel"/>
    <w:tmpl w:val="51381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12DD2"/>
    <w:multiLevelType w:val="multilevel"/>
    <w:tmpl w:val="21807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058DB"/>
    <w:multiLevelType w:val="multilevel"/>
    <w:tmpl w:val="4236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96D6C"/>
    <w:multiLevelType w:val="multilevel"/>
    <w:tmpl w:val="11EE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522BF7"/>
    <w:multiLevelType w:val="multilevel"/>
    <w:tmpl w:val="9F96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997358"/>
    <w:multiLevelType w:val="multilevel"/>
    <w:tmpl w:val="9C945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917B19"/>
    <w:multiLevelType w:val="multilevel"/>
    <w:tmpl w:val="98C41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1902F1"/>
    <w:multiLevelType w:val="multilevel"/>
    <w:tmpl w:val="102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C7EB1"/>
    <w:multiLevelType w:val="multilevel"/>
    <w:tmpl w:val="3F4C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7D486F"/>
    <w:multiLevelType w:val="multilevel"/>
    <w:tmpl w:val="1B90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B92876"/>
    <w:multiLevelType w:val="multilevel"/>
    <w:tmpl w:val="D516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623979"/>
    <w:multiLevelType w:val="multilevel"/>
    <w:tmpl w:val="1CFAF4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9BD212B"/>
    <w:multiLevelType w:val="multilevel"/>
    <w:tmpl w:val="2DAC9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4210110">
    <w:abstractNumId w:val="11"/>
  </w:num>
  <w:num w:numId="2" w16cid:durableId="1827555456">
    <w:abstractNumId w:val="6"/>
  </w:num>
  <w:num w:numId="3" w16cid:durableId="1888711970">
    <w:abstractNumId w:val="1"/>
  </w:num>
  <w:num w:numId="4" w16cid:durableId="1340888390">
    <w:abstractNumId w:val="10"/>
  </w:num>
  <w:num w:numId="5" w16cid:durableId="653947509">
    <w:abstractNumId w:val="4"/>
  </w:num>
  <w:num w:numId="6" w16cid:durableId="178004862">
    <w:abstractNumId w:val="7"/>
  </w:num>
  <w:num w:numId="7" w16cid:durableId="685904725">
    <w:abstractNumId w:val="9"/>
  </w:num>
  <w:num w:numId="8" w16cid:durableId="1573269436">
    <w:abstractNumId w:val="2"/>
  </w:num>
  <w:num w:numId="9" w16cid:durableId="1274636087">
    <w:abstractNumId w:val="0"/>
  </w:num>
  <w:num w:numId="10" w16cid:durableId="1249344358">
    <w:abstractNumId w:val="12"/>
  </w:num>
  <w:num w:numId="11" w16cid:durableId="2042827110">
    <w:abstractNumId w:val="8"/>
  </w:num>
  <w:num w:numId="12" w16cid:durableId="1296519074">
    <w:abstractNumId w:val="3"/>
  </w:num>
  <w:num w:numId="13" w16cid:durableId="333127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9589C"/>
    <w:rsid w:val="001C2162"/>
    <w:rsid w:val="00366F4D"/>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53D79"/>
    <w:rsid w:val="00B55620"/>
    <w:rsid w:val="00B63B0F"/>
    <w:rsid w:val="00B7678A"/>
    <w:rsid w:val="00C04D0B"/>
    <w:rsid w:val="00C71E18"/>
    <w:rsid w:val="00D22171"/>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amal Bagalb</cp:lastModifiedBy>
  <cp:revision>2</cp:revision>
  <dcterms:created xsi:type="dcterms:W3CDTF">2025-12-15T16:53:00Z</dcterms:created>
  <dcterms:modified xsi:type="dcterms:W3CDTF">2025-12-15T16:53:00Z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