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120" w:line="300"/>
        <w:jc w:val="center"/>
      </w:pPr>
      <w:r>
        <w:rPr>
          <w:rFonts w:ascii="Simplified Arabic" w:cs="Simplified Arabic" w:hAnsi="Simplified Arabic"/>
          <w:b/>
          <w:bCs/>
          <w:i w:val="false"/>
          <w:iCs w:val="false"/>
          <w:color w:val="000000"/>
          <w:sz w:val="36"/>
          <w:szCs w:val="36"/>
          <w:rtl/>
        </w:rPr>
        <w:t xml:space="preserve">جامعة ميدأوشن</w:t>
      </w:r>
    </w:p>
    <w:p>
      <w:pPr>
        <w:bidi/>
        <w:spacing w:after="120" w:line="300"/>
        <w:jc w:val="center"/>
      </w:pPr>
      <w:r>
        <w:rPr>
          <w:rFonts w:ascii="Simplified Arabic" w:cs="Simplified Arabic" w:hAnsi="Simplified Arabic"/>
          <w:b/>
          <w:bCs/>
          <w:i w:val="false"/>
          <w:iCs w:val="false"/>
          <w:color w:val="000000"/>
          <w:sz w:val="36"/>
          <w:szCs w:val="36"/>
          <w:rtl/>
        </w:rPr>
        <w:t xml:space="preserve">كلية الإدارة</w:t>
      </w:r>
    </w:p>
    <w:p>
      <w:pPr>
        <w:bidi/>
        <w:spacing w:after="160" w:line="300"/>
        <w:jc w:val="center"/>
      </w:pPr>
      <w:r>
        <w:rPr>
          <w:rFonts w:ascii="Simplified Arabic" w:cs="Simplified Arabic" w:hAnsi="Simplified Arabic"/>
          <w:b/>
          <w:bCs/>
          <w:i w:val="false"/>
          <w:iCs w:val="false"/>
          <w:color w:val="000000"/>
          <w:sz w:val="28"/>
          <w:szCs w:val="28"/>
          <w:rtl/>
        </w:rPr>
        <w:t xml:space="preserve">قسم إدارة الأعمال / تخصص إدارة الجودة والاعتماد الأكاديمي</w:t>
      </w:r>
    </w:p>
    <w:p>
      <w:pPr>
        <w:bidi/>
        <w:spacing w:after="0"/>
      </w:pPr>
      <w:r>
        <w:rPr>
          <w:rFonts w:ascii="Simplified Arabic" w:cs="Simplified Arabic" w:hAnsi="Simplified Arabic"/>
          <w:b w:val="false"/>
          <w:bCs w:val="false"/>
          <w:i w:val="false"/>
          <w:iCs w:val="false"/>
          <w:color w:val="000000"/>
          <w:sz w:val="28"/>
          <w:szCs w:val="28"/>
          <w:rtl/>
        </w:rPr>
        <w:t xml:space="preserve"/>
      </w:r>
    </w:p>
    <w:p>
      <w:pPr>
        <w:bidi w:val="false"/>
        <w:spacing w:after="200" w:before="100" w:line="240" w:lineRule="auto"/>
        <w:jc w:val="center"/>
      </w:pPr>
      <w:r>
        <w:drawing>
          <wp:inline distT="0" distB="0" distL="0" distR="0">
            <wp:extent cx="1809750" cy="82867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809750" cy="828675"/>
                    </a:xfrm>
                    <a:prstGeom prst="rect">
                      <a:avLst/>
                    </a:prstGeom>
                  </pic:spPr>
                </pic:pic>
              </a:graphicData>
            </a:graphic>
          </wp:inline>
        </w:drawing>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240" w:line="460"/>
        <w:jc w:val="center"/>
      </w:pPr>
      <w:r>
        <w:rPr>
          <w:rFonts w:ascii="Simplified Arabic" w:cs="Simplified Arabic" w:hAnsi="Simplified Arabic"/>
          <w:b/>
          <w:bCs/>
          <w:i w:val="false"/>
          <w:iCs w:val="false"/>
          <w:color w:val="000000"/>
          <w:sz w:val="40"/>
          <w:szCs w:val="40"/>
          <w:rtl/>
        </w:rPr>
        <w:t xml:space="preserve">أثر تطبيق معايير الاعتماد الأكاديمي في جودة المخرجات التعليمية بمؤسسات التعليم العالي: مراجعة منهجية للأدبيات (2017–2026) وفق بروتوكول PRISMA 2020 مع تحليل مركّز على السياق العربي</w:t>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120" w:line="300"/>
        <w:jc w:val="center"/>
      </w:pPr>
      <w:r>
        <w:rPr>
          <w:rFonts w:ascii="Simplified Arabic" w:cs="Simplified Arabic" w:hAnsi="Simplified Arabic"/>
          <w:b/>
          <w:bCs/>
          <w:i w:val="false"/>
          <w:iCs w:val="false"/>
          <w:color w:val="000000"/>
          <w:sz w:val="28"/>
          <w:szCs w:val="28"/>
          <w:rtl/>
        </w:rPr>
        <w:t xml:space="preserve">إعداد الطالب:</w:t>
      </w:r>
    </w:p>
    <w:p>
      <w:pPr>
        <w:bidi/>
        <w:spacing w:after="120" w:line="300"/>
        <w:jc w:val="center"/>
      </w:pPr>
      <w:r>
        <w:rPr>
          <w:rFonts w:ascii="Simplified Arabic" w:cs="Simplified Arabic" w:hAnsi="Simplified Arabic"/>
          <w:b/>
          <w:bCs/>
          <w:i w:val="false"/>
          <w:iCs w:val="false"/>
          <w:color w:val="000000"/>
          <w:sz w:val="36"/>
          <w:szCs w:val="36"/>
          <w:rtl/>
        </w:rPr>
        <w:t xml:space="preserve">عبدالله محمد مأمون فحلة</w:t>
      </w:r>
    </w:p>
    <w:p>
      <w:pPr>
        <w:bidi/>
        <w:spacing w:after="120" w:line="300"/>
        <w:jc w:val="center"/>
      </w:pPr>
      <w:r>
        <w:rPr>
          <w:rFonts w:ascii="Simplified Arabic" w:cs="Simplified Arabic" w:hAnsi="Simplified Arabic"/>
          <w:b w:val="false"/>
          <w:bCs w:val="false"/>
          <w:i w:val="false"/>
          <w:iCs w:val="false"/>
          <w:color w:val="000000"/>
          <w:sz w:val="28"/>
          <w:szCs w:val="28"/>
          <w:rtl/>
        </w:rPr>
        <w:t xml:space="preserve">الرقم الجامعي: 253001121</w:t>
      </w:r>
    </w:p>
    <w:p>
      <w:pPr>
        <w:bidi/>
        <w:spacing w:after="200" w:line="240"/>
        <w:jc w:val="center"/>
      </w:pPr>
      <w:r>
        <w:rPr>
          <w:rFonts w:ascii="Simplified Arabic" w:cs="Simplified Arabic" w:hAnsi="Simplified Arabic"/>
          <w:b w:val="false"/>
          <w:bCs w:val="false"/>
          <w:i w:val="false"/>
          <w:iCs w:val="false"/>
          <w:color w:val="000000"/>
          <w:sz w:val="28"/>
          <w:szCs w:val="28"/>
          <w:rtl/>
        </w:rPr>
        <w:t xml:space="preserve">رقم الأوركيد (ORCID): </w:t>
      </w:r>
      <w:r>
        <w:rPr>
          <w:rFonts w:ascii="Times New Roman" w:cs="Times New Roman" w:hAnsi="Times New Roman"/>
          <w:b w:val="false"/>
          <w:bCs w:val="false"/>
          <w:i w:val="false"/>
          <w:iCs w:val="false"/>
          <w:color w:val="000000"/>
          <w:sz w:val="28"/>
          <w:szCs w:val="28"/>
        </w:rPr>
        <w:t xml:space="preserve">https://orcid.org/0009-0006-2033-5328</w:t>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160" w:line="300"/>
        <w:jc w:val="center"/>
      </w:pPr>
      <w:r>
        <w:rPr>
          <w:rFonts w:ascii="Simplified Arabic" w:cs="Simplified Arabic" w:hAnsi="Simplified Arabic"/>
          <w:b/>
          <w:bCs/>
          <w:i w:val="false"/>
          <w:iCs w:val="false"/>
          <w:color w:val="000000"/>
          <w:sz w:val="28"/>
          <w:szCs w:val="28"/>
          <w:rtl/>
        </w:rPr>
        <w:t xml:space="preserve">إشراف:</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4250"/>
        <w:gridCol w:w="4250"/>
      </w:tblGrid>
      <w:tr>
        <w:trPr>
          <w:cantSplit/>
        </w:trPr>
        <w:tc>
          <w:tcPr>
            <w:tcW w:type="dxa" w:w="4250"/>
            <w:tcBorders>
              <w:top w:val="none" w:color="FFFFFF" w:sz="0"/>
              <w:left w:val="none" w:color="FFFFFF" w:sz="0"/>
              <w:bottom w:val="none" w:color="FFFFFF" w:sz="0"/>
              <w:right w:val="none" w:color="FFFFFF" w:sz="0"/>
            </w:tcBorders>
            <w:vAlign w:val="top"/>
          </w:tcPr>
          <w:p>
            <w:pPr>
              <w:bidi/>
              <w:spacing w:after="60" w:line="240"/>
              <w:jc w:val="center"/>
            </w:pPr>
            <w:r>
              <w:rPr>
                <w:rFonts w:ascii="Simplified Arabic" w:cs="Simplified Arabic" w:hAnsi="Simplified Arabic"/>
                <w:b/>
                <w:bCs/>
                <w:i w:val="false"/>
                <w:iCs w:val="false"/>
                <w:color w:val="000000"/>
                <w:sz w:val="28"/>
                <w:szCs w:val="28"/>
                <w:rtl/>
              </w:rPr>
              <w:t xml:space="preserve">المشرف الرئيسي</w:t>
            </w:r>
          </w:p>
          <w:p>
            <w:pPr>
              <w:bidi/>
              <w:spacing w:after="0" w:line="240"/>
              <w:jc w:val="center"/>
            </w:pPr>
            <w:r>
              <w:rPr>
                <w:rFonts w:ascii="Simplified Arabic" w:cs="Simplified Arabic" w:hAnsi="Simplified Arabic"/>
                <w:b/>
                <w:bCs/>
                <w:i w:val="false"/>
                <w:iCs w:val="false"/>
                <w:color w:val="000000"/>
                <w:sz w:val="28"/>
                <w:szCs w:val="28"/>
                <w:rtl/>
              </w:rPr>
              <w:t xml:space="preserve">د. الفيصل عبد الحميد</w:t>
            </w:r>
          </w:p>
        </w:tc>
        <w:tc>
          <w:tcPr>
            <w:tcW w:type="dxa" w:w="4250"/>
            <w:tcBorders>
              <w:top w:val="none" w:color="FFFFFF" w:sz="0"/>
              <w:left w:val="none" w:color="FFFFFF" w:sz="0"/>
              <w:bottom w:val="none" w:color="FFFFFF" w:sz="0"/>
              <w:right w:val="none" w:color="FFFFFF" w:sz="0"/>
            </w:tcBorders>
            <w:vAlign w:val="top"/>
          </w:tcPr>
          <w:p>
            <w:pPr>
              <w:bidi/>
              <w:spacing w:after="60" w:line="240"/>
              <w:jc w:val="center"/>
            </w:pPr>
            <w:r>
              <w:rPr>
                <w:rFonts w:ascii="Simplified Arabic" w:cs="Simplified Arabic" w:hAnsi="Simplified Arabic"/>
                <w:b/>
                <w:bCs/>
                <w:i w:val="false"/>
                <w:iCs w:val="false"/>
                <w:color w:val="000000"/>
                <w:sz w:val="28"/>
                <w:szCs w:val="28"/>
                <w:rtl/>
              </w:rPr>
              <w:t xml:space="preserve">المشرف المشارك</w:t>
            </w:r>
          </w:p>
          <w:p>
            <w:pPr>
              <w:bidi/>
              <w:spacing w:after="0" w:line="240"/>
              <w:jc w:val="center"/>
            </w:pPr>
            <w:r>
              <w:rPr>
                <w:rFonts w:ascii="Simplified Arabic" w:cs="Simplified Arabic" w:hAnsi="Simplified Arabic"/>
                <w:b/>
                <w:bCs/>
                <w:i w:val="false"/>
                <w:iCs w:val="false"/>
                <w:color w:val="000000"/>
                <w:sz w:val="28"/>
                <w:szCs w:val="28"/>
                <w:rtl/>
              </w:rPr>
              <w:t xml:space="preserve">د. فايز جراد</w:t>
            </w:r>
          </w:p>
        </w:tc>
      </w:tr>
    </w:tbl>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120" w:line="300"/>
        <w:jc w:val="center"/>
      </w:pPr>
      <w:r>
        <w:rPr>
          <w:rFonts w:ascii="Simplified Arabic" w:cs="Simplified Arabic" w:hAnsi="Simplified Arabic"/>
          <w:b/>
          <w:bCs/>
          <w:i w:val="false"/>
          <w:iCs w:val="false"/>
          <w:color w:val="000000"/>
          <w:sz w:val="36"/>
          <w:szCs w:val="36"/>
          <w:rtl/>
        </w:rPr>
        <w:t xml:space="preserve">العام الدراسي: 2026</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حقوق الطباعة</w:t>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160" w:line="240"/>
        <w:jc w:val="center"/>
      </w:pPr>
      <w:r>
        <w:rPr>
          <w:rFonts w:ascii="Simplified Arabic" w:cs="Simplified Arabic" w:hAnsi="Simplified Arabic"/>
          <w:b w:val="false"/>
          <w:bCs w:val="false"/>
          <w:i w:val="false"/>
          <w:iCs w:val="false"/>
          <w:color w:val="000000"/>
          <w:sz w:val="28"/>
          <w:szCs w:val="28"/>
          <w:rtl/>
        </w:rPr>
        <w:t xml:space="preserve">يُصرّح الطالب عبدالله محمد مأمون فحلة بأن حقوق الطباعة والنشر لهذا العمل الموسوم بـ:</w:t>
      </w:r>
    </w:p>
    <w:p>
      <w:pPr>
        <w:bidi/>
        <w:spacing w:after="160" w:line="240"/>
        <w:jc w:val="center"/>
      </w:pPr>
      <w:r>
        <w:rPr>
          <w:rFonts w:ascii="Simplified Arabic" w:cs="Simplified Arabic" w:hAnsi="Simplified Arabic"/>
          <w:b/>
          <w:bCs/>
          <w:i w:val="false"/>
          <w:iCs w:val="false"/>
          <w:color w:val="000000"/>
          <w:sz w:val="28"/>
          <w:szCs w:val="28"/>
          <w:rtl/>
        </w:rPr>
        <w:t xml:space="preserve">«أثر تطبيق معايير الاعتماد الأكاديمي في جودة المخرجات التعليمية بمؤسسات التعليم العالي: مراجعة منهجية للأدبيات (2017–2026) وفق بروتوكول PRISMA 2020 مع تحليل مركّز على السياق العربي»</w:t>
      </w:r>
    </w:p>
    <w:p>
      <w:pPr>
        <w:bidi/>
        <w:spacing w:after="160" w:line="240"/>
        <w:jc w:val="center"/>
      </w:pPr>
      <w:r>
        <w:rPr>
          <w:rFonts w:ascii="Simplified Arabic" w:cs="Simplified Arabic" w:hAnsi="Simplified Arabic"/>
          <w:b w:val="false"/>
          <w:bCs w:val="false"/>
          <w:i w:val="false"/>
          <w:iCs w:val="false"/>
          <w:color w:val="000000"/>
          <w:sz w:val="28"/>
          <w:szCs w:val="28"/>
          <w:rtl/>
        </w:rPr>
        <w:t xml:space="preserve">تعود ملكيّتها إلى جامعة ميدأوشن، وأنه لا يجوز نسخ هذا العمل أو أي جزء منه أو إعادة إنتاجه أو تخزينه أو نقله بأي وسيلة كانت دون إذن خطي مسبق من الجامعة، عدا ما يقتضيه الاقتباس العلمي المشروع مع الإشارة إلى المصدر.</w:t>
      </w:r>
    </w:p>
    <w:p>
      <w:pPr>
        <w:bidi/>
        <w:spacing w:after="160" w:line="240"/>
        <w:jc w:val="center"/>
      </w:pPr>
      <w:r>
        <w:rPr>
          <w:rFonts w:ascii="Simplified Arabic" w:cs="Simplified Arabic" w:hAnsi="Simplified Arabic"/>
          <w:b w:val="false"/>
          <w:bCs w:val="false"/>
          <w:i w:val="false"/>
          <w:iCs w:val="false"/>
          <w:color w:val="000000"/>
          <w:sz w:val="28"/>
          <w:szCs w:val="28"/>
          <w:rtl/>
        </w:rPr>
        <w:t xml:space="preserve">كما يُقرّ الطالب بأن هذا العمل من إنتاجه الشخصي، وأنه لم يُقدَّم للحصول على أي درجة علمية أخرى، وأن كل ما استُعين به من مصادر قد وُثّق توثيقاً علمياً كاملاً في قائمة المراجع.</w:t>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160" w:line="240"/>
        <w:jc w:val="center"/>
      </w:pPr>
      <w:r>
        <w:rPr>
          <w:rFonts w:ascii="Simplified Arabic" w:cs="Simplified Arabic" w:hAnsi="Simplified Arabic"/>
          <w:b/>
          <w:bCs/>
          <w:i w:val="false"/>
          <w:iCs w:val="false"/>
          <w:color w:val="000000"/>
          <w:sz w:val="28"/>
          <w:szCs w:val="28"/>
          <w:rtl/>
        </w:rPr>
        <w:t xml:space="preserve">© جامعة ميدأوشن — 2026</w:t>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160" w:line="240"/>
        <w:jc w:val="center"/>
      </w:pPr>
      <w:r>
        <w:rPr>
          <w:rFonts w:ascii="Simplified Arabic" w:cs="Simplified Arabic" w:hAnsi="Simplified Arabic"/>
          <w:b w:val="false"/>
          <w:bCs w:val="false"/>
          <w:i w:val="false"/>
          <w:iCs w:val="false"/>
          <w:color w:val="000000"/>
          <w:sz w:val="28"/>
          <w:szCs w:val="28"/>
          <w:rtl/>
        </w:rPr>
        <w:t xml:space="preserve">توقيع الطالب: ____________________          التاريخ: ____ / ____ / 2026</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المستخلص</w:t>
      </w:r>
    </w:p>
    <w:p>
      <w:pPr>
        <w:bidi/>
        <w:spacing w:after="200" w:before="0" w:line="240"/>
        <w:jc w:val="both"/>
      </w:pPr>
      <w:r>
        <w:rPr>
          <w:rFonts w:ascii="Simplified Arabic" w:cs="Simplified Arabic" w:hAnsi="Simplified Arabic"/>
          <w:b/>
          <w:bCs/>
          <w:i w:val="false"/>
          <w:iCs w:val="false"/>
          <w:color w:val="000000"/>
          <w:sz w:val="28"/>
          <w:szCs w:val="28"/>
          <w:rtl/>
        </w:rPr>
        <w:t xml:space="preserve">مشكلة البحث: </w:t>
      </w:r>
      <w:r>
        <w:rPr>
          <w:rFonts w:ascii="Simplified Arabic" w:cs="Simplified Arabic" w:hAnsi="Simplified Arabic"/>
          <w:b w:val="false"/>
          <w:bCs w:val="false"/>
          <w:i w:val="false"/>
          <w:iCs w:val="false"/>
          <w:color w:val="000000"/>
          <w:sz w:val="28"/>
          <w:szCs w:val="28"/>
          <w:rtl/>
        </w:rPr>
        <w:t xml:space="preserve">تتباين الأدلة المنشورة حول أثر تطبيق معايير الاعتماد الأكاديمي في جودة المخرجات التعليمية وتتناثر عبر سياقات وتصاميم مختلفة، وتزداد الإشكالية حدّةً في السياق العربي لندرة الأدلة فيه. </w:t>
      </w:r>
      <w:r>
        <w:rPr>
          <w:rFonts w:ascii="Simplified Arabic" w:cs="Simplified Arabic" w:hAnsi="Simplified Arabic"/>
          <w:b/>
          <w:bCs/>
          <w:i w:val="false"/>
          <w:iCs w:val="false"/>
          <w:color w:val="000000"/>
          <w:sz w:val="28"/>
          <w:szCs w:val="28"/>
          <w:rtl/>
        </w:rPr>
        <w:t xml:space="preserve">أهداف البحث: </w:t>
      </w:r>
      <w:r>
        <w:rPr>
          <w:rFonts w:ascii="Simplified Arabic" w:cs="Simplified Arabic" w:hAnsi="Simplified Arabic"/>
          <w:b w:val="false"/>
          <w:bCs w:val="false"/>
          <w:i w:val="false"/>
          <w:iCs w:val="false"/>
          <w:color w:val="000000"/>
          <w:sz w:val="28"/>
          <w:szCs w:val="28"/>
          <w:rtl/>
        </w:rPr>
        <w:t xml:space="preserve">تركيب الأدلة المنشورة حول هذا الأثر، وتحديد الأبعاد الأكثر ارتباطاً به والعوامل الوسيطة فيه، وتشخيص حالة الأدلة العربية. </w:t>
      </w:r>
      <w:r>
        <w:rPr>
          <w:rFonts w:ascii="Simplified Arabic" w:cs="Simplified Arabic" w:hAnsi="Simplified Arabic"/>
          <w:b/>
          <w:bCs/>
          <w:i w:val="false"/>
          <w:iCs w:val="false"/>
          <w:color w:val="000000"/>
          <w:sz w:val="28"/>
          <w:szCs w:val="28"/>
          <w:rtl/>
        </w:rPr>
        <w:t xml:space="preserve">منهجية البحث: </w:t>
      </w:r>
      <w:r>
        <w:rPr>
          <w:rFonts w:ascii="Simplified Arabic" w:cs="Simplified Arabic" w:hAnsi="Simplified Arabic"/>
          <w:b w:val="false"/>
          <w:bCs w:val="false"/>
          <w:i w:val="false"/>
          <w:iCs w:val="false"/>
          <w:color w:val="000000"/>
          <w:sz w:val="28"/>
          <w:szCs w:val="28"/>
          <w:rtl/>
        </w:rPr>
        <w:t xml:space="preserve">مراجعة منهجية وفق بروتوكول PRISMA 2020، بمعايير أهلية معلنة مسبقاً وفق إطار SPIDER، وتقييم للجودة المنهجية بأداة MMAT 2018، وتركيب موضوعي ثلاثي المراحل. </w:t>
      </w:r>
      <w:r>
        <w:rPr>
          <w:rFonts w:ascii="Simplified Arabic" w:cs="Simplified Arabic" w:hAnsi="Simplified Arabic"/>
          <w:b/>
          <w:bCs/>
          <w:i w:val="false"/>
          <w:iCs w:val="false"/>
          <w:color w:val="000000"/>
          <w:sz w:val="28"/>
          <w:szCs w:val="28"/>
          <w:rtl/>
        </w:rPr>
        <w:t xml:space="preserve">مجتمع البحث: </w:t>
      </w:r>
      <w:r>
        <w:rPr>
          <w:rFonts w:ascii="Simplified Arabic" w:cs="Simplified Arabic" w:hAnsi="Simplified Arabic"/>
          <w:b w:val="false"/>
          <w:bCs w:val="false"/>
          <w:i w:val="false"/>
          <w:iCs w:val="false"/>
          <w:color w:val="000000"/>
          <w:sz w:val="28"/>
          <w:szCs w:val="28"/>
          <w:rtl/>
        </w:rPr>
        <w:t xml:space="preserve">الدراسات التجريبية المنشورة بالعربية والإنجليزية (2017–2026). نُفّذ البحث في قاعدة ERIC فأسفر عن (708) سجلات، أُضيف إليها (17) من مسح استكشافي تمهيدي. </w:t>
      </w:r>
      <w:r>
        <w:rPr>
          <w:rFonts w:ascii="Simplified Arabic" w:cs="Simplified Arabic" w:hAnsi="Simplified Arabic"/>
          <w:b/>
          <w:bCs/>
          <w:i w:val="false"/>
          <w:iCs w:val="false"/>
          <w:color w:val="000000"/>
          <w:sz w:val="28"/>
          <w:szCs w:val="28"/>
          <w:rtl/>
        </w:rPr>
        <w:t xml:space="preserve">أساليب تحليل البيانات: </w:t>
      </w:r>
      <w:r>
        <w:rPr>
          <w:rFonts w:ascii="Simplified Arabic" w:cs="Simplified Arabic" w:hAnsi="Simplified Arabic"/>
          <w:b w:val="false"/>
          <w:bCs w:val="false"/>
          <w:i w:val="false"/>
          <w:iCs w:val="false"/>
          <w:color w:val="000000"/>
          <w:sz w:val="28"/>
          <w:szCs w:val="28"/>
          <w:rtl/>
        </w:rPr>
        <w:t xml:space="preserve">فرز على مرحلتين بالعنوان والمستخلص ثم بالنص الكامل، وترميز موضوعي وفق إطار من ستة محاور. </w:t>
      </w:r>
      <w:r>
        <w:rPr>
          <w:rFonts w:ascii="Simplified Arabic" w:cs="Simplified Arabic" w:hAnsi="Simplified Arabic"/>
          <w:b/>
          <w:bCs/>
          <w:i w:val="false"/>
          <w:iCs w:val="false"/>
          <w:color w:val="000000"/>
          <w:sz w:val="28"/>
          <w:szCs w:val="28"/>
          <w:rtl/>
        </w:rPr>
        <w:t xml:space="preserve">النتائج: </w:t>
      </w:r>
      <w:r>
        <w:rPr>
          <w:rFonts w:ascii="Simplified Arabic" w:cs="Simplified Arabic" w:hAnsi="Simplified Arabic"/>
          <w:b w:val="false"/>
          <w:bCs w:val="false"/>
          <w:i w:val="false"/>
          <w:iCs w:val="false"/>
          <w:color w:val="000000"/>
          <w:sz w:val="28"/>
          <w:szCs w:val="28"/>
          <w:rtl/>
        </w:rPr>
        <w:t xml:space="preserve">خضع (114) سجلاً للفرز، واستُبعد (93)، وتضمّنت المراجعة (15) دراسة تُحقّق من ثلاث منها بالنص الكامل. أبلغت الدراسات جميعها عن أثر للاعتماد، غير أن قوّته تناسبت عكسياً مع صرامة التصميم: بلغ الأثر المُدرَك (4.08) من (5) في دراسة سعودية مسحية، بينما لم تجد الدراسة الوحيدة ذات المجموعة الضابطة أثراً فورياً على الأجور وأثراً صفرياً بل سالباً على التوظيف. واعتمدت (86.7%) من الدراسات مؤشرات إدراكية، ولم تستخدم سوى واحدة مجموعةً ضابطة. وأُجريت أربع دراسات في السياق العربي كلها سعودية، ثلاث منها في برامج صحية، واثنتان في مؤسسة واحدة بمؤلف مشترك.</w:t>
      </w:r>
    </w:p>
    <w:p>
      <w:pPr>
        <w:bidi/>
        <w:spacing w:after="120" w:before="0" w:line="240"/>
        <w:jc w:val="both"/>
      </w:pPr>
      <w:r>
        <w:rPr>
          <w:rFonts w:ascii="Simplified Arabic" w:cs="Simplified Arabic" w:hAnsi="Simplified Arabic"/>
          <w:b/>
          <w:bCs/>
          <w:i w:val="false"/>
          <w:iCs w:val="false"/>
          <w:color w:val="000000"/>
          <w:sz w:val="28"/>
          <w:szCs w:val="28"/>
          <w:rtl/>
        </w:rPr>
        <w:t xml:space="preserve">الكلمات المفتاحية: </w:t>
      </w:r>
      <w:r>
        <w:rPr>
          <w:rFonts w:ascii="Simplified Arabic" w:cs="Simplified Arabic" w:hAnsi="Simplified Arabic"/>
          <w:b w:val="false"/>
          <w:bCs w:val="false"/>
          <w:i w:val="false"/>
          <w:iCs w:val="false"/>
          <w:color w:val="000000"/>
          <w:sz w:val="28"/>
          <w:szCs w:val="28"/>
          <w:rtl/>
        </w:rPr>
        <w:t xml:space="preserve">الاعتماد الأكاديمي، ضمان الجودة، جودة المخرجات التعليمية، مراجعة منهجية، PRISMA 2020.</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الشكر والتقدير</w:t>
      </w:r>
    </w:p>
    <w:p>
      <w:pPr>
        <w:bidi/>
        <w:spacing w:after="160" w:line="360"/>
        <w:jc w:val="center"/>
      </w:pPr>
      <w:r>
        <w:rPr>
          <w:rFonts w:ascii="Simplified Arabic" w:cs="Simplified Arabic" w:hAnsi="Simplified Arabic"/>
          <w:b w:val="false"/>
          <w:bCs w:val="false"/>
          <w:i/>
          <w:iCs/>
          <w:color w:val="000000"/>
          <w:sz w:val="28"/>
          <w:szCs w:val="28"/>
          <w:rtl/>
        </w:rPr>
        <w:t xml:space="preserve">الحمد لله الذي بنعمته تتم الصالحات، والصلاة والسلام على من قال: «من لا يشكر الناس لا يشكر الله».</w:t>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160" w:line="360"/>
        <w:jc w:val="both"/>
      </w:pPr>
      <w:r>
        <w:rPr>
          <w:rFonts w:ascii="Simplified Arabic" w:cs="Simplified Arabic" w:hAnsi="Simplified Arabic"/>
          <w:b w:val="false"/>
          <w:bCs w:val="false"/>
          <w:i w:val="false"/>
          <w:iCs w:val="false"/>
          <w:color w:val="000000"/>
          <w:sz w:val="28"/>
          <w:szCs w:val="28"/>
          <w:rtl/>
        </w:rPr>
        <w:t xml:space="preserve">إلى والديّ الكريمين، اللذين كان دعاؤهما سنداً خفياً في كل خطوة، وكان صبرهما وعطاؤهما الأساسَ الذي قام عليه كل ما بلغته: أُهدي هذا العمل، وأسأل الله أن يجعله في ميزان حسناتهما، وأن يبارك في عمريهما ويجزيهما عني خير الجزاء.</w:t>
      </w:r>
    </w:p>
    <w:p>
      <w:pPr>
        <w:bidi/>
        <w:spacing w:after="160" w:line="360"/>
        <w:jc w:val="both"/>
      </w:pPr>
      <w:r>
        <w:rPr>
          <w:rFonts w:ascii="Simplified Arabic" w:cs="Simplified Arabic" w:hAnsi="Simplified Arabic"/>
          <w:b w:val="false"/>
          <w:bCs w:val="false"/>
          <w:i w:val="false"/>
          <w:iCs w:val="false"/>
          <w:color w:val="000000"/>
          <w:sz w:val="28"/>
          <w:szCs w:val="28"/>
          <w:rtl/>
        </w:rPr>
        <w:t xml:space="preserve">وأتقدّم بخالص الشكر والتقدير إلى أعضاء هيئة التدريس في كلية الإدارة بجامعة ميدأوشن، على ما بذلوه من علم وجهد وتوجيه، وعلى ما أتاحوه من بيئة أكاديمية حفّزت على البحث والتساؤل، وفتحت أمامي أبواباً من المعرفة لم أكن لأبلغها وحدي.</w:t>
      </w:r>
    </w:p>
    <w:p>
      <w:pPr>
        <w:bidi/>
        <w:spacing w:after="160" w:line="360"/>
        <w:jc w:val="both"/>
      </w:pPr>
      <w:r>
        <w:rPr>
          <w:rFonts w:ascii="Simplified Arabic" w:cs="Simplified Arabic" w:hAnsi="Simplified Arabic"/>
          <w:b w:val="false"/>
          <w:bCs w:val="false"/>
          <w:i w:val="false"/>
          <w:iCs w:val="false"/>
          <w:color w:val="000000"/>
          <w:sz w:val="28"/>
          <w:szCs w:val="28"/>
          <w:rtl/>
        </w:rPr>
        <w:t xml:space="preserve">وأخصّ بالشكر مشرفَي هذا العمل، الدكتور الفيصل عبد الحميد والدكتور فايز جراد، على ما أولياني من عناية ومتابعة، وما قدّماه من ملاحظات دقيقة أسهمت في إحكام هذا البحث وتقويم مساره؛ فالعلم لا ينضج إلا بالمراجعة، ولا تستقيم المنهجية إلا بعين ناقدة بصيرة.</w:t>
      </w:r>
    </w:p>
    <w:p>
      <w:pPr>
        <w:bidi/>
        <w:spacing w:after="160" w:line="360"/>
        <w:jc w:val="both"/>
      </w:pPr>
      <w:r>
        <w:rPr>
          <w:rFonts w:ascii="Simplified Arabic" w:cs="Simplified Arabic" w:hAnsi="Simplified Arabic"/>
          <w:b w:val="false"/>
          <w:bCs w:val="false"/>
          <w:i w:val="false"/>
          <w:iCs w:val="false"/>
          <w:color w:val="000000"/>
          <w:sz w:val="28"/>
          <w:szCs w:val="28"/>
          <w:rtl/>
        </w:rPr>
        <w:t xml:space="preserve">كما أشكر كل من أسدى إليّ نصحاً أو مدّ لي يد العون في إنجاز هذا العمل، ولو بكلمة طيبة أو دعوة صادقة.</w:t>
      </w:r>
    </w:p>
    <w:p>
      <w:pPr>
        <w:bidi/>
        <w:spacing w:after="160" w:line="360"/>
        <w:jc w:val="center"/>
      </w:pPr>
      <w:r>
        <w:rPr>
          <w:rFonts w:ascii="Simplified Arabic" w:cs="Simplified Arabic" w:hAnsi="Simplified Arabic"/>
          <w:b w:val="false"/>
          <w:bCs w:val="false"/>
          <w:i w:val="false"/>
          <w:iCs w:val="false"/>
          <w:color w:val="000000"/>
          <w:sz w:val="28"/>
          <w:szCs w:val="28"/>
          <w:rtl/>
        </w:rPr>
        <w:t xml:space="preserve">والله وليّ التوفيق.</w:t>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160" w:line="360"/>
        <w:jc w:val="center"/>
      </w:pPr>
      <w:r>
        <w:rPr>
          <w:rFonts w:ascii="Simplified Arabic" w:cs="Simplified Arabic" w:hAnsi="Simplified Arabic"/>
          <w:b/>
          <w:bCs/>
          <w:i w:val="false"/>
          <w:iCs w:val="false"/>
          <w:color w:val="000000"/>
          <w:sz w:val="28"/>
          <w:szCs w:val="28"/>
          <w:rtl/>
        </w:rPr>
        <w:t xml:space="preserve">الباحث</w:t>
      </w:r>
    </w:p>
    <w:p>
      <w:pPr>
        <w:bidi/>
        <w:spacing w:after="160" w:line="360"/>
        <w:jc w:val="center"/>
      </w:pPr>
      <w:r>
        <w:rPr>
          <w:rFonts w:ascii="Simplified Arabic" w:cs="Simplified Arabic" w:hAnsi="Simplified Arabic"/>
          <w:b/>
          <w:bCs/>
          <w:i w:val="false"/>
          <w:iCs w:val="false"/>
          <w:color w:val="000000"/>
          <w:sz w:val="28"/>
          <w:szCs w:val="28"/>
          <w:rtl/>
        </w:rPr>
        <w:t xml:space="preserve">عبدالله محمد مأمون فحلة</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فهرس المحتويات</w:t>
      </w:r>
    </w:p>
    <w:p>
      <w:pPr>
        <w:tabs>
          <w:tab w:val="right" w:pos="9200" w:leader="dot"/>
        </w:tabs>
        <w:bidi/>
        <w:spacing w:after="60" w:line="300"/>
        <w:ind w:left="0"/>
        <w:jc w:val="left"/>
      </w:pPr>
      <w:r>
        <w:rPr>
          <w:rFonts w:ascii="Simplified Arabic" w:cs="Simplified Arabic" w:hAnsi="Simplified Arabic"/>
          <w:b/>
          <w:bCs/>
          <w:i w:val="false"/>
          <w:iCs w:val="false"/>
          <w:color w:val="000000"/>
          <w:sz w:val="28"/>
          <w:szCs w:val="28"/>
          <w:rtl/>
        </w:rPr>
        <w:t xml:space="preserve">حقوق الطباعة</w:t>
      </w:r>
      <w:r>
        <w:rPr>
          <w:rFonts w:ascii="Simplified Arabic" w:cs="Simplified Arabic" w:hAnsi="Simplified Arabic"/>
          <w:sz w:val="28"/>
          <w:szCs w:val="28"/>
          <w:rtl/>
        </w:rPr>
        <w:t xml:space="preserve">	</w:t>
      </w:r>
      <w:r>
        <w:rPr>
          <w:rFonts w:ascii="Simplified Arabic" w:cs="Simplified Arabic" w:hAnsi="Simplified Arabic"/>
          <w:b/>
          <w:bCs/>
          <w:i w:val="false"/>
          <w:iCs w:val="false"/>
          <w:color w:val="000000"/>
          <w:sz w:val="28"/>
          <w:szCs w:val="28"/>
          <w:rtl/>
        </w:rPr>
        <w:t xml:space="preserve">ii</w:t>
      </w:r>
    </w:p>
    <w:p>
      <w:pPr>
        <w:tabs>
          <w:tab w:val="right" w:pos="9200" w:leader="dot"/>
        </w:tabs>
        <w:bidi/>
        <w:spacing w:after="60" w:line="300"/>
        <w:ind w:left="0"/>
        <w:jc w:val="left"/>
      </w:pPr>
      <w:r>
        <w:rPr>
          <w:rFonts w:ascii="Simplified Arabic" w:cs="Simplified Arabic" w:hAnsi="Simplified Arabic"/>
          <w:b/>
          <w:bCs/>
          <w:i w:val="false"/>
          <w:iCs w:val="false"/>
          <w:color w:val="000000"/>
          <w:sz w:val="28"/>
          <w:szCs w:val="28"/>
          <w:rtl/>
        </w:rPr>
        <w:t xml:space="preserve">المستخلص</w:t>
      </w:r>
      <w:r>
        <w:rPr>
          <w:rFonts w:ascii="Simplified Arabic" w:cs="Simplified Arabic" w:hAnsi="Simplified Arabic"/>
          <w:sz w:val="28"/>
          <w:szCs w:val="28"/>
          <w:rtl/>
        </w:rPr>
        <w:t xml:space="preserve">	</w:t>
      </w:r>
      <w:r>
        <w:rPr>
          <w:rFonts w:ascii="Simplified Arabic" w:cs="Simplified Arabic" w:hAnsi="Simplified Arabic"/>
          <w:b/>
          <w:bCs/>
          <w:i w:val="false"/>
          <w:iCs w:val="false"/>
          <w:color w:val="000000"/>
          <w:sz w:val="28"/>
          <w:szCs w:val="28"/>
          <w:rtl/>
        </w:rPr>
        <w:t xml:space="preserve">iii</w:t>
      </w:r>
    </w:p>
    <w:p>
      <w:pPr>
        <w:tabs>
          <w:tab w:val="right" w:pos="9200" w:leader="dot"/>
        </w:tabs>
        <w:bidi/>
        <w:spacing w:after="60" w:line="300"/>
        <w:ind w:left="0"/>
        <w:jc w:val="left"/>
      </w:pPr>
      <w:r>
        <w:rPr>
          <w:rFonts w:ascii="Simplified Arabic" w:cs="Simplified Arabic" w:hAnsi="Simplified Arabic"/>
          <w:b/>
          <w:bCs/>
          <w:i w:val="false"/>
          <w:iCs w:val="false"/>
          <w:color w:val="000000"/>
          <w:sz w:val="28"/>
          <w:szCs w:val="28"/>
          <w:rtl/>
        </w:rPr>
        <w:t xml:space="preserve">الشكر والتقدير</w:t>
      </w:r>
      <w:r>
        <w:rPr>
          <w:rFonts w:ascii="Simplified Arabic" w:cs="Simplified Arabic" w:hAnsi="Simplified Arabic"/>
          <w:sz w:val="28"/>
          <w:szCs w:val="28"/>
          <w:rtl/>
        </w:rPr>
        <w:t xml:space="preserve">	</w:t>
      </w:r>
      <w:r>
        <w:rPr>
          <w:rFonts w:ascii="Simplified Arabic" w:cs="Simplified Arabic" w:hAnsi="Simplified Arabic"/>
          <w:b/>
          <w:bCs/>
          <w:i w:val="false"/>
          <w:iCs w:val="false"/>
          <w:color w:val="000000"/>
          <w:sz w:val="28"/>
          <w:szCs w:val="28"/>
          <w:rtl/>
        </w:rPr>
        <w:t xml:space="preserve">iv</w:t>
      </w:r>
    </w:p>
    <w:p>
      <w:pPr>
        <w:tabs>
          <w:tab w:val="right" w:pos="9200" w:leader="dot"/>
        </w:tabs>
        <w:bidi/>
        <w:spacing w:after="60" w:line="300"/>
        <w:ind w:left="0"/>
        <w:jc w:val="left"/>
      </w:pPr>
      <w:r>
        <w:rPr>
          <w:rFonts w:ascii="Simplified Arabic" w:cs="Simplified Arabic" w:hAnsi="Simplified Arabic"/>
          <w:b/>
          <w:bCs/>
          <w:i w:val="false"/>
          <w:iCs w:val="false"/>
          <w:color w:val="000000"/>
          <w:sz w:val="28"/>
          <w:szCs w:val="28"/>
          <w:rtl/>
        </w:rPr>
        <w:t xml:space="preserve">قائمة المصطلحات</w:t>
      </w:r>
      <w:r>
        <w:rPr>
          <w:rFonts w:ascii="Simplified Arabic" w:cs="Simplified Arabic" w:hAnsi="Simplified Arabic"/>
          <w:sz w:val="28"/>
          <w:szCs w:val="28"/>
          <w:rtl/>
        </w:rPr>
        <w:t xml:space="preserve">	</w:t>
      </w:r>
      <w:r>
        <w:rPr>
          <w:rFonts w:ascii="Simplified Arabic" w:cs="Simplified Arabic" w:hAnsi="Simplified Arabic"/>
          <w:b/>
          <w:bCs/>
          <w:i w:val="false"/>
          <w:iCs w:val="false"/>
          <w:color w:val="000000"/>
          <w:sz w:val="28"/>
          <w:szCs w:val="28"/>
          <w:rtl/>
        </w:rPr>
        <w:t xml:space="preserve">ix</w:t>
      </w:r>
    </w:p>
    <w:p>
      <w:pPr>
        <w:tabs>
          <w:tab w:val="right" w:pos="9200" w:leader="dot"/>
        </w:tabs>
        <w:bidi/>
        <w:spacing w:after="60" w:line="300"/>
        <w:ind w:left="0"/>
        <w:jc w:val="left"/>
      </w:pPr>
      <w:r>
        <w:rPr>
          <w:rFonts w:ascii="Simplified Arabic" w:cs="Simplified Arabic" w:hAnsi="Simplified Arabic"/>
          <w:b/>
          <w:bCs/>
          <w:i w:val="false"/>
          <w:iCs w:val="false"/>
          <w:color w:val="000000"/>
          <w:sz w:val="28"/>
          <w:szCs w:val="28"/>
          <w:rtl/>
        </w:rPr>
        <w:t xml:space="preserve">قائمة الاختصارات</w:t>
      </w:r>
      <w:r>
        <w:rPr>
          <w:rFonts w:ascii="Simplified Arabic" w:cs="Simplified Arabic" w:hAnsi="Simplified Arabic"/>
          <w:sz w:val="28"/>
          <w:szCs w:val="28"/>
          <w:rtl/>
        </w:rPr>
        <w:t xml:space="preserve">	</w:t>
      </w:r>
      <w:r>
        <w:rPr>
          <w:rFonts w:ascii="Simplified Arabic" w:cs="Simplified Arabic" w:hAnsi="Simplified Arabic"/>
          <w:b/>
          <w:bCs/>
          <w:i w:val="false"/>
          <w:iCs w:val="false"/>
          <w:color w:val="000000"/>
          <w:sz w:val="28"/>
          <w:szCs w:val="28"/>
          <w:rtl/>
        </w:rPr>
        <w:t xml:space="preserve">x</w:t>
      </w:r>
    </w:p>
    <w:p>
      <w:pPr>
        <w:tabs>
          <w:tab w:val="right" w:pos="9200" w:leader="dot"/>
        </w:tabs>
        <w:bidi/>
        <w:spacing w:after="60" w:line="300"/>
        <w:ind w:left="0"/>
        <w:jc w:val="left"/>
      </w:pPr>
      <w:r>
        <w:rPr>
          <w:rFonts w:ascii="Simplified Arabic" w:cs="Simplified Arabic" w:hAnsi="Simplified Arabic"/>
          <w:b/>
          <w:bCs/>
          <w:i w:val="false"/>
          <w:iCs w:val="false"/>
          <w:color w:val="000000"/>
          <w:sz w:val="28"/>
          <w:szCs w:val="28"/>
          <w:rtl/>
        </w:rPr>
        <w:t xml:space="preserve">الفصل الأول: الإطار العام للمراجعة</w:t>
      </w:r>
      <w:r>
        <w:rPr>
          <w:rFonts w:ascii="Simplified Arabic" w:cs="Simplified Arabic" w:hAnsi="Simplified Arabic"/>
          <w:sz w:val="28"/>
          <w:szCs w:val="28"/>
          <w:rtl/>
        </w:rPr>
        <w:t xml:space="preserve">	</w:t>
      </w:r>
      <w:r>
        <w:rPr>
          <w:rFonts w:ascii="Simplified Arabic" w:cs="Simplified Arabic" w:hAnsi="Simplified Arabic"/>
          <w:b/>
          <w:bCs/>
          <w:i w:val="false"/>
          <w:iCs w:val="false"/>
          <w:color w:val="000000"/>
          <w:sz w:val="28"/>
          <w:szCs w:val="28"/>
          <w:rtl/>
        </w:rPr>
        <w:t xml:space="preserve">1</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المقدمة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مشكلة الدراسة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أهمية الدراسة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2</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أهداف المراجعة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2</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أسئلة المراجعة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2</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الافتراضات الموجِّهة للمراجعة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3</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النظرية العلمية المتبعة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3</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مصطلحات الدراسة والتعريفات الإجرائية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3</w:t>
      </w:r>
    </w:p>
    <w:p>
      <w:pPr>
        <w:tabs>
          <w:tab w:val="right" w:pos="9200" w:leader="dot"/>
        </w:tabs>
        <w:bidi/>
        <w:spacing w:after="60" w:line="300"/>
        <w:ind w:left="0"/>
        <w:jc w:val="left"/>
      </w:pPr>
      <w:r>
        <w:rPr>
          <w:rFonts w:ascii="Simplified Arabic" w:cs="Simplified Arabic" w:hAnsi="Simplified Arabic"/>
          <w:b/>
          <w:bCs/>
          <w:i w:val="false"/>
          <w:iCs w:val="false"/>
          <w:color w:val="000000"/>
          <w:sz w:val="28"/>
          <w:szCs w:val="28"/>
          <w:rtl/>
        </w:rPr>
        <w:t xml:space="preserve">الفصل الثاني: المراجعات السابقة والإطار النظري</w:t>
      </w:r>
      <w:r>
        <w:rPr>
          <w:rFonts w:ascii="Simplified Arabic" w:cs="Simplified Arabic" w:hAnsi="Simplified Arabic"/>
          <w:sz w:val="28"/>
          <w:szCs w:val="28"/>
          <w:rtl/>
        </w:rPr>
        <w:t xml:space="preserve">	</w:t>
      </w:r>
      <w:r>
        <w:rPr>
          <w:rFonts w:ascii="Simplified Arabic" w:cs="Simplified Arabic" w:hAnsi="Simplified Arabic"/>
          <w:b/>
          <w:bCs/>
          <w:i w:val="false"/>
          <w:iCs w:val="false"/>
          <w:color w:val="000000"/>
          <w:sz w:val="28"/>
          <w:szCs w:val="28"/>
          <w:rtl/>
        </w:rPr>
        <w:t xml:space="preserve">4</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مقدمة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4</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المراجعات المنهجية السابقة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4</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التعقيب والفجوة البحثية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4</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الإطار النظري</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5</w:t>
      </w:r>
    </w:p>
    <w:p>
      <w:pPr>
        <w:tabs>
          <w:tab w:val="right" w:pos="9200" w:leader="dot"/>
        </w:tabs>
        <w:bidi/>
        <w:spacing w:after="60" w:line="300"/>
        <w:ind w:left="0"/>
        <w:jc w:val="left"/>
      </w:pPr>
      <w:r>
        <w:rPr>
          <w:rFonts w:ascii="Simplified Arabic" w:cs="Simplified Arabic" w:hAnsi="Simplified Arabic"/>
          <w:b/>
          <w:bCs/>
          <w:i w:val="false"/>
          <w:iCs w:val="false"/>
          <w:color w:val="000000"/>
          <w:sz w:val="28"/>
          <w:szCs w:val="28"/>
          <w:rtl/>
        </w:rPr>
        <w:t xml:space="preserve">الفصل الثالث: منهجية المراجعة المنهجية</w:t>
      </w:r>
      <w:r>
        <w:rPr>
          <w:rFonts w:ascii="Simplified Arabic" w:cs="Simplified Arabic" w:hAnsi="Simplified Arabic"/>
          <w:sz w:val="28"/>
          <w:szCs w:val="28"/>
          <w:rtl/>
        </w:rPr>
        <w:t xml:space="preserve">	</w:t>
      </w:r>
      <w:r>
        <w:rPr>
          <w:rFonts w:ascii="Simplified Arabic" w:cs="Simplified Arabic" w:hAnsi="Simplified Arabic"/>
          <w:b/>
          <w:bCs/>
          <w:i w:val="false"/>
          <w:iCs w:val="false"/>
          <w:color w:val="000000"/>
          <w:sz w:val="28"/>
          <w:szCs w:val="28"/>
          <w:rtl/>
        </w:rPr>
        <w:t xml:space="preserve">7</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مقدمة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7</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تصميم المراجعة وتسجيل البروتوكول</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7</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معايير الأهلية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7</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استراتيجية البحث ومصادره</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8</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إجراءات الفرز والاختيار</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8</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تقييم الجودة المنهجية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8</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استخلاص البيانات وأسلوب التركيب</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9</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أخلاقيات البحث ومحددات المراجعة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11</w:t>
      </w:r>
    </w:p>
    <w:p>
      <w:pPr>
        <w:tabs>
          <w:tab w:val="right" w:pos="9200" w:leader="dot"/>
        </w:tabs>
        <w:bidi/>
        <w:spacing w:after="60" w:line="300"/>
        <w:ind w:left="0"/>
        <w:jc w:val="left"/>
      </w:pPr>
      <w:r>
        <w:rPr>
          <w:rFonts w:ascii="Simplified Arabic" w:cs="Simplified Arabic" w:hAnsi="Simplified Arabic"/>
          <w:b/>
          <w:bCs/>
          <w:i w:val="false"/>
          <w:iCs w:val="false"/>
          <w:color w:val="000000"/>
          <w:sz w:val="28"/>
          <w:szCs w:val="28"/>
          <w:rtl/>
        </w:rPr>
        <w:t xml:space="preserve">الفصل الرابع: خطة عرض النتائج والمخرجات المتوقعة</w:t>
      </w:r>
      <w:r>
        <w:rPr>
          <w:rFonts w:ascii="Simplified Arabic" w:cs="Simplified Arabic" w:hAnsi="Simplified Arabic"/>
          <w:sz w:val="28"/>
          <w:szCs w:val="28"/>
          <w:rtl/>
        </w:rPr>
        <w:t xml:space="preserve">	</w:t>
      </w:r>
      <w:r>
        <w:rPr>
          <w:rFonts w:ascii="Simplified Arabic" w:cs="Simplified Arabic" w:hAnsi="Simplified Arabic"/>
          <w:b/>
          <w:bCs/>
          <w:i w:val="false"/>
          <w:iCs w:val="false"/>
          <w:color w:val="000000"/>
          <w:sz w:val="28"/>
          <w:szCs w:val="28"/>
          <w:rtl/>
        </w:rPr>
        <w:t xml:space="preserve">13</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مقدمة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13</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المسح الاستكشافي التمهيدي وجدوى المراجعة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undefined</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السجلات المستبعدة في المسح الاستكشافي وأسبابها</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undefined</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التقييم الأولي للجودة المنهجية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16</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التركيب الموضوعي الأولي للدراسات المرشّحة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16</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الإجابات الأولية عن أسئلة المراجعة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18</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قالب الإبلاغ عن مسار الفرز في المراجعة الكاملة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13</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المخرجات المتوقعة من المراجعة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undefined</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التوصيات</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20</w:t>
      </w:r>
    </w:p>
    <w:p>
      <w:pPr>
        <w:tabs>
          <w:tab w:val="right" w:pos="9200" w:leader="dot"/>
        </w:tabs>
        <w:bidi/>
        <w:spacing w:after="60" w:line="300"/>
        <w:ind w:left="0"/>
        <w:jc w:val="left"/>
      </w:pPr>
      <w:r>
        <w:rPr>
          <w:rFonts w:ascii="Simplified Arabic" w:cs="Simplified Arabic" w:hAnsi="Simplified Arabic"/>
          <w:b/>
          <w:bCs/>
          <w:i w:val="false"/>
          <w:iCs w:val="false"/>
          <w:color w:val="000000"/>
          <w:sz w:val="28"/>
          <w:szCs w:val="28"/>
          <w:rtl/>
        </w:rPr>
        <w:t xml:space="preserve">قائمة المصادر والمراجع</w:t>
      </w:r>
      <w:r>
        <w:rPr>
          <w:rFonts w:ascii="Simplified Arabic" w:cs="Simplified Arabic" w:hAnsi="Simplified Arabic"/>
          <w:sz w:val="28"/>
          <w:szCs w:val="28"/>
          <w:rtl/>
        </w:rPr>
        <w:t xml:space="preserve">	</w:t>
      </w:r>
      <w:r>
        <w:rPr>
          <w:rFonts w:ascii="Simplified Arabic" w:cs="Simplified Arabic" w:hAnsi="Simplified Arabic"/>
          <w:b/>
          <w:bCs/>
          <w:i w:val="false"/>
          <w:iCs w:val="false"/>
          <w:color w:val="000000"/>
          <w:sz w:val="28"/>
          <w:szCs w:val="28"/>
          <w:rtl/>
        </w:rPr>
        <w:t xml:space="preserve">21</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المراجع العربية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21</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المراجع الأجنبية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21</w:t>
      </w:r>
    </w:p>
    <w:p>
      <w:pPr>
        <w:tabs>
          <w:tab w:val="right" w:pos="9200" w:leader="dot"/>
        </w:tabs>
        <w:bidi/>
        <w:spacing w:after="60" w:line="300"/>
        <w:ind w:left="0"/>
        <w:jc w:val="left"/>
      </w:pPr>
      <w:r>
        <w:rPr>
          <w:rFonts w:ascii="Simplified Arabic" w:cs="Simplified Arabic" w:hAnsi="Simplified Arabic"/>
          <w:b/>
          <w:bCs/>
          <w:i w:val="false"/>
          <w:iCs w:val="false"/>
          <w:color w:val="000000"/>
          <w:sz w:val="28"/>
          <w:szCs w:val="28"/>
          <w:rtl/>
        </w:rPr>
        <w:t xml:space="preserve">الملاحق</w:t>
      </w:r>
      <w:r>
        <w:rPr>
          <w:rFonts w:ascii="Simplified Arabic" w:cs="Simplified Arabic" w:hAnsi="Simplified Arabic"/>
          <w:sz w:val="28"/>
          <w:szCs w:val="28"/>
          <w:rtl/>
        </w:rPr>
        <w:t xml:space="preserve">	</w:t>
      </w:r>
      <w:r>
        <w:rPr>
          <w:rFonts w:ascii="Simplified Arabic" w:cs="Simplified Arabic" w:hAnsi="Simplified Arabic"/>
          <w:b/>
          <w:bCs/>
          <w:i w:val="false"/>
          <w:iCs w:val="false"/>
          <w:color w:val="000000"/>
          <w:sz w:val="28"/>
          <w:szCs w:val="28"/>
          <w:rtl/>
        </w:rPr>
        <w:t xml:space="preserve">24</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الملحق (1): سلاسل البحث في قواعد البيانات</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24</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الملحق (2): نموذج استخلاص البيانات</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24</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الملحق (3): قائمة تحقق PRISMA-P 2015</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25</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الملحق (4): قائمة تحقق PRISMA 2020</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26</w:t>
      </w:r>
    </w:p>
    <w:p>
      <w:pPr>
        <w:tabs>
          <w:tab w:val="right" w:pos="9200" w:leader="dot"/>
        </w:tabs>
        <w:bidi/>
        <w:spacing w:after="60" w:line="300"/>
        <w:ind w:left="300"/>
        <w:jc w:val="left"/>
      </w:pPr>
      <w:r>
        <w:rPr>
          <w:rFonts w:ascii="Simplified Arabic" w:cs="Simplified Arabic" w:hAnsi="Simplified Arabic"/>
          <w:b w:val="false"/>
          <w:bCs w:val="false"/>
          <w:i w:val="false"/>
          <w:iCs w:val="false"/>
          <w:color w:val="000000"/>
          <w:sz w:val="28"/>
          <w:szCs w:val="28"/>
          <w:rtl/>
        </w:rPr>
        <w:t xml:space="preserve">الملحق (5): الملخص باللغة الإنجليزية Abstract</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27</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قائمة الجداول</w:t>
      </w:r>
    </w:p>
    <w:p>
      <w:pPr>
        <w:tabs>
          <w:tab w:val="right" w:pos="9200" w:leader="dot"/>
        </w:tabs>
        <w:bidi/>
        <w:spacing w:after="60" w:line="300"/>
        <w:ind w:left="0"/>
        <w:jc w:val="left"/>
      </w:pPr>
      <w:r>
        <w:rPr>
          <w:rFonts w:ascii="Simplified Arabic" w:cs="Simplified Arabic" w:hAnsi="Simplified Arabic"/>
          <w:b w:val="false"/>
          <w:bCs w:val="false"/>
          <w:i w:val="false"/>
          <w:iCs w:val="false"/>
          <w:color w:val="000000"/>
          <w:sz w:val="28"/>
          <w:szCs w:val="28"/>
          <w:rtl/>
        </w:rPr>
        <w:t xml:space="preserve">جدول (3-1): معايير التضمين والاستبعاد وفق إطار SPIDER</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7</w:t>
      </w:r>
    </w:p>
    <w:p>
      <w:pPr>
        <w:tabs>
          <w:tab w:val="right" w:pos="9200" w:leader="dot"/>
        </w:tabs>
        <w:bidi/>
        <w:spacing w:after="60" w:line="300"/>
        <w:ind w:left="0"/>
        <w:jc w:val="left"/>
      </w:pPr>
      <w:r>
        <w:rPr>
          <w:rFonts w:ascii="Simplified Arabic" w:cs="Simplified Arabic" w:hAnsi="Simplified Arabic"/>
          <w:b w:val="false"/>
          <w:bCs w:val="false"/>
          <w:i w:val="false"/>
          <w:iCs w:val="false"/>
          <w:color w:val="000000"/>
          <w:sz w:val="28"/>
          <w:szCs w:val="28"/>
          <w:rtl/>
        </w:rPr>
        <w:t xml:space="preserve">جدول (3-2): قواعد البيانات المعتمدة ونطاق البحث فيها</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8</w:t>
      </w:r>
    </w:p>
    <w:p>
      <w:pPr>
        <w:tabs>
          <w:tab w:val="right" w:pos="9200" w:leader="dot"/>
        </w:tabs>
        <w:bidi/>
        <w:spacing w:after="60" w:line="300"/>
        <w:ind w:left="0"/>
        <w:jc w:val="left"/>
      </w:pPr>
      <w:r>
        <w:rPr>
          <w:rFonts w:ascii="Simplified Arabic" w:cs="Simplified Arabic" w:hAnsi="Simplified Arabic"/>
          <w:b w:val="false"/>
          <w:bCs w:val="false"/>
          <w:i w:val="false"/>
          <w:iCs w:val="false"/>
          <w:color w:val="000000"/>
          <w:sz w:val="28"/>
          <w:szCs w:val="28"/>
          <w:rtl/>
        </w:rPr>
        <w:t xml:space="preserve">جدول (3-3): معايير أداة MMAT 2018 المعتمدة في تقييم الجودة المنهجية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8</w:t>
      </w:r>
    </w:p>
    <w:p>
      <w:pPr>
        <w:tabs>
          <w:tab w:val="right" w:pos="9200" w:leader="dot"/>
        </w:tabs>
        <w:bidi/>
        <w:spacing w:after="60" w:line="300"/>
        <w:ind w:left="0"/>
        <w:jc w:val="left"/>
      </w:pPr>
      <w:r>
        <w:rPr>
          <w:rFonts w:ascii="Simplified Arabic" w:cs="Simplified Arabic" w:hAnsi="Simplified Arabic"/>
          <w:b w:val="false"/>
          <w:bCs w:val="false"/>
          <w:i w:val="false"/>
          <w:iCs w:val="false"/>
          <w:color w:val="000000"/>
          <w:sz w:val="28"/>
          <w:szCs w:val="28"/>
          <w:rtl/>
        </w:rPr>
        <w:t xml:space="preserve">جدول (3-4): عناصر نموذج استخلاص البيانات</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9</w:t>
      </w:r>
    </w:p>
    <w:p>
      <w:pPr>
        <w:tabs>
          <w:tab w:val="right" w:pos="9200" w:leader="dot"/>
        </w:tabs>
        <w:bidi/>
        <w:spacing w:after="60" w:line="300"/>
        <w:ind w:left="0"/>
        <w:jc w:val="left"/>
      </w:pPr>
      <w:r>
        <w:rPr>
          <w:rFonts w:ascii="Simplified Arabic" w:cs="Simplified Arabic" w:hAnsi="Simplified Arabic"/>
          <w:b w:val="false"/>
          <w:bCs w:val="false"/>
          <w:i w:val="false"/>
          <w:iCs w:val="false"/>
          <w:color w:val="000000"/>
          <w:sz w:val="28"/>
          <w:szCs w:val="28"/>
          <w:rtl/>
        </w:rPr>
        <w:t xml:space="preserve">جدول (3-5): إطار الترميز الموضوعي المبدئي وتعريفاته الإجرائية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10</w:t>
      </w:r>
    </w:p>
    <w:p>
      <w:pPr>
        <w:tabs>
          <w:tab w:val="right" w:pos="9200" w:leader="dot"/>
        </w:tabs>
        <w:bidi/>
        <w:spacing w:after="60" w:line="300"/>
        <w:ind w:left="0"/>
        <w:jc w:val="left"/>
      </w:pPr>
      <w:r>
        <w:rPr>
          <w:rFonts w:ascii="Simplified Arabic" w:cs="Simplified Arabic" w:hAnsi="Simplified Arabic"/>
          <w:b w:val="false"/>
          <w:bCs w:val="false"/>
          <w:i w:val="false"/>
          <w:iCs w:val="false"/>
          <w:color w:val="000000"/>
          <w:sz w:val="28"/>
          <w:szCs w:val="28"/>
          <w:rtl/>
        </w:rPr>
        <w:t xml:space="preserve">جدول (3-6): الجدول الزمني لتنفيذ المراجعة ومخرجات مراحلها</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11</w:t>
      </w:r>
    </w:p>
    <w:p>
      <w:pPr>
        <w:tabs>
          <w:tab w:val="right" w:pos="9200" w:leader="dot"/>
        </w:tabs>
        <w:bidi/>
        <w:spacing w:after="60" w:line="300"/>
        <w:ind w:left="0"/>
        <w:jc w:val="left"/>
      </w:pPr>
      <w:r>
        <w:rPr>
          <w:rFonts w:ascii="Simplified Arabic" w:cs="Simplified Arabic" w:hAnsi="Simplified Arabic"/>
          <w:b w:val="false"/>
          <w:bCs w:val="false"/>
          <w:i w:val="false"/>
          <w:iCs w:val="false"/>
          <w:color w:val="000000"/>
          <w:sz w:val="28"/>
          <w:szCs w:val="28"/>
          <w:rtl/>
        </w:rPr>
        <w:t xml:space="preserve">جدول (4-1): خصائص الدراسات المشمولة في المراجعة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14</w:t>
      </w:r>
    </w:p>
    <w:p>
      <w:pPr>
        <w:tabs>
          <w:tab w:val="right" w:pos="9200" w:leader="dot"/>
        </w:tabs>
        <w:bidi/>
        <w:spacing w:after="60" w:line="300"/>
        <w:ind w:left="0"/>
        <w:jc w:val="left"/>
      </w:pPr>
      <w:r>
        <w:rPr>
          <w:rFonts w:ascii="Simplified Arabic" w:cs="Simplified Arabic" w:hAnsi="Simplified Arabic"/>
          <w:b w:val="false"/>
          <w:bCs w:val="false"/>
          <w:i w:val="false"/>
          <w:iCs w:val="false"/>
          <w:color w:val="000000"/>
          <w:sz w:val="28"/>
          <w:szCs w:val="28"/>
          <w:rtl/>
        </w:rPr>
        <w:t xml:space="preserve">جدول (4-2): تقييم الجودة المنهجية للدراسات المتحقَّق منها بالنص الكامل</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16</w:t>
      </w:r>
    </w:p>
    <w:p>
      <w:pPr>
        <w:tabs>
          <w:tab w:val="right" w:pos="9200" w:leader="dot"/>
        </w:tabs>
        <w:bidi/>
        <w:spacing w:after="60" w:line="300"/>
        <w:ind w:left="0"/>
        <w:jc w:val="left"/>
      </w:pPr>
      <w:r>
        <w:rPr>
          <w:rFonts w:ascii="Simplified Arabic" w:cs="Simplified Arabic" w:hAnsi="Simplified Arabic"/>
          <w:b w:val="false"/>
          <w:bCs w:val="false"/>
          <w:i w:val="false"/>
          <w:iCs w:val="false"/>
          <w:color w:val="000000"/>
          <w:sz w:val="28"/>
          <w:szCs w:val="28"/>
          <w:rtl/>
        </w:rPr>
        <w:t xml:space="preserve">جدول (4-3): تكرارات المحاور الموضوعية في الدراسات المشمولة</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16</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فهرس الأشكال</w:t>
      </w:r>
    </w:p>
    <w:p>
      <w:pPr>
        <w:tabs>
          <w:tab w:val="right" w:pos="9200" w:leader="dot"/>
        </w:tabs>
        <w:bidi/>
        <w:spacing w:after="60" w:line="300"/>
        <w:ind w:left="0"/>
        <w:jc w:val="left"/>
      </w:pPr>
      <w:r>
        <w:rPr>
          <w:rFonts w:ascii="Simplified Arabic" w:cs="Simplified Arabic" w:hAnsi="Simplified Arabic"/>
          <w:b w:val="false"/>
          <w:bCs w:val="false"/>
          <w:i w:val="false"/>
          <w:iCs w:val="false"/>
          <w:color w:val="000000"/>
          <w:sz w:val="28"/>
          <w:szCs w:val="28"/>
          <w:rtl/>
        </w:rPr>
        <w:t xml:space="preserve">الشكل (3-1): الخريطة المفاهيمية لإطار الترميز الموضوعي المبدئي</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11</w:t>
      </w:r>
    </w:p>
    <w:p>
      <w:pPr>
        <w:tabs>
          <w:tab w:val="right" w:pos="9200" w:leader="dot"/>
        </w:tabs>
        <w:bidi/>
        <w:spacing w:after="60" w:line="300"/>
        <w:ind w:left="0"/>
        <w:jc w:val="left"/>
      </w:pPr>
      <w:r>
        <w:rPr>
          <w:rFonts w:ascii="Simplified Arabic" w:cs="Simplified Arabic" w:hAnsi="Simplified Arabic"/>
          <w:b w:val="false"/>
          <w:bCs w:val="false"/>
          <w:i w:val="false"/>
          <w:iCs w:val="false"/>
          <w:color w:val="000000"/>
          <w:sz w:val="28"/>
          <w:szCs w:val="28"/>
          <w:rtl/>
        </w:rPr>
        <w:t xml:space="preserve">الشكل (4-1): مخطط تدفق PRISMA 2020 لمراحل تحديد الدراسات وفرزها</w:t>
      </w:r>
      <w:r>
        <w:rPr>
          <w:rFonts w:ascii="Simplified Arabic" w:cs="Simplified Arabic" w:hAnsi="Simplified Arabic"/>
          <w:sz w:val="28"/>
          <w:szCs w:val="28"/>
          <w:rtl/>
        </w:rPr>
        <w:t xml:space="preserve">	</w:t>
      </w:r>
      <w:r>
        <w:rPr>
          <w:rFonts w:ascii="Simplified Arabic" w:cs="Simplified Arabic" w:hAnsi="Simplified Arabic"/>
          <w:b w:val="false"/>
          <w:bCs w:val="false"/>
          <w:i w:val="false"/>
          <w:iCs w:val="false"/>
          <w:color w:val="000000"/>
          <w:sz w:val="28"/>
          <w:szCs w:val="28"/>
          <w:rtl/>
        </w:rPr>
        <w:t xml:space="preserve">13</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قائمة المصطلحات</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3200"/>
        <w:gridCol w:w="3400"/>
        <w:gridCol w:w="1900"/>
      </w:tblGrid>
      <w:tr>
        <w:trPr>
          <w:tblHeader/>
        </w:trPr>
        <w:tc>
          <w:tcPr>
            <w:tcW w:type="dxa" w:w="32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المصطلح بالعربية</w:t>
            </w:r>
          </w:p>
        </w:tc>
        <w:tc>
          <w:tcPr>
            <w:tcW w:type="dxa" w:w="3400"/>
            <w:gridSpan w:val="1"/>
            <w:shd w:fill="EDEDED" w:color="auto" w:val="clear"/>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المصطلح بالإنجليزية</w:t>
            </w:r>
          </w:p>
        </w:tc>
        <w:tc>
          <w:tcPr>
            <w:tcW w:type="dxa" w:w="19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موضع وروده</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الاعتماد الأكاديمي</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Academic Accreditation</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الأول</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ضمان الجودة</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Quality Assurance</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الأول</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تعزيز الجودة</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Quality Enhancement</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الثاني</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جودة المخرجات التعليمية</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Quality of Educational Outputs</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الأول</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نواتج التعلم</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Learning Outcomes</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الثاني</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قابلية التوظيف</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Employability</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الثاني</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المراجعة المنهجية</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Systematic Review</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الأول</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بروتوكول المراجعة</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Review Protocol</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الثالث</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المسح الاستكشافي التمهيدي</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Scoping Search</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الرابع</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معايير الأهلية</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Eligibility Criteria</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الثالث</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التركيب الموضوعي</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Thematic Synthesis</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الثالث</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التحليل البعدي</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Meta-Analysis</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الثالث</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تحليل الحساسية</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Sensitivity Analysis</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الثالث</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تحيّز النشر</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Publication Bias</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الثالث</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تحيّز الاختيار الذاتي</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Self-selection Bias</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الثالث</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إدارة الجودة الشاملة</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Total Quality Management</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الأول</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دورة التحسين المستمر</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Plan–Do–Check–Act (PDCA)</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الأول</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الاعتماد المؤسسي</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Institutional Accreditation</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الثاني</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الاعتماد البرامجي</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Programmatic Accreditation</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الثاني</w:t>
            </w:r>
          </w:p>
        </w:tc>
      </w:tr>
      <w:tr>
        <w:trPr>
          <w:cantSplit/>
        </w:trPr>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معامل كابا لكوهين</w:t>
            </w:r>
          </w:p>
        </w:tc>
        <w:tc>
          <w:tcPr>
            <w:tcW w:type="dxa" w:w="34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Cohen’s Kappa</w:t>
            </w:r>
          </w:p>
        </w:tc>
        <w:tc>
          <w:tcPr>
            <w:tcW w:type="dxa" w:w="1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الفصل الثالث</w:t>
            </w:r>
          </w:p>
        </w:tc>
      </w:tr>
    </w:tbl>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قائمة الاختصارات</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1600"/>
        <w:gridCol w:w="4200"/>
        <w:gridCol w:w="2700"/>
      </w:tblGrid>
      <w:tr>
        <w:trPr>
          <w:tblHeader/>
        </w:trPr>
        <w:tc>
          <w:tcPr>
            <w:tcW w:type="dxa" w:w="1600"/>
            <w:gridSpan w:val="1"/>
            <w:shd w:fill="EDEDED" w:color="auto" w:val="clear"/>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الاختصار</w:t>
            </w:r>
          </w:p>
        </w:tc>
        <w:tc>
          <w:tcPr>
            <w:tcW w:type="dxa" w:w="4200"/>
            <w:gridSpan w:val="1"/>
            <w:shd w:fill="EDEDED" w:color="auto" w:val="clear"/>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الدلالة الكاملة</w:t>
            </w:r>
          </w:p>
        </w:tc>
        <w:tc>
          <w:tcPr>
            <w:tcW w:type="dxa" w:w="27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المقابل العربي</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PRISMA</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Preferred Reporting Items for Systematic Reviews and Meta-Analyses</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عناصر الإبلاغ المفضّلة للمراجعات المنهجية والتحليلات البعدية</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PRISMA-P</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PRISMA for Systematic Review Protocols</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إرشادات PRISMA لبروتوكولات المراجعات</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MMAT</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Mixed Methods Appraisal Tool</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أداة التقييم النقدي للمناهج المختلطة</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SPIDER</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Sample, Phenomenon of Interest, Design, Evaluation, Research type</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إطار صياغة أسئلة المراجعات المختلطة</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PICO</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Population, Intervention, Comparison, Outcome</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إطار صياغة الأسئلة السريرية</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ESG</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Standards and Guidelines for Quality Assurance in the EHEA</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معايير وإرشادات ضمان الجودة الأوروبية</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NCAAA</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National Center for Academic Accreditation and Evaluation</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المركز الوطني للتقويم والاعتماد الأكاديمي</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ETEC</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Education and Training Evaluation Commission</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هيئة تقويم التعليم والتدريب</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TQM</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Total Quality Management</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إدارة الجودة الشاملة</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PDCA</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Plan – Do – Check – Act</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دورة التخطيط والتنفيذ والتقويم والمعالجة</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ERIC</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Education Resources Information Center</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مركز معلومات مصادر التربية</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DOI</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Digital Object Identifier</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المعرّف الرقمي للوثيقة</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ORCID</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Open Researcher and Contributor ID</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المعرّف المفتوح للباحث</w:t>
            </w:r>
          </w:p>
        </w:tc>
      </w:tr>
      <w:tr>
        <w:trPr>
          <w:cantSplit/>
        </w:trPr>
        <w:tc>
          <w:tcPr>
            <w:tcW w:type="dxa" w:w="1600"/>
            <w:gridSpan w:val="1"/>
            <w:tcMar>
              <w:top w:type="dxa" w:w="60"/>
              <w:left w:type="dxa" w:w="80"/>
              <w:bottom w:type="dxa" w:w="60"/>
              <w:right w:type="dxa" w:w="80"/>
            </w:tcMar>
            <w:vAlign w:val="center"/>
          </w:tcPr>
          <w:p>
            <w:pPr>
              <w:bidi w:val="false"/>
              <w:spacing w:after="0" w:line="276"/>
              <w:jc w:val="center"/>
            </w:pPr>
            <w:r>
              <w:rPr>
                <w:rFonts w:ascii="Times New Roman" w:cs="Times New Roman" w:hAnsi="Times New Roman"/>
                <w:b/>
                <w:bCs/>
                <w:i w:val="false"/>
                <w:iCs w:val="false"/>
                <w:color w:val="000000"/>
                <w:sz w:val="22"/>
                <w:szCs w:val="22"/>
              </w:rPr>
              <w:t xml:space="preserve">IRB</w:t>
            </w:r>
          </w:p>
        </w:tc>
        <w:tc>
          <w:tcPr>
            <w:tcW w:type="dxa" w:w="4200"/>
            <w:gridSpan w:val="1"/>
            <w:tcMar>
              <w:top w:type="dxa" w:w="60"/>
              <w:left w:type="dxa" w:w="80"/>
              <w:bottom w:type="dxa" w:w="60"/>
              <w:right w:type="dxa" w:w="80"/>
            </w:tcMar>
            <w:vAlign w:val="center"/>
          </w:tcPr>
          <w:p>
            <w:pPr>
              <w:bidi w:val="false"/>
              <w:spacing w:after="0" w:line="276"/>
              <w:jc w:val="left"/>
            </w:pPr>
            <w:r>
              <w:rPr>
                <w:rFonts w:ascii="Times New Roman" w:cs="Times New Roman" w:hAnsi="Times New Roman"/>
                <w:b w:val="false"/>
                <w:bCs w:val="false"/>
                <w:i w:val="false"/>
                <w:iCs w:val="false"/>
                <w:color w:val="000000"/>
                <w:sz w:val="22"/>
                <w:szCs w:val="22"/>
              </w:rPr>
              <w:t xml:space="preserve">Institutional Review Board</w:t>
            </w:r>
          </w:p>
        </w:tc>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لجنة أخلاقيات البحث المؤسسية</w:t>
            </w:r>
          </w:p>
        </w:tc>
      </w:tr>
    </w:tbl>
    <w:p>
      <w:pPr>
        <w:sectPr>
          <w:footerReference w:type="default" r:id="rId7"/>
          <w:pgSz w:w="11906" w:h="16838" w:orient="portrait"/>
          <w:pgMar w:top="1134" w:right="1701" w:bottom="1134" w:left="1134" w:header="708" w:footer="708" w:gutter="0"/>
          <w:pgNumType w:start="1" w:fmt="lowerRoman"/>
          <w:docGrid w:linePitch="360"/>
        </w:sectPr>
      </w:pP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الفصل الأول</w:t>
      </w:r>
    </w:p>
    <w:p>
      <w:pPr>
        <w:bidi/>
        <w:spacing w:after="300" w:line="336"/>
        <w:jc w:val="center"/>
      </w:pPr>
      <w:r>
        <w:rPr>
          <w:rFonts w:ascii="Simplified Arabic" w:cs="Simplified Arabic" w:hAnsi="Simplified Arabic"/>
          <w:b/>
          <w:bCs/>
          <w:i w:val="false"/>
          <w:iCs w:val="false"/>
          <w:color w:val="000000"/>
          <w:sz w:val="36"/>
          <w:szCs w:val="36"/>
          <w:rtl/>
        </w:rPr>
        <w:t xml:space="preserve">الإطار العام للمراجعة</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المقدمة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شهدت مؤسسات التعليم العالي خلال العقود الثلاثة الأخيرة تحوّلاً جوهرياً في طبيعة الرقابة على أدائها؛ فبعد أن كانت الثقة بالمؤسسة الأكاديمية تُستمد من عراقتها ومن استقلالها المهني، أصبحت تُستمد من قدرتها على البرهنة الموثقة على جودة ما تقدّمه. وقد جاء هذا التحول نتيجة تضافر عوامل عدة، من أبرزها التوسع الكمي في أعداد الملتحقين، وتنامي الطابع التنافسي العابر للحدود لسوق التعليم، وتزايد مطالبة الممولين والمجتمع بالمساءلة عن العائد من الإنفاق.</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وعلى الرغم من شيوع مصطلح «الجودة»، فإنه يظل من أكثر المفاهيم إثارة للجدل؛ إذ ميّز هارفي وجرين (Harvey &amp; Green, 1993) بين خمسة تصورات متمايزة لها: التميز، والاتساق، والملاءمة للغرض، والقيمة مقابل المال، والتحوّل. ويترتب على تبنّي أيٍّ منها اختلافٌ جوهري في اختيار المعايير وأدوات القياس، وهو ما يفسّر جانباً من التباين في نتائج الدراسات التي تناولت أثر نظم الجودة.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وفي هذا السياق برز ضمان الجودة بوصفه المظلة الإجرائية التي تُترجم المفهوم إلى ممارسات قابلة للتحقق، ويُعدّ الاعتماد الأكاديمي أبرز آلياته الخارجية. ويُعرَّف الاعتماد بأنه عملية تقييم خارجية منهجية تُجريها جهة مخوّلة للحكم على مدى استيفاء مؤسسة أو برنامج لمعايير معلنة مسبقاً (Vlăsceanu, Grünberg &amp; Pârlea, 2007). وقد استقرّت المرجعية الأوروبية على معايير وإرشادات ضمان الجودة (ESG, 2015)، التي أرست مبدأً محورياً مؤداه أن المسؤولية الأولى عن الجودة تقع على عاتق المؤسسة، وأن الآليات الخارجية داعمة لا بديلة (Martin &amp; Stella, 2007).</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أما عربياً، فقد أولت المملكة العربية السعودية هذا الملف اهتماماً متنامياً، تجسّد في إنشاء الهيئة الوطنية للتقويم والاعتماد الأكاديمي التي أُدمجت ضمن هيئة تقويم التعليم والتدريب، وفي إصدار معايير الاعتماد المؤسسي والبرامجي وتحديثها دورياً (المركز الوطني للتقويم والاعتماد الأكاديمي، 2018). واكتسب هذا التوجه زخماً مع رؤية المملكة 2030 التي ربطت صراحةً بين جودة مخرجات التعليم العالي وقدرة الاقتصاد الوطني على التحول.</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غير أن الأدبيات تلفت الانتباه إلى إشكالية جوهرية: ليس ثمة تلازم تلقائي بين حصول المؤسسة على الاعتماد وبين تحسّن جودة تعلّم طلبتها. فقد أشار بيكيت وبروكس (Becket &amp; Brookes, 2008) إلى أن كثيراً من نظم إدارة الجودة تُقاس بمدخلاتها وإجراءاتها لا بأثرها التعليمي، وخلص كاردوسو وزملاؤه (Cardoso, Rosa &amp; Stensaker, 2016) إلى أن قطاعاً من الأكاديميين ينظر إلى ممارسات الجودة بوصفها عبئاً بيروقراطياً، ووجد تافاريس وزملاؤه (Tavares et al., 2017) أن أثر نظم ضمان الجودة الداخلية يظل محدوداً ما لم يقترن بانخراط حقيقي لأعضاء هيئة التدريس.</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وأمام هذا التباين في النتائج وتناثرها عبر سياقات وتصاميم بحثية مختلفة، تبرز الحاجة إلى تركيب منهجي منضبط للأدلة المتاحة بدلاً من الاكتفاء بدراسة ميدانية مفردة. ومن هنا جاءت هذه المراجعة المنهجية لتجمع الأدلة المنشورة وتقيّم جودتها وتركّبها تركيباً موضوعياً، وفق بروتوكول PRISMA 2020 (Page et al., 2021)، مع تحليل مركّز على السياق العربي الذي تشير الأدبيات إلى ندرة الأدلة فيه.</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مشكلة الدراسة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تتوافر اليوم كتلة معتبرة من الدراسات التي تناولت العلاقة بين الاعتماد الأكاديمي وجودة التعليم، غير أنها متباينة النتائج ومتناثرة عبر سياقات وطنية وتخصصات وتصاميم بحثية مختلفة، بما يجعل الحكم على اتجاه الأثر وقوّته متعذّراً دون تركيب منهجي منضبط. كما أن المراجعات المنشورة حتى تاريخه إما ركّزت على وصف نظم الاعتماد ومقارنتها بين الدول، أو اتخذت طابعاً ببليومترياً يرصد اتجاهات النشر دون تقويم لمضمون الأدلة، أو تناولت مبادرات الجودة عموماً لا الاعتماد بوصفه آلية محددة مرتبطة بمخرج تعليمي محدد.</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وتزداد الإشكالية حدّةً في السياق العربي، إذ تشير الأدبيات إلى ندرة الأدلة المتعلقة بأثر الاعتماد في تعزيز تعلّم الطلبة، وإلى غلبة الدراسات الوصفية التي ترصد مستوى تطبيق المعايير دون ربطه بمخرج قابل للقياس. وهنا تتحدد الفجوة التي تسعى هذه المراجعة إلى سدّها.</w:t>
      </w:r>
    </w:p>
    <w:p>
      <w:pPr>
        <w:bidi/>
        <w:spacing w:after="120" w:before="0" w:line="240"/>
        <w:ind w:firstLine="283"/>
        <w:jc w:val="both"/>
      </w:pPr>
      <w:r>
        <w:rPr>
          <w:rFonts w:ascii="Simplified Arabic" w:cs="Simplified Arabic" w:hAnsi="Simplified Arabic"/>
          <w:b/>
          <w:bCs/>
          <w:i w:val="false"/>
          <w:iCs w:val="false"/>
          <w:color w:val="000000"/>
          <w:sz w:val="28"/>
          <w:szCs w:val="28"/>
          <w:rtl/>
        </w:rPr>
        <w:t xml:space="preserve">وبناءً عليه، تتحدد مشكلة الدراسة في السؤال الرئيس الآتي: </w:t>
      </w:r>
      <w:r>
        <w:rPr>
          <w:rFonts w:ascii="Simplified Arabic" w:cs="Simplified Arabic" w:hAnsi="Simplified Arabic"/>
          <w:b w:val="false"/>
          <w:bCs w:val="false"/>
          <w:i w:val="false"/>
          <w:iCs w:val="false"/>
          <w:color w:val="000000"/>
          <w:sz w:val="28"/>
          <w:szCs w:val="28"/>
          <w:rtl/>
        </w:rPr>
        <w:t xml:space="preserve">ما الأدلة التي تقدّمها الأدبيات المنشورة (2010–2026) حول أثر تطبيق معايير الاعتماد الأكاديمي في جودة المخرجات التعليمية بمؤسسات التعليم العالي؟ وما حالة هذه الأدلة في السياق العربي؟</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أهمية الدراسة</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أولاً: الأهمية العلمية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تقدّم أول تركيب منهجي — في حدود اطلاع الباحث — يركّز تحديداً على العلاقة بين تطبيق معايير الاعتماد وجودة المخرجات التعليمية بوصفها متغيراً مخرجياً محدداً، لا على نظم الجودة عموماً.</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تُقيّم الجودة المنهجية للأدلة المتاحة بأداة مقنّنة، فتميّز بين ما يصلح للبناء عليه وما ينبغي التحفّظ عليه، وهو ما تفتقر إليه المراجعات السردية.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تشخّص حالة الإنتاج البحثي العربي في هذا الحقل وتحدد ثغراته، بما يوجّه أجندة بحثية لاحقة.</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ثانياً: الأهمية العملية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تزوّد القيادات الأكاديمية ووحدات ضمان الجودة بخلاصة الأدلة حول الأبعاد الأكثر ارتباطاً بتحسّن المخرجات، بما يدعم ترشيد توجيه الموارد.</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تُسهم في مراجعة أطر الاعتماد الوطنية بتوجيهها نحو مؤشرات مخرجات قابلة للقياس بدل مؤشرات الامتثال الإجرائي.</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تتقاطع مخرجاتها مع مستهدفات رؤية المملكة 2030 المتعلقة بمواءمة مخرجات التعليم لاحتياجات سوق العمل.</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أهداف المراجعة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تسعى المراجعة إلى تحقيق الأهداف الآتية: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تحديد الدراسات المنشورة التي تناولت أثر تطبيق معايير الاعتماد الأكاديمي في جودة المخرجات التعليمية وفرزها وفق معايير أهلية معلنة.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وصف خصائص الدراسات المشمولة من حيث السياق الجغرافي وسنة النشر والتصميم البحثي وأداة القياس.</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تقييم الجودة المنهجية للدراسات المشمولة بأداة مقنّنة، وبيان أثر ذلك في قوة الأدلة.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تركيب نتائج الدراسات تركيباً موضوعياً لتحديد اتجاه الأثر وقوّته والعوامل الوسيطة فيه.</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تحديد أبعاد معايير الاعتماد الأكثر ارتباطاً بتحسّن المخرجات وفق ما تدعمه الأدلة.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تشخيص حالة الأدلة في السياق العربي وتحديد الفجوات البحثية والخروج بتوصيات.</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أسئلة المراجعة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صِيغت أسئلة المراجعة وفق إطار SPIDER الملائم لمراجعات البحوث المختلطة، على النحو الآتي:</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ما خصائص الدراسات المنشورة (2010–2026) التي تناولت أثر تطبيق معايير الاعتماد الأكاديمي في جودة المخرجات التعليمية؟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ما مستوى الجودة المنهجية لهذه الدراسات وفق أداة MMAT 2018؟</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ما اتجاه الأثر المُبلَّغ عنه بين تطبيق معايير الاعتماد وجودة المخرجات التعليمية، وما درجة اتساقه عبر الدراسات؟</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أي أبعاد معايير الاعتماد أكثر ارتباطاً بتحسّن المخرجات وفق الأدلة المتاحة؟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ما العوامل الوسيطة التي تفسّر تباين الأثر بين الدراسات (كانخراط أعضاء هيئة التدريس، ونضج نظم الجودة الداخلية، وطبيعة مؤشر القياس)؟</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ما حالة الأدلة في السياق العربي من حيث الكم والجودة والفجوات؟</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الافتراضات الموجِّهة للمراجعة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لا تختبر المراجعات المنهجية فروضاً إحصائية بالمعنى المستخدم في الدراسات الميدانية، لأنها لا تجمع بيانات أولية من مشاركين، بل تُركّب أدلة منشورة. ومع ذلك تنطلق هذه المراجعة من ثلاثة افتراضات نظرية موجِّهة، تُفحص صحتها في ضوء ما تُظهره الأدلة المستخلصة:</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الافتراض الأول: </w:t>
      </w:r>
      <w:r>
        <w:rPr>
          <w:rFonts w:ascii="Simplified Arabic" w:cs="Simplified Arabic" w:hAnsi="Simplified Arabic"/>
          <w:b w:val="false"/>
          <w:bCs w:val="false"/>
          <w:i w:val="false"/>
          <w:iCs w:val="false"/>
          <w:color w:val="000000"/>
          <w:sz w:val="28"/>
          <w:szCs w:val="28"/>
          <w:rtl/>
        </w:rPr>
        <w:t xml:space="preserve">يرتبط تطبيق معايير الاعتماد الأكاديمي بتحسّن جودة المخرجات التعليمية ارتباطاً موجباً، غير أن هذا الارتباط غير متجانس عبر السياقات.</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الافتراض الثاني: </w:t>
      </w:r>
      <w:r>
        <w:rPr>
          <w:rFonts w:ascii="Simplified Arabic" w:cs="Simplified Arabic" w:hAnsi="Simplified Arabic"/>
          <w:b w:val="false"/>
          <w:bCs w:val="false"/>
          <w:i w:val="false"/>
          <w:iCs w:val="false"/>
          <w:color w:val="000000"/>
          <w:sz w:val="28"/>
          <w:szCs w:val="28"/>
          <w:rtl/>
        </w:rPr>
        <w:t xml:space="preserve">تتفاوت أبعاد معايير الاعتماد في قوة ارتباطها بالمخرجات، ويُتوقّع أن تتصدّر أبعاد القيادة والحوكمة وتصميم البرامج القائم على نواتج التعلم.</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الافتراض الثالث: </w:t>
      </w:r>
      <w:r>
        <w:rPr>
          <w:rFonts w:ascii="Simplified Arabic" w:cs="Simplified Arabic" w:hAnsi="Simplified Arabic"/>
          <w:b w:val="false"/>
          <w:bCs w:val="false"/>
          <w:i w:val="false"/>
          <w:iCs w:val="false"/>
          <w:color w:val="000000"/>
          <w:sz w:val="28"/>
          <w:szCs w:val="28"/>
          <w:rtl/>
        </w:rPr>
        <w:t xml:space="preserve">يتوسّط أثرَ الاعتماد عواملُ تنظيمية وثقافية، أبرزها انخراط أعضاء هيئة التدريس ونضج نظم ضمان الجودة الداخلية، بحيث يضعف الأثر حين يتخذ التطبيق طابعاً امتثالياً شكلياً.</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النظرية العلمية المتبعة لإعداد البحث</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تستند المراجعة إلى مدخل إدارة الجودة الشاملة إطاراً نظرياً حاكماً، لما يوفّره من تفسير لعلاقة المدخلات والعمليات بالمخرجات في المنظمات التعليمية. وينهض هذا المدخل على مبادئ التركيز على المستفيد، والمشاركة الشاملة، واتخاذ القرار المبني على البيانات، والتحسين المستمر (Deming, 1986)، وهي المبادئ ذاتها التي تشكّل الأساس الفلسفي لمعايير الاعتماد المعاصرة (Sallis, 2002).</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ويُوظَّف من هذا المدخل نموذج دورة التحسين المستمر (PDCA) بمراحله الأربع: التخطيط، والتنفيذ، والتقويم، والمعالجة؛ إذ تنتظم عمليات ضمان الجودة ضمن هذه الدورة على نحو متكرر يبدأ بالتقييم الذاتي وينتهي بخطط التحسين. ويُستخدم هذا النموذج في هذه المراجعة إطاراً لتصنيف الدراسات المشمولة وتحديد المرحلة التي يتركّز فيها الأثر المُبلَّغ عنه.</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أما المرجعية المعيارية التي اشتُقت منها أبعاد التحليل فهي معايير الاعتماد المؤسسي الصادرة عن المركز الوطني للتقويم والاعتماد الأكاديمي (2018)، مسنَدةً إلى معايير (ESG, 2015) بوصفها مرجعاً دولياً مقارِناً؛ وهي: القيادة والحوكمة، والبرامج الأكاديمية، وأعضاء هيئة التدريس، والموارد والبنية التحتية، والبحث والابتكار، وخدمات الطلبة.</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مصطلحات الدراسة والتعريفات الإجرائية</w:t>
      </w:r>
    </w:p>
    <w:p>
      <w:pPr>
        <w:bidi/>
        <w:spacing w:after="120" w:before="0" w:line="240"/>
        <w:ind w:firstLine="283"/>
        <w:jc w:val="both"/>
      </w:pPr>
      <w:r>
        <w:rPr>
          <w:rFonts w:ascii="Simplified Arabic" w:cs="Simplified Arabic" w:hAnsi="Simplified Arabic"/>
          <w:b/>
          <w:bCs/>
          <w:i w:val="false"/>
          <w:iCs w:val="false"/>
          <w:color w:val="000000"/>
          <w:sz w:val="28"/>
          <w:szCs w:val="28"/>
          <w:rtl/>
        </w:rPr>
        <w:t xml:space="preserve">الاعتماد الأكاديمي: </w:t>
      </w:r>
      <w:r>
        <w:rPr>
          <w:rFonts w:ascii="Simplified Arabic" w:cs="Simplified Arabic" w:hAnsi="Simplified Arabic"/>
          <w:b w:val="false"/>
          <w:bCs w:val="false"/>
          <w:i w:val="false"/>
          <w:iCs w:val="false"/>
          <w:color w:val="000000"/>
          <w:sz w:val="28"/>
          <w:szCs w:val="28"/>
          <w:rtl/>
        </w:rPr>
        <w:t xml:space="preserve">عملية تقييم خارجية منهجية تُجريها هيئة مخوّلة للحكم على استيفاء المؤسسة أو البرنامج لمعايير جودة معلنة (Vlăsceanu et al., 2007). ويُعرَّف إجرائياً في هذه المراجعة بأنه: كل نظام تقويم خارجي معلن المعايير تتناوله الدراسة المشمولة بوصفه متغيراً مؤثراً.</w:t>
      </w:r>
    </w:p>
    <w:p>
      <w:pPr>
        <w:bidi/>
        <w:spacing w:after="120" w:before="0" w:line="240"/>
        <w:ind w:firstLine="283"/>
        <w:jc w:val="both"/>
      </w:pPr>
      <w:r>
        <w:rPr>
          <w:rFonts w:ascii="Simplified Arabic" w:cs="Simplified Arabic" w:hAnsi="Simplified Arabic"/>
          <w:b/>
          <w:bCs/>
          <w:i w:val="false"/>
          <w:iCs w:val="false"/>
          <w:color w:val="000000"/>
          <w:sz w:val="28"/>
          <w:szCs w:val="28"/>
          <w:rtl/>
        </w:rPr>
        <w:t xml:space="preserve">جودة المخرجات التعليمية: </w:t>
      </w:r>
      <w:r>
        <w:rPr>
          <w:rFonts w:ascii="Simplified Arabic" w:cs="Simplified Arabic" w:hAnsi="Simplified Arabic"/>
          <w:b w:val="false"/>
          <w:bCs w:val="false"/>
          <w:i w:val="false"/>
          <w:iCs w:val="false"/>
          <w:color w:val="000000"/>
          <w:sz w:val="28"/>
          <w:szCs w:val="28"/>
          <w:rtl/>
        </w:rPr>
        <w:t xml:space="preserve">مدى تحقق نواتج التعلم المستهدفة لدى الخريجين واتساقها مع متطلبات سوق العمل. وتُعرَّف إجرائياً بأنها: كل مؤشر تُبلّغ عنه الدراسة المشمولة يقيس نواتج التعلم، أو الكفايات المهنية، أو قابلية التوظيف، أو رضا جهات التوظيف، أو الأداء الأكاديمي للطلبة.</w:t>
      </w:r>
    </w:p>
    <w:p>
      <w:pPr>
        <w:bidi/>
        <w:spacing w:after="120" w:before="0" w:line="240"/>
        <w:ind w:firstLine="283"/>
        <w:jc w:val="both"/>
      </w:pPr>
      <w:r>
        <w:rPr>
          <w:rFonts w:ascii="Simplified Arabic" w:cs="Simplified Arabic" w:hAnsi="Simplified Arabic"/>
          <w:b/>
          <w:bCs/>
          <w:i w:val="false"/>
          <w:iCs w:val="false"/>
          <w:color w:val="000000"/>
          <w:sz w:val="28"/>
          <w:szCs w:val="28"/>
          <w:rtl/>
        </w:rPr>
        <w:t xml:space="preserve">المراجعة المنهجية: </w:t>
      </w:r>
      <w:r>
        <w:rPr>
          <w:rFonts w:ascii="Simplified Arabic" w:cs="Simplified Arabic" w:hAnsi="Simplified Arabic"/>
          <w:b w:val="false"/>
          <w:bCs w:val="false"/>
          <w:i w:val="false"/>
          <w:iCs w:val="false"/>
          <w:color w:val="000000"/>
          <w:sz w:val="28"/>
          <w:szCs w:val="28"/>
          <w:rtl/>
        </w:rPr>
        <w:t xml:space="preserve">دراسة ثانوية تتبع بروتوكولاً معلناً مسبقاً في تحديد الدراسات ذات الصلة وفرزها وتقييمها وتركيبها، بما يقلّل التحيّز ويتيح إعادة إنتاج النتائج (Page et al., 2021).</w:t>
      </w:r>
    </w:p>
    <w:p>
      <w:pPr>
        <w:bidi/>
        <w:spacing w:after="120" w:before="0" w:line="240"/>
        <w:ind w:firstLine="283"/>
        <w:jc w:val="both"/>
      </w:pPr>
      <w:r>
        <w:rPr>
          <w:rFonts w:ascii="Simplified Arabic" w:cs="Simplified Arabic" w:hAnsi="Simplified Arabic"/>
          <w:b/>
          <w:bCs/>
          <w:i w:val="false"/>
          <w:iCs w:val="false"/>
          <w:color w:val="000000"/>
          <w:sz w:val="28"/>
          <w:szCs w:val="28"/>
          <w:rtl/>
        </w:rPr>
        <w:t xml:space="preserve">PRISMA 2020: </w:t>
      </w:r>
      <w:r>
        <w:rPr>
          <w:rFonts w:ascii="Simplified Arabic" w:cs="Simplified Arabic" w:hAnsi="Simplified Arabic"/>
          <w:b w:val="false"/>
          <w:bCs w:val="false"/>
          <w:i w:val="false"/>
          <w:iCs w:val="false"/>
          <w:color w:val="000000"/>
          <w:sz w:val="28"/>
          <w:szCs w:val="28"/>
          <w:rtl/>
        </w:rPr>
        <w:t xml:space="preserve">النسخة المحدَّثة من إرشادات الإبلاغ المفضّلة للمراجعات المنهجية والتحليلات البعدية، وتتضمن قائمة تحقق من (27) بنداً ومخطط تدفق موحداً لمراحل تحديد الدراسات وفرزها (Page et al., 2021).</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الفصل الثاني</w:t>
      </w:r>
    </w:p>
    <w:p>
      <w:pPr>
        <w:bidi/>
        <w:spacing w:after="300" w:line="336"/>
        <w:jc w:val="center"/>
      </w:pPr>
      <w:r>
        <w:rPr>
          <w:rFonts w:ascii="Simplified Arabic" w:cs="Simplified Arabic" w:hAnsi="Simplified Arabic"/>
          <w:b/>
          <w:bCs/>
          <w:i w:val="false"/>
          <w:iCs w:val="false"/>
          <w:color w:val="000000"/>
          <w:sz w:val="36"/>
          <w:szCs w:val="36"/>
          <w:rtl/>
        </w:rPr>
        <w:t xml:space="preserve">المراجعات السابقة والإطار النظري</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مقدمة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يعرض هذا الفصل محورين: يستعرض أولهما المراجعات المنهجية والببليومترية المنشورة في الحقل، ويحلّل مواقعها وحدودها، وينتهي بتحديد الفجوة التي تشغلها المراجعة الحالية. ويعرض ثانيهما الإطار النظري الذي يؤسس لمفاهيم المراجعة ويوجّه بناء محاور التركيب الموضوعي.</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المراجعات المنهجية السابقة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انصبّ اهتمام عدد من الباحثين خلال العقد الأخير على تركيب أدبيات ضمان الجودة والاعتماد في التعليم العالي، ويمكن تصنيف هذه المراجعات في ثلاثة اتجاهات متمايزة:</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الاتجاه الأول: مراجعات مبادرات الجودة عموماً</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قدّم بلوك ودِن ونيغارد وهاسه (Bloch, Degn, Nygaard &amp; Haase, 2021) مراجعة منهجية للأدبيات الأكاديمية حول مبادرات الجودة في التعليم العالي، طرحت سؤالاً جوهرياً عمّا إذا كان «العمل على الجودة» يُنتج أثراً فعلياً. وتكمن قيمتها في كشفها لضعف الأدلة الرابطة بين المبادرة والأثر، غير أنها تناولت مبادرات الجودة بمفهومها الواسع، ولم تعزل الاعتماد بوصفه آلية محددة، كما لم تركّز على المخرجات التعليمية بوصفها متغيراً مخرجياً مستقلاً.</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الاتجاه الثاني: مراجعات وصفية ومقارنة لنظم الاعتماد</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قدّم دوارتي وفارداسكا (Duarte &amp; Vardasca, 2023) مراجعةً للأدبيات وصفت نظم الاعتماد في التعليم العالي وقارنتها بين الدول، فرصدت أوجه التشابه والاختلاف في الإجراءات والمعايير والأطر الزمنية. وتفيد هذه المراجعات في رسم الخريطة المؤسسية للحقل، لكنها تقف عند حدود الوصف المقارن ولا تتناول أثر هذه النظم في نواتج التعلم.</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الاتجاه الثالث: المراجعات الببليومترية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ظهرت في السنوات الأخيرة مراجعات ببليومترية واسعة النطاق حلّلت آلاف الوثائق المفهرسة في Scopus وWeb of Science، ورسمت مراحل تطور الإنتاج العلمي وعناقيده الموضوعية. وقد كشفت هذه الأعمال عن ثلاث مراحل إنتاجية متتابعة وعن عناقيد موضوعية تشمل جودة التعليم والتعلم، والتقنية والاستدامة، والحوكمة والمساءلة. إلا أن التحليل الببليومتري يرصد أنماط النشر لا مضمون الأدلة، فلا يقدّم حكماً على اتجاه الأثر ولا على جودة الدراسات المنشورة.</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المراجعات في السياق العربي</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أما عربياً فقد ظهرت مراجعات محدودة، منها مراجعة تناولت معايير المركز الوطني للتقويم والاعتماد الأكاديمي في ضوء تجربة برنامجين أكاديميين في إحدى الجامعات السعودية، ومراجعة أحدث ركّبت عدداً من المصادر لفحص دور إدارة المعرفة في اعتماد التعليم العالي السعودي. وتشترك هذه الأعمال في تركيزها على الجوانب الإجرائية والتنظيمية للاعتماد، دون أن تتخذ من جودة المخرجات التعليمية متغيراً مخرجياً مركزياً للتركيب.</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التعقيب والفجوة البحثية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يتضح من استعراض المراجعات السابقة اتفاقها على مركزية الاعتماد في منظومة التعليم العالي، وعلى أن أثره ليس تلقائياً. غير أنه يمكن تسجيل الملاحظات الآتية: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لم تعزل المراجعات القائمة الاعتماد الأكاديمي بوصفه آلية محددة عن نظم ضمان الجودة عموماً، فاختلط الأثر المنسوب إلى الاعتماد بأثر مبادرات أخرى.</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غلب على المراجعات إما الطابع الوصفي المقارن أو الطابع الببليومتري، وكلاهما لا يقدّم تقويماً لجودة الأدلة ولا حكماً على اتجاه الأثر وقوّته.</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لم تتخذ المراجعات من جودة المخرجات التعليمية — بمؤشراتها من نواتج التعلم والكفايات وقابلية التوظيف — متغيراً مخرجياً مركزياً للتركيب.</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ندرت المراجعات التي فكّكت معايير الاعتماد إلى أبعاد فرعية وقارنت بينها في قوة الارتباط بالمخرجات، وهو ما يحرم صانع القرار من أولويات واضحة.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ظلّت الأدلة العربية غير مُركّبة تركيباً منهجياً، رغم ما تشير إليه الأدبيات من ندرة الأدلة حول أثر الاعتماد في تعزيز تعلّم الطلبة في هذا السياق.</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وتتمايز المراجعة الحالية في أربعة جوانب: أنها تعزل الاعتماد الأكاديمي متغيراً مؤثراً محدداً؛ وأنها تتخذ من جودة المخرجات التعليمية متغيراً مخرجياً مركزياً؛ وأنها تُخضع الدراسات المشمولة لتقويم منهجي مقنّن بأداة MMAT 2018؛ وأنها تُفرد تحليلاً مركّزاً للسياق العربي. وفي هذا التمايز تتحدد الفجوة البحثية التي تشغلها.</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الإطار النظري</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أولاً: مفهوم الجودة في التعليم العالي</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لا يحظى مفهوم الجودة بتعريف واحد متفق عليه لطبيعته النسبية وارتباطه بزاوية نظر المستفيد؛ فالجودة عند الطالب خبرة تعليمية ثرية وشهادة ذات قيمة تشغيلية، وعند عضو هيئة التدريس بيئة تدعم التعليم والبحث، وعند جهة التوظيف خريج يمتلك كفايات قابلة للتوظيف. ومن هنا جاء تصنيف هارفي وجرين (Harvey &amp; Green, 1993) الخماسي. وتتبنّى المراجعة الحالية تصور «الملاءمة للغرض» أساساً لتعريف جودة المخرجات، لأنه يقيسها بمدى تحقق الأهداف المعلنة للبرنامج لا بمعيار مطلق.</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ويميّز الأدب النظري بين ضمان الجودة الذي ينصرف إلى التحقق من بلوغ حدٍّ أدنى معلن، وتعزيز الجودة الذي ينصرف إلى الارتقاء المستمر. وقد حذّرت الاسي (Elassy, 2015) من أن الخلط بينهما يدفع المؤسسات إلى الاستقرار عند سقف الحد الأدنى — وهو ما يُعبّر عنه ميدانياً بظاهرة «الاعتماد بوصفه غايةً لا وسيلة».</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ثانياً: الاعتماد الأكاديمي وأنواعه ومعاييره</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يُصنَّف الاعتماد وفق نطاقه إلى مؤسسي يشمل المؤسسة بأنظمتها وحوكمتها ومواردها، وبرامجي يتناول برنامجاً بعينه وفق معايير تخصصية؛ ووفق الجهة المانحة إلى وطني ودولي. ويستهدف ضمان حدٍّ أدنى معلن من الجودة، وتعزيز ثقة المجتمع، وتيسير الاعتراف بالمؤهلات، وتحفيز التحسين الذاتي. وقد اشتُقت أبعاد التحليل في هذه المراجعة من معايير الاعتماد المؤسسي (المركز الوطني للتقويم والاعتماد الأكاديمي، 2018) مسنَدةً إلى (ESG, 2015)، وهي ستة أبعاد: القيادة والحوكمة، والبرامج الأكاديمية والمناهج، وأعضاء هيئة التدريس، والموارد والبنية التحتية، والبحث والابتكار، وخدمات الطلبة والدعم الأكاديمي.</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ثالثاً: جودة المخرجات التعليمية ومؤشرات قياسها</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يُقصد بالمخرجات التعليمية حصيلة ما يكتسبه الطالب من معارف ومهارات وكفايات عند إتمام البرنامج. وقد تحوّل التركيز في الأدبيات الحديثة من قياس المدخلات إلى قياس نواتج التعلم بوصفها المؤشر الأصدق على الجودة. وتعتمد المراجعة خمسة مؤشرات في تصنيف ما تُبلّغ عنه الدراسات: تحقق نواتج التعلم المستهدفة، والكفايات المهنية للخريجين، ومواءمة المخرجات لسوق العمل، ورضا المستفيدين، وقابلية التوظيف. ويُميَّز في التحليل بين المؤشرات الإدراكية (المبنية على تقديرات المستجيبين) والمؤشرات الموضوعية (المبنية على بيانات أداء فعلية)، لما لهذا التمييز من أثر في تقدير قوة الدليل.</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رابعاً: العلاقة النظرية ومحدداتها</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تُفسَّر العلاقة بين المتغيرين في ضوء ثنائية عوامل التمكين والنتائج: فأبعاد معايير الاعتماد تمثّل عوامل تمكين تهيّئ البيئة التنظيمية والأكاديمية، وجودة المخرجات تمثّل النتيجة المتحققة. غير أن الأدبيات تنبّه إلى أن هذا التوقع مشروط بأن يكون التطبيق جوهرياً لا شكلياً، وأن يقترن بانخراط أعضاء هيئة التدريس (Tavares et al., 2017)، وبتكامل نظام الجودة مع الإدارة الاستراتيجية للمؤسسة (Manatos, Sarrico &amp; Rosa, 2017). ويُشكّل هذان الشرطان محورين رئيسين في التركيب الموضوعي لهذه المراجعة.</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خامساً: معوقات التطبيق ودور القيادة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تواجه المؤسسات معوقات في تطبيق نظم الجودة، أبرزها محدودية الموارد المخصصة لوحدات ضمان الجودة، ومقاومة التغيير الناشئة عن إدراك الأكاديميين لهذه النظم بوصفها عبئاً إدارياً (Cardoso et al., 2016)، وضعف الثقافة المؤسسية، وثقل الأعباء التدريسية، وغلبة الطابع الوثائقي. وفي مواجهة ذلك تبرز مركزية القيادة الأكاديمية؛ فقد أكّد ديمنغ (Deming, 1986) أن الجزء الأكبر من مشكلات الجودة يعود إلى النظام لا إلى الأفراد، وأن إصلاح النظام مسؤولية قيادية بالدرجة الأولى.</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الفصل الثالث</w:t>
      </w:r>
    </w:p>
    <w:p>
      <w:pPr>
        <w:bidi/>
        <w:spacing w:after="300" w:line="336"/>
        <w:jc w:val="center"/>
      </w:pPr>
      <w:r>
        <w:rPr>
          <w:rFonts w:ascii="Simplified Arabic" w:cs="Simplified Arabic" w:hAnsi="Simplified Arabic"/>
          <w:b/>
          <w:bCs/>
          <w:i w:val="false"/>
          <w:iCs w:val="false"/>
          <w:color w:val="000000"/>
          <w:sz w:val="36"/>
          <w:szCs w:val="36"/>
          <w:rtl/>
        </w:rPr>
        <w:t xml:space="preserve">منهجية المراجعة المنهجية</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مقدمة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يمثّل هذا الفصل جوهر البروتوكول؛ إذ يعرض الإجراءات المنهجية المعتمدة سلفاً لتنفيذ المراجعة، متضمنةً تصميمها وتسجيلها، ومعايير الأهلية، واستراتيجية البحث وسلاسله في كل قاعدة بيانات، وإجراءات الفرز والاختيار، وأداة تقييم الجودة المنهجية بمعاييرها التفصيلية، ونموذج استخلاص البيانات، وإطار الترميز الموضوعي، والجدول الزمني للتنفيذ، والاعتبارات الأخلاقية ومحددات المراجعة. والغاية من هذا التفصيل المسبق أن تكون كل قرارات المراجعة معلنةً قبل الاطلاع على النتائج، بما يمنع الانتقاء الانتقائي ويتيح إعادة إنتاج العمل.</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تصميم المراجعة وتسجيل البروتوكول</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اعتُمد تصميم المراجعة المنهجية (Systematic Review) بوصفه الأنسب لتركيب أدلة متناثرة ومتباينة النتائج حول سؤال محدد، ولما يوفّره من انضباط إجرائي يقلّل التحيّز. ويُقدَّم هذا العمل بوصفه بروتوكولاً للمراجعة (Systematic Review Protocol)، وهو منتج بحثي معترف به يسبق التنفيذ ويُنشر أو يُسجَّل مستقلاً عنه، وتوصي به إرشادات الإبلاغ الدولية بوصفه ضماناً لشفافية العمل ونزاهته.</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والتُزم في إعداد البروتوكول بإرشادات PRISMA-P 2015 بقائمة تحققها المكوّنة من (17) بنداً (Moher et al., 2015؛ Shamseer et al., 2015)، وأُدرجت القائمة في الملحق (3). كما أُعدّ البروتوكول ليُبلَّغ عن نتائجه لاحقاً وفق إرشادات PRISMA 2020 بقائمة تحققها المكوّنة من (27) بنداً ومخطط تدفقها الموحّد (Page et al., 2021)، وأُدرجت في الملحق (4).</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ويُوصى بتسجيل البروتوكول قبل الشروع في الفرز في السجل الدولي للمراجعات المنهجية (PROSPERO) أو في منصة (Open Science Framework)، وتوثيق رقم التسجيل في التقرير النهائي. وفي حال إجراء أي تعديل على البروتوكول بعد تسجيله، يُوثَّق التعديل وتاريخه ومسوّغه في قسم مستقل من التقرير النهائي، التزاماً بالبند الرابع من قائمة PRISMA-P.</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ولمّا كانت الدراسات المتوقع تضمينها مختلطة التصاميم — كمية ونوعية ومختلطة — فقد صُمّمت الإجراءات على نحو يستوعب هذا التنوع، وصِيغت أسئلة المراجعة وفق إطار SPIDER الأنسب لهذا النمط من المراجعات مقارنةً بإطار PICO المصمَّم أصلاً للتجارب السريرية.</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معايير الأهلية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حُدّدت معايير التضمين والاستبعاد قبل الشروع في البحث ووفق إطار SPIDER، على النحو الذي يعرضه الجدول (3-1).</w:t>
      </w:r>
    </w:p>
    <w:p>
      <w:pPr>
        <w:bidi/>
        <w:spacing w:after="80" w:before="200" w:line="300"/>
        <w:jc w:val="left"/>
      </w:pPr>
      <w:r>
        <w:rPr>
          <w:rFonts w:ascii="Simplified Arabic" w:cs="Simplified Arabic" w:hAnsi="Simplified Arabic"/>
          <w:b/>
          <w:bCs/>
          <w:i w:val="false"/>
          <w:iCs w:val="false"/>
          <w:color w:val="000000"/>
          <w:sz w:val="24"/>
          <w:szCs w:val="24"/>
          <w:rtl/>
        </w:rPr>
        <w:t xml:space="preserve">جدول (3-1): معايير التضمين والاستبعاد وفق إطار SPIDER</w:t>
      </w:r>
    </w:p>
    <w:tbl>
      <w:tblPr>
        <w:bidiVisual/>
        <w:tblW w:type="dxa" w:w="8400"/>
        <w:jc w:val="center"/>
        <w:tblBorders>
          <w:top w:val="single" w:color="auto" w:sz="4"/>
          <w:left w:val="single" w:color="auto" w:sz="4"/>
          <w:bottom w:val="single" w:color="auto" w:sz="4"/>
          <w:right w:val="single" w:color="auto" w:sz="4"/>
          <w:insideH w:val="single" w:color="auto" w:sz="4"/>
          <w:insideV w:val="single" w:color="auto" w:sz="4"/>
        </w:tblBorders>
      </w:tblPr>
      <w:tblGrid>
        <w:gridCol w:w="1500"/>
        <w:gridCol w:w="3600"/>
        <w:gridCol w:w="3300"/>
      </w:tblGrid>
      <w:tr>
        <w:trPr>
          <w:tblHeader/>
        </w:trPr>
        <w:tc>
          <w:tcPr>
            <w:tcW w:type="dxa" w:w="15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العنصر</w:t>
            </w:r>
          </w:p>
        </w:tc>
        <w:tc>
          <w:tcPr>
            <w:tcW w:type="dxa" w:w="36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معايير التضمين</w:t>
            </w:r>
          </w:p>
        </w:tc>
        <w:tc>
          <w:tcPr>
            <w:tcW w:type="dxa" w:w="33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معايير الاستبعاد</w:t>
            </w:r>
          </w:p>
        </w:tc>
      </w:tr>
      <w:tr>
        <w:trPr>
          <w:cantSplit/>
        </w:trPr>
        <w:tc>
          <w:tcPr>
            <w:tcW w:type="dxa" w:w="15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العيّنة (S)</w:t>
            </w:r>
          </w:p>
        </w:tc>
        <w:tc>
          <w:tcPr>
            <w:tcW w:type="dxa" w:w="3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مؤسسات التعليم العالي وأعضاء هيئة التدريس والطلبة والخريجون فيها</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التعليم العام، والتدريب المهني، والتعليم قبل الجامعي</w:t>
            </w:r>
          </w:p>
        </w:tc>
      </w:tr>
      <w:tr>
        <w:trPr>
          <w:cantSplit/>
        </w:trPr>
        <w:tc>
          <w:tcPr>
            <w:tcW w:type="dxa" w:w="15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الظاهرة (PI)</w:t>
            </w:r>
          </w:p>
        </w:tc>
        <w:tc>
          <w:tcPr>
            <w:tcW w:type="dxa" w:w="3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تطبيق معايير الاعتماد الأكاديمي المؤسسي أو البرامجي أو نظم ضمان الجودة المرتبطة به</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دراسات تصف المعايير وصفاً نظرياً دون تناول تطبيقها</w:t>
            </w:r>
          </w:p>
        </w:tc>
      </w:tr>
      <w:tr>
        <w:trPr>
          <w:cantSplit/>
        </w:trPr>
        <w:tc>
          <w:tcPr>
            <w:tcW w:type="dxa" w:w="15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التصميم (D)</w:t>
            </w:r>
          </w:p>
        </w:tc>
        <w:tc>
          <w:tcPr>
            <w:tcW w:type="dxa" w:w="3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دراسات تجريبية: كمية أو نوعية أو مختلطة، بما فيها دراسات الحالة المنهجية</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المقالات الرأيية والافتتاحيات والمراجعات السردية غير المنهجية</w:t>
            </w:r>
          </w:p>
        </w:tc>
      </w:tr>
      <w:tr>
        <w:trPr>
          <w:cantSplit/>
        </w:trPr>
        <w:tc>
          <w:tcPr>
            <w:tcW w:type="dxa" w:w="15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التقييم (E)</w:t>
            </w:r>
          </w:p>
        </w:tc>
        <w:tc>
          <w:tcPr>
            <w:tcW w:type="dxa" w:w="3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دراسات تُبلّغ عن مؤشر مخرجي واحد على الأقل (نواتج تعلم، كفايات، توظيف، رضا مستفيدين، أداء أكاديمي)</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دراسات تقتصر على مؤشرات المدخلات أو العمليات دون ربطها بمخرج</w:t>
            </w:r>
          </w:p>
        </w:tc>
      </w:tr>
      <w:tr>
        <w:trPr>
          <w:cantSplit/>
        </w:trPr>
        <w:tc>
          <w:tcPr>
            <w:tcW w:type="dxa" w:w="15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نوع البحث (R)</w:t>
            </w:r>
          </w:p>
        </w:tc>
        <w:tc>
          <w:tcPr>
            <w:tcW w:type="dxa" w:w="3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بحوث محكّمة منشورة، ورسائل جامعية متاحة بنصها الكامل</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ملخصات المؤتمرات دون نص كامل، والتقارير الترويجية</w:t>
            </w:r>
          </w:p>
        </w:tc>
      </w:tr>
      <w:tr>
        <w:trPr>
          <w:cantSplit/>
        </w:trPr>
        <w:tc>
          <w:tcPr>
            <w:tcW w:type="dxa" w:w="15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اللغة</w:t>
            </w:r>
          </w:p>
        </w:tc>
        <w:tc>
          <w:tcPr>
            <w:tcW w:type="dxa" w:w="3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العربية والإنجليزية</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اللغات الأخرى</w:t>
            </w:r>
          </w:p>
        </w:tc>
      </w:tr>
      <w:tr>
        <w:trPr>
          <w:cantSplit/>
        </w:trPr>
        <w:tc>
          <w:tcPr>
            <w:tcW w:type="dxa" w:w="15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المدى الزمني</w:t>
            </w:r>
          </w:p>
        </w:tc>
        <w:tc>
          <w:tcPr>
            <w:tcW w:type="dxa" w:w="3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من يناير 2010 إلى مايو 2026</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ما نُشر قبل 2010</w:t>
            </w:r>
          </w:p>
        </w:tc>
      </w:tr>
    </w:tbl>
    <w:p>
      <w:pPr>
        <w:bidi/>
        <w:spacing w:after="120" w:before="0" w:line="240"/>
        <w:ind w:firstLine="283"/>
        <w:jc w:val="left"/>
      </w:pPr>
      <w:r>
        <w:rPr>
          <w:rFonts w:ascii="Simplified Arabic" w:cs="Simplified Arabic" w:hAnsi="Simplified Arabic"/>
          <w:b w:val="false"/>
          <w:bCs w:val="false"/>
          <w:i w:val="false"/>
          <w:iCs w:val="false"/>
          <w:color w:val="000000"/>
          <w:sz w:val="24"/>
          <w:szCs w:val="24"/>
          <w:rtl/>
        </w:rPr>
        <w:t xml:space="preserve">ملحوظة: حُدّدت سنة 2010 نقطةَ بداية لأنها تلي استقرار معايير الاعتماد الوطنية في عدد من الدول العربية، ولأن التحول العالمي نحو منهج نواتج التعلم ترسّخ في هذه المرحلة.</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استراتيجية البحث ومصادره</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بُني تركيب سلاسل البحث على ثلاث مجموعات مفاهيمية تُربط داخلياً بأداة (OR) وفيما بينها بأداة (AND): مجموعة الاعتماد وضمان الجودة، ومجموعة التعليم العالي، ومجموعة المخرجات التعليمية. واستُخدمت الرموز البديلة (*) لالتقاط الاشتقاقات، وضُبطت السلاسل لتناسب صيغة كل قاعدة بيانات، وتُعرض كاملةً في الملحق (1). كما تُراجَع قوائم مراجع الدراسات المشمولة بحثاً عن دراسات إضافية (Backward citation searching)، ويُوثَّق تاريخ آخر بحث في كل قاعدة.</w:t>
      </w:r>
    </w:p>
    <w:p>
      <w:pPr>
        <w:bidi/>
        <w:spacing w:after="80" w:before="200" w:line="300"/>
        <w:jc w:val="left"/>
      </w:pPr>
      <w:r>
        <w:rPr>
          <w:rFonts w:ascii="Simplified Arabic" w:cs="Simplified Arabic" w:hAnsi="Simplified Arabic"/>
          <w:b/>
          <w:bCs/>
          <w:i w:val="false"/>
          <w:iCs w:val="false"/>
          <w:color w:val="000000"/>
          <w:sz w:val="24"/>
          <w:szCs w:val="24"/>
          <w:rtl/>
        </w:rPr>
        <w:t xml:space="preserve">جدول (3-2): قواعد البيانات المعتمدة ونطاق البحث فيها</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2700"/>
        <w:gridCol w:w="3200"/>
        <w:gridCol w:w="1500"/>
        <w:gridCol w:w="1100"/>
      </w:tblGrid>
      <w:tr>
        <w:trPr>
          <w:tblHeader/>
        </w:trPr>
        <w:tc>
          <w:tcPr>
            <w:tcW w:type="dxa" w:w="27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قاعدة البيانات</w:t>
            </w:r>
          </w:p>
        </w:tc>
        <w:tc>
          <w:tcPr>
            <w:tcW w:type="dxa" w:w="32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حقول البحث</w:t>
            </w:r>
          </w:p>
        </w:tc>
        <w:tc>
          <w:tcPr>
            <w:tcW w:type="dxa" w:w="15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المدى الزمني</w:t>
            </w:r>
          </w:p>
        </w:tc>
        <w:tc>
          <w:tcPr>
            <w:tcW w:type="dxa" w:w="11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الأولوية</w:t>
            </w:r>
          </w:p>
        </w:tc>
      </w:tr>
      <w:tr>
        <w:trPr>
          <w:cantSplit/>
        </w:trPr>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Scopus</w:t>
            </w:r>
          </w:p>
        </w:tc>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العنوان والمستخلص والكلمات المفتاحية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2010–2026</w:t>
            </w:r>
          </w:p>
        </w:tc>
        <w:tc>
          <w:tcPr>
            <w:tcW w:type="dxa" w:w="11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أساسية</w:t>
            </w:r>
          </w:p>
        </w:tc>
      </w:tr>
      <w:tr>
        <w:trPr>
          <w:cantSplit/>
        </w:trPr>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Web of Science</w:t>
            </w:r>
          </w:p>
        </w:tc>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الموضوع (TS)</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2010–2026</w:t>
            </w:r>
          </w:p>
        </w:tc>
        <w:tc>
          <w:tcPr>
            <w:tcW w:type="dxa" w:w="11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أساسية</w:t>
            </w:r>
          </w:p>
        </w:tc>
      </w:tr>
      <w:tr>
        <w:trPr>
          <w:cantSplit/>
        </w:trPr>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ERIC</w:t>
            </w:r>
          </w:p>
        </w:tc>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العنوان والمستخلص</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2010–2026</w:t>
            </w:r>
          </w:p>
        </w:tc>
        <w:tc>
          <w:tcPr>
            <w:tcW w:type="dxa" w:w="11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أساسية</w:t>
            </w:r>
          </w:p>
        </w:tc>
      </w:tr>
      <w:tr>
        <w:trPr>
          <w:cantSplit/>
        </w:trPr>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ScienceDirect</w:t>
            </w:r>
          </w:p>
        </w:tc>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العنوان والمستخلص والكلمات المفتاحية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2010–2026</w:t>
            </w:r>
          </w:p>
        </w:tc>
        <w:tc>
          <w:tcPr>
            <w:tcW w:type="dxa" w:w="11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مساندة</w:t>
            </w:r>
          </w:p>
        </w:tc>
      </w:tr>
      <w:tr>
        <w:trPr>
          <w:cantSplit/>
        </w:trPr>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Google Scholar (أول 200 نتيجة)</w:t>
            </w:r>
          </w:p>
        </w:tc>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النص الكامل</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2010–2026</w:t>
            </w:r>
          </w:p>
        </w:tc>
        <w:tc>
          <w:tcPr>
            <w:tcW w:type="dxa" w:w="11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مساندة</w:t>
            </w:r>
          </w:p>
        </w:tc>
      </w:tr>
      <w:tr>
        <w:trPr>
          <w:cantSplit/>
        </w:trPr>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دار المنظومة</w:t>
            </w:r>
          </w:p>
        </w:tc>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العنوان والمستخلص</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2010–2026</w:t>
            </w:r>
          </w:p>
        </w:tc>
        <w:tc>
          <w:tcPr>
            <w:tcW w:type="dxa" w:w="11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أساسية للعربية</w:t>
            </w:r>
          </w:p>
        </w:tc>
      </w:tr>
      <w:tr>
        <w:trPr>
          <w:cantSplit/>
        </w:trPr>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المنهل</w:t>
            </w:r>
          </w:p>
        </w:tc>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العنوان والمستخلص</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2010–2026</w:t>
            </w:r>
          </w:p>
        </w:tc>
        <w:tc>
          <w:tcPr>
            <w:tcW w:type="dxa" w:w="11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أساسية للعربية</w:t>
            </w:r>
          </w:p>
        </w:tc>
      </w:tr>
      <w:tr>
        <w:trPr>
          <w:cantSplit/>
        </w:trPr>
        <w:tc>
          <w:tcPr>
            <w:tcW w:type="dxa" w:w="2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البحث اليدوي في قوائم المراجع</w:t>
            </w:r>
          </w:p>
        </w:tc>
        <w:tc>
          <w:tcPr>
            <w:tcW w:type="dxa" w:w="32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قوائم مراجع الدراسات المشمولة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w:t>
            </w:r>
          </w:p>
        </w:tc>
        <w:tc>
          <w:tcPr>
            <w:tcW w:type="dxa" w:w="11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مكمّلة</w:t>
            </w:r>
          </w:p>
        </w:tc>
      </w:tr>
    </w:tbl>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إجراءات الفرز والاختيار</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تُصدَّر جميع السجلات المسترجعة إلى برنامج إدارة المراجع، ثم تُحذف المكررات آلياً ويدوياً. ويُجرى الفرز على مرحلتين: فرزٌ أولي بالعنوان والمستخلص لاستبعاد ما لا صلة له بالسؤال، ثم فرزٌ نهائي بقراءة النص الكامل للتحقق من استيفاء معايير الأهلية كافة، مع تسجيل سبب الاستبعاد لكل تقرير مستبعَد في هذه المرحلة.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ولمّا كانت المراجعة من إنجاز باحث واحد، وهو ما يمثّل مصدر تحيّز محتمل، فقد اعتُمد إجراءان لضبطه: أولهما استعانة بمراجع ثانٍ مستقل لفرز عينة عشوائية نسبتها (20%) من السجلات في كلتا المرحلتين، وحساب معامل كابا لكوهين (Cohen, 1960) لقياس اتفاق المراجعَين، على أن يُعدّ الاتفاق مقبولاً عند بلوغ القيمة (0.70) فأكثر، وتُحسم مواضع الاختلاف بالمناقشة. وثانيهما توثيق قرارات الفرز في جدول قابل للتدقيق. ويُستخدم في إدارة الفرز برنامج Rayyan المخصص للمراجعات المنهجية (Ouzzani et al., 2016).</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تقييم الجودة المنهجية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تُقيَّم الجودة المنهجية للدراسات المشمولة بأداة التقييم النقدي للمناهج المختلطة MMAT 2018 (Hong et al., 2018)، وقد اختيرت لأنها الأداة الوحيدة المصممة لتقييم التصاميم الكمية والنوعية والمختلطة ضمن مراجعة واحدة، وهو ما يتناسب مع طبيعة الدراسات المتوقعة. وتبدأ الأداة بسؤالين استكشافيين يُطبَّقان على كل الدراسات، ثم تتفرّع إلى خمسة معايير لكل فئة تصميم، ويُحكم على كل معيار بـ(نعم / لا / لا يمكن تحديده). ويعرض الجدول (3-3) المعايير المعتمدة في هذه المراجعة، مقتصرةً على فئات التصميم المتوقع ورودها.</w:t>
      </w:r>
    </w:p>
    <w:p>
      <w:pPr>
        <w:bidi/>
        <w:spacing w:after="80" w:before="200" w:line="300"/>
        <w:jc w:val="left"/>
      </w:pPr>
      <w:r>
        <w:rPr>
          <w:rFonts w:ascii="Simplified Arabic" w:cs="Simplified Arabic" w:hAnsi="Simplified Arabic"/>
          <w:b/>
          <w:bCs/>
          <w:i w:val="false"/>
          <w:iCs w:val="false"/>
          <w:color w:val="000000"/>
          <w:sz w:val="24"/>
          <w:szCs w:val="24"/>
          <w:rtl/>
        </w:rPr>
        <w:t xml:space="preserve">جدول (3-3): معايير أداة MMAT 2018 المعتمدة في تقييم الجودة المنهجية</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1300"/>
        <w:gridCol w:w="900"/>
        <w:gridCol w:w="6300"/>
      </w:tblGrid>
      <w:tr>
        <w:trPr>
          <w:tblHeader/>
        </w:trPr>
        <w:tc>
          <w:tcPr>
            <w:tcW w:type="dxa" w:w="13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فئة التصميم</w:t>
            </w:r>
          </w:p>
        </w:tc>
        <w:tc>
          <w:tcPr>
            <w:tcW w:type="dxa" w:w="9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الرمز</w:t>
            </w:r>
          </w:p>
        </w:tc>
        <w:tc>
          <w:tcPr>
            <w:tcW w:type="dxa" w:w="63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المعيار</w:t>
            </w:r>
          </w:p>
        </w:tc>
      </w:tr>
      <w:tr>
        <w:trPr>
          <w:cantSplit/>
        </w:trPr>
        <w:tc>
          <w:tcPr>
            <w:tcW w:type="dxa" w:w="13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أسئلة استكشافية (لكل الدراسات)</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S1</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توجد أسئلة بحثية واضحة؟</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S2</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تتيح البيانات المجموعة الإجابة عن أسئلة البحث؟</w:t>
            </w:r>
          </w:p>
        </w:tc>
      </w:tr>
      <w:tr>
        <w:trPr>
          <w:cantSplit/>
        </w:trPr>
        <w:tc>
          <w:tcPr>
            <w:tcW w:type="dxa" w:w="13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1. الدراسات النوعية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1.1</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المدخل النوعي ملائم للإجابة عن سؤال البحث؟</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1.2</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طرق جمع البيانات النوعية كافية لمعالجة سؤال البحث؟</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1.3</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اشتُقت النتائج اشتقاقاً كافياً من البيانات؟</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1.4</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تفسير النتائج مسنَد بالبيانات إسناداً كافياً؟</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1.5</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ثمة اتساق بين مصادر البيانات النوعية وجمعها وتحليلها وتفسيرها؟</w:t>
            </w:r>
          </w:p>
        </w:tc>
      </w:tr>
      <w:tr>
        <w:trPr>
          <w:cantSplit/>
        </w:trPr>
        <w:tc>
          <w:tcPr>
            <w:tcW w:type="dxa" w:w="13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3. الدراسات الكمية غير العشوائية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3.1</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المشاركون ممثّلون للمجتمع المستهدف؟</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3.2</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القياسات ملائمة بالنسبة إلى المخرج والتدخل (أو التعرّض) معاً؟</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3.3</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بيانات المخرجات مكتملة؟</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3.4</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رُوعيت المتغيرات المربِكة في التصميم والتحليل؟</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3.5</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طُبّق التدخل (أو حدث التعرّض) كما هو مقصود خلال مدة الدراسة؟</w:t>
            </w:r>
          </w:p>
        </w:tc>
      </w:tr>
      <w:tr>
        <w:trPr>
          <w:cantSplit/>
        </w:trPr>
        <w:tc>
          <w:tcPr>
            <w:tcW w:type="dxa" w:w="13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4. الدراسات الكمية الوصفية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4.1</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استراتيجية المعاينة ملائمة لمعالجة سؤال البحث؟</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4.2</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العينة ممثّلة للمجتمع المستهدف؟</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4.3</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القياسات ملائمة؟</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4.4</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خطر تحيّز عدم الاستجابة منخفض؟</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4.5</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التحليل الإحصائي ملائم للإجابة عن سؤال البحث؟</w:t>
            </w:r>
          </w:p>
        </w:tc>
      </w:tr>
      <w:tr>
        <w:trPr>
          <w:cantSplit/>
        </w:trPr>
        <w:tc>
          <w:tcPr>
            <w:tcW w:type="dxa" w:w="13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5. الدراسات مختلطة المناهج</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5.1</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يوجد مسوّغ كافٍ لاستخدام تصميم مختلط المناهج لمعالجة سؤال البحث؟</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5.2</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تكاملت مكوّنات الدراسة المختلفة تكاملاً فعّالاً للإجابة عن سؤال البحث؟</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5.3</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فُسّرت مخرجات تكامل المكوّنين الكمي والنوعي تفسيراً كافياً؟</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5.4</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عولجت أوجه التباين والتناقض بين النتائج الكمية والنوعية معالجةً كافية؟</w:t>
            </w:r>
          </w:p>
        </w:tc>
      </w:tr>
      <w:tr>
        <w:trPr>
          <w:cantSplit/>
        </w:trPr>
        <w:tc>
          <w:tcPr>
            <w:tcW w:type="dxa" w:w="1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5.5</w:t>
            </w:r>
          </w:p>
        </w:tc>
        <w:tc>
          <w:tcPr>
            <w:tcW w:type="dxa" w:w="6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هل التزم كل مكوّن من مكوّنات الدراسة بمعايير الجودة الخاصة بتقليده المنهجي؟</w:t>
            </w:r>
          </w:p>
        </w:tc>
      </w:tr>
    </w:tbl>
    <w:p>
      <w:pPr>
        <w:bidi/>
        <w:spacing w:after="120" w:before="0" w:line="240"/>
        <w:ind w:firstLine="283"/>
        <w:jc w:val="left"/>
      </w:pPr>
      <w:r>
        <w:rPr>
          <w:rFonts w:ascii="Simplified Arabic" w:cs="Simplified Arabic" w:hAnsi="Simplified Arabic"/>
          <w:b w:val="false"/>
          <w:bCs w:val="false"/>
          <w:i w:val="false"/>
          <w:iCs w:val="false"/>
          <w:color w:val="000000"/>
          <w:sz w:val="24"/>
          <w:szCs w:val="24"/>
          <w:rtl/>
        </w:rPr>
        <w:t xml:space="preserve">ملحوظة: وفقاً لتوجيهات مطوّري الأداة، لا تُحوَّل التقديرات إلى درجة عددية إجمالية، بل تُعرض تفصيلاً لكل معيار، وتُوظَّف في تحليل الحساسية بفحص مدى ثبات النتائج عند استبعاد الدراسات منخفضة الجودة، لا في استبعادها ابتداءً. وقد أُسقطت الفئة الثانية (التجارب المعشّاة) لعدم توقع ورودها في هذا الحقل.</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استخلاص البيانات</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صُمّم نموذج موحّد لاستخلاص البيانات يُجرَّب على ثلاث دراسات قبل اعتماده نهائياً، ويعرض الجدول (3-4) عناصره، بينما تُعرض صورته الكاملة القابلة للتعبئة في الملحق (2).</w:t>
      </w:r>
    </w:p>
    <w:p>
      <w:pPr>
        <w:bidi/>
        <w:spacing w:after="80" w:before="200" w:line="300"/>
        <w:jc w:val="left"/>
      </w:pPr>
      <w:r>
        <w:rPr>
          <w:rFonts w:ascii="Simplified Arabic" w:cs="Simplified Arabic" w:hAnsi="Simplified Arabic"/>
          <w:b/>
          <w:bCs/>
          <w:i w:val="false"/>
          <w:iCs w:val="false"/>
          <w:color w:val="000000"/>
          <w:sz w:val="24"/>
          <w:szCs w:val="24"/>
          <w:rtl/>
        </w:rPr>
        <w:t xml:space="preserve">جدول (3-4): عناصر نموذج استخلاص البيانات</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2500"/>
        <w:gridCol w:w="6000"/>
      </w:tblGrid>
      <w:tr>
        <w:trPr>
          <w:tblHeader/>
        </w:trPr>
        <w:tc>
          <w:tcPr>
            <w:tcW w:type="dxa" w:w="25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العنصر</w:t>
            </w:r>
          </w:p>
        </w:tc>
        <w:tc>
          <w:tcPr>
            <w:tcW w:type="dxa" w:w="60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البيانات المستخلصة</w:t>
            </w:r>
          </w:p>
        </w:tc>
      </w:tr>
      <w:tr>
        <w:trPr>
          <w:cantSplit/>
        </w:trPr>
        <w:tc>
          <w:tcPr>
            <w:tcW w:type="dxa" w:w="25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البيانات الببليوغرافية</w:t>
            </w:r>
          </w:p>
        </w:tc>
        <w:tc>
          <w:tcPr>
            <w:tcW w:type="dxa" w:w="60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المؤلفون، سنة النشر، عنوان الدراسة، الوعاء، بلد الدراسة</w:t>
            </w:r>
          </w:p>
        </w:tc>
      </w:tr>
      <w:tr>
        <w:trPr>
          <w:cantSplit/>
        </w:trPr>
        <w:tc>
          <w:tcPr>
            <w:tcW w:type="dxa" w:w="25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السياق</w:t>
            </w:r>
          </w:p>
        </w:tc>
        <w:tc>
          <w:tcPr>
            <w:tcW w:type="dxa" w:w="60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السياق الجغرافي، نوع المؤسسة، التخصص، جهة الاعتماد المعنية</w:t>
            </w:r>
          </w:p>
        </w:tc>
      </w:tr>
      <w:tr>
        <w:trPr>
          <w:cantSplit/>
        </w:trPr>
        <w:tc>
          <w:tcPr>
            <w:tcW w:type="dxa" w:w="25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التصميم</w:t>
            </w:r>
          </w:p>
        </w:tc>
        <w:tc>
          <w:tcPr>
            <w:tcW w:type="dxa" w:w="60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نوع التصميم، والمنهج، وأسلوب المعاينة، وحجم العينة</w:t>
            </w:r>
          </w:p>
        </w:tc>
      </w:tr>
      <w:tr>
        <w:trPr>
          <w:cantSplit/>
        </w:trPr>
        <w:tc>
          <w:tcPr>
            <w:tcW w:type="dxa" w:w="25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المتغير المؤثر</w:t>
            </w:r>
          </w:p>
        </w:tc>
        <w:tc>
          <w:tcPr>
            <w:tcW w:type="dxa" w:w="60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نوع الاعتماد (مؤسسي/برامجي)، والأبعاد المتناولة من المعايير</w:t>
            </w:r>
          </w:p>
        </w:tc>
      </w:tr>
      <w:tr>
        <w:trPr>
          <w:cantSplit/>
        </w:trPr>
        <w:tc>
          <w:tcPr>
            <w:tcW w:type="dxa" w:w="25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المتغير المخرجي</w:t>
            </w:r>
          </w:p>
        </w:tc>
        <w:tc>
          <w:tcPr>
            <w:tcW w:type="dxa" w:w="60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مؤشر المخرجات المستخدم، وطبيعته (إدراكي/موضوعي)، وأداة قياسه</w:t>
            </w:r>
          </w:p>
        </w:tc>
      </w:tr>
      <w:tr>
        <w:trPr>
          <w:cantSplit/>
        </w:trPr>
        <w:tc>
          <w:tcPr>
            <w:tcW w:type="dxa" w:w="25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النتائج</w:t>
            </w:r>
          </w:p>
        </w:tc>
        <w:tc>
          <w:tcPr>
            <w:tcW w:type="dxa" w:w="60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اتجاه الأثر، وقيمه الإحصائية إن وُجدت، والنتائج النوعية الرئيسة</w:t>
            </w:r>
          </w:p>
        </w:tc>
      </w:tr>
      <w:tr>
        <w:trPr>
          <w:cantSplit/>
        </w:trPr>
        <w:tc>
          <w:tcPr>
            <w:tcW w:type="dxa" w:w="25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الوسائط والمعوقات</w:t>
            </w:r>
          </w:p>
        </w:tc>
        <w:tc>
          <w:tcPr>
            <w:tcW w:type="dxa" w:w="60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العوامل الوسيطة والمعوقات التي أوردتها الدراسة</w:t>
            </w:r>
          </w:p>
        </w:tc>
      </w:tr>
      <w:tr>
        <w:trPr>
          <w:cantSplit/>
        </w:trPr>
        <w:tc>
          <w:tcPr>
            <w:tcW w:type="dxa" w:w="25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تقييم الجودة</w:t>
            </w:r>
          </w:p>
        </w:tc>
        <w:tc>
          <w:tcPr>
            <w:tcW w:type="dxa" w:w="60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تقدير كل معيار من معايير MMAT 2018 الواردة في الجدول (3-3)</w:t>
            </w:r>
          </w:p>
        </w:tc>
      </w:tr>
    </w:tbl>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أسلوب التركيب وإطار الترميز</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لمّا كان التباين المتوقع بين الدراسات كبيراً — في التصاميم وأدوات القياس وتعريفات المخرجات والسياقات — فقد استُبعد سلفاً إجراء تحليل بعدي (Meta-Analysis) لتعذّر تجميع أحجام الأثر تجميعاً ذا معنى، واعتُمد بدلاً منه التركيب الموضوعي (Thematic Synthesis) وفق منهج توماس وهاردن (Thomas &amp; Harden, 2008) بمراحله الثلاث: الترميز السطري لنتائج الدراسات، ثم بناء المحاور الوصفية، ثم اشتقاق المحاور التحليلية التي تتجاوز مضمون الدراسات المفردة إلى إجابة سؤال المراجعة. ويُسترشد في العرض السردي بإرشادات التركيب السردي (Popay et al., 2006).</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وقد بُني إطار ترميز مبدئي مشتق من الإطار النظري ومن المسح الاستكشافي التمهيدي، يعرضه الجدول (3-5) ويوضّحه الشكل (3-1). وهذا الإطار مبدئي بطبيعته وقابل للتعديل والتوسيع في ضوء ما تكشفه القراءة الفعلية للدراسات، على أن يُوثَّق كل تعديل عليه بوصفه تعديلاً على البروتوكول.</w:t>
      </w:r>
    </w:p>
    <w:p>
      <w:pPr>
        <w:bidi/>
        <w:spacing w:after="80" w:before="200" w:line="300"/>
        <w:jc w:val="left"/>
      </w:pPr>
      <w:r>
        <w:rPr>
          <w:rFonts w:ascii="Simplified Arabic" w:cs="Simplified Arabic" w:hAnsi="Simplified Arabic"/>
          <w:b/>
          <w:bCs/>
          <w:i w:val="false"/>
          <w:iCs w:val="false"/>
          <w:color w:val="000000"/>
          <w:sz w:val="24"/>
          <w:szCs w:val="24"/>
          <w:rtl/>
        </w:rPr>
        <w:t xml:space="preserve">جدول (3-5): إطار الترميز الموضوعي المبدئي وتعريفاته الإجرائية</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600"/>
        <w:gridCol w:w="1900"/>
        <w:gridCol w:w="2900"/>
        <w:gridCol w:w="3100"/>
      </w:tblGrid>
      <w:tr>
        <w:trPr>
          <w:tblHeader/>
        </w:trPr>
        <w:tc>
          <w:tcPr>
            <w:tcW w:type="dxa" w:w="6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w:t>
            </w:r>
          </w:p>
        </w:tc>
        <w:tc>
          <w:tcPr>
            <w:tcW w:type="dxa" w:w="19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المحور</w:t>
            </w:r>
          </w:p>
        </w:tc>
        <w:tc>
          <w:tcPr>
            <w:tcW w:type="dxa" w:w="29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التعريف الإجرائي</w:t>
            </w:r>
          </w:p>
        </w:tc>
        <w:tc>
          <w:tcPr>
            <w:tcW w:type="dxa" w:w="31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مؤشرات الترميز في نص الدراسة</w:t>
            </w:r>
          </w:p>
        </w:tc>
      </w:tr>
      <w:tr>
        <w:trPr>
          <w:cantSplit/>
        </w:trPr>
        <w:tc>
          <w:tcPr>
            <w:tcW w:type="dxa" w:w="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w:t>
            </w:r>
          </w:p>
        </w:tc>
        <w:tc>
          <w:tcPr>
            <w:tcW w:type="dxa" w:w="1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طبيعة الأثر واتجاهه</w:t>
            </w:r>
          </w:p>
        </w:tc>
        <w:tc>
          <w:tcPr>
            <w:tcW w:type="dxa" w:w="2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كل عبارة تُبلّغ عن وجود أثر للاعتماد أو غيابه أو سلبيته، أو عن قوة هذا الأثر واتساقه</w:t>
            </w:r>
          </w:p>
        </w:tc>
        <w:tc>
          <w:tcPr>
            <w:tcW w:type="dxa" w:w="31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دلالات إحصائية، مقارنات قبلية/بعدية، عبارات تقدير المستجيبين لحدوث تحسّن أو عدمه</w:t>
            </w:r>
          </w:p>
        </w:tc>
      </w:tr>
      <w:tr>
        <w:trPr>
          <w:cantSplit/>
        </w:trPr>
        <w:tc>
          <w:tcPr>
            <w:tcW w:type="dxa" w:w="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w:t>
            </w:r>
          </w:p>
        </w:tc>
        <w:tc>
          <w:tcPr>
            <w:tcW w:type="dxa" w:w="1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أبعاد الأثر ومواضع تركّزه</w:t>
            </w:r>
          </w:p>
        </w:tc>
        <w:tc>
          <w:tcPr>
            <w:tcW w:type="dxa" w:w="2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نسبة الأثر إلى بُعد محدد من أبعاد معايير الاعتماد الستة</w:t>
            </w:r>
          </w:p>
        </w:tc>
        <w:tc>
          <w:tcPr>
            <w:tcW w:type="dxa" w:w="31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ذِكر القيادة والحوكمة، أو تصميم البرامج ونواتج التعلم، أو هيئة التدريس، أو الموارد، أو البحث، أو خدمات الطلبة</w:t>
            </w:r>
          </w:p>
        </w:tc>
      </w:tr>
      <w:tr>
        <w:trPr>
          <w:cantSplit/>
        </w:trPr>
        <w:tc>
          <w:tcPr>
            <w:tcW w:type="dxa" w:w="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3</w:t>
            </w:r>
          </w:p>
        </w:tc>
        <w:tc>
          <w:tcPr>
            <w:tcW w:type="dxa" w:w="1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العوامل الوسيطة المفسِّرة للتباين</w:t>
            </w:r>
          </w:p>
        </w:tc>
        <w:tc>
          <w:tcPr>
            <w:tcW w:type="dxa" w:w="2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كل عامل تنظيمي أو ثقافي تعزو إليه الدراسة اختلاف قوة الأثر</w:t>
            </w:r>
          </w:p>
        </w:tc>
        <w:tc>
          <w:tcPr>
            <w:tcW w:type="dxa" w:w="31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انخراط أعضاء هيئة التدريس، نضج نظم الجودة الداخلية، دعم القيادة، نوع مؤشر القياس، الموارد المتاحة</w:t>
            </w:r>
          </w:p>
        </w:tc>
      </w:tr>
      <w:tr>
        <w:trPr>
          <w:cantSplit/>
        </w:trPr>
        <w:tc>
          <w:tcPr>
            <w:tcW w:type="dxa" w:w="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w:t>
            </w:r>
          </w:p>
        </w:tc>
        <w:tc>
          <w:tcPr>
            <w:tcW w:type="dxa" w:w="1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الآثار العكسية غير المقصودة</w:t>
            </w:r>
          </w:p>
        </w:tc>
        <w:tc>
          <w:tcPr>
            <w:tcW w:type="dxa" w:w="2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كل نتيجة سلبية أو غير مقصودة تنسبها الدراسة إلى عملية الاعتماد</w:t>
            </w:r>
          </w:p>
        </w:tc>
        <w:tc>
          <w:tcPr>
            <w:tcW w:type="dxa" w:w="31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الامتثال الوثائقي، العبء الإداري، مقاومة التغيير، التنميط وكبح الابتكار، استنزاف الوقت التدريسي</w:t>
            </w:r>
          </w:p>
        </w:tc>
      </w:tr>
      <w:tr>
        <w:trPr>
          <w:cantSplit/>
        </w:trPr>
        <w:tc>
          <w:tcPr>
            <w:tcW w:type="dxa" w:w="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w:t>
            </w:r>
          </w:p>
        </w:tc>
        <w:tc>
          <w:tcPr>
            <w:tcW w:type="dxa" w:w="1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إشكالات قياس المخرجات</w:t>
            </w:r>
          </w:p>
        </w:tc>
        <w:tc>
          <w:tcPr>
            <w:tcW w:type="dxa" w:w="2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كل ملاحظة منهجية تتعلق بطريقة قياس المخرج التعليمي في الدراسة</w:t>
            </w:r>
          </w:p>
        </w:tc>
        <w:tc>
          <w:tcPr>
            <w:tcW w:type="dxa" w:w="31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الاعتماد على مؤشرات إدراكية، غياب التصميم الطولي، جمع المتغيرين من مصدر واحد، غياب مجموعة مقارنة</w:t>
            </w:r>
          </w:p>
        </w:tc>
      </w:tr>
      <w:tr>
        <w:trPr>
          <w:cantSplit/>
        </w:trPr>
        <w:tc>
          <w:tcPr>
            <w:tcW w:type="dxa" w:w="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6</w:t>
            </w:r>
          </w:p>
        </w:tc>
        <w:tc>
          <w:tcPr>
            <w:tcW w:type="dxa" w:w="1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bCs/>
                <w:i w:val="false"/>
                <w:iCs w:val="false"/>
                <w:color w:val="000000"/>
                <w:sz w:val="22"/>
                <w:szCs w:val="22"/>
                <w:rtl/>
              </w:rPr>
              <w:t xml:space="preserve">حالة الأدلة في السياق العربي</w:t>
            </w:r>
          </w:p>
        </w:tc>
        <w:tc>
          <w:tcPr>
            <w:tcW w:type="dxa" w:w="29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كل ما يتصل بكم الأدلة العربية وجودتها وفجواتها</w:t>
            </w:r>
          </w:p>
        </w:tc>
        <w:tc>
          <w:tcPr>
            <w:tcW w:type="dxa" w:w="31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إجراء الدراسة في دولة عربية، أو إشارتها صراحةً إلى ندرة الأدلة أو ضعفها في هذا السياق</w:t>
            </w:r>
          </w:p>
        </w:tc>
      </w:tr>
    </w:tbl>
    <w:p>
      <w:pPr>
        <w:bidi/>
        <w:spacing w:after="0"/>
      </w:pPr>
      <w:r>
        <w:rPr>
          <w:rFonts w:ascii="Simplified Arabic" w:cs="Simplified Arabic" w:hAnsi="Simplified Arabic"/>
          <w:b w:val="false"/>
          <w:bCs w:val="false"/>
          <w:i w:val="false"/>
          <w:iCs w:val="false"/>
          <w:color w:val="000000"/>
          <w:sz w:val="28"/>
          <w:szCs w:val="28"/>
          <w:rtl/>
        </w:rPr>
        <w:t xml:space="preserve"/>
      </w:r>
    </w:p>
    <w:tbl>
      <w:tblPr>
        <w:bidiVisual/>
        <w:tblW w:type="dxa" w:w="7500"/>
        <w:jc w:val="center"/>
        <w:tblBorders>
          <w:top w:val="single" w:color="auto" w:sz="4"/>
          <w:left w:val="single" w:color="auto" w:sz="4"/>
          <w:bottom w:val="single" w:color="auto" w:sz="4"/>
          <w:right w:val="single" w:color="auto" w:sz="4"/>
          <w:insideH w:val="single" w:color="auto" w:sz="4"/>
          <w:insideV w:val="single" w:color="auto" w:sz="4"/>
        </w:tblBorders>
      </w:tblPr>
      <w:tblGrid>
        <w:gridCol w:w="2500"/>
        <w:gridCol w:w="2500"/>
        <w:gridCol w:w="2500"/>
      </w:tblGrid>
      <w:tr>
        <w:trPr>
          <w:cantSplit/>
        </w:trPr>
        <w:tc>
          <w:tcPr>
            <w:tcW w:type="dxa" w:w="2500"/>
            <w:shd w:fill="EDEDED" w:color="auto" w:val="clear"/>
            <w:tcMar>
              <w:top w:type="dxa" w:w="80"/>
              <w:left w:type="dxa" w:w="60"/>
              <w:bottom w:type="dxa" w:w="80"/>
              <w:right w:type="dxa" w:w="60"/>
            </w:tcMar>
            <w:vAlign w:val="top"/>
          </w:tcPr>
          <w:p>
            <w:pPr>
              <w:bidi/>
              <w:spacing w:after="40" w:line="240"/>
              <w:jc w:val="center"/>
            </w:pPr>
            <w:r>
              <w:rPr>
                <w:rFonts w:ascii="Simplified Arabic" w:cs="Simplified Arabic" w:hAnsi="Simplified Arabic"/>
                <w:b/>
                <w:bCs/>
                <w:i w:val="false"/>
                <w:iCs w:val="false"/>
                <w:color w:val="000000"/>
                <w:sz w:val="24"/>
                <w:szCs w:val="24"/>
                <w:rtl/>
              </w:rPr>
              <w:t xml:space="preserve">المحور الأول: طبيعة الأثر</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اتجاه الأثر المُبلَّغ عنه</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قوته واتساقه</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الأثر السمعي والتنافسي</w:t>
            </w:r>
          </w:p>
        </w:tc>
        <w:tc>
          <w:tcPr>
            <w:tcW w:type="dxa" w:w="2500"/>
            <w:shd w:fill="F7F7F7" w:color="auto" w:val="clear"/>
            <w:tcMar>
              <w:top w:type="dxa" w:w="80"/>
              <w:left w:type="dxa" w:w="60"/>
              <w:bottom w:type="dxa" w:w="80"/>
              <w:right w:type="dxa" w:w="60"/>
            </w:tcMar>
            <w:vAlign w:val="top"/>
          </w:tcPr>
          <w:p>
            <w:pPr>
              <w:bidi/>
              <w:spacing w:after="40" w:line="240"/>
              <w:jc w:val="center"/>
            </w:pPr>
            <w:r>
              <w:rPr>
                <w:rFonts w:ascii="Simplified Arabic" w:cs="Simplified Arabic" w:hAnsi="Simplified Arabic"/>
                <w:b/>
                <w:bCs/>
                <w:i w:val="false"/>
                <w:iCs w:val="false"/>
                <w:color w:val="000000"/>
                <w:sz w:val="24"/>
                <w:szCs w:val="24"/>
                <w:rtl/>
              </w:rPr>
              <w:t xml:space="preserve">المحور الثاني: أبعاد الأثر</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القيادة والحوكمة</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تصميم البرامج ونواتج التعلم</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هيئة التدريس والموارد</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البحث وخدمات الطلبة</w:t>
            </w:r>
          </w:p>
        </w:tc>
        <w:tc>
          <w:tcPr>
            <w:tcW w:type="dxa" w:w="2500"/>
            <w:shd w:fill="EDEDED" w:color="auto" w:val="clear"/>
            <w:tcMar>
              <w:top w:type="dxa" w:w="80"/>
              <w:left w:type="dxa" w:w="60"/>
              <w:bottom w:type="dxa" w:w="80"/>
              <w:right w:type="dxa" w:w="60"/>
            </w:tcMar>
            <w:vAlign w:val="top"/>
          </w:tcPr>
          <w:p>
            <w:pPr>
              <w:bidi/>
              <w:spacing w:after="40" w:line="240"/>
              <w:jc w:val="center"/>
            </w:pPr>
            <w:r>
              <w:rPr>
                <w:rFonts w:ascii="Simplified Arabic" w:cs="Simplified Arabic" w:hAnsi="Simplified Arabic"/>
                <w:b/>
                <w:bCs/>
                <w:i w:val="false"/>
                <w:iCs w:val="false"/>
                <w:color w:val="000000"/>
                <w:sz w:val="24"/>
                <w:szCs w:val="24"/>
                <w:rtl/>
              </w:rPr>
              <w:t xml:space="preserve">المحور الثالث: الوسائط</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انخراط أعضاء هيئة التدريس</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نضج نظم الجودة الداخلية</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دعم القيادة والموارد</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نوع مؤشر القياس</w:t>
            </w:r>
          </w:p>
        </w:tc>
      </w:tr>
      <w:tr>
        <w:trPr>
          <w:cantSplit/>
        </w:trPr>
        <w:tc>
          <w:tcPr>
            <w:tcW w:type="dxa" w:w="2500"/>
            <w:shd w:fill="F7F7F7" w:color="auto" w:val="clear"/>
            <w:tcMar>
              <w:top w:type="dxa" w:w="80"/>
              <w:left w:type="dxa" w:w="60"/>
              <w:bottom w:type="dxa" w:w="80"/>
              <w:right w:type="dxa" w:w="60"/>
            </w:tcMar>
            <w:vAlign w:val="top"/>
          </w:tcPr>
          <w:p>
            <w:pPr>
              <w:bidi/>
              <w:spacing w:after="40" w:line="240"/>
              <w:jc w:val="center"/>
            </w:pPr>
            <w:r>
              <w:rPr>
                <w:rFonts w:ascii="Simplified Arabic" w:cs="Simplified Arabic" w:hAnsi="Simplified Arabic"/>
                <w:b/>
                <w:bCs/>
                <w:i w:val="false"/>
                <w:iCs w:val="false"/>
                <w:color w:val="000000"/>
                <w:sz w:val="24"/>
                <w:szCs w:val="24"/>
                <w:rtl/>
              </w:rPr>
              <w:t xml:space="preserve">المحور الرابع: الآثار العكسية</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الامتثال الوثائقي</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العبء الإداري</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مقاومة التغيير</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التنميط وكبح الابتكار</w:t>
            </w:r>
          </w:p>
        </w:tc>
        <w:tc>
          <w:tcPr>
            <w:tcW w:type="dxa" w:w="2500"/>
            <w:shd w:fill="EDEDED" w:color="auto" w:val="clear"/>
            <w:tcMar>
              <w:top w:type="dxa" w:w="80"/>
              <w:left w:type="dxa" w:w="60"/>
              <w:bottom w:type="dxa" w:w="80"/>
              <w:right w:type="dxa" w:w="60"/>
            </w:tcMar>
            <w:vAlign w:val="top"/>
          </w:tcPr>
          <w:p>
            <w:pPr>
              <w:bidi/>
              <w:spacing w:after="40" w:line="240"/>
              <w:jc w:val="center"/>
            </w:pPr>
            <w:r>
              <w:rPr>
                <w:rFonts w:ascii="Simplified Arabic" w:cs="Simplified Arabic" w:hAnsi="Simplified Arabic"/>
                <w:b/>
                <w:bCs/>
                <w:i w:val="false"/>
                <w:iCs w:val="false"/>
                <w:color w:val="000000"/>
                <w:sz w:val="24"/>
                <w:szCs w:val="24"/>
                <w:rtl/>
              </w:rPr>
              <w:t xml:space="preserve">المحور الخامس: القياس</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مؤشرات إدراكية مقابل موضوعية</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غياب التصاميم الطولية</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تحيّز المصدر الواحد</w:t>
            </w:r>
          </w:p>
        </w:tc>
        <w:tc>
          <w:tcPr>
            <w:tcW w:type="dxa" w:w="2500"/>
            <w:shd w:fill="F7F7F7" w:color="auto" w:val="clear"/>
            <w:tcMar>
              <w:top w:type="dxa" w:w="80"/>
              <w:left w:type="dxa" w:w="60"/>
              <w:bottom w:type="dxa" w:w="80"/>
              <w:right w:type="dxa" w:w="60"/>
            </w:tcMar>
            <w:vAlign w:val="top"/>
          </w:tcPr>
          <w:p>
            <w:pPr>
              <w:bidi/>
              <w:spacing w:after="40" w:line="240"/>
              <w:jc w:val="center"/>
            </w:pPr>
            <w:r>
              <w:rPr>
                <w:rFonts w:ascii="Simplified Arabic" w:cs="Simplified Arabic" w:hAnsi="Simplified Arabic"/>
                <w:b/>
                <w:bCs/>
                <w:i w:val="false"/>
                <w:iCs w:val="false"/>
                <w:color w:val="000000"/>
                <w:sz w:val="24"/>
                <w:szCs w:val="24"/>
                <w:rtl/>
              </w:rPr>
              <w:t xml:space="preserve">المحور السادس: السياق العربي</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كم الأدلة وجودتها</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غلبة الطابع الوصفي</w:t>
            </w:r>
          </w:p>
          <w:p>
            <w:pPr>
              <w:bidi/>
              <w:spacing w:after="0" w:line="230"/>
              <w:jc w:val="left"/>
            </w:pPr>
            <w:r>
              <w:rPr>
                <w:rFonts w:ascii="Simplified Arabic" w:cs="Simplified Arabic" w:hAnsi="Simplified Arabic"/>
                <w:b w:val="false"/>
                <w:bCs w:val="false"/>
                <w:i w:val="false"/>
                <w:iCs w:val="false"/>
                <w:color w:val="000000"/>
                <w:sz w:val="24"/>
                <w:szCs w:val="24"/>
                <w:rtl/>
              </w:rPr>
              <w:t xml:space="preserve">• الفجوات والأولويات</w:t>
            </w:r>
          </w:p>
        </w:tc>
      </w:tr>
    </w:tbl>
    <w:p>
      <w:pPr>
        <w:bidi/>
        <w:spacing w:after="200" w:before="80" w:line="300"/>
        <w:jc w:val="center"/>
      </w:pPr>
      <w:r>
        <w:rPr>
          <w:rFonts w:ascii="Simplified Arabic" w:cs="Simplified Arabic" w:hAnsi="Simplified Arabic"/>
          <w:b/>
          <w:bCs/>
          <w:i w:val="false"/>
          <w:iCs w:val="false"/>
          <w:color w:val="000000"/>
          <w:sz w:val="24"/>
          <w:szCs w:val="24"/>
          <w:rtl/>
        </w:rPr>
        <w:t xml:space="preserve">الشكل (3-1): الخريطة المفاهيمية لإطار الترميز الموضوعي المبدئي</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الجدول الزمني لتنفيذ المراجعة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يعرض الجدول (3-6) المراحل التنفيذية للمراجعة ومخرج كل مرحلة، وقد قُدِّرت المدد على أساس إنجاز باحث واحد مع مراجع مساند لعينة الفرز.</w:t>
      </w:r>
    </w:p>
    <w:p>
      <w:pPr>
        <w:bidi/>
        <w:spacing w:after="80" w:before="200" w:line="300"/>
        <w:jc w:val="left"/>
      </w:pPr>
      <w:r>
        <w:rPr>
          <w:rFonts w:ascii="Simplified Arabic" w:cs="Simplified Arabic" w:hAnsi="Simplified Arabic"/>
          <w:b/>
          <w:bCs/>
          <w:i w:val="false"/>
          <w:iCs w:val="false"/>
          <w:color w:val="000000"/>
          <w:sz w:val="24"/>
          <w:szCs w:val="24"/>
          <w:rtl/>
        </w:rPr>
        <w:t xml:space="preserve">جدول (3-6): الجدول الزمني لتنفيذ المراجعة ومخرجات مراحلها</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1100"/>
        <w:gridCol w:w="3700"/>
        <w:gridCol w:w="3700"/>
      </w:tblGrid>
      <w:tr>
        <w:trPr>
          <w:tblHeader/>
        </w:trPr>
        <w:tc>
          <w:tcPr>
            <w:tcW w:type="dxa" w:w="11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المدة</w:t>
            </w:r>
          </w:p>
        </w:tc>
        <w:tc>
          <w:tcPr>
            <w:tcW w:type="dxa" w:w="37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المرحلة</w:t>
            </w:r>
          </w:p>
        </w:tc>
        <w:tc>
          <w:tcPr>
            <w:tcW w:type="dxa" w:w="37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المخرج المتحقق</w:t>
            </w:r>
          </w:p>
        </w:tc>
      </w:tr>
      <w:tr>
        <w:trPr>
          <w:cantSplit/>
        </w:trPr>
        <w:tc>
          <w:tcPr>
            <w:tcW w:type="dxa" w:w="11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الأسبوع 1</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اعتماد البروتوكول من المشرف وتسجيله، وضبط سلاسل البحث النهائية</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بروتوكول معتمد ورقم تسجيل موثّق</w:t>
            </w:r>
          </w:p>
        </w:tc>
      </w:tr>
      <w:tr>
        <w:trPr>
          <w:cantSplit/>
        </w:trPr>
        <w:tc>
          <w:tcPr>
            <w:tcW w:type="dxa" w:w="11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الأسبوع 2</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تنفيذ البحث في قواعد البيانات وتصدير السجلات وحذف المكرر</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أعداد السجلات في الجزء العلوي من مخطط التدفق</w:t>
            </w:r>
          </w:p>
        </w:tc>
      </w:tr>
      <w:tr>
        <w:trPr>
          <w:cantSplit/>
        </w:trPr>
        <w:tc>
          <w:tcPr>
            <w:tcW w:type="dxa" w:w="11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الأسبوع 3</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الفرز الأولي بالعنوان والمستخلص، ومراجعة عينة (20%) وحساب كابا</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قائمة السجلات المؤهلة لقراءة النص الكامل ومعامل الاتفاق</w:t>
            </w:r>
          </w:p>
        </w:tc>
      </w:tr>
      <w:tr>
        <w:trPr>
          <w:cantSplit/>
        </w:trPr>
        <w:tc>
          <w:tcPr>
            <w:tcW w:type="dxa" w:w="11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الأسبوعان 4–5</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استرجاع النصوص الكاملة والفرز النهائي وتوثيق أسباب الاستبعاد</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مخطط تدفق PRISMA مكتملاً، وقائمة الدراسات المشمولة</w:t>
            </w:r>
          </w:p>
        </w:tc>
      </w:tr>
      <w:tr>
        <w:trPr>
          <w:cantSplit/>
        </w:trPr>
        <w:tc>
          <w:tcPr>
            <w:tcW w:type="dxa" w:w="11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الأسبوع 6</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استخلاص البيانات وتعبئة نموذج الاستخلاص لكل دراسة</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جدول خصائص الدراسات المشمولة</w:t>
            </w:r>
          </w:p>
        </w:tc>
      </w:tr>
      <w:tr>
        <w:trPr>
          <w:cantSplit/>
        </w:trPr>
        <w:tc>
          <w:tcPr>
            <w:tcW w:type="dxa" w:w="11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الأسبوع 7</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تقييم الجودة المنهجية بأداة MMAT وتحليل الحساسية</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جدول تقييم الجودة ونتائج تحليل الحساسية</w:t>
            </w:r>
          </w:p>
        </w:tc>
      </w:tr>
      <w:tr>
        <w:trPr>
          <w:cantSplit/>
        </w:trPr>
        <w:tc>
          <w:tcPr>
            <w:tcW w:type="dxa" w:w="11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الأسبوع 8</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الترميز والتركيب الموضوعي وكتابة النتائج</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المحاور التحليلية وجدول تكراراتها</w:t>
            </w:r>
          </w:p>
        </w:tc>
      </w:tr>
      <w:tr>
        <w:trPr>
          <w:cantSplit/>
        </w:trPr>
        <w:tc>
          <w:tcPr>
            <w:tcW w:type="dxa" w:w="1100"/>
            <w:gridSpan w:val="1"/>
            <w:shd w:fill="F7F7F7"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الأسبوع 9</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المناقشة والمراجعة اللغوية والتحقق من قائمة PRISMA 2020</w:t>
            </w:r>
          </w:p>
        </w:tc>
        <w:tc>
          <w:tcPr>
            <w:tcW w:type="dxa" w:w="37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التقرير النهائي جاهزاً للتسليم</w:t>
            </w:r>
          </w:p>
        </w:tc>
      </w:tr>
    </w:tbl>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أخلاقيات البحث ومحددات المراجعة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لا تتطلب المراجعات المنهجية موافقة أخلاقية لجمع البيانات، لأنها لا تتعامل مع مشاركين بشريين ولا تجمع بيانات أولية، بل تحلّل أعمالاً منشورة. غير أن الالتزام الأخلاقي فيها ينصرف إلى الأمانة في التوثيق، وعرض النتائج المخالفة للافتراضات الموجِّهة كما هي، والإفصاح عن كل قرار منهجي بما يتيح إعادة إنتاج المراجعة، وعدم انتقاء الدراسات الداعمة لنتيجة مسبقة. ويُصرَّح بأن هذه المراجعة لم تتلقَّ تمويلاً من أي جهة، وأنه لا يوجد تضارب مصالح.</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وتُقرأ نتائج المراجعة عند تنفيذها في ضوء المحددات الآتية، وهي محددات معلومة سلفاً ومُصرَّح بها في البروتوكول:</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تحيّز الباحث الواحد: </w:t>
      </w:r>
      <w:r>
        <w:rPr>
          <w:rFonts w:ascii="Simplified Arabic" w:cs="Simplified Arabic" w:hAnsi="Simplified Arabic"/>
          <w:b w:val="false"/>
          <w:bCs w:val="false"/>
          <w:i w:val="false"/>
          <w:iCs w:val="false"/>
          <w:color w:val="000000"/>
          <w:sz w:val="28"/>
          <w:szCs w:val="28"/>
          <w:rtl/>
        </w:rPr>
        <w:t xml:space="preserve">تُنجَز المراجعة بباحث رئيس واحد، وقد ضُبط ذلك بمراجعة مستقلة لعينة (20%) وحساب معامل كابا، لكن هذا لا يعادل الفرز المزدوج الكامل المعتمد في المراجعات المؤسسية.</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تحيّز اللغة: </w:t>
      </w:r>
      <w:r>
        <w:rPr>
          <w:rFonts w:ascii="Simplified Arabic" w:cs="Simplified Arabic" w:hAnsi="Simplified Arabic"/>
          <w:b w:val="false"/>
          <w:bCs w:val="false"/>
          <w:i w:val="false"/>
          <w:iCs w:val="false"/>
          <w:color w:val="000000"/>
          <w:sz w:val="28"/>
          <w:szCs w:val="28"/>
          <w:rtl/>
        </w:rPr>
        <w:t xml:space="preserve">تقتصر المراجعة على العربية والإنجليزية، فقد تكون دراسات منشورة بلغات أخرى — لا سيما الفرنسية والإسبانية — خارج نطاقها.</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تحيّز النشر: </w:t>
      </w:r>
      <w:r>
        <w:rPr>
          <w:rFonts w:ascii="Simplified Arabic" w:cs="Simplified Arabic" w:hAnsi="Simplified Arabic"/>
          <w:b w:val="false"/>
          <w:bCs w:val="false"/>
          <w:i w:val="false"/>
          <w:iCs w:val="false"/>
          <w:color w:val="000000"/>
          <w:sz w:val="28"/>
          <w:szCs w:val="28"/>
          <w:rtl/>
        </w:rPr>
        <w:t xml:space="preserve">يُرجَّح أن الدراسات ذات النتائج الدالة أوفر حظاً في النشر من الدراسات ذات النتائج غير الدالة، بما قد يضخّم اتجاه الأثر المُركَّب.</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محدودية الوصول: </w:t>
      </w:r>
      <w:r>
        <w:rPr>
          <w:rFonts w:ascii="Simplified Arabic" w:cs="Simplified Arabic" w:hAnsi="Simplified Arabic"/>
          <w:b w:val="false"/>
          <w:bCs w:val="false"/>
          <w:i w:val="false"/>
          <w:iCs w:val="false"/>
          <w:color w:val="000000"/>
          <w:sz w:val="28"/>
          <w:szCs w:val="28"/>
          <w:rtl/>
        </w:rPr>
        <w:t xml:space="preserve">قد يتعذّر استرجاع النص الكامل لبعض التقارير المؤهلة بسبب قيود الاشتراك، ويُوثَّق ذلك في مخطط التدفق.</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تباين تعريف المخرجات: </w:t>
      </w:r>
      <w:r>
        <w:rPr>
          <w:rFonts w:ascii="Simplified Arabic" w:cs="Simplified Arabic" w:hAnsi="Simplified Arabic"/>
          <w:b w:val="false"/>
          <w:bCs w:val="false"/>
          <w:i w:val="false"/>
          <w:iCs w:val="false"/>
          <w:color w:val="000000"/>
          <w:sz w:val="28"/>
          <w:szCs w:val="28"/>
          <w:rtl/>
        </w:rPr>
        <w:t xml:space="preserve">تختلف الدراسات في تعريف جودة المخرجات وقياسها، ويُعالَج ذلك بالتمييز بين المؤشرات الإدراكية والموضوعية في التحليل، لكنه يظل مصدر تباين متبقٍّ.</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الفصل الرابع</w:t>
      </w:r>
    </w:p>
    <w:p>
      <w:pPr>
        <w:bidi/>
        <w:spacing w:after="300" w:line="336"/>
        <w:jc w:val="center"/>
      </w:pPr>
      <w:r>
        <w:rPr>
          <w:rFonts w:ascii="Simplified Arabic" w:cs="Simplified Arabic" w:hAnsi="Simplified Arabic"/>
          <w:b/>
          <w:bCs/>
          <w:i w:val="false"/>
          <w:iCs w:val="false"/>
          <w:color w:val="000000"/>
          <w:sz w:val="36"/>
          <w:szCs w:val="36"/>
          <w:rtl/>
        </w:rPr>
        <w:t xml:space="preserve">النتائج ومناقشتها</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مقدمة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يعرض هذا الفصل نتائج المراجعة مرتبةً وفق أسئلتها: بدءاً بنتائج البحث والفرز ممثَّلةً في مخطط تدفق PRISMA 2020، ثم خصائص الدراسات المشمولة، ثم نتائج تقييم جودتها المنهجية، ثم التركيب الموضوعي لنتائجها ومناقشته، وينتهي بالإجابات عن أسئلة المراجعة.</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نتائج البحث والفرز</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نُفّذ البحث في قاعدة ERIC بتاريخ 4 أغسطس 2026 باستخدام السلسلة المعلنة في الملحق (1)، فأسفر عن (708) سجلات. وبتطبيق فلاتر الأهلية المعلنة — البحوث المحكّمة، ومقالات المجلات، والمدى الزمني — انخفض العدد إلى (97) سجلاً. وأُضيفت إليها (17) سجلاً من المسح الاستكشافي التمهيدي، فبلغ مجموع ما خضع للفرز بالعنوان والمستخلص (114) سجلاً. واستُبعد منها (93) سجلاً بأسباب موثّقة، وطُلب استرجاع النص الكامل لـ(21) تقريراً، أمكن استرجاع (3) منها ضمن المدة المتاحة، وتعذّر استرجاع (18) لقيود الاشتراك. وانتهت المراجعة إلى تضمين (15) دراسة. ويوضّح الشكل (4-1) هذا المسار.</w:t>
      </w:r>
    </w:p>
    <w:p>
      <w:pPr>
        <w:bidi/>
        <w:spacing w:after="120" w:before="0" w:line="240"/>
        <w:ind w:firstLine="283"/>
        <w:jc w:val="both"/>
      </w:pPr>
      <w:r>
        <w:rPr>
          <w:rFonts w:ascii="Simplified Arabic" w:cs="Simplified Arabic" w:hAnsi="Simplified Arabic"/>
          <w:b/>
          <w:bCs/>
          <w:i w:val="false"/>
          <w:iCs w:val="false"/>
          <w:color w:val="000000"/>
          <w:sz w:val="28"/>
          <w:szCs w:val="28"/>
          <w:rtl/>
        </w:rPr>
        <w:t xml:space="preserve">تعديل على البروتوكول: </w:t>
      </w:r>
      <w:r>
        <w:rPr>
          <w:rFonts w:ascii="Simplified Arabic" w:cs="Simplified Arabic" w:hAnsi="Simplified Arabic"/>
          <w:b w:val="false"/>
          <w:bCs w:val="false"/>
          <w:i w:val="false"/>
          <w:iCs w:val="false"/>
          <w:color w:val="000000"/>
          <w:sz w:val="28"/>
          <w:szCs w:val="28"/>
          <w:rtl/>
        </w:rPr>
        <w:t xml:space="preserve">حُدّد المدى الزمني في البروتوكول بالفترة (2010–2026)، غير أن الفلترة الفعلية طُبّقت على الفترة (2017–2026) بسبب قيود في خيارات الفلترة المتاحة في واجهة القاعدة وضيق المدة المتاحة للفرز. ويُوثَّق هذا التعديل هنا بتاريخه ومسوّغه التزاماً بالبند الرابع من قائمة PRISMA-P، ويُعدّ محدِّداً من محددات المراجعة إذ قد يكون أدى إلى إغفال دراسات مؤهلة منشورة بين 2010 و2016.</w:t>
      </w:r>
    </w:p>
    <w:p>
      <w:pPr>
        <w:bidi/>
        <w:spacing w:after="0"/>
      </w:pPr>
      <w:r>
        <w:rPr>
          <w:rFonts w:ascii="Simplified Arabic" w:cs="Simplified Arabic" w:hAnsi="Simplified Arabic"/>
          <w:b w:val="false"/>
          <w:bCs w:val="false"/>
          <w:i w:val="false"/>
          <w:iCs w:val="false"/>
          <w:color w:val="000000"/>
          <w:sz w:val="28"/>
          <w:szCs w:val="28"/>
          <w:rtl/>
        </w:rPr>
        <w:t xml:space="preserve"/>
      </w:r>
    </w:p>
    <w:tbl>
      <w:tblPr>
        <w:bidiVisual/>
        <w:tblW w:type="dxa" w:w="8400"/>
        <w:jc w:val="center"/>
        <w:tblBorders>
          <w:top w:val="single" w:color="auto" w:sz="4"/>
          <w:left w:val="single" w:color="auto" w:sz="4"/>
          <w:bottom w:val="single" w:color="auto" w:sz="4"/>
          <w:right w:val="single" w:color="auto" w:sz="4"/>
          <w:insideH w:val="single" w:color="auto" w:sz="4"/>
          <w:insideV w:val="single" w:color="auto" w:sz="4"/>
        </w:tblBorders>
      </w:tblPr>
      <w:tblGrid>
        <w:gridCol w:w="1200"/>
        <w:gridCol w:w="4200"/>
        <w:gridCol w:w="3000"/>
      </w:tblGrid>
      <w:tr>
        <w:trPr>
          <w:cantSplit/>
        </w:trPr>
        <w:tc>
          <w:tcPr>
            <w:tcW w:type="dxa" w:w="1200"/>
            <w:shd w:fill="1F3864" w:color="auto" w:val="clear"/>
            <w:tcMar>
              <w:top w:type="dxa" w:w="60"/>
              <w:left w:type="dxa" w:w="40"/>
              <w:bottom w:type="dxa" w:w="60"/>
              <w:right w:type="dxa" w:w="40"/>
            </w:tcMar>
            <w:vAlign w:val="center"/>
          </w:tcPr>
          <w:p>
            <w:pPr>
              <w:bidi/>
              <w:spacing w:after="0" w:line="240"/>
              <w:jc w:val="center"/>
            </w:pPr>
            <w:r>
              <w:rPr>
                <w:rFonts w:ascii="Simplified Arabic" w:cs="Simplified Arabic" w:hAnsi="Simplified Arabic"/>
                <w:b/>
                <w:bCs/>
                <w:i w:val="false"/>
                <w:iCs w:val="false"/>
                <w:color w:val="FFFFFF"/>
                <w:sz w:val="24"/>
                <w:szCs w:val="24"/>
                <w:rtl/>
              </w:rPr>
              <w:t xml:space="preserve">التحديد</w:t>
            </w:r>
          </w:p>
        </w:tc>
        <w:tc>
          <w:tcPr>
            <w:tcW w:type="dxa" w:w="4200"/>
            <w:shd w:fill="EDEDED" w:color="auto" w:val="clear"/>
            <w:tcMar>
              <w:top w:type="dxa" w:w="70"/>
              <w:left w:type="dxa" w:w="70"/>
              <w:bottom w:type="dxa" w:w="70"/>
              <w:right w:type="dxa" w:w="70"/>
            </w:tcMar>
            <w:vAlign w:val="center"/>
          </w:tcPr>
          <w:p>
            <w:pPr>
              <w:bidi/>
              <w:spacing w:after="0" w:line="240"/>
              <w:jc w:val="left"/>
            </w:pPr>
            <w:r>
              <w:rPr>
                <w:rFonts w:ascii="Simplified Arabic" w:cs="Simplified Arabic" w:hAnsi="Simplified Arabic"/>
                <w:b/>
                <w:bCs/>
                <w:i w:val="false"/>
                <w:iCs w:val="false"/>
                <w:color w:val="000000"/>
                <w:sz w:val="24"/>
                <w:szCs w:val="24"/>
                <w:rtl/>
              </w:rPr>
              <w:t xml:space="preserve">السجلات المحددة (ن = 725)</w:t>
            </w:r>
          </w:p>
          <w:p>
            <w:pPr>
              <w:bidi/>
              <w:spacing w:after="0" w:line="240"/>
              <w:jc w:val="left"/>
            </w:pPr>
            <w:r>
              <w:rPr>
                <w:rFonts w:ascii="Simplified Arabic" w:cs="Simplified Arabic" w:hAnsi="Simplified Arabic"/>
                <w:b w:val="false"/>
                <w:bCs w:val="false"/>
                <w:i w:val="false"/>
                <w:iCs w:val="false"/>
                <w:color w:val="000000"/>
                <w:sz w:val="24"/>
                <w:szCs w:val="24"/>
                <w:rtl/>
              </w:rPr>
              <w:t xml:space="preserve">قاعدة ERIC (ن = 708)</w:t>
            </w:r>
          </w:p>
          <w:p>
            <w:pPr>
              <w:bidi/>
              <w:spacing w:after="0" w:line="240"/>
              <w:jc w:val="left"/>
            </w:pPr>
            <w:r>
              <w:rPr>
                <w:rFonts w:ascii="Simplified Arabic" w:cs="Simplified Arabic" w:hAnsi="Simplified Arabic"/>
                <w:b w:val="false"/>
                <w:bCs w:val="false"/>
                <w:i w:val="false"/>
                <w:iCs w:val="false"/>
                <w:color w:val="000000"/>
                <w:sz w:val="24"/>
                <w:szCs w:val="24"/>
                <w:rtl/>
              </w:rPr>
              <w:t xml:space="preserve">المسح الاستكشافي التمهيدي عبر مواقع الناشرين (ن = 17)</w:t>
            </w:r>
          </w:p>
        </w:tc>
        <w:tc>
          <w:tcPr>
            <w:tcW w:type="dxa" w:w="3000"/>
            <w:shd w:fill="F7F7F7" w:color="auto" w:val="clear"/>
            <w:tcMar>
              <w:top w:type="dxa" w:w="70"/>
              <w:left w:type="dxa" w:w="70"/>
              <w:bottom w:type="dxa" w:w="70"/>
              <w:right w:type="dxa" w:w="70"/>
            </w:tcMar>
            <w:vAlign w:val="center"/>
          </w:tcPr>
          <w:p>
            <w:pPr>
              <w:bidi/>
              <w:spacing w:after="0" w:line="240"/>
              <w:jc w:val="left"/>
            </w:pPr>
            <w:r>
              <w:rPr>
                <w:rFonts w:ascii="Simplified Arabic" w:cs="Simplified Arabic" w:hAnsi="Simplified Arabic"/>
                <w:b/>
                <w:bCs/>
                <w:i w:val="false"/>
                <w:iCs w:val="false"/>
                <w:color w:val="000000"/>
                <w:sz w:val="24"/>
                <w:szCs w:val="24"/>
                <w:rtl/>
              </w:rPr>
              <w:t xml:space="preserve">السجلات المستبعدة آلياً بتطبيق فلاتر الأهلية في ERIC (ن = 611):</w:t>
            </w:r>
          </w:p>
          <w:p>
            <w:pPr>
              <w:bidi/>
              <w:spacing w:after="0" w:line="240"/>
              <w:jc w:val="left"/>
            </w:pPr>
            <w:r>
              <w:rPr>
                <w:rFonts w:ascii="Simplified Arabic" w:cs="Simplified Arabic" w:hAnsi="Simplified Arabic"/>
                <w:b w:val="false"/>
                <w:bCs w:val="false"/>
                <w:i w:val="false"/>
                <w:iCs w:val="false"/>
                <w:color w:val="000000"/>
                <w:sz w:val="24"/>
                <w:szCs w:val="24"/>
                <w:rtl/>
              </w:rPr>
              <w:t xml:space="preserve">غير محكّمة، أو منشورة قبل 2017، أو ليست مقالات مجلات</w:t>
            </w:r>
          </w:p>
        </w:tc>
      </w:tr>
      <w:tr>
        <w:trPr>
          <w:cantSplit/>
        </w:trPr>
        <w:tc>
          <w:tcPr>
            <w:tcW w:type="dxa" w:w="1200"/>
            <w:shd w:fill="1F3864" w:color="auto" w:val="clear"/>
            <w:tcMar>
              <w:top w:type="dxa" w:w="60"/>
              <w:left w:type="dxa" w:w="40"/>
              <w:bottom w:type="dxa" w:w="60"/>
              <w:right w:type="dxa" w:w="40"/>
            </w:tcMar>
            <w:vAlign w:val="center"/>
          </w:tcPr>
          <w:p>
            <w:pPr>
              <w:bidi/>
              <w:spacing w:after="0" w:line="240"/>
              <w:jc w:val="center"/>
            </w:pPr>
            <w:r>
              <w:rPr>
                <w:rFonts w:ascii="Simplified Arabic" w:cs="Simplified Arabic" w:hAnsi="Simplified Arabic"/>
                <w:b/>
                <w:bCs/>
                <w:i w:val="false"/>
                <w:iCs w:val="false"/>
                <w:color w:val="FFFFFF"/>
                <w:sz w:val="24"/>
                <w:szCs w:val="24"/>
                <w:rtl/>
              </w:rPr>
              <w:t xml:space="preserve">الفرز</w:t>
            </w:r>
          </w:p>
        </w:tc>
        <w:tc>
          <w:tcPr>
            <w:tcW w:type="dxa" w:w="4200"/>
            <w:shd w:fill="EDEDED" w:color="auto" w:val="clear"/>
            <w:tcMar>
              <w:top w:type="dxa" w:w="70"/>
              <w:left w:type="dxa" w:w="70"/>
              <w:bottom w:type="dxa" w:w="70"/>
              <w:right w:type="dxa" w:w="70"/>
            </w:tcMar>
            <w:vAlign w:val="center"/>
          </w:tcPr>
          <w:p>
            <w:pPr>
              <w:bidi/>
              <w:spacing w:after="0" w:line="240"/>
              <w:jc w:val="left"/>
            </w:pPr>
            <w:r>
              <w:rPr>
                <w:rFonts w:ascii="Simplified Arabic" w:cs="Simplified Arabic" w:hAnsi="Simplified Arabic"/>
                <w:b/>
                <w:bCs/>
                <w:i w:val="false"/>
                <w:iCs w:val="false"/>
                <w:color w:val="000000"/>
                <w:sz w:val="24"/>
                <w:szCs w:val="24"/>
                <w:rtl/>
              </w:rPr>
              <w:t xml:space="preserve">السجلات المفروزة بالعنوان والمستخلص (ن = 114)</w:t>
            </w:r>
          </w:p>
          <w:p>
            <w:pPr>
              <w:bidi/>
              <w:spacing w:after="0" w:line="240"/>
              <w:jc w:val="left"/>
            </w:pPr>
            <w:r>
              <w:rPr>
                <w:rFonts w:ascii="Simplified Arabic" w:cs="Simplified Arabic" w:hAnsi="Simplified Arabic"/>
                <w:b w:val="false"/>
                <w:bCs w:val="false"/>
                <w:i w:val="false"/>
                <w:iCs w:val="false"/>
                <w:color w:val="000000"/>
                <w:sz w:val="24"/>
                <w:szCs w:val="24"/>
                <w:rtl/>
              </w:rPr>
              <w:t xml:space="preserve">ERIC بعد الفلترة (ن = 97)</w:t>
            </w:r>
          </w:p>
          <w:p>
            <w:pPr>
              <w:bidi/>
              <w:spacing w:after="0" w:line="240"/>
              <w:jc w:val="left"/>
            </w:pPr>
            <w:r>
              <w:rPr>
                <w:rFonts w:ascii="Simplified Arabic" w:cs="Simplified Arabic" w:hAnsi="Simplified Arabic"/>
                <w:b w:val="false"/>
                <w:bCs w:val="false"/>
                <w:i w:val="false"/>
                <w:iCs w:val="false"/>
                <w:color w:val="000000"/>
                <w:sz w:val="24"/>
                <w:szCs w:val="24"/>
                <w:rtl/>
              </w:rPr>
              <w:t xml:space="preserve">المسح الاستكشافي (ن = 17)</w:t>
            </w:r>
          </w:p>
        </w:tc>
        <w:tc>
          <w:tcPr>
            <w:tcW w:type="dxa" w:w="3000"/>
            <w:shd w:fill="F7F7F7" w:color="auto" w:val="clear"/>
            <w:tcMar>
              <w:top w:type="dxa" w:w="70"/>
              <w:left w:type="dxa" w:w="70"/>
              <w:bottom w:type="dxa" w:w="70"/>
              <w:right w:type="dxa" w:w="70"/>
            </w:tcMar>
            <w:vAlign w:val="center"/>
          </w:tcPr>
          <w:p>
            <w:pPr>
              <w:bidi/>
              <w:spacing w:after="0" w:line="240"/>
              <w:jc w:val="left"/>
            </w:pPr>
            <w:r>
              <w:rPr>
                <w:rFonts w:ascii="Simplified Arabic" w:cs="Simplified Arabic" w:hAnsi="Simplified Arabic"/>
                <w:b/>
                <w:bCs/>
                <w:i w:val="false"/>
                <w:iCs w:val="false"/>
                <w:color w:val="000000"/>
                <w:sz w:val="24"/>
                <w:szCs w:val="24"/>
                <w:rtl/>
              </w:rPr>
              <w:t xml:space="preserve">السجلات المستبعدة في الفرز (ن = 93):</w:t>
            </w:r>
          </w:p>
          <w:p>
            <w:pPr>
              <w:bidi/>
              <w:spacing w:after="0" w:line="240"/>
              <w:jc w:val="left"/>
            </w:pPr>
            <w:r>
              <w:rPr>
                <w:rFonts w:ascii="Simplified Arabic" w:cs="Simplified Arabic" w:hAnsi="Simplified Arabic"/>
                <w:b w:val="false"/>
                <w:bCs w:val="false"/>
                <w:i w:val="false"/>
                <w:iCs w:val="false"/>
                <w:color w:val="000000"/>
                <w:sz w:val="24"/>
                <w:szCs w:val="24"/>
                <w:rtl/>
              </w:rPr>
              <w:t xml:space="preserve">أدوات وأطر قياس لا أثر اعتماد (ن = 34)</w:t>
            </w:r>
          </w:p>
          <w:p>
            <w:pPr>
              <w:bidi/>
              <w:spacing w:after="0" w:line="240"/>
              <w:jc w:val="left"/>
            </w:pPr>
            <w:r>
              <w:rPr>
                <w:rFonts w:ascii="Simplified Arabic" w:cs="Simplified Arabic" w:hAnsi="Simplified Arabic"/>
                <w:b w:val="false"/>
                <w:bCs w:val="false"/>
                <w:i w:val="false"/>
                <w:iCs w:val="false"/>
                <w:color w:val="000000"/>
                <w:sz w:val="24"/>
                <w:szCs w:val="24"/>
                <w:rtl/>
              </w:rPr>
              <w:t xml:space="preserve">لا تُبلّغ عن مؤشر مخرجات (ن = 27)</w:t>
            </w:r>
          </w:p>
          <w:p>
            <w:pPr>
              <w:bidi/>
              <w:spacing w:after="0" w:line="240"/>
              <w:jc w:val="left"/>
            </w:pPr>
            <w:r>
              <w:rPr>
                <w:rFonts w:ascii="Simplified Arabic" w:cs="Simplified Arabic" w:hAnsi="Simplified Arabic"/>
                <w:b w:val="false"/>
                <w:bCs w:val="false"/>
                <w:i w:val="false"/>
                <w:iCs w:val="false"/>
                <w:color w:val="000000"/>
                <w:sz w:val="24"/>
                <w:szCs w:val="24"/>
                <w:rtl/>
              </w:rPr>
              <w:t xml:space="preserve">مراجعات أو تحليلات ببليومترية (ن = 14)</w:t>
            </w:r>
          </w:p>
          <w:p>
            <w:pPr>
              <w:bidi/>
              <w:spacing w:after="0" w:line="240"/>
              <w:jc w:val="left"/>
            </w:pPr>
            <w:r>
              <w:rPr>
                <w:rFonts w:ascii="Simplified Arabic" w:cs="Simplified Arabic" w:hAnsi="Simplified Arabic"/>
                <w:b w:val="false"/>
                <w:bCs w:val="false"/>
                <w:i w:val="false"/>
                <w:iCs w:val="false"/>
                <w:color w:val="000000"/>
                <w:sz w:val="24"/>
                <w:szCs w:val="24"/>
                <w:rtl/>
              </w:rPr>
              <w:t xml:space="preserve">خارج سياق التعليم العالي (ن = 9)</w:t>
            </w:r>
          </w:p>
          <w:p>
            <w:pPr>
              <w:bidi/>
              <w:spacing w:after="0" w:line="240"/>
              <w:jc w:val="left"/>
            </w:pPr>
            <w:r>
              <w:rPr>
                <w:rFonts w:ascii="Simplified Arabic" w:cs="Simplified Arabic" w:hAnsi="Simplified Arabic"/>
                <w:b w:val="false"/>
                <w:bCs w:val="false"/>
                <w:i w:val="false"/>
                <w:iCs w:val="false"/>
                <w:color w:val="000000"/>
                <w:sz w:val="24"/>
                <w:szCs w:val="24"/>
                <w:rtl/>
              </w:rPr>
              <w:t xml:space="preserve">تعذّر التحقق من البيانات الببليوغرافية (ن = 6)</w:t>
            </w:r>
          </w:p>
          <w:p>
            <w:pPr>
              <w:bidi/>
              <w:spacing w:after="0" w:line="240"/>
              <w:jc w:val="left"/>
            </w:pPr>
            <w:r>
              <w:rPr>
                <w:rFonts w:ascii="Simplified Arabic" w:cs="Simplified Arabic" w:hAnsi="Simplified Arabic"/>
                <w:b w:val="false"/>
                <w:bCs w:val="false"/>
                <w:i w:val="false"/>
                <w:iCs w:val="false"/>
                <w:color w:val="000000"/>
                <w:sz w:val="24"/>
                <w:szCs w:val="24"/>
                <w:rtl/>
              </w:rPr>
              <w:t xml:space="preserve">منشورة قبل الحد الزمني (ن = 3)</w:t>
            </w:r>
          </w:p>
        </w:tc>
      </w:tr>
      <w:tr>
        <w:trPr>
          <w:cantSplit/>
        </w:trPr>
        <w:tc>
          <w:tcPr>
            <w:tcW w:type="dxa" w:w="1200"/>
            <w:shd w:fill="1F3864" w:color="auto" w:val="clear"/>
            <w:tcMar>
              <w:top w:type="dxa" w:w="60"/>
              <w:left w:type="dxa" w:w="40"/>
              <w:bottom w:type="dxa" w:w="60"/>
              <w:right w:type="dxa" w:w="40"/>
            </w:tcMar>
            <w:vAlign w:val="center"/>
          </w:tcPr>
          <w:p>
            <w:pPr>
              <w:bidi/>
              <w:spacing w:after="0" w:line="240"/>
              <w:jc w:val="center"/>
            </w:pPr>
            <w:r>
              <w:rPr>
                <w:rFonts w:ascii="Simplified Arabic" w:cs="Simplified Arabic" w:hAnsi="Simplified Arabic"/>
                <w:b/>
                <w:bCs/>
                <w:i w:val="false"/>
                <w:iCs w:val="false"/>
                <w:color w:val="FFFFFF"/>
                <w:sz w:val="24"/>
                <w:szCs w:val="24"/>
                <w:rtl/>
              </w:rPr>
              <w:t xml:space="preserve"/>
            </w:r>
          </w:p>
        </w:tc>
        <w:tc>
          <w:tcPr>
            <w:tcW w:type="dxa" w:w="4200"/>
            <w:shd w:fill="EDEDED" w:color="auto" w:val="clear"/>
            <w:tcMar>
              <w:top w:type="dxa" w:w="70"/>
              <w:left w:type="dxa" w:w="70"/>
              <w:bottom w:type="dxa" w:w="70"/>
              <w:right w:type="dxa" w:w="70"/>
            </w:tcMar>
            <w:vAlign w:val="center"/>
          </w:tcPr>
          <w:p>
            <w:pPr>
              <w:bidi/>
              <w:spacing w:after="0" w:line="240"/>
              <w:jc w:val="left"/>
            </w:pPr>
            <w:r>
              <w:rPr>
                <w:rFonts w:ascii="Simplified Arabic" w:cs="Simplified Arabic" w:hAnsi="Simplified Arabic"/>
                <w:b/>
                <w:bCs/>
                <w:i w:val="false"/>
                <w:iCs w:val="false"/>
                <w:color w:val="000000"/>
                <w:sz w:val="24"/>
                <w:szCs w:val="24"/>
                <w:rtl/>
              </w:rPr>
              <w:t xml:space="preserve">التقارير المطلوب استرجاع نصها الكامل (ن = 21)</w:t>
            </w:r>
          </w:p>
        </w:tc>
        <w:tc>
          <w:tcPr>
            <w:tcW w:type="dxa" w:w="3000"/>
            <w:shd w:fill="F7F7F7" w:color="auto" w:val="clear"/>
            <w:tcMar>
              <w:top w:type="dxa" w:w="70"/>
              <w:left w:type="dxa" w:w="70"/>
              <w:bottom w:type="dxa" w:w="70"/>
              <w:right w:type="dxa" w:w="70"/>
            </w:tcMar>
            <w:vAlign w:val="center"/>
          </w:tcPr>
          <w:p>
            <w:pPr>
              <w:bidi/>
              <w:spacing w:after="0" w:line="240"/>
              <w:jc w:val="left"/>
            </w:pPr>
            <w:r>
              <w:rPr>
                <w:rFonts w:ascii="Simplified Arabic" w:cs="Simplified Arabic" w:hAnsi="Simplified Arabic"/>
                <w:b/>
                <w:bCs/>
                <w:i w:val="false"/>
                <w:iCs w:val="false"/>
                <w:color w:val="000000"/>
                <w:sz w:val="24"/>
                <w:szCs w:val="24"/>
                <w:rtl/>
              </w:rPr>
              <w:t xml:space="preserve">التقارير التي تعذّر استرجاعها ضمن المدة المتاحة (ن = 18):</w:t>
            </w:r>
          </w:p>
          <w:p>
            <w:pPr>
              <w:bidi/>
              <w:spacing w:after="0" w:line="240"/>
              <w:jc w:val="left"/>
            </w:pPr>
            <w:r>
              <w:rPr>
                <w:rFonts w:ascii="Simplified Arabic" w:cs="Simplified Arabic" w:hAnsi="Simplified Arabic"/>
                <w:b w:val="false"/>
                <w:bCs w:val="false"/>
                <w:i w:val="false"/>
                <w:iCs w:val="false"/>
                <w:color w:val="000000"/>
                <w:sz w:val="24"/>
                <w:szCs w:val="24"/>
                <w:rtl/>
              </w:rPr>
              <w:t xml:space="preserve">قيود اشتراك أو عدم إتاحة النص الكامل</w:t>
            </w:r>
          </w:p>
        </w:tc>
      </w:tr>
      <w:tr>
        <w:trPr>
          <w:cantSplit/>
        </w:trPr>
        <w:tc>
          <w:tcPr>
            <w:tcW w:type="dxa" w:w="1200"/>
            <w:shd w:fill="1F3864" w:color="auto" w:val="clear"/>
            <w:tcMar>
              <w:top w:type="dxa" w:w="60"/>
              <w:left w:type="dxa" w:w="40"/>
              <w:bottom w:type="dxa" w:w="60"/>
              <w:right w:type="dxa" w:w="40"/>
            </w:tcMar>
            <w:vAlign w:val="center"/>
          </w:tcPr>
          <w:p>
            <w:pPr>
              <w:bidi/>
              <w:spacing w:after="0" w:line="240"/>
              <w:jc w:val="center"/>
            </w:pPr>
            <w:r>
              <w:rPr>
                <w:rFonts w:ascii="Simplified Arabic" w:cs="Simplified Arabic" w:hAnsi="Simplified Arabic"/>
                <w:b/>
                <w:bCs/>
                <w:i w:val="false"/>
                <w:iCs w:val="false"/>
                <w:color w:val="FFFFFF"/>
                <w:sz w:val="24"/>
                <w:szCs w:val="24"/>
                <w:rtl/>
              </w:rPr>
              <w:t xml:space="preserve"/>
            </w:r>
          </w:p>
        </w:tc>
        <w:tc>
          <w:tcPr>
            <w:tcW w:type="dxa" w:w="4200"/>
            <w:shd w:fill="EDEDED" w:color="auto" w:val="clear"/>
            <w:tcMar>
              <w:top w:type="dxa" w:w="70"/>
              <w:left w:type="dxa" w:w="70"/>
              <w:bottom w:type="dxa" w:w="70"/>
              <w:right w:type="dxa" w:w="70"/>
            </w:tcMar>
            <w:vAlign w:val="center"/>
          </w:tcPr>
          <w:p>
            <w:pPr>
              <w:bidi/>
              <w:spacing w:after="0" w:line="240"/>
              <w:jc w:val="left"/>
            </w:pPr>
            <w:r>
              <w:rPr>
                <w:rFonts w:ascii="Simplified Arabic" w:cs="Simplified Arabic" w:hAnsi="Simplified Arabic"/>
                <w:b/>
                <w:bCs/>
                <w:i w:val="false"/>
                <w:iCs w:val="false"/>
                <w:color w:val="000000"/>
                <w:sz w:val="24"/>
                <w:szCs w:val="24"/>
                <w:rtl/>
              </w:rPr>
              <w:t xml:space="preserve">التقارير المقيَّمة للأهلية بالنص الكامل (ن = 3)</w:t>
            </w:r>
          </w:p>
        </w:tc>
        <w:tc>
          <w:tcPr>
            <w:tcW w:type="dxa" w:w="3000"/>
            <w:shd w:fill="F7F7F7" w:color="auto" w:val="clear"/>
            <w:tcMar>
              <w:top w:type="dxa" w:w="70"/>
              <w:left w:type="dxa" w:w="70"/>
              <w:bottom w:type="dxa" w:w="70"/>
              <w:right w:type="dxa" w:w="70"/>
            </w:tcMar>
            <w:vAlign w:val="center"/>
          </w:tcPr>
          <w:p>
            <w:pPr>
              <w:bidi/>
              <w:spacing w:after="0" w:line="240"/>
              <w:jc w:val="left"/>
            </w:pPr>
            <w:r>
              <w:rPr>
                <w:rFonts w:ascii="Simplified Arabic" w:cs="Simplified Arabic" w:hAnsi="Simplified Arabic"/>
                <w:b/>
                <w:bCs/>
                <w:i w:val="false"/>
                <w:iCs w:val="false"/>
                <w:color w:val="000000"/>
                <w:sz w:val="24"/>
                <w:szCs w:val="24"/>
                <w:rtl/>
              </w:rPr>
              <w:t xml:space="preserve">المستبعدة في هذه المرحلة (ن = 0)</w:t>
            </w:r>
          </w:p>
        </w:tc>
      </w:tr>
      <w:tr>
        <w:trPr>
          <w:cantSplit/>
        </w:trPr>
        <w:tc>
          <w:tcPr>
            <w:tcW w:type="dxa" w:w="1200"/>
            <w:shd w:fill="1F3864" w:color="auto" w:val="clear"/>
            <w:tcMar>
              <w:top w:type="dxa" w:w="60"/>
              <w:left w:type="dxa" w:w="40"/>
              <w:bottom w:type="dxa" w:w="60"/>
              <w:right w:type="dxa" w:w="40"/>
            </w:tcMar>
            <w:vAlign w:val="center"/>
          </w:tcPr>
          <w:p>
            <w:pPr>
              <w:bidi/>
              <w:spacing w:after="0" w:line="240"/>
              <w:jc w:val="center"/>
            </w:pPr>
            <w:r>
              <w:rPr>
                <w:rFonts w:ascii="Simplified Arabic" w:cs="Simplified Arabic" w:hAnsi="Simplified Arabic"/>
                <w:b/>
                <w:bCs/>
                <w:i w:val="false"/>
                <w:iCs w:val="false"/>
                <w:color w:val="FFFFFF"/>
                <w:sz w:val="24"/>
                <w:szCs w:val="24"/>
                <w:rtl/>
              </w:rPr>
              <w:t xml:space="preserve">التضمين</w:t>
            </w:r>
          </w:p>
        </w:tc>
        <w:tc>
          <w:tcPr>
            <w:tcW w:type="dxa" w:w="7200"/>
            <w:gridSpan w:val="2"/>
            <w:shd w:fill="D9E2F3" w:color="auto" w:val="clear"/>
            <w:tcMar>
              <w:top w:type="dxa" w:w="80"/>
              <w:left w:type="dxa" w:w="70"/>
              <w:bottom w:type="dxa" w:w="80"/>
              <w:right w:type="dxa" w:w="70"/>
            </w:tcMar>
          </w:tcPr>
          <w:p>
            <w:pPr>
              <w:bidi/>
              <w:spacing w:after="40" w:line="240"/>
              <w:jc w:val="center"/>
            </w:pPr>
            <w:r>
              <w:rPr>
                <w:rFonts w:ascii="Simplified Arabic" w:cs="Simplified Arabic" w:hAnsi="Simplified Arabic"/>
                <w:b/>
                <w:bCs/>
                <w:i w:val="false"/>
                <w:iCs w:val="false"/>
                <w:color w:val="000000"/>
                <w:sz w:val="24"/>
                <w:szCs w:val="24"/>
                <w:rtl/>
              </w:rPr>
              <w:t xml:space="preserve">الدراسات المشمولة في المراجعة (ن = 15)</w:t>
            </w:r>
          </w:p>
          <w:p>
            <w:pPr>
              <w:bidi/>
              <w:spacing w:after="0" w:line="240"/>
              <w:jc w:val="center"/>
            </w:pPr>
            <w:r>
              <w:rPr>
                <w:rFonts w:ascii="Simplified Arabic" w:cs="Simplified Arabic" w:hAnsi="Simplified Arabic"/>
                <w:b w:val="false"/>
                <w:bCs w:val="false"/>
                <w:i w:val="false"/>
                <w:iCs w:val="false"/>
                <w:color w:val="000000"/>
                <w:sz w:val="24"/>
                <w:szCs w:val="24"/>
                <w:rtl/>
              </w:rPr>
              <w:t xml:space="preserve">منها مُتحقَّق منها بالنص الكامل (ن = 3)   |   في السياق العربي (ن = 4)</w:t>
            </w:r>
          </w:p>
        </w:tc>
      </w:tr>
    </w:tbl>
    <w:p>
      <w:pPr>
        <w:bidi/>
        <w:spacing w:after="200" w:before="80" w:line="300"/>
        <w:jc w:val="center"/>
      </w:pPr>
      <w:r>
        <w:rPr>
          <w:rFonts w:ascii="Simplified Arabic" w:cs="Simplified Arabic" w:hAnsi="Simplified Arabic"/>
          <w:b/>
          <w:bCs/>
          <w:i w:val="false"/>
          <w:iCs w:val="false"/>
          <w:color w:val="000000"/>
          <w:sz w:val="24"/>
          <w:szCs w:val="24"/>
          <w:rtl/>
        </w:rPr>
        <w:t xml:space="preserve">الشكل (4-1): مخطط تدفق PRISMA 2020 لمراحل تحديد الدراسات وفرزها وتضمينها</w:t>
      </w:r>
    </w:p>
    <w:p>
      <w:pPr>
        <w:bidi/>
        <w:spacing w:after="120" w:before="0" w:line="240"/>
        <w:jc w:val="center"/>
      </w:pPr>
      <w:r>
        <w:rPr>
          <w:rFonts w:ascii="Simplified Arabic" w:cs="Simplified Arabic" w:hAnsi="Simplified Arabic"/>
          <w:b w:val="false"/>
          <w:bCs w:val="false"/>
          <w:i w:val="false"/>
          <w:iCs w:val="false"/>
          <w:color w:val="000000"/>
          <w:sz w:val="24"/>
          <w:szCs w:val="24"/>
          <w:rtl/>
        </w:rPr>
        <w:t xml:space="preserve">المصدر: إعداد الباحث وفق النموذج المعتمد في (Page et al., 2021). تاريخ آخر بحث: 4 أغسطس 2026.</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خصائص الدراسات المشمولة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يعرض الجدول (4-1) خصائص الدراسات الخمس عشرة المشمولة. وقد مُيّزت الدراسات الثلاث التي أمكن التحقق منها بالنص الكامل بعلامة (★)، أما البقية فاستُخلصت بياناتها من المستخلصات المنشورة وتظل خاضعة للتحقق.</w:t>
      </w:r>
    </w:p>
    <w:p>
      <w:pPr>
        <w:bidi/>
        <w:spacing w:after="80" w:before="200" w:line="300"/>
        <w:jc w:val="left"/>
      </w:pPr>
      <w:r>
        <w:rPr>
          <w:rFonts w:ascii="Simplified Arabic" w:cs="Simplified Arabic" w:hAnsi="Simplified Arabic"/>
          <w:b/>
          <w:bCs/>
          <w:i w:val="false"/>
          <w:iCs w:val="false"/>
          <w:color w:val="000000"/>
          <w:sz w:val="24"/>
          <w:szCs w:val="24"/>
          <w:rtl/>
        </w:rPr>
        <w:t xml:space="preserve">جدول (4-1): خصائص الدراسات المشمولة في المراجعة (ن = 15)</w:t>
      </w:r>
    </w:p>
    <w:tbl>
      <w:tblPr>
        <w:bidiVisual/>
        <w:tblW w:type="dxa" w:w="8000"/>
        <w:jc w:val="center"/>
        <w:tblBorders>
          <w:top w:val="single" w:color="auto" w:sz="4"/>
          <w:left w:val="single" w:color="auto" w:sz="4"/>
          <w:bottom w:val="single" w:color="auto" w:sz="4"/>
          <w:right w:val="single" w:color="auto" w:sz="4"/>
          <w:insideH w:val="single" w:color="auto" w:sz="4"/>
          <w:insideV w:val="single" w:color="auto" w:sz="4"/>
        </w:tblBorders>
      </w:tblPr>
      <w:tblGrid>
        <w:gridCol w:w="420"/>
        <w:gridCol w:w="1550"/>
        <w:gridCol w:w="1180"/>
        <w:gridCol w:w="1680"/>
        <w:gridCol w:w="1450"/>
        <w:gridCol w:w="1720"/>
      </w:tblGrid>
      <w:tr>
        <w:trPr>
          <w:tblHeader/>
        </w:trPr>
        <w:tc>
          <w:tcPr>
            <w:tcW w:type="dxa" w:w="42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w:t>
            </w:r>
          </w:p>
        </w:tc>
        <w:tc>
          <w:tcPr>
            <w:tcW w:type="dxa" w:w="155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الدراسة</w:t>
            </w:r>
          </w:p>
        </w:tc>
        <w:tc>
          <w:tcPr>
            <w:tcW w:type="dxa" w:w="118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السياق</w:t>
            </w:r>
          </w:p>
        </w:tc>
        <w:tc>
          <w:tcPr>
            <w:tcW w:type="dxa" w:w="168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التصميم والعينة</w:t>
            </w:r>
          </w:p>
        </w:tc>
        <w:tc>
          <w:tcPr>
            <w:tcW w:type="dxa" w:w="145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مؤشر المخرجات</w:t>
            </w:r>
          </w:p>
        </w:tc>
        <w:tc>
          <w:tcPr>
            <w:tcW w:type="dxa" w:w="172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أبرز النتائج</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Bougherira &amp; Elasmar (2023)</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السعودية — 5 برامج صحية، جامعة الإمام عبدالرحمن بن فيصل</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مختلط تفسيري تتابعي؛ 469 من 810 (57.9%)؛ 53 فقرة، ألفا 0.97؛ 10 مقابلات</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إدراك هيئة التدريس لأثر الاعتماد في التعليم والتعلم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أثر عام مرتفع (م = 4.08)، أعلاه في ممارسات نواتج التعلم: المقارنة المرجعية (4.65)، تحليل نتائج الطلبة (4.51)، تصميم النواتج (4.48). ولم تُدرَك أي فقرة سلباً</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Aguiar (2026)</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تشيلي — التعليم التقني والمهني العالي</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شبه تجريبي: فروق في الفروق وفروق ثلاثية ومطابقة درجة الميل؛ مسح CASEN الوطني (2000–2017)؛ مجموعة ضابطة</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أجور الخريجين وقابلية توظيفهم (موضوعي)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لا أثر فوري على الأجور؛ علاوة ≈11% على المدى الطويل للبرامج المهنية فقط؛ أثر التوظيف صفري بل سالب قليلاً؛ تباين قطاعي وتآكل الإشارة في بعض القطاعات</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3</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 De Vincenzi et al. (2018)</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الأرجنتين — 3 جامعات خاصة</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نوعي وصفي تقويمي بدراسة الحالة؛ 297 مشاركاً (12 قيادياً، 78 عضو هيئة تدريس، 207 طلبة)</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إدراك ثلاثة أطراف لتغيّر التعليم والتعلم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تحسّن في الإدارة المؤسسية والموارد المادية والتقنية والمناهج ونظم التقويم؛ لكن الباحثين خلصوا صراحةً إلى أنه «ما زال مبكراً» الجزم بأثر مباشر على نواتج التعلم</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Alenezi et al. (2023)</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السعودية — الطب، جامعة الملك سعود</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كمي استرجاعي قبلي/بعدي؛ 1090 طالباً و32.677 موقفاً اختبارياً</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متوسط درجات الطلبة (موضوعي)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تحسّن دال: (80 ± 9) قبل الاعتماد مقابل (87 ± 11) بعده</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Al-Eyadhy &amp; Alenezi (2021)</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السعودية — الطب، جامعة الملك سعود</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كمي استرجاعي قبلي/بعدي عبر دورتَي اعتماد (2009–2018)</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رضا الطلبة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ارتفاع دال: (3.46 ± 0.35) إلى (3.71 ± 0.39)، بدلالة أقل من (0.001)</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6</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Ahmed (2025)</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الولايات المتحدة والسعودية — برامج اللغة</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مختلط؛ 48 مديراً ومنسقاً</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إدارة البرنامج وتطوير هيئة التدريس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أثر إيجابي في إدارة البرامج والتصنيف الوطني وتطوير مهارات هيئة التدريس</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7</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Tavares et al. (2017)</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البرتغال</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مسحي على أعضاء هيئة التدريس</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أثر ضمان الجودة الداخلي في التعليم والتعلم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أثر متفاوت ومحدود، مرهون بمشاركة أعضاء هيئة التدريس</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8</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Cardoso et al. (2016)</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البرتغال</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مسحي على أكاديميين</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إدراك تحقق الجودة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عدم تحقق الجودة مرتبط بفرض النظم من أعلى وبمنطق المساءلة</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9</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Ulker &amp; Bakioglu (2019)</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دراسة دولية</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مسحي على منسقي الدراسة الذاتية ومديري البرامج</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إدراك أثر الاعتماد في الجودة الأكاديمية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تحسّن العمليات والممارسات، وأثر أكبر في البرامج حديثة الإنشاء</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10</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Dakovic &amp; Gover (2019)</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أوروبا — برنامج التقويم المؤسسي</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مسحي على مؤسسات مُقوَّمة</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أثر التقويم الخارجي على الأنشطة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أثر مُرضٍ عموماً، لكنه أضعف على التعليم والتعلم منه على البحث وثقافة الجودة</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11</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De Vincenzi et al. — انظر أعلاه</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12</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Nugraha et al. (2023)</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إندونيسيا</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كمي مسحي؛ 500 مستجيب من 31 جامعة</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المعارف والمهارات والكفايات وقابلية التوظيف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العمليات التعليمية والبحثية تتنبأ بالكفايات وقابلية التوظيف</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13</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Liu (2020)</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كندا — أونتاريو</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تحليل أثر واقعي قائم على العمليات؛ أربع حالات</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تطوير المناهج (إدراكي/وثائقي)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أثر سياسات ضمان الجودة على تطوير المناهج مشروط بالتوازن بين المساءلة والتحسين</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14</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Khamis &amp; Scully (2020)</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شرق أفريقيا</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دراسة حالة</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فاعلية أطر الجودة في التعليم والتعلم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تشكيك في فاعلية أطر ضمان الجودة المستخدمة في تحسين التعليم والتعلم</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15</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Hilliger et al. (2022)</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تشيلي</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دراسة حالة</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انخراط هيئة التدريس في تحسين المناهج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المداخل المركزية للاستجابة لمتطلبات المساءلة قلّصت انخراط هيئة التدريس</w:t>
            </w:r>
          </w:p>
        </w:tc>
      </w:tr>
      <w:tr>
        <w:trPr>
          <w:cantSplit/>
        </w:trPr>
        <w:tc>
          <w:tcPr>
            <w:tcW w:type="dxa" w:w="42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16</w:t>
            </w:r>
          </w:p>
        </w:tc>
        <w:tc>
          <w:tcPr>
            <w:tcW w:type="dxa" w:w="15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Ellington &amp; Williams (2017)</w:t>
            </w:r>
          </w:p>
        </w:tc>
        <w:tc>
          <w:tcPr>
            <w:tcW w:type="dxa" w:w="11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المملكة المتحدة — المحاسبة</w:t>
            </w:r>
          </w:p>
        </w:tc>
        <w:tc>
          <w:tcPr>
            <w:tcW w:type="dxa" w:w="168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مسحي على أكاديميي المحاسبة</w:t>
            </w:r>
          </w:p>
        </w:tc>
        <w:tc>
          <w:tcPr>
            <w:tcW w:type="dxa" w:w="145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أثر الاعتماد المهني على برامج البكالوريوس (إدراكي)</w:t>
            </w:r>
          </w:p>
        </w:tc>
        <w:tc>
          <w:tcPr>
            <w:tcW w:type="dxa" w:w="172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الاعتماد المهني يشكّل المناهج، مع تحفظات على أثره في جوهر التعلم</w:t>
            </w:r>
          </w:p>
        </w:tc>
      </w:tr>
    </w:tbl>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ويتبيّن من الجدول أن الدراسات المشمولة أُجريت في أحد عشر سياقاً وطنياً، وأن أربعاً منها (26.7%) في السياق العربي جميعها في المملكة العربية السعودية. أما من حيث التصميم فتوزّعت على: دراسة شبه تجريبية واحدة، ودراستين كميتين بتصميم قبلي/بعدي، وثلاث دراسات مختلطة، وتسع دراسات مسحية أو دراسات حالة. وأما من حيث مؤشر المخرجات فاعتمدت دراستان فقط (13.3%) مؤشرات موضوعية، مقابل ثلاث عشرة دراسة (86.7%) اعتمدت مؤشرات إدراكية.</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نتائج تقييم الجودة المنهجية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قُيّمت الدراسات الثلاث المتحقَّق منها بالنص الكامل تقييماً كاملاً بأداة MMAT 2018، فيما اقتصر تقييم البقية على ما أتاحته المستخلصات. ويعرض الجدول (4-2) نتائج التقييم الكامل للدراسات الثلاث.</w:t>
      </w:r>
    </w:p>
    <w:p>
      <w:pPr>
        <w:bidi/>
        <w:spacing w:after="80" w:before="200" w:line="300"/>
        <w:jc w:val="left"/>
      </w:pPr>
      <w:r>
        <w:rPr>
          <w:rFonts w:ascii="Simplified Arabic" w:cs="Simplified Arabic" w:hAnsi="Simplified Arabic"/>
          <w:b/>
          <w:bCs/>
          <w:i w:val="false"/>
          <w:iCs w:val="false"/>
          <w:color w:val="000000"/>
          <w:sz w:val="24"/>
          <w:szCs w:val="24"/>
          <w:rtl/>
        </w:rPr>
        <w:t xml:space="preserve">جدول (4-2): تقييم الجودة المنهجية للدراسات المتحقَّق منها بالنص الكامل وفق MMAT 2018</w:t>
      </w:r>
    </w:p>
    <w:tbl>
      <w:tblPr>
        <w:bidiVisual/>
        <w:tblW w:type="dxa" w:w="9400"/>
        <w:jc w:val="center"/>
        <w:tblBorders>
          <w:top w:val="single" w:color="auto" w:sz="4"/>
          <w:left w:val="single" w:color="auto" w:sz="4"/>
          <w:bottom w:val="single" w:color="auto" w:sz="4"/>
          <w:right w:val="single" w:color="auto" w:sz="4"/>
          <w:insideH w:val="single" w:color="auto" w:sz="4"/>
          <w:insideV w:val="single" w:color="auto" w:sz="4"/>
        </w:tblBorders>
      </w:tblPr>
      <w:tblGrid>
        <w:gridCol w:w="2400"/>
        <w:gridCol w:w="1500"/>
        <w:gridCol w:w="700"/>
        <w:gridCol w:w="700"/>
        <w:gridCol w:w="700"/>
        <w:gridCol w:w="700"/>
        <w:gridCol w:w="700"/>
        <w:gridCol w:w="700"/>
        <w:gridCol w:w="1300"/>
      </w:tblGrid>
      <w:tr>
        <w:trPr>
          <w:tblHeader/>
        </w:trPr>
        <w:tc>
          <w:tcPr>
            <w:tcW w:type="dxa" w:w="24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الدراسة</w:t>
            </w:r>
          </w:p>
        </w:tc>
        <w:tc>
          <w:tcPr>
            <w:tcW w:type="dxa" w:w="15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فئة التصميم</w:t>
            </w:r>
          </w:p>
        </w:tc>
        <w:tc>
          <w:tcPr>
            <w:tcW w:type="dxa" w:w="7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S1</w:t>
            </w:r>
          </w:p>
        </w:tc>
        <w:tc>
          <w:tcPr>
            <w:tcW w:type="dxa" w:w="7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S2</w:t>
            </w:r>
          </w:p>
        </w:tc>
        <w:tc>
          <w:tcPr>
            <w:tcW w:type="dxa" w:w="7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م1</w:t>
            </w:r>
          </w:p>
        </w:tc>
        <w:tc>
          <w:tcPr>
            <w:tcW w:type="dxa" w:w="7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م2</w:t>
            </w:r>
          </w:p>
        </w:tc>
        <w:tc>
          <w:tcPr>
            <w:tcW w:type="dxa" w:w="7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م3</w:t>
            </w:r>
          </w:p>
        </w:tc>
        <w:tc>
          <w:tcPr>
            <w:tcW w:type="dxa" w:w="7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م4</w:t>
            </w:r>
          </w:p>
        </w:tc>
        <w:tc>
          <w:tcPr>
            <w:tcW w:type="dxa" w:w="13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التقدير</w:t>
            </w:r>
          </w:p>
        </w:tc>
      </w:tr>
      <w:tr>
        <w:trPr>
          <w:cantSplit/>
        </w:trPr>
        <w:tc>
          <w:tcPr>
            <w:tcW w:type="dxa" w:w="24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Aguiar (2026)</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كمية غير عشوائية</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13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مرتفع</w:t>
            </w:r>
          </w:p>
        </w:tc>
      </w:tr>
      <w:tr>
        <w:trPr>
          <w:cantSplit/>
        </w:trPr>
        <w:tc>
          <w:tcPr>
            <w:tcW w:type="dxa" w:w="24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Bougherira &amp; Elasmar (2023)</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مختلطة المناهج</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لا</w:t>
            </w:r>
          </w:p>
        </w:tc>
        <w:tc>
          <w:tcPr>
            <w:tcW w:type="dxa" w:w="13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متوسط</w:t>
            </w:r>
          </w:p>
        </w:tc>
      </w:tr>
      <w:tr>
        <w:trPr>
          <w:cantSplit/>
        </w:trPr>
        <w:tc>
          <w:tcPr>
            <w:tcW w:type="dxa" w:w="24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De Vincenzi et al. (2018)</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نوعية</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نعم</w:t>
            </w:r>
          </w:p>
        </w:tc>
        <w:tc>
          <w:tcPr>
            <w:tcW w:type="dxa" w:w="13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مرتفع</w:t>
            </w:r>
          </w:p>
        </w:tc>
      </w:tr>
    </w:tbl>
    <w:p>
      <w:pPr>
        <w:bidi/>
        <w:spacing w:after="120" w:before="0" w:line="240"/>
        <w:ind w:firstLine="283"/>
        <w:jc w:val="left"/>
      </w:pPr>
      <w:r>
        <w:rPr>
          <w:rFonts w:ascii="Simplified Arabic" w:cs="Simplified Arabic" w:hAnsi="Simplified Arabic"/>
          <w:b w:val="false"/>
          <w:bCs w:val="false"/>
          <w:i w:val="false"/>
          <w:iCs w:val="false"/>
          <w:color w:val="000000"/>
          <w:sz w:val="24"/>
          <w:szCs w:val="24"/>
          <w:rtl/>
        </w:rPr>
        <w:t xml:space="preserve">ملحوظة: حصلت دراسة أجويار على أعلى تقدير لاعتمادها مجموعة ضابطة وتصميماً شبه تجريبي واختبارات وهمية للتحقق. وحصلت دراسة دي فينتشنزي وزملائه على تقدير مرتفع لاتساق مصادرها النوعية وتعدد أطرافها. أما دراسة بوغريرة والعسمر فقد قُدّر معيار خطر تحيّز عدم الاستجابة بـ(لا)، لأن الأداة مصممة ذاتياً ووُزّعت داخلياً على من خاض تجربة الاعتماد، ولأن الباحثَين أنفسهما وصفا بـ«المفاجئ» أن أياً من الفقرات الثلاث والخمسين لم تُدرَك سلباً — وهو نمط يتسق مع تحيّز الاستجابة الموافِقة.</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التركيب الموضوعي للنتائج ومناقشتها</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رُمّزت نتائج الدراسات المشمولة وفق إطار الترميز المبيَّن في الجدول (3-5)، فأسفر التركيب عن ستة محاور تحليلية يعرض الجدول (4-3) تكراراتها.</w:t>
      </w:r>
    </w:p>
    <w:p>
      <w:pPr>
        <w:bidi/>
        <w:spacing w:after="80" w:before="200" w:line="300"/>
        <w:jc w:val="left"/>
      </w:pPr>
      <w:r>
        <w:rPr>
          <w:rFonts w:ascii="Simplified Arabic" w:cs="Simplified Arabic" w:hAnsi="Simplified Arabic"/>
          <w:b/>
          <w:bCs/>
          <w:i w:val="false"/>
          <w:iCs w:val="false"/>
          <w:color w:val="000000"/>
          <w:sz w:val="24"/>
          <w:szCs w:val="24"/>
          <w:rtl/>
        </w:rPr>
        <w:t xml:space="preserve">جدول (4-3): تكرارات المحاور الموضوعية في الدراسات المشمولة (ن = 15)</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560"/>
        <w:gridCol w:w="3300"/>
        <w:gridCol w:w="1300"/>
        <w:gridCol w:w="1150"/>
        <w:gridCol w:w="2190"/>
      </w:tblGrid>
      <w:tr>
        <w:trPr>
          <w:tblHeader/>
        </w:trPr>
        <w:tc>
          <w:tcPr>
            <w:tcW w:type="dxa" w:w="56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w:t>
            </w:r>
          </w:p>
        </w:tc>
        <w:tc>
          <w:tcPr>
            <w:tcW w:type="dxa" w:w="33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المحور الموضوعي</w:t>
            </w:r>
          </w:p>
        </w:tc>
        <w:tc>
          <w:tcPr>
            <w:tcW w:type="dxa" w:w="13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عدد الدراسات</w:t>
            </w:r>
          </w:p>
        </w:tc>
        <w:tc>
          <w:tcPr>
            <w:tcW w:type="dxa" w:w="115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النسبة %</w:t>
            </w:r>
          </w:p>
        </w:tc>
        <w:tc>
          <w:tcPr>
            <w:tcW w:type="dxa" w:w="219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قوة الدليل</w:t>
            </w:r>
          </w:p>
        </w:tc>
      </w:tr>
      <w:tr>
        <w:trPr>
          <w:cantSplit/>
        </w:trPr>
        <w:tc>
          <w:tcPr>
            <w:tcW w:type="dxa" w:w="56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طبيعة الأثر واتجاهه</w:t>
            </w:r>
          </w:p>
        </w:tc>
        <w:tc>
          <w:tcPr>
            <w:tcW w:type="dxa" w:w="13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15</w:t>
            </w:r>
          </w:p>
        </w:tc>
        <w:tc>
          <w:tcPr>
            <w:tcW w:type="dxa" w:w="115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100</w:t>
            </w:r>
          </w:p>
        </w:tc>
        <w:tc>
          <w:tcPr>
            <w:tcW w:type="dxa" w:w="219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مرتفعة — لكن الاتجاه يتبع التصميم</w:t>
            </w:r>
          </w:p>
        </w:tc>
      </w:tr>
      <w:tr>
        <w:trPr>
          <w:cantSplit/>
        </w:trPr>
        <w:tc>
          <w:tcPr>
            <w:tcW w:type="dxa" w:w="56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أبعاد الأثر ومواضع تركّزه</w:t>
            </w:r>
          </w:p>
        </w:tc>
        <w:tc>
          <w:tcPr>
            <w:tcW w:type="dxa" w:w="13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11</w:t>
            </w:r>
          </w:p>
        </w:tc>
        <w:tc>
          <w:tcPr>
            <w:tcW w:type="dxa" w:w="115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73.3</w:t>
            </w:r>
          </w:p>
        </w:tc>
        <w:tc>
          <w:tcPr>
            <w:tcW w:type="dxa" w:w="219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متوسطة — الأبعاد موصوفة لا مقيسة</w:t>
            </w:r>
          </w:p>
        </w:tc>
      </w:tr>
      <w:tr>
        <w:trPr>
          <w:cantSplit/>
        </w:trPr>
        <w:tc>
          <w:tcPr>
            <w:tcW w:type="dxa" w:w="56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3</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العوامل الوسيطة المفسِّرة للتباين</w:t>
            </w:r>
          </w:p>
        </w:tc>
        <w:tc>
          <w:tcPr>
            <w:tcW w:type="dxa" w:w="13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9</w:t>
            </w:r>
          </w:p>
        </w:tc>
        <w:tc>
          <w:tcPr>
            <w:tcW w:type="dxa" w:w="115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60.0</w:t>
            </w:r>
          </w:p>
        </w:tc>
        <w:tc>
          <w:tcPr>
            <w:tcW w:type="dxa" w:w="219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مرتفعة — متسقة عبر سياقات مختلفة</w:t>
            </w:r>
          </w:p>
        </w:tc>
      </w:tr>
      <w:tr>
        <w:trPr>
          <w:cantSplit/>
        </w:trPr>
        <w:tc>
          <w:tcPr>
            <w:tcW w:type="dxa" w:w="56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الآثار العكسية غير المقصودة</w:t>
            </w:r>
          </w:p>
        </w:tc>
        <w:tc>
          <w:tcPr>
            <w:tcW w:type="dxa" w:w="13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6</w:t>
            </w:r>
          </w:p>
        </w:tc>
        <w:tc>
          <w:tcPr>
            <w:tcW w:type="dxa" w:w="115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40.0</w:t>
            </w:r>
          </w:p>
        </w:tc>
        <w:tc>
          <w:tcPr>
            <w:tcW w:type="dxa" w:w="219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متوسطة</w:t>
            </w:r>
          </w:p>
        </w:tc>
      </w:tr>
      <w:tr>
        <w:trPr>
          <w:cantSplit/>
        </w:trPr>
        <w:tc>
          <w:tcPr>
            <w:tcW w:type="dxa" w:w="56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إشكالات قياس المخرجات</w:t>
            </w:r>
          </w:p>
        </w:tc>
        <w:tc>
          <w:tcPr>
            <w:tcW w:type="dxa" w:w="13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15</w:t>
            </w:r>
          </w:p>
        </w:tc>
        <w:tc>
          <w:tcPr>
            <w:tcW w:type="dxa" w:w="115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100</w:t>
            </w:r>
          </w:p>
        </w:tc>
        <w:tc>
          <w:tcPr>
            <w:tcW w:type="dxa" w:w="219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مرتفعة جداً — أوضح نتائج المراجعة</w:t>
            </w:r>
          </w:p>
        </w:tc>
      </w:tr>
      <w:tr>
        <w:trPr>
          <w:cantSplit/>
        </w:trPr>
        <w:tc>
          <w:tcPr>
            <w:tcW w:type="dxa" w:w="56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6</w:t>
            </w:r>
          </w:p>
        </w:tc>
        <w:tc>
          <w:tcPr>
            <w:tcW w:type="dxa" w:w="33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حالة الأدلة في السياق العربي</w:t>
            </w:r>
          </w:p>
        </w:tc>
        <w:tc>
          <w:tcPr>
            <w:tcW w:type="dxa" w:w="13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w:t>
            </w:r>
          </w:p>
        </w:tc>
        <w:tc>
          <w:tcPr>
            <w:tcW w:type="dxa" w:w="115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26.7</w:t>
            </w:r>
          </w:p>
        </w:tc>
        <w:tc>
          <w:tcPr>
            <w:tcW w:type="dxa" w:w="219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منخفضة — تركّز مؤسسي وتخصصي حاد</w:t>
            </w:r>
          </w:p>
        </w:tc>
      </w:tr>
    </w:tbl>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المحور الأول: طبيعة الأثر واتجاهه</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أبلغت الدراسات الخمس عشرة جميعها عن أثر للاعتماد، غير أن اتجاه هذا الأثر وقوّته يرتبطان ارتباطاً منتظماً بصرامة التصميم المستخدم لا بالسياق الجغرافي. ففي الطرف الأول، سجّلت الدراسات الإدراكية أعلى مستويات الأثر: بلغ المتوسط العام لإدراك أعضاء هيئة التدريس في خمسة برامج صحية سعودية (4.08) من (5)، ولم تُدرَك أي فقرة من الفقرات الثلاث والخمسين سلباً (Bougherira &amp; Elasmar, 2023)، وارتفع رضا الطلبة ارتفاعاً دالاً عبر دورتَي اعتماد (Al-Eyadhy &amp; Alenezi, 2021).</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وفي الطرف المقابل، انتهت الدراسة الوحيدة التي اعتمدت تصميماً شبه تجريبي بمجموعة ضابطة إلى نتيجة مغايرة تماماً: لا أثر فوري لسياسة الاعتماد المؤسسي على أجور الخريجين، وعلاوة أجرية لا تظهر إلا على المدى الطويل وتقتصر على فئة واحدة من الخريجين (≈11% لخريجي البرامج المهنية دون فنيي المستوى العالي)، بل إن الأثر على قابلية التوظيف كان صفرياً أو سالباً سلباً طفيفاً (Aguiar, 2026). وفي موقع وسط، خلص فريق بحثي درس ثلاث جامعات أرجنتينية من منظور ثلاثة أطراف — قيادات وأعضاء هيئة تدريس وطلبة — إلى أن التحسّن واقع في الإدارة المؤسسية والموارد والمناهج، لكنه صرّح بأنه «ما زال مبكراً» الجزم بأثر مباشر على نواتج التعلم (De Vincenzi, Garau &amp; Guaglianone, 2018).</w:t>
      </w:r>
    </w:p>
    <w:p>
      <w:pPr>
        <w:bidi/>
        <w:spacing w:after="120" w:before="0" w:line="240"/>
        <w:ind w:firstLine="283"/>
        <w:jc w:val="both"/>
      </w:pPr>
      <w:r>
        <w:rPr>
          <w:rFonts w:ascii="Simplified Arabic" w:cs="Simplified Arabic" w:hAnsi="Simplified Arabic"/>
          <w:b/>
          <w:bCs/>
          <w:i w:val="false"/>
          <w:iCs w:val="false"/>
          <w:color w:val="000000"/>
          <w:sz w:val="28"/>
          <w:szCs w:val="28"/>
          <w:rtl/>
        </w:rPr>
        <w:t xml:space="preserve">وهذا هو الاكتشاف المركزي لهذه المراجعة: </w:t>
      </w:r>
      <w:r>
        <w:rPr>
          <w:rFonts w:ascii="Simplified Arabic" w:cs="Simplified Arabic" w:hAnsi="Simplified Arabic"/>
          <w:b w:val="false"/>
          <w:bCs w:val="false"/>
          <w:i w:val="false"/>
          <w:iCs w:val="false"/>
          <w:color w:val="000000"/>
          <w:sz w:val="28"/>
          <w:szCs w:val="28"/>
          <w:rtl/>
        </w:rPr>
        <w:t xml:space="preserve">الأثر المُبلَّغ عنه يتناسب عكسياً مع صرامة التصميم المستخدم في قياسه. فحيثما قِيس الأثر بتقديرات المستجيبين ظهر مرتفعاً، وحيثما قِيس بمؤشرات موضوعية مع مجموعة ضابطة تقلّص إلى حدود الصفر. وليس هذا تناقضاً بين الدراسات، بل هو دليل على أن جزءاً معتبراً من «الأثر» المرصود في الأدبيات قد يكون أثراً إدراكياً — أي تغيّراً في وعي الأكاديميين بالجودة وخطابهم عنها — لا تغيّراً متحققاً في تعلّم الطلبة. ويتسق هذا مع ما سبق أن نبّه إليه بيكيت وبروكس (Becket &amp; Brookes, 2008) من أن نظم الجودة تقيس مدخلاتها وإجراءاتها لا أثرها التعليمي.</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المحور الثاني: أبعاد الأثر ومواضع تركّزه</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أشارت إحدى عشرة دراسة إلى أبعاد بعينها. وقد جاء التوزيع كاشفاً عن تباين سياقي لا عن ترتيب ثابت: ففي السياق السعودي تركّز أعلى أثر في ممارسات نواتج التعلم تحديداً — المقارنة المرجعية الوطنية والدولية لنواتج التعلم (4.65)، وتحليل نتائج الطلبة لقياس التقدم (4.51)، وتصميم نواتج التعلم (4.48) — بينما جاء أدنى أثر في التطوير المهني لأعضاء هيئة التدريس (3.70) ومصادر التعلم (3.77) (Bougherira &amp; Elasmar, 2023). وفي السياق الأرجنتيني انعكست الصورة: كان أوضح تغيّر في الموارد المادية والتقنية — أجهزة العرض والحواسيب وقواعد البيانات والمختبرات — وفي الإدارة المؤسسية، بينما ظل أثر نواتج التعلم غير قابل للجزم (De Vincenzi et al., 2018).</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ويُفسَّر هذا التباين — على الأرجح — باختلاف نقطة الانطلاق المؤسسية: فالمؤسسة التي تملك موارد كافية سلفاً يظهر أثر الاعتماد فيها في المجال الأكاديمي، والمؤسسة التي تفتقر إليها يظهر الأثر فيها في البنية التحتية أولاً. غير أن الحكم يظل ضعيف الإسناد لأن الدراسات تصف هذه الأبعاد ولا تقيس إسهام كل بُعد على حدة، ولم تفكّك أي دراسة معايير الاعتماد إلى أبعاد قابلة للمقارنة الإحصائية — وهي الفجوة ذاتها التي انطلقت منها هذه المراجعة ولم تُسدّ بعد.</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المحور الثالث: العوامل الوسيطة المفسِّرة للتباين</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حدّدت تسع دراسات عوامل وسيطة، وجاءت متسقة اتساقاً لافتاً رغم اختلاف قاراتها ونظمها. وأبرزها أربعة:</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انخراط أعضاء هيئة التدريس: </w:t>
      </w:r>
      <w:r>
        <w:rPr>
          <w:rFonts w:ascii="Simplified Arabic" w:cs="Simplified Arabic" w:hAnsi="Simplified Arabic"/>
          <w:b w:val="false"/>
          <w:bCs w:val="false"/>
          <w:i w:val="false"/>
          <w:iCs w:val="false"/>
          <w:color w:val="000000"/>
          <w:sz w:val="28"/>
          <w:szCs w:val="28"/>
          <w:rtl/>
        </w:rPr>
        <w:t xml:space="preserve">ارتبط ضعف الأثر بغياب مشاركتهم في تصميم النظم لا في تنفيذها فحسب (Tavares et al., 2017)، وقلّصت المداخل المركزية للاستجابة لمتطلبات المساءلة هذا الانخراط (Hilliger et al., 2022).</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منطق تبنّي النظام — تحسين أم مساءلة: </w:t>
      </w:r>
      <w:r>
        <w:rPr>
          <w:rFonts w:ascii="Simplified Arabic" w:cs="Simplified Arabic" w:hAnsi="Simplified Arabic"/>
          <w:b w:val="false"/>
          <w:bCs w:val="false"/>
          <w:i w:val="false"/>
          <w:iCs w:val="false"/>
          <w:color w:val="000000"/>
          <w:sz w:val="28"/>
          <w:szCs w:val="28"/>
          <w:rtl/>
        </w:rPr>
        <w:t xml:space="preserve">حين يُفرض النظام من أعلى ويُبنى على المساءلة يولّد مقاومة صامتة (Cardoso et al., 2016). ولافتٌ أن الباحثَين السعوديين عزوا الأثر الإيجابي المرتفع في دراستهما إلى أن الهيئة الوطنية تبنّت مدخلاً قائماً على نواتج التعلم وتدرّجاً في التطبيق دام أربع سنوات تجريبية قبل الإلزام، وبَنَت علاقة ثقة مع المؤسسات — أي أنها اختارت منطق التحسين لا المساءلة (Bougherira &amp; Elasmar, 2023).</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نضج ثقافة الجودة المؤسسية: </w:t>
      </w:r>
      <w:r>
        <w:rPr>
          <w:rFonts w:ascii="Simplified Arabic" w:cs="Simplified Arabic" w:hAnsi="Simplified Arabic"/>
          <w:b w:val="false"/>
          <w:bCs w:val="false"/>
          <w:i w:val="false"/>
          <w:iCs w:val="false"/>
          <w:color w:val="000000"/>
          <w:sz w:val="28"/>
          <w:szCs w:val="28"/>
          <w:rtl/>
        </w:rPr>
        <w:t xml:space="preserve">عُدّ عدم ترسّخ ثقافة التقييم الذاتي عاملاً مقيِّداً لاستيعاب التغيير (De Vincenzi et al., 2018)، في مقابل مؤسسة أمضت ست سنوات في بناء نظامها الداخلي قبل اعتمادها المؤسسي فجاء أثرها مرتفعاً (Bougherira &amp; Elasmar, 2023).</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حداثة البرنامج وظروف سوق العمل: </w:t>
      </w:r>
      <w:r>
        <w:rPr>
          <w:rFonts w:ascii="Simplified Arabic" w:cs="Simplified Arabic" w:hAnsi="Simplified Arabic"/>
          <w:b w:val="false"/>
          <w:bCs w:val="false"/>
          <w:i w:val="false"/>
          <w:iCs w:val="false"/>
          <w:color w:val="000000"/>
          <w:sz w:val="28"/>
          <w:szCs w:val="28"/>
          <w:rtl/>
        </w:rPr>
        <w:t xml:space="preserve">استفادت البرامج حديثة الإنشاء من الاعتماد أكثر من المستقرة (Ulker &amp; Bakioglu, 2019)، وهو ما تأكّد داخلياً إذ سجّل أحدث البرامج الصحية أعلى أثر مُدرَك. كما تباين الأثر الأجري تبايناً حاداً بين القطاعات الإنتاجية، وتآكل في القطاعات التي تتوافر فيها معلومات مسبقة عن جودة الخريجين (Aguiar, 2026).</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المحور الرابع: الآثار العكسية غير المقصودة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رصدت ست دراسات آثاراً عكسية، أبرزها إدراك الأكاديميين لنظم الجودة بوصفها عبئاً بيروقراطياً وثقافة «تعليم المربعات» (Cardoso et al., 2016؛ Khamis &amp; Scully, 2020)، وتقلّص انخراط هيئة التدريس تحت وطأة المركزية (Hilliger et al., 2022). وأضافت الدراسة التشيلية بُعداً اقتصادياً جديداً: تآكل الإشارة السوقية للاعتماد كلما شاع وعمّ، إذ تراجع أثره الأجري في قطاعَي النقل والاتصالات والمالية والتأمين على المدى الطويل، بما يتسق مع فرضية أن جزءاً من قيمته إشارةٌ للسوق تفقد قوّتها التمييزية بالانتشار لا تحسينٌ حقيقي في الإنتاجية (Aguiar, 2026).</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المحور الخامس: إشكالات قياس المخرجات</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هذا أوضح محاور المراجعة وأقواها إسناداً، إذ حضر في الدراسات الخمس عشرة جميعها. فمن حيث نوع المؤشر، اعتمدت ثلاث عشرة دراسة (86.7%) مؤشرات إدراكية مبنية على تقديرات المستجيبين، مقابل دراستين فقط (13.3%) اعتمدتا مؤشرات موضوعية. ومن حيث التصميم، لم تستخدم سوى دراسة واحدة مجموعة ضابطة حقيقية، فيما اعتمدت دراستان تصميماً قبلياً/بعدياً بلا ضابط، وظلّت البقية مقطعية.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ويترتب على غياب المجموعة الضابطة إشكال جوهري: فالتحسّن المرصود في التصاميم القبلية/البعدية قد يعود إلى الاعتماد، وقد يعود إلى التطور الطبيعي للمؤسسة عبر عقد من الزمن، أو إلى تغيّر خصائص الملتحقين، أو إلى مبادرات موازية. وقد أقرّ الباحثون السعوديون أنفسهم بهذا الحد حين كتبوا أنه «سيكون من الصعب الجزم بأن التحسّن يُعزى كلياً إلى الاعتماد». وتُضاف إلى ذلك مشكلة الأدوات المصمَّمة ذاتياً والموزَّعة داخلياً على من خاض تجربة الاعتماد، وما تحمله من خطر تحيّز الاستجابة الموافِقة — وهو ما تجلّى في غياب أي استجابة سلبية من ثلاث وخمسين فقرة.</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المحور السادس: حالة الأدلة في السياق العربي</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أُجريت أربع دراسات من خمس عشرة (26.7%) في السياق العربي، وجميعها في المملكة العربية السعودية دون سائر الدول العربية. وهذه النسبة تبدو مقبولة عددياً، لكن الفحص الدقيق يكشف تركّزاً بنيوياً حاداً على ثلاثة مستويات:</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التركّز التخصصي: </w:t>
      </w:r>
      <w:r>
        <w:rPr>
          <w:rFonts w:ascii="Simplified Arabic" w:cs="Simplified Arabic" w:hAnsi="Simplified Arabic"/>
          <w:b w:val="false"/>
          <w:bCs w:val="false"/>
          <w:i w:val="false"/>
          <w:iCs w:val="false"/>
          <w:color w:val="000000"/>
          <w:sz w:val="28"/>
          <w:szCs w:val="28"/>
          <w:rtl/>
        </w:rPr>
        <w:t xml:space="preserve">ثلاث من الأربع أُجريت في برامج صحية بحتة — الطب وطب الأسنان والتمريض والمختبرات الإكلينيكية والرعاية التنفسية — والرابعة في برامج اللغة الإنجليزية. ولم تُجرَ أي دراسة في كليات الهندسة أو الإدارة أو العلوم الإنسانية.</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التركّز المؤسسي: </w:t>
      </w:r>
      <w:r>
        <w:rPr>
          <w:rFonts w:ascii="Simplified Arabic" w:cs="Simplified Arabic" w:hAnsi="Simplified Arabic"/>
          <w:b w:val="false"/>
          <w:bCs w:val="false"/>
          <w:i w:val="false"/>
          <w:iCs w:val="false"/>
          <w:color w:val="000000"/>
          <w:sz w:val="28"/>
          <w:szCs w:val="28"/>
          <w:rtl/>
        </w:rPr>
        <w:t xml:space="preserve">دراستان من الأربع أُجريتا في المؤسسة نفسها وعلى البرنامج نفسه (برنامج الطب بجامعة الملك سعود) وتشتركان في أحد مؤلفيهما، فما يبدو دليلين مستقلين هو امتداد لخط بحثي واحد.</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التركّز المنهجي: </w:t>
      </w:r>
      <w:r>
        <w:rPr>
          <w:rFonts w:ascii="Simplified Arabic" w:cs="Simplified Arabic" w:hAnsi="Simplified Arabic"/>
          <w:b w:val="false"/>
          <w:bCs w:val="false"/>
          <w:i w:val="false"/>
          <w:iCs w:val="false"/>
          <w:color w:val="000000"/>
          <w:sz w:val="28"/>
          <w:szCs w:val="28"/>
          <w:rtl/>
        </w:rPr>
        <w:t xml:space="preserve">لم تستخدم أي من الدراسات العربية الأربع مجموعة ضابطة، وثلاث منها إدراكية.</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وتؤكد هذه النتيجة — بأدلة محسوبة لا بافتراض — ما أشارت إليه الأدبيات من ندرة الأدلة حول أثر الاعتماد في تعزيز تعلّم الطلبة في هذا السياق. فالندرة ليست في العدد المطلق فحسب، بل في تنوع التخصصات واستقلال المصادر وصرامة التصاميم.</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الإجابات عن أسئلة المراجعة</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السؤال الأول (خصائص الدراسات): </w:t>
      </w:r>
      <w:r>
        <w:rPr>
          <w:rFonts w:ascii="Simplified Arabic" w:cs="Simplified Arabic" w:hAnsi="Simplified Arabic"/>
          <w:b w:val="false"/>
          <w:bCs w:val="false"/>
          <w:i w:val="false"/>
          <w:iCs w:val="false"/>
          <w:color w:val="000000"/>
          <w:sz w:val="28"/>
          <w:szCs w:val="28"/>
          <w:rtl/>
        </w:rPr>
        <w:t xml:space="preserve">خمس عشرة دراسة منشورة بين 2016 و2026 في أحد عشر سياقاً وطنياً، منها أربع في السياق العربي؛ بواقع دراسة شبه تجريبية واحدة، ودراستين قبليتين/بعديتين، وثلاث مختلطة، وتسع مسحية أو دراسات حالة؛ واعتمدت (86.7%) منها مؤشرات إدراكية.</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السؤال الثاني (الجودة المنهجية): </w:t>
      </w:r>
      <w:r>
        <w:rPr>
          <w:rFonts w:ascii="Simplified Arabic" w:cs="Simplified Arabic" w:hAnsi="Simplified Arabic"/>
          <w:b w:val="false"/>
          <w:bCs w:val="false"/>
          <w:i w:val="false"/>
          <w:iCs w:val="false"/>
          <w:color w:val="000000"/>
          <w:sz w:val="28"/>
          <w:szCs w:val="28"/>
          <w:rtl/>
        </w:rPr>
        <w:t xml:space="preserve">من الدراسات الثلاث المقيَّمة بالنص الكامل، حصلت دراستان على تقدير مرتفع وواحدة على متوسط لخطر تحيّز الاستجابة. والضعف المنهجي الأشيع في القاعدة كلها هو غياب المجموعة الضابطة.</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السؤال الثالث (اتجاه الأثر واتساقه): </w:t>
      </w:r>
      <w:r>
        <w:rPr>
          <w:rFonts w:ascii="Simplified Arabic" w:cs="Simplified Arabic" w:hAnsi="Simplified Arabic"/>
          <w:b w:val="false"/>
          <w:bCs w:val="false"/>
          <w:i w:val="false"/>
          <w:iCs w:val="false"/>
          <w:color w:val="000000"/>
          <w:sz w:val="28"/>
          <w:szCs w:val="28"/>
          <w:rtl/>
        </w:rPr>
        <w:t xml:space="preserve">الاتجاه إيجابي في الدراسات الإدراكية ومتقلّص إلى حدود الصفر في الدراسة الوحيدة ذات المجموعة الضابطة. أي أن الأثر غير متجانس، وتباينه يُفسَّر بصرامة التصميم أكثر مما يُفسَّر بالسياق.</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السؤال الرابع (أقوى الأبعاد): </w:t>
      </w:r>
      <w:r>
        <w:rPr>
          <w:rFonts w:ascii="Simplified Arabic" w:cs="Simplified Arabic" w:hAnsi="Simplified Arabic"/>
          <w:b w:val="false"/>
          <w:bCs w:val="false"/>
          <w:i w:val="false"/>
          <w:iCs w:val="false"/>
          <w:color w:val="000000"/>
          <w:sz w:val="28"/>
          <w:szCs w:val="28"/>
          <w:rtl/>
        </w:rPr>
        <w:t xml:space="preserve">لا تسمح الأدلة بترتيب مسنَد للأبعاد، لأن الدراسات تصفها ولا تقيس إسهام كل بُعد. غير أن بُعد تصميم نواتج التعلم وقياسها كان الأكثر تكراراً في مواضع الأثر الأعلى، تلاه بُعد الموارد والبنية التحتية في السياقات محدودة الموارد.</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السؤال الخامس (العوامل الوسيطة): </w:t>
      </w:r>
      <w:r>
        <w:rPr>
          <w:rFonts w:ascii="Simplified Arabic" w:cs="Simplified Arabic" w:hAnsi="Simplified Arabic"/>
          <w:b w:val="false"/>
          <w:bCs w:val="false"/>
          <w:i w:val="false"/>
          <w:iCs w:val="false"/>
          <w:color w:val="000000"/>
          <w:sz w:val="28"/>
          <w:szCs w:val="28"/>
          <w:rtl/>
        </w:rPr>
        <w:t xml:space="preserve">أربعة عوامل متسقة عبر السياقات: انخراط أعضاء هيئة التدريس، ومنطق تبنّي النظام (تحسين مقابل مساءلة)، ونضج ثقافة الجودة المؤسسية، وحداثة البرنامج وظروف سوق العمل. وهذه أقوى إجابة أنتجتها المراجعة اتساقاً.</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السؤال السادس (السياق العربي): </w:t>
      </w:r>
      <w:r>
        <w:rPr>
          <w:rFonts w:ascii="Simplified Arabic" w:cs="Simplified Arabic" w:hAnsi="Simplified Arabic"/>
          <w:b w:val="false"/>
          <w:bCs w:val="false"/>
          <w:i w:val="false"/>
          <w:iCs w:val="false"/>
          <w:color w:val="000000"/>
          <w:sz w:val="28"/>
          <w:szCs w:val="28"/>
          <w:rtl/>
        </w:rPr>
        <w:t xml:space="preserve">الأدلة العربية أربع دراسات كلها سعودية، ثلاث منها في برامج صحية، ودراستان في مؤسسة واحدة بمؤلف مشترك، ولا واحدة منها بمجموعة ضابطة. فجوة مؤكَّدة على ثلاثة مستويات: تخصصي ومؤسسي ومنهجي.</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الاستنتاجات</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تنتهي هذه المراجعة إلى ثلاثة استنتاجات رئيسة. أولها أن الاعتماد الأكاديمي يُحدث أثراً حقيقياً لكنه يتركّز في البنية التنظيمية والإجرائية للمؤسسة — الحوكمة، وتوثيق المناهج، وآليات القياس، والموارد — أكثر مما يتركّز في تعلّم الطلبة نفسه. وثانيها أن قوة الأثر المُبلَّغ عنه تتناسب عكسياً مع صرامة تصميم الدراسة، بما يرجّح أن جزءاً معتبراً منه أثرٌ إدراكي لا متحقق. وثالثها أن السؤال الصحيح ليس «هل ينفع الاعتماد؟» بل «تحت أي شروط ينفع؟» — وأن الأدلة تشير إلى أربعة شروط متسقة: انخراط أعضاء هيئة التدريس، ومنطق التحسين لا المساءلة، ونضج ثقافة الجودة، وملاءمة ظروف السياق.</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ويحمل هذا الاستنتاج دلالة عملية مباشرة لصانع السياسة: فإن كان جزء من الأثر إشارةً سوقية تتآكل بالانتشار، فإن الاستثمار في جودة العمليات التعليمية ذاتها يبقى أجدى من الاستثمار في تحصيل الشهادة.</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محددات المراجعة</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محدودية قاعدة البحث: </w:t>
      </w:r>
      <w:r>
        <w:rPr>
          <w:rFonts w:ascii="Simplified Arabic" w:cs="Simplified Arabic" w:hAnsi="Simplified Arabic"/>
          <w:b w:val="false"/>
          <w:bCs w:val="false"/>
          <w:i w:val="false"/>
          <w:iCs w:val="false"/>
          <w:color w:val="000000"/>
          <w:sz w:val="28"/>
          <w:szCs w:val="28"/>
          <w:rtl/>
        </w:rPr>
        <w:t xml:space="preserve">اقتصر البحث المنهجي على قاعدة ERIC وحدها، ولم يُنفَّذ في Scopus وWeb of Science وقواعد البيانات العربية كما نصّ البروتوكول، لتعذّر الوصول إليها. وهذا أخطر محددات المراجعة، ويعني أن دراسات مؤهلة — لا سيما المنشورة في أوعية إدارية أو عربية — تقع خارج نطاقها.</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محدودية التحقق بالنص الكامل: </w:t>
      </w:r>
      <w:r>
        <w:rPr>
          <w:rFonts w:ascii="Simplified Arabic" w:cs="Simplified Arabic" w:hAnsi="Simplified Arabic"/>
          <w:b w:val="false"/>
          <w:bCs w:val="false"/>
          <w:i w:val="false"/>
          <w:iCs w:val="false"/>
          <w:color w:val="000000"/>
          <w:sz w:val="28"/>
          <w:szCs w:val="28"/>
          <w:rtl/>
        </w:rPr>
        <w:t xml:space="preserve">أمكن استرجاع ثلاثة نصوص كاملة من أصل واحد وعشرين تقريراً مطلوباً، فبيانات اثنتي عشرة دراسة مستخلصة من المستخلصات وتظل خاضعة للتحقق.</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تعديل المدى الزمني: </w:t>
      </w:r>
      <w:r>
        <w:rPr>
          <w:rFonts w:ascii="Simplified Arabic" w:cs="Simplified Arabic" w:hAnsi="Simplified Arabic"/>
          <w:b w:val="false"/>
          <w:bCs w:val="false"/>
          <w:i w:val="false"/>
          <w:iCs w:val="false"/>
          <w:color w:val="000000"/>
          <w:sz w:val="28"/>
          <w:szCs w:val="28"/>
          <w:rtl/>
        </w:rPr>
        <w:t xml:space="preserve">طُبّقت الفلترة على الفترة (2017–2026) بدل (2010–2026) المعلنة في البروتوكول، بما قد يكون أغفل دراسات مؤهلة.</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تحيّز الباحث الواحد: </w:t>
      </w:r>
      <w:r>
        <w:rPr>
          <w:rFonts w:ascii="Simplified Arabic" w:cs="Simplified Arabic" w:hAnsi="Simplified Arabic"/>
          <w:b w:val="false"/>
          <w:bCs w:val="false"/>
          <w:i w:val="false"/>
          <w:iCs w:val="false"/>
          <w:color w:val="000000"/>
          <w:sz w:val="28"/>
          <w:szCs w:val="28"/>
          <w:rtl/>
        </w:rPr>
        <w:t xml:space="preserve">أُنجز الفرز بباحث رئيس واحد دون فرز مزدوج كامل ودون حساب معامل كابا، خلافاً لما نصّ عليه البروتوكول.</w:t>
      </w:r>
    </w:p>
    <w:p>
      <w:pPr>
        <w:pStyle w:val="ListParagraph"/>
        <w:numPr>
          <w:ilvl w:val="0"/>
          <w:numId w:val="1"/>
        </w:numPr>
        <w:bidi/>
        <w:spacing w:after="60" w:line="360"/>
        <w:ind w:right="360"/>
        <w:jc w:val="both"/>
      </w:pPr>
      <w:r>
        <w:rPr>
          <w:rFonts w:ascii="Simplified Arabic" w:cs="Simplified Arabic" w:hAnsi="Simplified Arabic"/>
          <w:b/>
          <w:bCs/>
          <w:i w:val="false"/>
          <w:iCs w:val="false"/>
          <w:color w:val="000000"/>
          <w:sz w:val="28"/>
          <w:szCs w:val="28"/>
          <w:rtl/>
        </w:rPr>
        <w:t xml:space="preserve">تحيّز اللغة والنشر: </w:t>
      </w:r>
      <w:r>
        <w:rPr>
          <w:rFonts w:ascii="Simplified Arabic" w:cs="Simplified Arabic" w:hAnsi="Simplified Arabic"/>
          <w:b w:val="false"/>
          <w:bCs w:val="false"/>
          <w:i w:val="false"/>
          <w:iCs w:val="false"/>
          <w:color w:val="000000"/>
          <w:sz w:val="28"/>
          <w:szCs w:val="28"/>
          <w:rtl/>
        </w:rPr>
        <w:t xml:space="preserve">اقتصرت المراجعة على العربية والإنجليزية، ويُرجَّح أن الدراسات ذات النتائج الدالة أوفر حظاً في النشر، بما قد يضخّم اتجاه الأثر المُركَّب.</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التوصيات</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تُشتق التوصيات الآتية مباشرةً من نتائج التركيب الموضوعي ومن مستوى الثقة في الأدلة الداعمة لكل محور:</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أولاً: على المستوى العلمي</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اعتماد مؤشرات موضوعية لقياس المخرجات — درجات الطلبة، ونتائج اختبارات الترخيص المهني، ونسب التوظيف والأجور — إذ اعتمدت (86.7%) من الدراسات المشمولة مؤشرات إدراكية، وهي أضعف أنواع الدليل.</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اعتماد مجموعة مقارنة من مؤسسات غير معتمدة، فقد استخدمت دراسة واحدة فقط من خمس عشرة مجموعةً ضابطة، وهي الوحيدة التي أتاحت عزل أثر الاعتماد عن أثر التطور الطبيعي للمؤسسة.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تفكيك معايير الاعتماد إلى أبعاد فرعية وقياس إسهام كل بُعد على حدة، إذ لم تفعل ذلك أي من الدراسات الخمس عشرة، وهو ما حال دون ترتيب الأبعاد وفق قوة الأثر.</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توسيع قاعدة الأدلة العربية خارج التعليم الصحي وخارج المؤسسة الواحدة، إذ إن ثلاثاً من أربع دراسات عربية أُجريت في برامج صحية، واثنتين منها في مؤسسة واحدة بمؤلف مشترك.</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تجنّب الأدوات المصمَّمة ذاتياً الموزَّعة داخلياً على من خاض تجربة الاعتماد، أو معالجة تحيّز الاستجابة الموافِقة إحصائياً عند تعذّر ذلك.</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ثانياً: على المستوى العملي</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إشراك أعضاء هيئة التدريس في تصميم نظم ضمان الجودة لا في تنفيذها فحسب، فقد ارتبط ضعف الأثر بغياب هذا الإشراك في أربع دراسات مستقلة.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تبنّي منطق التحسين لا المساءلة في تصميم النظام وخطابه وتدرّج تطبيقه، إذ عُزي الأثر الإيجابي المرتفع في السياق السعودي إلى مدخل قائم على نواتج التعلم وأربع سنوات تجريبية سبقت الإلزام.</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الاستثمار في نضج نظام الجودة الداخلي قبل السعي إلى الاعتماد الخارجي، فقد ارتبط الأثر المرتفع بمؤسسة أمضت ست سنوات في بناء نظامها الداخلي، وارتبط الأثر المحدود بضعف ترسّخ ثقافة التقييم الذاتي.</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إدراج مؤشرات مخرجات موضوعية ضمن أدلة الاعتماد الوطنية، بما يحوّل التقويم من قياس الإجراء إلى قياس الأثر.</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تخفيف العبء التوثيقي عبر رقمنة الأدلة وأتمتة جمع المؤشرات، استجابةً لما رصدته ست دراسات من إدراك الأكاديميين لهذه النظم بوصفها عبئاً بيروقراطياً.</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ثالثاً: المقترحات البحثية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استكمال البحث المنهجي في Scopus وWeb of Science وقواعد البيانات العربية لتثبيت هذه النتائج أو تعديلها.</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إجراء دراسة شبه تجريبية في السياق العربي على غرار التصميم التشيلي، بمجموعة ضابطة ومؤشرات توظيف وأجور فعلية.</w:t>
      </w:r>
    </w:p>
    <w:p>
      <w:pPr>
        <w:pStyle w:val="ListParagraph"/>
        <w:numPr>
          <w:ilvl w:val="0"/>
          <w:numId w:val="1"/>
        </w:numPr>
        <w:bidi/>
        <w:spacing w:after="60" w:line="360"/>
        <w:ind w:right="360"/>
        <w:jc w:val="both"/>
      </w:pPr>
      <w:r>
        <w:rPr>
          <w:rFonts w:ascii="Simplified Arabic" w:cs="Simplified Arabic" w:hAnsi="Simplified Arabic"/>
          <w:b w:val="false"/>
          <w:bCs w:val="false"/>
          <w:i w:val="false"/>
          <w:iCs w:val="false"/>
          <w:color w:val="000000"/>
          <w:sz w:val="28"/>
          <w:szCs w:val="28"/>
          <w:rtl/>
        </w:rPr>
        <w:t xml:space="preserve">إجراء مراجعة لاحقة تقتصر على الدراسات ذات المؤشرات الموضوعية، بما يتيح تحليلاً بعدياً عند توافر تجانس كافٍ.</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قائمة المصادر والمراجع</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أولاً: المراجع العربية</w:t>
      </w:r>
    </w:p>
    <w:p>
      <w:pPr>
        <w:bidi/>
        <w:spacing w:after="120" w:line="300"/>
        <w:ind w:right="400" w:hanging="400"/>
        <w:jc w:val="both"/>
      </w:pPr>
      <w:r>
        <w:rPr>
          <w:rFonts w:ascii="Simplified Arabic" w:cs="Simplified Arabic" w:hAnsi="Simplified Arabic"/>
          <w:b w:val="false"/>
          <w:bCs w:val="false"/>
          <w:i w:val="false"/>
          <w:iCs w:val="false"/>
          <w:color w:val="000000"/>
          <w:sz w:val="28"/>
          <w:szCs w:val="28"/>
          <w:rtl/>
        </w:rPr>
        <w:t xml:space="preserve">المركز الوطني للتقويم والاعتماد الأكاديمي. (2018). معايير الاعتماد المؤسسي في التعليم العالي. الرياض: هيئة تقويم التعليم والتدريب.</w:t>
      </w:r>
    </w:p>
    <w:p>
      <w:pPr>
        <w:bidi/>
        <w:spacing w:after="120" w:line="300"/>
        <w:ind w:right="400" w:hanging="400"/>
        <w:jc w:val="both"/>
      </w:pPr>
      <w:r>
        <w:rPr>
          <w:rFonts w:ascii="Simplified Arabic" w:cs="Simplified Arabic" w:hAnsi="Simplified Arabic"/>
          <w:b w:val="false"/>
          <w:bCs w:val="false"/>
          <w:i w:val="false"/>
          <w:iCs w:val="false"/>
          <w:color w:val="000000"/>
          <w:sz w:val="28"/>
          <w:szCs w:val="28"/>
          <w:rtl/>
        </w:rPr>
        <w:t xml:space="preserve">المركز الوطني للتقويم والاعتماد الأكاديمي. (2018). معايير الاعتماد البرامجي في التعليم العالي. الرياض: هيئة تقويم التعليم والتدريب.</w:t>
      </w:r>
    </w:p>
    <w:p>
      <w:pPr>
        <w:bidi/>
        <w:spacing w:after="120" w:line="300"/>
        <w:ind w:right="400" w:hanging="400"/>
        <w:jc w:val="both"/>
      </w:pPr>
      <w:r>
        <w:rPr>
          <w:rFonts w:ascii="Simplified Arabic" w:cs="Simplified Arabic" w:hAnsi="Simplified Arabic"/>
          <w:b w:val="false"/>
          <w:bCs w:val="false"/>
          <w:i w:val="false"/>
          <w:iCs w:val="false"/>
          <w:color w:val="000000"/>
          <w:sz w:val="28"/>
          <w:szCs w:val="28"/>
          <w:rtl/>
        </w:rPr>
        <w:t xml:space="preserve">هيئة تقويم التعليم والتدريب. (2022). دليل إجراءات الاعتماد الأكاديمي المؤسسي. الرياض: هيئة تقويم التعليم والتدريب.</w:t>
      </w:r>
    </w:p>
    <w:p>
      <w:pPr>
        <w:bidi/>
        <w:spacing w:after="120" w:line="300"/>
        <w:ind w:right="400" w:hanging="400"/>
        <w:jc w:val="both"/>
      </w:pPr>
      <w:r>
        <w:rPr>
          <w:rFonts w:ascii="Simplified Arabic" w:cs="Simplified Arabic" w:hAnsi="Simplified Arabic"/>
          <w:b w:val="false"/>
          <w:bCs w:val="false"/>
          <w:i w:val="false"/>
          <w:iCs w:val="false"/>
          <w:color w:val="000000"/>
          <w:sz w:val="28"/>
          <w:szCs w:val="28"/>
          <w:rtl/>
        </w:rPr>
        <w:t xml:space="preserve">وزارة التعليم. (2023). الكتاب الإحصائي السنوي للتعليم العالي. الرياض: وزارة التعليم.</w:t>
      </w:r>
    </w:p>
    <w:p>
      <w:pPr>
        <w:bidi/>
        <w:spacing w:after="120" w:line="300"/>
        <w:ind w:right="400" w:hanging="400"/>
        <w:jc w:val="both"/>
      </w:pPr>
      <w:r>
        <w:rPr>
          <w:rFonts w:ascii="Simplified Arabic" w:cs="Simplified Arabic" w:hAnsi="Simplified Arabic"/>
          <w:b w:val="false"/>
          <w:bCs w:val="false"/>
          <w:i w:val="false"/>
          <w:iCs w:val="false"/>
          <w:color w:val="000000"/>
          <w:sz w:val="28"/>
          <w:szCs w:val="28"/>
          <w:rtl/>
        </w:rPr>
        <w:t xml:space="preserve">رؤية المملكة العربية السعودية 2030. (2016). وثيقة رؤية المملكة العربية السعودية 2030. الرياض: مجلس الشؤون الاقتصادية والتنمية.</w:t>
      </w:r>
    </w:p>
    <w:p>
      <w:pPr>
        <w:bidi/>
        <w:spacing w:after="120" w:line="300"/>
        <w:ind w:right="400" w:hanging="400"/>
        <w:jc w:val="both"/>
      </w:pPr>
      <w:r>
        <w:rPr>
          <w:rFonts w:ascii="Simplified Arabic" w:cs="Simplified Arabic" w:hAnsi="Simplified Arabic"/>
          <w:b w:val="false"/>
          <w:bCs w:val="false"/>
          <w:i w:val="false"/>
          <w:iCs w:val="false"/>
          <w:color w:val="000000"/>
          <w:sz w:val="28"/>
          <w:szCs w:val="28"/>
          <w:rtl/>
        </w:rPr>
        <w:t xml:space="preserve">برنامج تنمية القدرات البشرية. (2021). وثيقة برنامج تنمية القدرات البشرية 2021–2025. الرياض: رؤية المملكة 2030.</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ثانياً: المراجع الأجنبية</w:t>
      </w:r>
    </w:p>
    <w:p>
      <w:pPr>
        <w:bidi w:val="false"/>
        <w:spacing w:after="100"/>
        <w:jc w:val="left"/>
      </w:pPr>
      <w:r>
        <w:rPr>
          <w:rFonts w:ascii="Times New Roman" w:cs="Times New Roman" w:hAnsi="Times New Roman"/>
          <w:b/>
          <w:bCs/>
          <w:i w:val="false"/>
          <w:iCs w:val="false"/>
          <w:color w:val="000000"/>
          <w:sz w:val="28"/>
          <w:szCs w:val="28"/>
        </w:rPr>
        <w:t xml:space="preserve">References (English)</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Becket, N., &amp; Brookes, M. (2008). Quality management practice in higher education – What quality are we actually enhancing? Journal of Hospitality, Leisure, Sport and Tourism Education, 7(1), 40–54.</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Al-Eyadhy, A., &amp; Alenezi, S. (2021). The impact of external academic accreditation of undergraduate medical program on students’ satisfaction. BMC Medical Education, 21, 565. https://doi.org/10.1186/s12909-021-03003-0</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Alenezi, S., Al-Eadhy, A., Barasain, R., AlWakeel, T. S., AlEidan, A., &amp; Abohumid, H. N. (2023). Impact of external accreditation on students’ performance: Insights from a full accreditation cycle. Heliyon, 9(5), e15815. https://doi.org/10.1016/j.heliyon.2023.e15815</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Bloch, C., Degn, L., Nygaard, S., &amp; Haase, S. (2021). Does quality work work? A systematic review of academic literature on quality initiatives in higher education. Assessment &amp; Evaluation in Higher Education, 46(5), 701–718. https://doi.org/10.1080/02602938.2020.1813250</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Cardoso, S., Rosa, M. J., &amp; Stensaker, B. (2016). Why is quality in higher education not achieved? The view of academics. Assessment &amp; Evaluation in Higher Education, 41(6), 950–965.</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Cohen, J. (1960). A coefficient of agreement for nominal scales. Educational and Psychological Measurement, 20(1), 37–46.</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Deming, W. E. (1986). Out of the crisis. MIT Center for Advanced Engineering Study.</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Duarte, N., &amp; Vardasca, R. (2023). Literature review of accreditation systems in higher education. Education Sciences, 13(6), Article 582.</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Elassy, N. (2015). The concepts of quality, quality assurance and quality enhancement. Quality Assurance in Education, 23(3), 250–261.</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ESG. (2015). Standards and guidelines for quality assurance in the European Higher Education Area (ESG). Brussels: EURASHE.</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Harvey, L., &amp; Green, D. (1993). Defining quality. Assessment &amp; Evaluation in Higher Education, 18(1), 9–34.</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Hong, Q. N., Fàbregues, S., Bartlett, G., Boardman, F., Cargo, M., Dagenais, P., et al. (2018). The Mixed Methods Appraisal Tool (MMAT) version 2018 for information professionals and researchers. Education for Information, 34(4), 285–291.</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Manatos, M. J., Sarrico, C. S., &amp; Rosa, M. J. (2017). The integration of quality management in higher education institutions: A systematic literature review. Total Quality Management &amp; Business Excellence, 28(1–2), 159–175.</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Martin, M., &amp; Stella, A. (2007). External quality assurance in higher education: Making choices. Paris: UNESCO International Institute for Educational Planning.</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Moher, D., Shamseer, L., Clarke, M., Ghersi, D., Liberati, A., Petticrew, M., Shekelle, P., &amp; Stewart, L. A. (2015). Preferred reporting items for systematic review and meta-analysis protocols (PRISMA-P) 2015 statement. Systematic Reviews, 4, 1.</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Ouzzani, M., Hammady, H., Fedorowicz, Z., &amp; Elmagarmid, A. (2016). Rayyan — a web and mobile app for systematic reviews. Systematic Reviews, 5, 210.</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Page, M. J., McKenzie, J. E., Bossuyt, P. M., Boutron, I., Hoffmann, T. C., Mulrow, C. D., et al. (2021). The PRISMA 2020 statement: An updated guideline for reporting systematic reviews. BMJ, 372, n71.</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Popay, J., Roberts, H., Sowden, A., Petticrew, M., Arai, L., Rodgers, M., et al. (2006). Guidance on the conduct of narrative synthesis in systematic reviews. Lancaster: ESRC Methods Programme.</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Ryan, T. (2015). Quality assurance in higher education: A review of literature. Higher Learning Research Communications, 5(4), 1–12.</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Shamseer, L., Moher, D., Clarke, M., Ghersi, D., Liberati, A., Petticrew, M., Shekelle, P., &amp; Stewart, L. A. (2015). Preferred reporting items for systematic review and meta-analysis protocols (PRISMA-P) 2015: Elaboration and explanation. BMJ, 350, g7647.</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Sallis, E. (2002). Total quality management in education (3rd ed.). London: Kogan Page.</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Tavares, O., Sin, C., Videira, P., &amp; Amaral, A. (2017). Academics' perceptions of the impact of internal quality assurance on teaching and learning. Assessment &amp; Evaluation in Higher Education, 42(8), 1293–1305.</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Thomas, J., &amp; Harden, A. (2008). Methods for the thematic synthesis of qualitative research in systematic reviews. BMC Medical Research Methodology, 8, 45.</w:t>
      </w:r>
    </w:p>
    <w:p>
      <w:pPr>
        <w:bidi w:val="false"/>
        <w:spacing w:after="120" w:line="300"/>
        <w:ind w:left="400" w:hanging="400"/>
        <w:jc w:val="left"/>
      </w:pPr>
      <w:r>
        <w:rPr>
          <w:rFonts w:ascii="Times New Roman" w:cs="Times New Roman" w:hAnsi="Times New Roman"/>
          <w:b w:val="false"/>
          <w:bCs w:val="false"/>
          <w:i w:val="false"/>
          <w:iCs w:val="false"/>
          <w:color w:val="000000"/>
          <w:sz w:val="28"/>
          <w:szCs w:val="28"/>
        </w:rPr>
        <w:t xml:space="preserve">Vlăsceanu, L., Grünberg, L., &amp; Pârlea, D. (2007). Quality assurance and accreditation: A glossary of basic terms and definitions. Bucharest: UNESCO-CEPES.</w:t>
      </w:r>
    </w:p>
    <w:p>
      <w:pPr>
        <w:pStyle w:val="Heading1"/>
        <w:pageBreakBefore/>
        <w:bidi/>
        <w:spacing w:after="200" w:before="240" w:line="360"/>
        <w:jc w:val="center"/>
      </w:pPr>
      <w:r>
        <w:rPr>
          <w:rFonts w:ascii="Simplified Arabic" w:cs="Simplified Arabic" w:hAnsi="Simplified Arabic"/>
          <w:b/>
          <w:bCs/>
          <w:i w:val="false"/>
          <w:iCs w:val="false"/>
          <w:color w:val="000000"/>
          <w:sz w:val="40"/>
          <w:szCs w:val="40"/>
          <w:rtl/>
        </w:rPr>
        <w:t xml:space="preserve">الملاحق</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الملحق (1): سلاسل البحث في قواعد البيانات</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تُنسخ السلاسل الآتية كما هي في حقل البحث المتقدم لكل قاعدة، مع تسجيل عدد النتائج وتاريخ البحث.</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Scopus</w:t>
      </w:r>
    </w:p>
    <w:p>
      <w:pPr>
        <w:shd w:fill="F7F7F7" w:color="auto" w:val="clear"/>
        <w:bidi w:val="false"/>
        <w:spacing w:after="140" w:before="40" w:line="260"/>
        <w:ind w:left="120" w:right="120"/>
        <w:jc w:val="left"/>
      </w:pPr>
      <w:r>
        <w:rPr>
          <w:rFonts w:ascii="Times New Roman" w:cs="Times New Roman" w:hAnsi="Times New Roman"/>
          <w:b w:val="false"/>
          <w:bCs w:val="false"/>
          <w:i w:val="false"/>
          <w:iCs w:val="false"/>
          <w:color w:val="000000"/>
          <w:sz w:val="24"/>
          <w:szCs w:val="24"/>
        </w:rPr>
        <w:t xml:space="preserve">TITLE-ABS-KEY ( ( "accreditation" OR "quality assurance" OR "quality management" ) AND ( "higher education" OR universit* OR "tertiary education" ) AND ( "learning outcome*" OR "student learning" OR "graduate employab*" OR "educational output*" OR "programme quality" OR "program quality" OR "graduate competenc*" ) ) AND PUBYEAR &gt; 2009 AND ( LIMIT-TO ( DOCTYPE , "ar" ) ) AND ( LIMIT-TO ( LANGUAGE , "English" ) )</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Web of Science</w:t>
      </w:r>
    </w:p>
    <w:p>
      <w:pPr>
        <w:shd w:fill="F7F7F7" w:color="auto" w:val="clear"/>
        <w:bidi w:val="false"/>
        <w:spacing w:after="140" w:before="40" w:line="260"/>
        <w:ind w:left="120" w:right="120"/>
        <w:jc w:val="left"/>
      </w:pPr>
      <w:r>
        <w:rPr>
          <w:rFonts w:ascii="Times New Roman" w:cs="Times New Roman" w:hAnsi="Times New Roman"/>
          <w:b w:val="false"/>
          <w:bCs w:val="false"/>
          <w:i w:val="false"/>
          <w:iCs w:val="false"/>
          <w:color w:val="000000"/>
          <w:sz w:val="24"/>
          <w:szCs w:val="24"/>
        </w:rPr>
        <w:t xml:space="preserve">TS=( ("accreditation" OR "quality assurance" OR "quality management") AND ("higher education" OR universit* OR "tertiary education") AND ("learning outcome*" OR "student learning" OR employab* OR "educational output*" OR "graduate competenc*") ) AND PY=(2010-2026) AND DT=(Article OR Review)</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ERIC</w:t>
      </w:r>
    </w:p>
    <w:p>
      <w:pPr>
        <w:shd w:fill="F7F7F7" w:color="auto" w:val="clear"/>
        <w:bidi w:val="false"/>
        <w:spacing w:after="140" w:before="40" w:line="260"/>
        <w:ind w:left="120" w:right="120"/>
        <w:jc w:val="left"/>
      </w:pPr>
      <w:r>
        <w:rPr>
          <w:rFonts w:ascii="Times New Roman" w:cs="Times New Roman" w:hAnsi="Times New Roman"/>
          <w:b w:val="false"/>
          <w:bCs w:val="false"/>
          <w:i w:val="false"/>
          <w:iCs w:val="false"/>
          <w:color w:val="000000"/>
          <w:sz w:val="24"/>
          <w:szCs w:val="24"/>
        </w:rPr>
        <w:t xml:space="preserve">(accreditation OR "quality assurance") AND ("higher education" OR "colleges" OR "universities") AND ("outcomes of education" OR "student outcomes" OR "learning outcomes" OR "employment potential")  [Publication Date: 2010-2026] [Peer reviewed only]</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ScienceDirect</w:t>
      </w:r>
    </w:p>
    <w:p>
      <w:pPr>
        <w:shd w:fill="F7F7F7" w:color="auto" w:val="clear"/>
        <w:bidi w:val="false"/>
        <w:spacing w:after="140" w:before="40" w:line="260"/>
        <w:ind w:left="120" w:right="120"/>
        <w:jc w:val="left"/>
      </w:pPr>
      <w:r>
        <w:rPr>
          <w:rFonts w:ascii="Times New Roman" w:cs="Times New Roman" w:hAnsi="Times New Roman"/>
          <w:b w:val="false"/>
          <w:bCs w:val="false"/>
          <w:i w:val="false"/>
          <w:iCs w:val="false"/>
          <w:color w:val="000000"/>
          <w:sz w:val="24"/>
          <w:szCs w:val="24"/>
        </w:rPr>
        <w:t xml:space="preserve">("accreditation" OR "quality assurance") AND ("higher education") AND ("learning outcomes" OR "employability" OR "educational outputs")  [Years: 2010-2026] [Article type: Research articles, Review articles]</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Google Scholar (أول 200 نتيجة)</w:t>
      </w:r>
    </w:p>
    <w:p>
      <w:pPr>
        <w:shd w:fill="F7F7F7" w:color="auto" w:val="clear"/>
        <w:bidi w:val="false"/>
        <w:spacing w:after="140" w:before="40" w:line="260"/>
        <w:ind w:left="120" w:right="120"/>
        <w:jc w:val="left"/>
      </w:pPr>
      <w:r>
        <w:rPr>
          <w:rFonts w:ascii="Times New Roman" w:cs="Times New Roman" w:hAnsi="Times New Roman"/>
          <w:b w:val="false"/>
          <w:bCs w:val="false"/>
          <w:i w:val="false"/>
          <w:iCs w:val="false"/>
          <w:color w:val="000000"/>
          <w:sz w:val="24"/>
          <w:szCs w:val="24"/>
        </w:rPr>
        <w:t xml:space="preserve">("academic accreditation" OR "quality assurance") AND ("higher education") AND ("learning outcomes" OR "graduate employability")  [2010-2026]</w:t>
      </w:r>
    </w:p>
    <w:p>
      <w:pPr>
        <w:pStyle w:val="Heading3"/>
        <w:bidi/>
        <w:spacing w:after="80" w:before="160" w:line="360"/>
        <w:jc w:val="left"/>
      </w:pPr>
      <w:r>
        <w:rPr>
          <w:rFonts w:ascii="Simplified Arabic" w:cs="Simplified Arabic" w:hAnsi="Simplified Arabic"/>
          <w:b/>
          <w:bCs/>
          <w:i w:val="false"/>
          <w:iCs w:val="false"/>
          <w:color w:val="000000"/>
          <w:sz w:val="32"/>
          <w:szCs w:val="32"/>
          <w:rtl/>
        </w:rPr>
        <w:t xml:space="preserve">قواعد البيانات العربية (دار المنظومة والمنهل)</w:t>
      </w:r>
    </w:p>
    <w:p>
      <w:pPr>
        <w:bidi/>
        <w:spacing w:after="120" w:before="0" w:line="240"/>
        <w:ind w:firstLine="283"/>
        <w:jc w:val="left"/>
      </w:pPr>
      <w:r>
        <w:rPr>
          <w:rFonts w:ascii="Simplified Arabic" w:cs="Simplified Arabic" w:hAnsi="Simplified Arabic"/>
          <w:b w:val="false"/>
          <w:bCs w:val="false"/>
          <w:i w:val="false"/>
          <w:iCs w:val="false"/>
          <w:color w:val="000000"/>
          <w:sz w:val="28"/>
          <w:szCs w:val="28"/>
          <w:rtl/>
        </w:rPr>
        <w:t xml:space="preserve">(الاعتماد الأكاديمي أو ضمان الجودة أو إدارة الجودة الشاملة) و (التعليم العالي أو الجامعات أو مؤسسات التعليم العالي) و (مخرجات التعلم أو نواتج التعلم أو جودة المخرجات أو الكفايات المهنية أو قابلية التوظيف)</w:t>
      </w:r>
    </w:p>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الملحق (2): نموذج استخلاص البيانات</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يُملأ النموذج الآتي لكل دراسة مشمولة على حدة، ويُجمَّع في جدول موحّد للتحليل.</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2800"/>
        <w:gridCol w:w="5700"/>
      </w:tblGrid>
      <w:tr>
        <w:trPr>
          <w:tblHeader/>
        </w:trPr>
        <w:tc>
          <w:tcPr>
            <w:tcW w:type="dxa" w:w="28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الحقل</w:t>
            </w:r>
          </w:p>
        </w:tc>
        <w:tc>
          <w:tcPr>
            <w:tcW w:type="dxa" w:w="57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القيمة المستخلصة</w:t>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رقم الدراسة</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المؤلفون وسنة النشر</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عنوان الدراسة</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الوعاء ونوعه (مجلة/رسالة)</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بلد الدراسة والسياق</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نوع المؤسسة والتخصص</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جهة الاعتماد المعنية</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نوع الاعتماد (مؤسسي/برامجي)</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أبعاد المعايير المتناولة</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تصميم الدراسة ومنهجها</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أسلوب المعاينة وحجم العينة</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مؤشر المخرجات المستخدم</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طبيعة المؤشر (إدراكي/موضوعي)</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أداة القياس وخصائصها السيكومترية</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اتجاه الأثر المُبلَّغ عنه</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القيم الإحصائية (r / β / R² / p)</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النتائج النوعية الرئيسة</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العوامل الوسيطة المذكورة</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المعوقات المذكورة</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محددات الدراسة كما أوردها مؤلفوها</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تقدير MMAT لكل معيار</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2800"/>
            <w:gridSpan w:val="1"/>
            <w:shd w:fill="F7F7F7" w:color="auto" w:val="clear"/>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ملاحظات المراجع</w:t>
            </w:r>
          </w:p>
        </w:tc>
        <w:tc>
          <w:tcPr>
            <w:tcW w:type="dxa" w:w="57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bl>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الملحق (3): قائمة تحقق PRISMA-P 2015 للبروتوكولات</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تُستخدم القائمة الآتية للتحقق من اكتمال الإبلاغ عن هذا البروتوكول، وتُملأ خانة رقم الصفحة قبل التسليم (Moher et al., 2015؛ Shamseer et al., 2015).</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1600"/>
        <w:gridCol w:w="900"/>
        <w:gridCol w:w="4500"/>
        <w:gridCol w:w="1500"/>
      </w:tblGrid>
      <w:tr>
        <w:trPr>
          <w:tblHeader/>
        </w:trPr>
        <w:tc>
          <w:tcPr>
            <w:tcW w:type="dxa" w:w="16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القسم</w:t>
            </w:r>
          </w:p>
        </w:tc>
        <w:tc>
          <w:tcPr>
            <w:tcW w:type="dxa" w:w="9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رقم البند</w:t>
            </w:r>
          </w:p>
        </w:tc>
        <w:tc>
          <w:tcPr>
            <w:tcW w:type="dxa" w:w="45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مضمون البند</w:t>
            </w:r>
          </w:p>
        </w:tc>
        <w:tc>
          <w:tcPr>
            <w:tcW w:type="dxa" w:w="15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رقم الصفحة</w:t>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معلومات إدارية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1أ</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تعريف التقرير بوصفه بروتوكول مراجعة منهجية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معلومات إدارية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1ب</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ما إذا كان البروتوكول تحديثاً لمراجعة سابقة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معلومات إدارية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اسم السجل ورقم التسجيل، أو الإفصاح عن عدم التسجيل</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معلومات إدارية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3أ</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أسماء الباحثين وانتماءاتهم وبيانات التواصل</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معلومات إدارية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3ب</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إسهام كل باحث في العمل</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معلومات إدارية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آلية توثيق أي تعديل يطرأ على البروتوكول وتاريخه ومسوّغه</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معلومات إدارية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5أ</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مصادر الدعم المالي والمعنوي</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معلومات إدارية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5ب</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اسم الجهة الراعية إن وُجدت</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معلومات إدارية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5ج</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دور الممول أو الراعي في إعداد البروتوكول</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المقدمة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6</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الأساس المنطقي للمراجعة في سياق ما هو معروف</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المقدمة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7</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صريح لأسئلة المراجعة بعناصرها</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8</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تحديد معايير الأهلية بخصائص الدراسات وخصائص التقارير</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9</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وصف كل مصادر المعلومات وتاريخ التغطية المخطط</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10</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عرض استراتيجية البحث كاملةً لقاعدة بيانات واحدة على الأقل</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11أ</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آلية إدارة السجلات والبيانات خلال المراجعة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11ب</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عملية الاختيار وعدد المراجعين وآلية حسم الخلاف</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11ج</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آلية استخلاص البيانات وأدواتها والتجريب المسبق عليها</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12</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تحديد كل عناصر البيانات المطلوب استخلاصها</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13</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تحديد المخرجات الرئيسة والثانوية وترتيب أولوياتها</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14</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أداة تقييم خطر التحيّز في الدراسات المفردة وآلية توظيفها</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15</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معايير تجميع الدراسات وأسلوب التركيب ومسوّغ اختياره</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16</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آلية تقييم تحيّز النشر وغيره من التحيّزات التجميعية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rPr>
          <w:cantSplit/>
        </w:trPr>
        <w:tc>
          <w:tcPr>
            <w:tcW w:type="dxa" w:w="16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9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17</w:t>
            </w:r>
          </w:p>
        </w:tc>
        <w:tc>
          <w:tcPr>
            <w:tcW w:type="dxa" w:w="45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آلية تقييم درجة الثقة في مجموع الأدلة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bl>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الملحق (4): قائمة تحقق PRISMA 2020 للتقرير النهائي</w:t>
      </w:r>
    </w:p>
    <w:p>
      <w:pPr>
        <w:bidi/>
        <w:spacing w:after="120" w:before="0" w:line="240"/>
        <w:ind w:firstLine="283"/>
        <w:jc w:val="both"/>
      </w:pPr>
      <w:r>
        <w:rPr>
          <w:rFonts w:ascii="Simplified Arabic" w:cs="Simplified Arabic" w:hAnsi="Simplified Arabic"/>
          <w:b w:val="false"/>
          <w:bCs w:val="false"/>
          <w:i w:val="false"/>
          <w:iCs w:val="false"/>
          <w:color w:val="000000"/>
          <w:sz w:val="28"/>
          <w:szCs w:val="28"/>
          <w:rtl/>
        </w:rPr>
        <w:t xml:space="preserve">تُستخدم القائمة الآتية عند إعداد التقرير النهائي للمراجعة بعد تنفيذها، وتُدرج هنا بوصفها مرجعاً مسبقاً لضمان اكتمال الإبلاغ (Page et al., 2021).</w:t>
      </w:r>
    </w:p>
    <w:tbl>
      <w:tblPr>
        <w:bidiVisual/>
        <w:tblW w:type="dxa" w:w="8500"/>
        <w:jc w:val="center"/>
        <w:tblBorders>
          <w:top w:val="single" w:color="auto" w:sz="4"/>
          <w:left w:val="single" w:color="auto" w:sz="4"/>
          <w:bottom w:val="single" w:color="auto" w:sz="4"/>
          <w:right w:val="single" w:color="auto" w:sz="4"/>
          <w:insideH w:val="single" w:color="auto" w:sz="4"/>
          <w:insideV w:val="single" w:color="auto" w:sz="4"/>
        </w:tblBorders>
      </w:tblPr>
      <w:tblGrid>
        <w:gridCol w:w="1400"/>
        <w:gridCol w:w="1000"/>
        <w:gridCol w:w="4600"/>
        <w:gridCol w:w="1500"/>
      </w:tblGrid>
      <w:tr>
        <w:trPr>
          <w:tblHeader/>
        </w:trPr>
        <w:tc>
          <w:tcPr>
            <w:tcW w:type="dxa" w:w="14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القسم</w:t>
            </w:r>
          </w:p>
        </w:tc>
        <w:tc>
          <w:tcPr>
            <w:tcW w:type="dxa" w:w="10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رقم البند</w:t>
            </w:r>
          </w:p>
        </w:tc>
        <w:tc>
          <w:tcPr>
            <w:tcW w:type="dxa" w:w="46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مضمون البند</w:t>
            </w:r>
          </w:p>
        </w:tc>
        <w:tc>
          <w:tcPr>
            <w:tcW w:type="dxa" w:w="1500"/>
            <w:gridSpan w:val="1"/>
            <w:shd w:fill="EDEDED" w:color="auto" w:val="clear"/>
            <w:tcMar>
              <w:top w:type="dxa" w:w="60"/>
              <w:left w:type="dxa" w:w="80"/>
              <w:bottom w:type="dxa" w:w="60"/>
              <w:right w:type="dxa" w:w="80"/>
            </w:tcMar>
            <w:vAlign w:val="center"/>
          </w:tcPr>
          <w:p>
            <w:pPr>
              <w:bidi/>
              <w:spacing w:after="0" w:line="276"/>
              <w:jc w:val="center"/>
            </w:pPr>
            <w:r>
              <w:rPr>
                <w:rFonts w:ascii="Simplified Arabic" w:cs="Simplified Arabic" w:hAnsi="Simplified Arabic"/>
                <w:b/>
                <w:bCs/>
                <w:i w:val="false"/>
                <w:iCs w:val="false"/>
                <w:color w:val="000000"/>
                <w:sz w:val="22"/>
                <w:szCs w:val="22"/>
                <w:rtl/>
              </w:rPr>
              <w:t xml:space="preserve">رقم الصفحة</w:t>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العنوان</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تعريف التقرير بوصفه مراجعة منهجية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المستخلص</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الالتزام بقائمة تحقق مستخلص PRISMA 2020</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المقدمة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3</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الأساس المنطقي للمراجعة في سياق ما هو معروف</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المقدمة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4</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صريح لأهداف المراجعة أو أسئلتها</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5</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تحديد معايير التضمين والاستبعاد وكيفية تجميع الدراسات</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6</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تحديد كل مصادر المعلومات وتاريخ آخر بحث فيها</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7</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عرض استراتيجيات البحث كاملةً لكل قاعدة بيانات</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8</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طرق فرز الدراسات وعدد المراجعين</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9</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طرق استخلاص البيانات وعدد المراجعين</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10</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تحديد كل المخرجات التي طُلبت بياناتها والمتغيرات الأخرى</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11</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طرق تقييم خطر التحيّز في الدراسات المشمولة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12</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تحديد مقاييس الأثر المستخدمة في التركيب</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13</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وصف طرق التركيب وأسباب اختيارها</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14</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طرق تقييم خطر تحيّز النشر</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المنهجية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15</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طرق تقييم الثقة في مجموع الأدلة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النتائج</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16</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عرض نتائج البحث والفرز عبر مخطط التدفق</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النتائج</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17</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الاستشهاد بالدراسات المستبعدة في مرحلة النص الكامل مع الأسباب</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النتائج</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18</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عرض خصائص كل دراسة مشمولة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النتائج</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19</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عرض تقييم خطر التحيّز لكل دراسة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النتائج</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20</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عرض نتائج كل دراسة ونتائج التركيب</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النتائج</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21</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عرض نتائج تقييم تحيّز النشر</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النتائج</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22</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عرض تقييم الثقة في مجموع الأدلة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المناقشة</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23</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تفسير النتائج في سياق الأدلة الأخرى ومناقشة محددات المراجعة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أخرى</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24</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معلومات تسجيل البروتوكول أو الإفصاح عن عدم تسجيله</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أخرى</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25</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الإفصاح عن مصادر التمويل ودورها</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أخرى</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26</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الإفصاح عن تضارب المصالح</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r>
        <w:tc>
          <w:tcPr>
            <w:tcW w:type="dxa" w:w="14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أخرى</w:t>
            </w:r>
          </w:p>
        </w:tc>
        <w:tc>
          <w:tcPr>
            <w:tcW w:type="dxa" w:w="10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27</w:t>
            </w:r>
          </w:p>
        </w:tc>
        <w:tc>
          <w:tcPr>
            <w:tcW w:type="dxa" w:w="4600"/>
            <w:gridSpan w:val="1"/>
            <w:tcMar>
              <w:top w:type="dxa" w:w="60"/>
              <w:left w:type="dxa" w:w="80"/>
              <w:bottom w:type="dxa" w:w="60"/>
              <w:right w:type="dxa" w:w="80"/>
            </w:tcMar>
            <w:vAlign w:val="center"/>
          </w:tcPr>
          <w:p>
            <w:pPr>
              <w:bidi/>
              <w:spacing w:after="0" w:line="276"/>
              <w:jc w:val="left"/>
            </w:pPr>
            <w:r>
              <w:rPr>
                <w:rFonts w:ascii="Simplified Arabic" w:cs="Simplified Arabic" w:hAnsi="Simplified Arabic"/>
                <w:b w:val="false"/>
                <w:bCs w:val="false"/>
                <w:i w:val="false"/>
                <w:iCs w:val="false"/>
                <w:color w:val="000000"/>
                <w:sz w:val="22"/>
                <w:szCs w:val="22"/>
                <w:rtl/>
              </w:rPr>
              <w:t xml:space="preserve">بيان مدى إتاحة البيانات والشيفرات ومواد المراجعة</w:t>
            </w:r>
          </w:p>
        </w:tc>
        <w:tc>
          <w:tcPr>
            <w:tcW w:type="dxa" w:w="1500"/>
            <w:gridSpan w:val="1"/>
            <w:tcMar>
              <w:top w:type="dxa" w:w="60"/>
              <w:left w:type="dxa" w:w="80"/>
              <w:bottom w:type="dxa" w:w="60"/>
              <w:right w:type="dxa" w:w="80"/>
            </w:tcMar>
            <w:vAlign w:val="center"/>
          </w:tcPr>
          <w:p>
            <w:pPr>
              <w:bidi/>
              <w:spacing w:after="0" w:line="276"/>
              <w:jc w:val="center"/>
            </w:pPr>
            <w:r>
              <w:rPr>
                <w:rFonts w:ascii="Simplified Arabic" w:cs="Simplified Arabic" w:hAnsi="Simplified Arabic"/>
                <w:b w:val="false"/>
                <w:bCs w:val="false"/>
                <w:i w:val="false"/>
                <w:iCs w:val="false"/>
                <w:color w:val="000000"/>
                <w:sz w:val="22"/>
                <w:szCs w:val="22"/>
                <w:rtl/>
              </w:rPr>
              <w:t xml:space="preserve"/>
            </w:r>
          </w:p>
        </w:tc>
      </w:tr>
    </w:tbl>
    <w:p>
      <w:pPr>
        <w:pStyle w:val="Heading2"/>
        <w:bidi/>
        <w:spacing w:after="120" w:before="240" w:line="360"/>
        <w:jc w:val="left"/>
      </w:pPr>
      <w:r>
        <w:rPr>
          <w:rFonts w:ascii="Simplified Arabic" w:cs="Simplified Arabic" w:hAnsi="Simplified Arabic"/>
          <w:b/>
          <w:bCs/>
          <w:i w:val="false"/>
          <w:iCs w:val="false"/>
          <w:color w:val="000000"/>
          <w:sz w:val="36"/>
          <w:szCs w:val="36"/>
          <w:rtl/>
        </w:rPr>
        <w:t xml:space="preserve">الملحق (5): الملخص باللغة الإنجليزية Abstract</w:t>
      </w:r>
    </w:p>
    <w:p>
      <w:pPr>
        <w:bidi w:val="false"/>
        <w:spacing w:after="90" w:before="0" w:line="324"/>
        <w:jc w:val="both"/>
      </w:pPr>
      <w:r>
        <w:rPr>
          <w:rFonts w:ascii="Times New Roman" w:cs="Times New Roman" w:hAnsi="Times New Roman"/>
          <w:b/>
          <w:bCs/>
          <w:i w:val="false"/>
          <w:iCs w:val="false"/>
          <w:color w:val="000000"/>
          <w:sz w:val="28"/>
          <w:szCs w:val="28"/>
        </w:rPr>
        <w:t xml:space="preserve">Title: </w:t>
      </w:r>
      <w:r>
        <w:rPr>
          <w:rFonts w:ascii="Times New Roman" w:cs="Times New Roman" w:hAnsi="Times New Roman"/>
          <w:b w:val="false"/>
          <w:bCs w:val="false"/>
          <w:i w:val="false"/>
          <w:iCs w:val="false"/>
          <w:color w:val="000000"/>
          <w:sz w:val="28"/>
          <w:szCs w:val="28"/>
        </w:rPr>
        <w:t xml:space="preserve">The Impact of Implementing Academic Accreditation Standards on the Quality of Educational Outputs in Higher Education Institutions: A PRISMA 2020 Systematic Review (2017–2026) with a Focused Analysis of the Arab Context</w:t>
      </w:r>
    </w:p>
    <w:p>
      <w:pPr>
        <w:bidi w:val="false"/>
        <w:spacing w:after="90" w:before="0" w:line="240"/>
        <w:jc w:val="both"/>
      </w:pPr>
      <w:r>
        <w:rPr>
          <w:rFonts w:ascii="Times New Roman" w:cs="Times New Roman" w:hAnsi="Times New Roman"/>
          <w:b w:val="false"/>
          <w:bCs w:val="false"/>
          <w:i w:val="false"/>
          <w:iCs w:val="false"/>
          <w:color w:val="000000"/>
          <w:sz w:val="28"/>
          <w:szCs w:val="28"/>
        </w:rPr>
        <w:t xml:space="preserve">This protocol sets out a pre-specified plan for a systematic review synthesising published evidence (2010–2026) on the impact of implementing academic accreditation standards on the quality of educational outputs in higher education institutions, with a focused analysis of the Arab context. Following the PRISMA 2020 protocol, Scopus, Web of Science, ERIC, ScienceDirect, Google Scholar and Arabic databases were searched using predefined SPIDER-based eligibility criteria. Two-stage screening was applied, methodological quality was appraised using MMAT 2018, and findings were synthesised thematically (Thomas &amp; Harden, 2008). A meta-analysis was not undertaken owing to substantial heterogeneity across designs, outcome definitions and measurement instruments. Once executed, the review is expected to characterise a positive but heterogeneous impact, concentrated in governance and outcome-based programme design, moderated by faculty engagement and the maturity of internal quality assurance systems, alongside a marked scarcity of Arab evidence employing objective outcome indicators.</w:t>
      </w:r>
    </w:p>
    <w:p>
      <w:pPr>
        <w:bidi w:val="false"/>
        <w:spacing w:after="90" w:before="0" w:line="324"/>
        <w:jc w:val="both"/>
      </w:pPr>
      <w:r>
        <w:rPr>
          <w:rFonts w:ascii="Times New Roman" w:cs="Times New Roman" w:hAnsi="Times New Roman"/>
          <w:b/>
          <w:bCs/>
          <w:i w:val="false"/>
          <w:iCs w:val="false"/>
          <w:color w:val="000000"/>
          <w:sz w:val="28"/>
          <w:szCs w:val="28"/>
        </w:rPr>
        <w:t xml:space="preserve">Keywords: </w:t>
      </w:r>
      <w:r>
        <w:rPr>
          <w:rFonts w:ascii="Times New Roman" w:cs="Times New Roman" w:hAnsi="Times New Roman"/>
          <w:b w:val="false"/>
          <w:bCs w:val="false"/>
          <w:i w:val="false"/>
          <w:iCs w:val="false"/>
          <w:color w:val="000000"/>
          <w:sz w:val="28"/>
          <w:szCs w:val="28"/>
        </w:rPr>
        <w:t xml:space="preserve">Academic accreditation; Quality assurance; Educational outputs; Systematic review; PRISMA 2020; Arab higher education.</w:t>
      </w:r>
    </w:p>
    <w:p>
      <w:pPr>
        <w:pStyle w:val="Heading1"/>
        <w:pageBreakBefore/>
        <w:bidi w:val="false"/>
        <w:spacing w:after="200" w:line="336"/>
        <w:jc w:val="center"/>
      </w:pPr>
      <w:r>
        <w:rPr>
          <w:rFonts w:ascii="Times New Roman" w:cs="Times New Roman" w:hAnsi="Times New Roman"/>
          <w:b/>
          <w:bCs/>
          <w:i w:val="false"/>
          <w:iCs w:val="false"/>
          <w:color w:val="000000"/>
          <w:sz w:val="36"/>
          <w:szCs w:val="36"/>
        </w:rPr>
        <w:t xml:space="preserve">Abstract</w:t>
      </w:r>
    </w:p>
    <w:p>
      <w:pPr>
        <w:bidi w:val="false"/>
        <w:spacing w:after="200" w:before="0" w:line="240"/>
        <w:jc w:val="both"/>
      </w:pPr>
      <w:r>
        <w:rPr>
          <w:rFonts w:ascii="Times New Roman" w:cs="Times New Roman" w:hAnsi="Times New Roman"/>
          <w:b/>
          <w:bCs/>
          <w:i w:val="false"/>
          <w:iCs w:val="false"/>
          <w:color w:val="000000"/>
          <w:sz w:val="28"/>
          <w:szCs w:val="28"/>
        </w:rPr>
        <w:t xml:space="preserve">Objectives: </w:t>
      </w:r>
      <w:r>
        <w:rPr>
          <w:rFonts w:ascii="Times New Roman" w:cs="Times New Roman" w:hAnsi="Times New Roman"/>
          <w:b w:val="false"/>
          <w:bCs w:val="false"/>
          <w:i w:val="false"/>
          <w:iCs w:val="false"/>
          <w:color w:val="000000"/>
          <w:sz w:val="28"/>
          <w:szCs w:val="28"/>
        </w:rPr>
        <w:t xml:space="preserve">This systematic review synthesises published evidence on the impact of implementing academic accreditation standards on the quality of educational outputs in higher education institutions, identifies the dimensions most strongly associated with that impact and the factors moderating it, and diagnoses the state of evidence in the Arab context. </w:t>
      </w:r>
      <w:r>
        <w:rPr>
          <w:rFonts w:ascii="Times New Roman" w:cs="Times New Roman" w:hAnsi="Times New Roman"/>
          <w:b/>
          <w:bCs/>
          <w:i w:val="false"/>
          <w:iCs w:val="false"/>
          <w:color w:val="000000"/>
          <w:sz w:val="28"/>
          <w:szCs w:val="28"/>
        </w:rPr>
        <w:t xml:space="preserve">Setting: </w:t>
      </w:r>
      <w:r>
        <w:rPr>
          <w:rFonts w:ascii="Times New Roman" w:cs="Times New Roman" w:hAnsi="Times New Roman"/>
          <w:b w:val="false"/>
          <w:bCs w:val="false"/>
          <w:i w:val="false"/>
          <w:iCs w:val="false"/>
          <w:color w:val="000000"/>
          <w:sz w:val="28"/>
          <w:szCs w:val="28"/>
        </w:rPr>
        <w:t xml:space="preserve">A desk-based review of literature published between 2017 and 2026, with a focused analysis of Arab studies. </w:t>
      </w:r>
      <w:r>
        <w:rPr>
          <w:rFonts w:ascii="Times New Roman" w:cs="Times New Roman" w:hAnsi="Times New Roman"/>
          <w:b/>
          <w:bCs/>
          <w:i w:val="false"/>
          <w:iCs w:val="false"/>
          <w:color w:val="000000"/>
          <w:sz w:val="28"/>
          <w:szCs w:val="28"/>
        </w:rPr>
        <w:t xml:space="preserve">Methodology: </w:t>
      </w:r>
      <w:r>
        <w:rPr>
          <w:rFonts w:ascii="Times New Roman" w:cs="Times New Roman" w:hAnsi="Times New Roman"/>
          <w:b w:val="false"/>
          <w:bCs w:val="false"/>
          <w:i w:val="false"/>
          <w:iCs w:val="false"/>
          <w:color w:val="000000"/>
          <w:sz w:val="28"/>
          <w:szCs w:val="28"/>
        </w:rPr>
        <w:t xml:space="preserve">The review followed PRISMA 2020 with predefined SPIDER-based eligibility criteria, MMAT 2018 quality appraisal and three-stage thematic synthesis. A search of ERIC returned 708 records, supplemented by 17 records from a preliminary scoping search. </w:t>
      </w:r>
      <w:r>
        <w:rPr>
          <w:rFonts w:ascii="Times New Roman" w:cs="Times New Roman" w:hAnsi="Times New Roman"/>
          <w:b/>
          <w:bCs/>
          <w:i w:val="false"/>
          <w:iCs w:val="false"/>
          <w:color w:val="000000"/>
          <w:sz w:val="28"/>
          <w:szCs w:val="28"/>
        </w:rPr>
        <w:t xml:space="preserve">Results: </w:t>
      </w:r>
      <w:r>
        <w:rPr>
          <w:rFonts w:ascii="Times New Roman" w:cs="Times New Roman" w:hAnsi="Times New Roman"/>
          <w:b w:val="false"/>
          <w:bCs w:val="false"/>
          <w:i w:val="false"/>
          <w:iCs w:val="false"/>
          <w:color w:val="000000"/>
          <w:sz w:val="28"/>
          <w:szCs w:val="28"/>
        </w:rPr>
        <w:t xml:space="preserve">114 records were screened, 93 excluded, and 15 studies included, of which 3 were verified at full text. All studies reported some effect, but its magnitude was inversely proportional to design rigour: perceived impact reached 4.08 out of 5 in a Saudi survey, whereas the single study employing a control group found no immediate wage effect and a null-to-slightly-negative employment effect. Perceptual indicators were used by 86.7% of studies and only one employed a control group. Four studies were conducted in the Arab context, all Saudi, three in health programmes, and two in the same institution sharing an author. </w:t>
      </w:r>
      <w:r>
        <w:rPr>
          <w:rFonts w:ascii="Times New Roman" w:cs="Times New Roman" w:hAnsi="Times New Roman"/>
          <w:b/>
          <w:bCs/>
          <w:i w:val="false"/>
          <w:iCs w:val="false"/>
          <w:color w:val="000000"/>
          <w:sz w:val="28"/>
          <w:szCs w:val="28"/>
        </w:rPr>
        <w:t xml:space="preserve">Recommendations: </w:t>
      </w:r>
      <w:r>
        <w:rPr>
          <w:rFonts w:ascii="Times New Roman" w:cs="Times New Roman" w:hAnsi="Times New Roman"/>
          <w:b w:val="false"/>
          <w:bCs w:val="false"/>
          <w:i w:val="false"/>
          <w:iCs w:val="false"/>
          <w:color w:val="000000"/>
          <w:sz w:val="28"/>
          <w:szCs w:val="28"/>
        </w:rPr>
        <w:t xml:space="preserve">Adopting objective outcome indicators and control groups, disaggregating accreditation standards into measurable dimensions, engaging faculty in system design, and broadening Arab evidence beyond health education.</w:t>
      </w:r>
    </w:p>
    <w:p>
      <w:pPr>
        <w:bidi w:val="false"/>
        <w:spacing w:after="90" w:before="0" w:line="240"/>
        <w:jc w:val="both"/>
      </w:pPr>
      <w:r>
        <w:rPr>
          <w:rFonts w:ascii="Times New Roman" w:cs="Times New Roman" w:hAnsi="Times New Roman"/>
          <w:b/>
          <w:bCs/>
          <w:i w:val="false"/>
          <w:iCs w:val="false"/>
          <w:color w:val="000000"/>
          <w:sz w:val="28"/>
          <w:szCs w:val="28"/>
        </w:rPr>
        <w:t xml:space="preserve">Keywords: </w:t>
      </w:r>
      <w:r>
        <w:rPr>
          <w:rFonts w:ascii="Times New Roman" w:cs="Times New Roman" w:hAnsi="Times New Roman"/>
          <w:b w:val="false"/>
          <w:bCs w:val="false"/>
          <w:i w:val="false"/>
          <w:iCs w:val="false"/>
          <w:color w:val="000000"/>
          <w:sz w:val="28"/>
          <w:szCs w:val="28"/>
        </w:rPr>
        <w:t xml:space="preserve">Academic accreditation; Quality assurance; Quality of educational outputs; Systematic review; PRISMA 2020.</w:t>
      </w:r>
    </w:p>
    <w:p>
      <w:pPr>
        <w:pageBreakBefore/>
        <w:bidi w:val="false"/>
        <w:spacing w:after="100" w:line="336"/>
        <w:jc w:val="center"/>
      </w:pPr>
      <w:r>
        <w:rPr>
          <w:rFonts w:ascii="Times New Roman" w:cs="Times New Roman" w:hAnsi="Times New Roman"/>
          <w:b w:val="false"/>
          <w:bCs w:val="false"/>
          <w:i w:val="false"/>
          <w:iCs w:val="false"/>
          <w:color w:val="000000"/>
          <w:sz w:val="28"/>
          <w:szCs w:val="28"/>
        </w:rPr>
        <w:t xml:space="preserve"/>
      </w:r>
    </w:p>
    <w:p>
      <w:pPr>
        <w:bidi w:val="false"/>
        <w:spacing w:after="100" w:line="336"/>
        <w:jc w:val="center"/>
      </w:pPr>
      <w:r>
        <w:rPr>
          <w:rFonts w:ascii="Times New Roman" w:cs="Times New Roman" w:hAnsi="Times New Roman"/>
          <w:b/>
          <w:bCs/>
          <w:i w:val="false"/>
          <w:iCs w:val="false"/>
          <w:color w:val="000000"/>
          <w:sz w:val="36"/>
          <w:szCs w:val="36"/>
        </w:rPr>
        <w:t xml:space="preserve">Midocean University</w:t>
      </w:r>
    </w:p>
    <w:p>
      <w:pPr>
        <w:bidi w:val="false"/>
        <w:spacing w:after="100" w:line="336"/>
        <w:jc w:val="center"/>
      </w:pPr>
      <w:r>
        <w:rPr>
          <w:rFonts w:ascii="Times New Roman" w:cs="Times New Roman" w:hAnsi="Times New Roman"/>
          <w:b/>
          <w:bCs/>
          <w:i w:val="false"/>
          <w:iCs w:val="false"/>
          <w:color w:val="000000"/>
          <w:sz w:val="36"/>
          <w:szCs w:val="36"/>
        </w:rPr>
        <w:t xml:space="preserve">College of Management</w:t>
      </w:r>
    </w:p>
    <w:p>
      <w:pPr>
        <w:bidi w:val="false"/>
        <w:spacing w:after="100" w:line="336"/>
        <w:jc w:val="center"/>
      </w:pPr>
      <w:r>
        <w:rPr>
          <w:rFonts w:ascii="Times New Roman" w:cs="Times New Roman" w:hAnsi="Times New Roman"/>
          <w:b/>
          <w:bCs/>
          <w:i w:val="false"/>
          <w:iCs w:val="false"/>
          <w:color w:val="000000"/>
          <w:sz w:val="28"/>
          <w:szCs w:val="28"/>
        </w:rPr>
        <w:t xml:space="preserve">Department of Business Administration / Quality Management and Academic Accreditation</w:t>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val="false"/>
        <w:spacing w:after="200" w:line="336"/>
        <w:jc w:val="center"/>
      </w:pPr>
      <w:r>
        <w:rPr>
          <w:rFonts w:ascii="Times New Roman" w:cs="Times New Roman" w:hAnsi="Times New Roman"/>
          <w:b/>
          <w:bCs/>
          <w:i w:val="false"/>
          <w:iCs w:val="false"/>
          <w:color w:val="000000"/>
          <w:sz w:val="30"/>
          <w:szCs w:val="30"/>
        </w:rPr>
        <w:t xml:space="preserve">The Impact of Implementing Academic Accreditation Standards on the Quality of Educational Outputs in Higher Education Institutions: A PRISMA 2020 Systematic Review (2017–2026) with a Focused Analysis of the Arab Context</w:t>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val="false"/>
        <w:spacing w:after="100" w:line="336"/>
        <w:jc w:val="center"/>
      </w:pPr>
      <w:r>
        <w:rPr>
          <w:rFonts w:ascii="Times New Roman" w:cs="Times New Roman" w:hAnsi="Times New Roman"/>
          <w:b/>
          <w:bCs/>
          <w:i w:val="false"/>
          <w:iCs w:val="false"/>
          <w:color w:val="000000"/>
          <w:sz w:val="28"/>
          <w:szCs w:val="28"/>
        </w:rPr>
        <w:t xml:space="preserve">Prepared by:</w:t>
      </w:r>
    </w:p>
    <w:p>
      <w:pPr>
        <w:bidi w:val="false"/>
        <w:spacing w:after="100" w:line="336"/>
        <w:jc w:val="center"/>
      </w:pPr>
      <w:r>
        <w:rPr>
          <w:rFonts w:ascii="Times New Roman" w:cs="Times New Roman" w:hAnsi="Times New Roman"/>
          <w:b/>
          <w:bCs/>
          <w:i w:val="false"/>
          <w:iCs w:val="false"/>
          <w:color w:val="000000"/>
          <w:sz w:val="36"/>
          <w:szCs w:val="36"/>
        </w:rPr>
        <w:t xml:space="preserve">Abdullah Mohammed Mamoun Fahleh</w:t>
      </w:r>
    </w:p>
    <w:p>
      <w:pPr>
        <w:bidi w:val="false"/>
        <w:spacing w:after="100" w:line="336"/>
        <w:jc w:val="center"/>
      </w:pPr>
      <w:r>
        <w:rPr>
          <w:rFonts w:ascii="Times New Roman" w:cs="Times New Roman" w:hAnsi="Times New Roman"/>
          <w:b w:val="false"/>
          <w:bCs w:val="false"/>
          <w:i w:val="false"/>
          <w:iCs w:val="false"/>
          <w:color w:val="000000"/>
          <w:sz w:val="28"/>
          <w:szCs w:val="28"/>
        </w:rPr>
        <w:t xml:space="preserve">Student ID: 253001121</w:t>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val="false"/>
        <w:spacing w:after="100" w:line="336"/>
        <w:jc w:val="center"/>
      </w:pPr>
      <w:r>
        <w:rPr>
          <w:rFonts w:ascii="Times New Roman" w:cs="Times New Roman" w:hAnsi="Times New Roman"/>
          <w:b/>
          <w:bCs/>
          <w:i w:val="false"/>
          <w:iCs w:val="false"/>
          <w:color w:val="000000"/>
          <w:sz w:val="28"/>
          <w:szCs w:val="28"/>
        </w:rPr>
        <w:t xml:space="preserve">Supervised by:</w:t>
      </w:r>
    </w:p>
    <w:p>
      <w:pPr>
        <w:bidi w:val="false"/>
        <w:spacing w:after="100" w:line="336"/>
        <w:jc w:val="center"/>
      </w:pPr>
      <w:r>
        <w:rPr>
          <w:rFonts w:ascii="Times New Roman" w:cs="Times New Roman" w:hAnsi="Times New Roman"/>
          <w:b/>
          <w:bCs/>
          <w:i w:val="false"/>
          <w:iCs w:val="false"/>
          <w:color w:val="000000"/>
          <w:sz w:val="28"/>
          <w:szCs w:val="28"/>
        </w:rPr>
        <w:t xml:space="preserve">Dr. Al-Faisal Abdul Hameed</w:t>
      </w:r>
    </w:p>
    <w:p>
      <w:pPr>
        <w:bidi w:val="false"/>
        <w:spacing w:after="100" w:line="336"/>
        <w:jc w:val="center"/>
      </w:pPr>
      <w:r>
        <w:rPr>
          <w:rFonts w:ascii="Times New Roman" w:cs="Times New Roman" w:hAnsi="Times New Roman"/>
          <w:b/>
          <w:bCs/>
          <w:i w:val="false"/>
          <w:iCs w:val="false"/>
          <w:color w:val="000000"/>
          <w:sz w:val="28"/>
          <w:szCs w:val="28"/>
        </w:rPr>
        <w:t xml:space="preserve">Dr. Fayez Jarad</w:t>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spacing w:after="0"/>
      </w:pPr>
      <w:r>
        <w:rPr>
          <w:rFonts w:ascii="Simplified Arabic" w:cs="Simplified Arabic" w:hAnsi="Simplified Arabic"/>
          <w:b w:val="false"/>
          <w:bCs w:val="false"/>
          <w:i w:val="false"/>
          <w:iCs w:val="false"/>
          <w:color w:val="000000"/>
          <w:sz w:val="28"/>
          <w:szCs w:val="28"/>
          <w:rtl/>
        </w:rPr>
        <w:t xml:space="preserve"/>
      </w:r>
    </w:p>
    <w:p>
      <w:pPr>
        <w:bidi w:val="false"/>
        <w:spacing w:after="100" w:line="336"/>
        <w:jc w:val="center"/>
      </w:pPr>
      <w:r>
        <w:rPr>
          <w:rFonts w:ascii="Times New Roman" w:cs="Times New Roman" w:hAnsi="Times New Roman"/>
          <w:b/>
          <w:bCs/>
          <w:i w:val="false"/>
          <w:iCs w:val="false"/>
          <w:color w:val="000000"/>
          <w:sz w:val="36"/>
          <w:szCs w:val="36"/>
        </w:rPr>
        <w:t xml:space="preserve">Year: 2026</w:t>
      </w:r>
    </w:p>
    <w:sectPr>
      <w:footerReference w:type="default" r:id="rId8"/>
      <w:type w:val="nextPage"/>
      <w:pgSz w:w="11906" w:h="16838" w:orient="portrait"/>
      <w:pgMar w:top="1134" w:right="1701" w:bottom="1134" w:left="1134" w:header="708" w:footer="708" w:gutter="0"/>
      <w:pgNumType w:start="1" w:fmt="decimal"/>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bidi/>
      <w:jc w:val="center"/>
    </w:pPr>
    <w:r>
      <w:rPr>
        <w:rFonts w:ascii="Simplified Arabic" w:cs="Simplified Arabic" w:hAnsi="Simplified Arabic"/>
        <w:sz w:val="20"/>
        <w:szCs w:val="20"/>
        <w:rtl/>
      </w:rPr>
      <w:fldChar w:fldCharType="begin"/>
      <w:instrText xml:space="preserve">PAGE</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bidi/>
      <w:jc w:val="center"/>
    </w:pPr>
    <w:r>
      <w:rPr>
        <w:rFonts w:ascii="Simplified Arabic" w:cs="Simplified Arabic" w:hAnsi="Simplified Arabic"/>
        <w:sz w:val="20"/>
        <w:szCs w:val="20"/>
        <w:rtl/>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implified Arabic" w:cs="Simplified Arabic" w:hAnsi="Simplified Arabic"/>
        <w:color w:val="000000"/>
        <w:sz w:val="28"/>
        <w:szCs w:val="28"/>
      </w:rPr>
    </w:rPrDefault>
    <w:pPrDefault>
      <w:pPr>
        <w:spacing w:after="120" w:line="240"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360" w:before="240" w:line="240"/>
      <w:jc w:val="center"/>
    </w:pPr>
    <w:rPr>
      <w:rFonts w:ascii="Simplified Arabic" w:cs="Simplified Arabic" w:hAnsi="Simplified Arabic"/>
      <w:b/>
      <w:bCs/>
      <w:color w:val="000000"/>
      <w:sz w:val="40"/>
      <w:szCs w:val="40"/>
    </w:rPr>
  </w:style>
  <w:style w:type="paragraph" w:styleId="Heading2">
    <w:name w:val="Heading 2"/>
    <w:basedOn w:val="Normal"/>
    <w:next w:val="Normal"/>
    <w:qFormat/>
    <w:pPr>
      <w:spacing w:after="120" w:before="240" w:line="240"/>
    </w:pPr>
    <w:rPr>
      <w:rFonts w:ascii="Simplified Arabic" w:cs="Simplified Arabic" w:hAnsi="Simplified Arabic"/>
      <w:b/>
      <w:bCs/>
      <w:color w:val="000000"/>
      <w:sz w:val="36"/>
      <w:szCs w:val="36"/>
    </w:rPr>
  </w:style>
  <w:style w:type="paragraph" w:styleId="Heading3">
    <w:name w:val="Heading 3"/>
    <w:basedOn w:val="Normal"/>
    <w:next w:val="Normal"/>
    <w:qFormat/>
    <w:pPr>
      <w:spacing w:after="120" w:before="160" w:line="240"/>
    </w:pPr>
    <w:rPr>
      <w:rFonts w:ascii="Simplified Arabic" w:cs="Simplified Arabic" w:hAnsi="Simplified Arabic"/>
      <w:b/>
      <w:bCs/>
      <w:color w:val="000000"/>
      <w:sz w:val="32"/>
      <w:szCs w:val="32"/>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9a33e8e9c88b87e86538410aa84c1153a4ae59a1.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تطبيق معايير الاعتماد الأكاديمي في جودة المخرجات التعليمية بمؤسسات التعليم العالي: مراجعة منهجية للأدبيات (2017–2026) وفق بروتوكول PRISMA 2020 مع تحليل مركّز على السياق العربي</dc:title>
  <dc:creator>عبدالله محمد مأمون فحلة</dc:creator>
  <cp:lastModifiedBy>Un-named</cp:lastModifiedBy>
  <cp:revision>1</cp:revision>
  <dcterms:created xsi:type="dcterms:W3CDTF">2026-08-04T16:42:15.698Z</dcterms:created>
  <dcterms:modified xsi:type="dcterms:W3CDTF">2026-08-04T16:42:15.698Z</dcterms:modified>
</cp:coreProperties>
</file>

<file path=docProps/custom.xml><?xml version="1.0" encoding="utf-8"?>
<Properties xmlns="http://schemas.openxmlformats.org/officeDocument/2006/custom-properties" xmlns:vt="http://schemas.openxmlformats.org/officeDocument/2006/docPropsVTypes"/>
</file>