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5BB6D7" w14:textId="77777777" w:rsidR="00F85E32" w:rsidRDefault="00F85E32" w:rsidP="00A8644B">
      <w:pPr>
        <w:bidi/>
        <w:spacing w:line="276" w:lineRule="auto"/>
        <w:jc w:val="center"/>
        <w:rPr>
          <w:rFonts w:ascii="Traditional Arabic" w:hAnsi="Traditional Arabic" w:cs="Traditional Arabic"/>
          <w:b/>
          <w:bCs/>
          <w:sz w:val="32"/>
          <w:szCs w:val="32"/>
          <w:rtl/>
        </w:rPr>
      </w:pPr>
    </w:p>
    <w:p w14:paraId="2388415D" w14:textId="77777777" w:rsidR="00F85E32" w:rsidRDefault="00F85E32" w:rsidP="00A8644B">
      <w:pPr>
        <w:bidi/>
        <w:spacing w:line="276" w:lineRule="auto"/>
        <w:jc w:val="center"/>
        <w:rPr>
          <w:rFonts w:ascii="Traditional Arabic" w:hAnsi="Traditional Arabic" w:cs="Traditional Arabic"/>
          <w:b/>
          <w:bCs/>
          <w:sz w:val="32"/>
          <w:szCs w:val="32"/>
        </w:rPr>
      </w:pPr>
    </w:p>
    <w:p w14:paraId="65C5B24F" w14:textId="77777777" w:rsidR="00F85E32" w:rsidRDefault="00F85E32" w:rsidP="00A8644B">
      <w:pPr>
        <w:bidi/>
        <w:spacing w:line="276" w:lineRule="auto"/>
        <w:jc w:val="center"/>
        <w:rPr>
          <w:rFonts w:ascii="Traditional Arabic" w:hAnsi="Traditional Arabic" w:cs="Traditional Arabic"/>
          <w:b/>
          <w:bCs/>
          <w:sz w:val="32"/>
          <w:szCs w:val="32"/>
        </w:rPr>
      </w:pPr>
    </w:p>
    <w:p w14:paraId="4D37541E" w14:textId="77777777" w:rsidR="00F85E32" w:rsidRDefault="00F85E32" w:rsidP="00A8644B">
      <w:pPr>
        <w:bidi/>
        <w:spacing w:line="276" w:lineRule="auto"/>
        <w:jc w:val="center"/>
        <w:rPr>
          <w:rFonts w:ascii="Traditional Arabic" w:hAnsi="Traditional Arabic" w:cs="Traditional Arabic"/>
          <w:b/>
          <w:bCs/>
          <w:sz w:val="32"/>
          <w:szCs w:val="32"/>
        </w:rPr>
      </w:pPr>
    </w:p>
    <w:p w14:paraId="278B20E3" w14:textId="77777777" w:rsidR="00F85E32" w:rsidRDefault="00F85E32" w:rsidP="00A8644B">
      <w:pPr>
        <w:bidi/>
        <w:spacing w:line="276" w:lineRule="auto"/>
        <w:jc w:val="center"/>
        <w:rPr>
          <w:rFonts w:ascii="Traditional Arabic" w:hAnsi="Traditional Arabic" w:cs="Traditional Arabic"/>
          <w:b/>
          <w:bCs/>
          <w:sz w:val="32"/>
          <w:szCs w:val="32"/>
        </w:rPr>
      </w:pPr>
    </w:p>
    <w:p w14:paraId="34D3D18E" w14:textId="718D2D69" w:rsidR="00F85E32" w:rsidRPr="00F85E32" w:rsidRDefault="003637AE" w:rsidP="00A8644B">
      <w:pPr>
        <w:bidi/>
        <w:spacing w:line="276" w:lineRule="auto"/>
        <w:jc w:val="center"/>
        <w:rPr>
          <w:rFonts w:ascii="Traditional Arabic" w:hAnsi="Traditional Arabic" w:cs="Traditional Arabic"/>
          <w:b/>
          <w:bCs/>
          <w:rtl/>
        </w:rPr>
      </w:pPr>
      <w:r>
        <w:rPr>
          <w:rFonts w:ascii="Traditional Arabic" w:hAnsi="Traditional Arabic" w:cs="Traditional Arabic" w:hint="cs"/>
          <w:b/>
          <w:bCs/>
          <w:sz w:val="32"/>
          <w:szCs w:val="32"/>
          <w:rtl/>
        </w:rPr>
        <w:t>الفصل الثاني (الإطار النظري، الدراسات السابقة) بعنوان</w:t>
      </w:r>
    </w:p>
    <w:p w14:paraId="4DDDAD1F" w14:textId="27C7C2F1" w:rsidR="00F85E32" w:rsidRDefault="00F85E32" w:rsidP="00A8644B">
      <w:pPr>
        <w:bidi/>
        <w:spacing w:line="276" w:lineRule="auto"/>
        <w:jc w:val="center"/>
        <w:rPr>
          <w:rFonts w:ascii="Traditional Arabic" w:hAnsi="Traditional Arabic" w:cs="Traditional Arabic"/>
          <w:b/>
          <w:bCs/>
          <w:rtl/>
        </w:rPr>
      </w:pPr>
      <w:r w:rsidRPr="00F85E32">
        <w:rPr>
          <w:rFonts w:ascii="Traditional Arabic" w:hAnsi="Traditional Arabic" w:cs="Traditional Arabic" w:hint="cs"/>
          <w:b/>
          <w:bCs/>
          <w:rtl/>
        </w:rPr>
        <w:t>(</w:t>
      </w:r>
      <w:r w:rsidRPr="00F85E32">
        <w:rPr>
          <w:rFonts w:ascii="Traditional Arabic" w:hAnsi="Traditional Arabic" w:cs="Traditional Arabic" w:hint="cs"/>
          <w:b/>
          <w:bCs/>
          <w:sz w:val="28"/>
          <w:szCs w:val="28"/>
          <w:rtl/>
        </w:rPr>
        <w:t>استراتيجية البراعة التنظيمية لتحقيق التميز المؤسسي والاستدامة في هيئات القطاع العام: نموذج تطبيقي في السياق السعودي</w:t>
      </w:r>
      <w:r w:rsidRPr="00F85E32">
        <w:rPr>
          <w:rFonts w:ascii="Traditional Arabic" w:hAnsi="Traditional Arabic" w:cs="Traditional Arabic" w:hint="cs"/>
          <w:b/>
          <w:bCs/>
          <w:rtl/>
        </w:rPr>
        <w:t>)</w:t>
      </w:r>
    </w:p>
    <w:p w14:paraId="7D0890AF" w14:textId="626F07E4" w:rsidR="00A57F51" w:rsidRPr="00A57F51" w:rsidRDefault="00A57F51" w:rsidP="00A8644B">
      <w:pPr>
        <w:bidi/>
        <w:spacing w:line="276" w:lineRule="auto"/>
        <w:jc w:val="center"/>
        <w:rPr>
          <w:rFonts w:ascii="Traditional Arabic" w:hAnsi="Traditional Arabic" w:cs="Traditional Arabic"/>
          <w:b/>
          <w:bCs/>
          <w:sz w:val="22"/>
          <w:szCs w:val="22"/>
          <w:rtl/>
        </w:rPr>
      </w:pPr>
      <w:r w:rsidRPr="00A57F51">
        <w:rPr>
          <w:rFonts w:ascii="Traditional Arabic" w:hAnsi="Traditional Arabic" w:cs="Traditional Arabic"/>
          <w:b/>
          <w:bCs/>
          <w:sz w:val="22"/>
          <w:szCs w:val="22"/>
        </w:rPr>
        <w:t>An Organizational Ambidexterity Strategy for Achieving Institutional Excellence and Sustainability in Public Sector Authorities: An Applied Model in the Saudi Context</w:t>
      </w:r>
    </w:p>
    <w:p w14:paraId="3084CA56" w14:textId="59E090A5" w:rsidR="00F85E32" w:rsidRPr="00F85E32" w:rsidRDefault="00F85E32" w:rsidP="00A8644B">
      <w:pPr>
        <w:bidi/>
        <w:spacing w:line="276" w:lineRule="auto"/>
        <w:jc w:val="center"/>
        <w:rPr>
          <w:rFonts w:ascii="Traditional Arabic" w:hAnsi="Traditional Arabic" w:cs="Traditional Arabic"/>
          <w:b/>
          <w:bCs/>
          <w:sz w:val="28"/>
          <w:szCs w:val="28"/>
          <w:rtl/>
        </w:rPr>
      </w:pPr>
      <w:r w:rsidRPr="00F85E32">
        <w:rPr>
          <w:rFonts w:ascii="Traditional Arabic" w:hAnsi="Traditional Arabic" w:cs="Traditional Arabic" w:hint="cs"/>
          <w:b/>
          <w:bCs/>
          <w:sz w:val="28"/>
          <w:szCs w:val="28"/>
          <w:rtl/>
        </w:rPr>
        <w:t xml:space="preserve">لتسجيل درجة الدكتوراه في الإدارة </w:t>
      </w:r>
    </w:p>
    <w:p w14:paraId="6371328F" w14:textId="77777777" w:rsidR="00F85E32" w:rsidRDefault="00F85E32" w:rsidP="00A8644B">
      <w:pPr>
        <w:bidi/>
        <w:spacing w:line="276" w:lineRule="auto"/>
        <w:jc w:val="center"/>
        <w:rPr>
          <w:rFonts w:ascii="Traditional Arabic" w:hAnsi="Traditional Arabic" w:cs="Traditional Arabic"/>
          <w:b/>
          <w:bCs/>
          <w:rtl/>
        </w:rPr>
      </w:pPr>
    </w:p>
    <w:p w14:paraId="6AD16151" w14:textId="77777777" w:rsidR="004B4B7A" w:rsidRDefault="004B4B7A" w:rsidP="004B4B7A">
      <w:pPr>
        <w:bidi/>
        <w:spacing w:line="276" w:lineRule="auto"/>
        <w:jc w:val="center"/>
        <w:rPr>
          <w:rFonts w:ascii="Traditional Arabic" w:hAnsi="Traditional Arabic" w:cs="Traditional Arabic"/>
          <w:b/>
          <w:bCs/>
          <w:rtl/>
        </w:rPr>
      </w:pPr>
    </w:p>
    <w:p w14:paraId="7D8F596E" w14:textId="77777777" w:rsidR="004B4B7A" w:rsidRPr="00F85E32" w:rsidRDefault="004B4B7A" w:rsidP="004B4B7A">
      <w:pPr>
        <w:bidi/>
        <w:spacing w:line="276" w:lineRule="auto"/>
        <w:jc w:val="center"/>
        <w:rPr>
          <w:rFonts w:ascii="Traditional Arabic" w:hAnsi="Traditional Arabic" w:cs="Traditional Arabic"/>
          <w:b/>
          <w:bCs/>
          <w:sz w:val="28"/>
          <w:szCs w:val="28"/>
          <w:rtl/>
        </w:rPr>
      </w:pPr>
      <w:r w:rsidRPr="00F85E32">
        <w:rPr>
          <w:rFonts w:ascii="Traditional Arabic" w:hAnsi="Traditional Arabic" w:cs="Traditional Arabic" w:hint="cs"/>
          <w:b/>
          <w:bCs/>
          <w:sz w:val="28"/>
          <w:szCs w:val="28"/>
          <w:rtl/>
        </w:rPr>
        <w:t>إعداد</w:t>
      </w:r>
    </w:p>
    <w:p w14:paraId="7F66DEA6" w14:textId="77777777" w:rsidR="004B4B7A" w:rsidRPr="00F85E32" w:rsidRDefault="004B4B7A" w:rsidP="004B4B7A">
      <w:pPr>
        <w:bidi/>
        <w:spacing w:line="276" w:lineRule="auto"/>
        <w:jc w:val="center"/>
        <w:rPr>
          <w:rFonts w:ascii="Traditional Arabic" w:hAnsi="Traditional Arabic" w:cs="Traditional Arabic"/>
          <w:b/>
          <w:bCs/>
          <w:sz w:val="28"/>
          <w:szCs w:val="28"/>
          <w:rtl/>
        </w:rPr>
      </w:pPr>
      <w:r w:rsidRPr="00F85E32">
        <w:rPr>
          <w:rFonts w:ascii="Traditional Arabic" w:hAnsi="Traditional Arabic" w:cs="Traditional Arabic" w:hint="cs"/>
          <w:b/>
          <w:bCs/>
          <w:sz w:val="28"/>
          <w:szCs w:val="28"/>
          <w:rtl/>
        </w:rPr>
        <w:t xml:space="preserve">هنادي المبارك </w:t>
      </w:r>
    </w:p>
    <w:p w14:paraId="287872BA" w14:textId="77777777" w:rsidR="004B4B7A" w:rsidRPr="00F85E32" w:rsidRDefault="004B4B7A" w:rsidP="004B4B7A">
      <w:pPr>
        <w:bidi/>
        <w:spacing w:line="276" w:lineRule="auto"/>
        <w:jc w:val="center"/>
        <w:rPr>
          <w:rFonts w:ascii="Traditional Arabic" w:hAnsi="Traditional Arabic" w:cs="Traditional Arabic"/>
          <w:b/>
          <w:bCs/>
          <w:sz w:val="28"/>
          <w:szCs w:val="28"/>
        </w:rPr>
      </w:pPr>
      <w:r w:rsidRPr="00F85E32">
        <w:rPr>
          <w:rFonts w:ascii="Traditional Arabic" w:hAnsi="Traditional Arabic" w:cs="Traditional Arabic" w:hint="cs"/>
          <w:b/>
          <w:bCs/>
          <w:sz w:val="28"/>
          <w:szCs w:val="28"/>
          <w:rtl/>
        </w:rPr>
        <w:t>الرقم الأكاديمي</w:t>
      </w:r>
    </w:p>
    <w:p w14:paraId="2FD61D1E" w14:textId="77777777" w:rsidR="004B4B7A" w:rsidRDefault="004B4B7A" w:rsidP="004B4B7A">
      <w:pPr>
        <w:bidi/>
        <w:spacing w:line="276" w:lineRule="auto"/>
        <w:jc w:val="center"/>
        <w:rPr>
          <w:rFonts w:ascii="Traditional Arabic" w:hAnsi="Traditional Arabic" w:cs="Traditional Arabic"/>
        </w:rPr>
      </w:pPr>
      <w:r w:rsidRPr="00F85E32">
        <w:rPr>
          <w:rFonts w:ascii="Traditional Arabic" w:hAnsi="Traditional Arabic" w:cs="Traditional Arabic"/>
          <w:rtl/>
        </w:rPr>
        <w:t>241000678</w:t>
      </w:r>
    </w:p>
    <w:p w14:paraId="4427CFAE" w14:textId="77777777" w:rsidR="004B4B7A" w:rsidRDefault="004B4B7A" w:rsidP="004B4B7A">
      <w:pPr>
        <w:bidi/>
        <w:spacing w:line="276" w:lineRule="auto"/>
        <w:jc w:val="center"/>
        <w:rPr>
          <w:rFonts w:ascii="Traditional Arabic" w:hAnsi="Traditional Arabic" w:cs="Traditional Arabic"/>
        </w:rPr>
      </w:pPr>
    </w:p>
    <w:p w14:paraId="46572080" w14:textId="77777777" w:rsidR="004B4B7A" w:rsidRPr="00A8644B" w:rsidRDefault="004B4B7A" w:rsidP="004B4B7A">
      <w:pPr>
        <w:bidi/>
        <w:spacing w:line="276" w:lineRule="auto"/>
        <w:jc w:val="center"/>
        <w:rPr>
          <w:rFonts w:ascii="Traditional Arabic" w:hAnsi="Traditional Arabic" w:cs="Traditional Arabic"/>
        </w:rPr>
      </w:pPr>
      <w:r>
        <w:rPr>
          <w:rFonts w:ascii="Traditional Arabic" w:hAnsi="Traditional Arabic" w:cs="Traditional Arabic"/>
        </w:rPr>
        <w:t>2025 -2026</w:t>
      </w:r>
    </w:p>
    <w:p w14:paraId="2994139F" w14:textId="50B6AD6E" w:rsidR="00347A2F" w:rsidRDefault="00347A2F" w:rsidP="003637AE">
      <w:pPr>
        <w:tabs>
          <w:tab w:val="left" w:pos="1368"/>
        </w:tabs>
        <w:bidi/>
        <w:spacing w:line="240" w:lineRule="auto"/>
        <w:rPr>
          <w:rFonts w:ascii="Traditional Arabic" w:hAnsi="Traditional Arabic" w:cs="Traditional Arabic"/>
          <w:b/>
          <w:bCs/>
          <w:rtl/>
        </w:rPr>
      </w:pPr>
    </w:p>
    <w:p w14:paraId="761DE79C" w14:textId="77777777" w:rsidR="003637AE" w:rsidRPr="003637AE" w:rsidRDefault="003637AE" w:rsidP="003637AE">
      <w:pPr>
        <w:tabs>
          <w:tab w:val="left" w:pos="1368"/>
        </w:tabs>
        <w:bidi/>
        <w:spacing w:line="240" w:lineRule="auto"/>
        <w:rPr>
          <w:rFonts w:ascii="Traditional Arabic" w:hAnsi="Traditional Arabic" w:cs="Traditional Arabic"/>
          <w:b/>
          <w:bCs/>
          <w:sz w:val="56"/>
          <w:szCs w:val="56"/>
          <w:rtl/>
        </w:rPr>
      </w:pPr>
    </w:p>
    <w:p w14:paraId="523604FB" w14:textId="63D750F6" w:rsidR="0057211A" w:rsidRPr="0057211A" w:rsidRDefault="0057211A" w:rsidP="00B375C9">
      <w:pPr>
        <w:tabs>
          <w:tab w:val="left" w:pos="1368"/>
        </w:tabs>
        <w:bidi/>
        <w:spacing w:line="276" w:lineRule="auto"/>
        <w:rPr>
          <w:rFonts w:ascii="Traditional Arabic" w:hAnsi="Traditional Arabic" w:cs="Traditional Arabic"/>
          <w:b/>
          <w:bCs/>
        </w:rPr>
      </w:pPr>
      <w:r w:rsidRPr="0057211A">
        <w:rPr>
          <w:rFonts w:ascii="Traditional Arabic" w:hAnsi="Traditional Arabic" w:cs="Traditional Arabic"/>
          <w:b/>
          <w:bCs/>
          <w:rtl/>
        </w:rPr>
        <w:lastRenderedPageBreak/>
        <w:t>تمهيد</w:t>
      </w:r>
      <w:r w:rsidR="00B375C9">
        <w:rPr>
          <w:rFonts w:ascii="Traditional Arabic" w:hAnsi="Traditional Arabic" w:cs="Traditional Arabic" w:hint="cs"/>
          <w:b/>
          <w:bCs/>
          <w:rtl/>
        </w:rPr>
        <w:t>:</w:t>
      </w:r>
    </w:p>
    <w:p w14:paraId="7D69E5B3" w14:textId="131137C2" w:rsidR="0057211A" w:rsidRPr="0057211A" w:rsidRDefault="00B375C9" w:rsidP="00B375C9">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57211A" w:rsidRPr="0057211A">
        <w:rPr>
          <w:rFonts w:ascii="Traditional Arabic" w:hAnsi="Traditional Arabic" w:cs="Traditional Arabic"/>
          <w:rtl/>
        </w:rPr>
        <w:t>يمثل الإطار النظري أحد الركائز الأساسية في بناء الدراسات العلمية، إذ يشكل الأساس المعرفي الذي يستند إليه الباحث في تفسير الظواهر المدروسة وتحليل العلاقات بين متغيراتها المختلفة. ويهدف الإطار النظري إلى تقديم عرض علمي منظم للأدبيات والنظريات المرتبطة بموضوع الدراسة، بما يسهم في بناء فهم متكامل لمفاهيمها الأساسية وتحديد الإطار المفاهيمي الذي تستند إليه الدراسة في صياغة فرضياتها وتفسير نتائجها</w:t>
      </w:r>
      <w:r w:rsidR="0057211A" w:rsidRPr="0057211A">
        <w:rPr>
          <w:rFonts w:ascii="Traditional Arabic" w:hAnsi="Traditional Arabic" w:cs="Traditional Arabic"/>
          <w:sz w:val="22"/>
          <w:szCs w:val="22"/>
        </w:rPr>
        <w:t xml:space="preserve"> (Sekaran &amp; Bougie, 2020).</w:t>
      </w:r>
    </w:p>
    <w:p w14:paraId="629E0008" w14:textId="0B4C46B5" w:rsidR="0057211A" w:rsidRPr="0057211A" w:rsidRDefault="00B375C9" w:rsidP="00B375C9">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57211A" w:rsidRPr="0057211A">
        <w:rPr>
          <w:rFonts w:ascii="Traditional Arabic" w:hAnsi="Traditional Arabic" w:cs="Traditional Arabic"/>
          <w:rtl/>
        </w:rPr>
        <w:t>وفي مجال الدراسات التنظيمية، تزداد أهمية الإطار النظري نظرًا للطبيعة المعقدة للظواهر الإدارية التي تتداخل فيها العديد من العوامل التنظيمية والاستراتيجية والسلوكية. فالمؤسسات المعاصرة تعمل في بيئات تتسم بدرجة عالية من التغير وعدم اليقين، الأمر الذي يفرض عليها تطوير قدراتها التنظيمية بشكل مستمر لضمان قدرتها على التكيف مع هذه التغيرات وتحقيق الأداء المتفوق على المدى الطويل</w:t>
      </w:r>
      <w:r w:rsidR="0057211A" w:rsidRPr="0057211A">
        <w:rPr>
          <w:rFonts w:ascii="Traditional Arabic" w:hAnsi="Traditional Arabic" w:cs="Traditional Arabic"/>
        </w:rPr>
        <w:t xml:space="preserve"> </w:t>
      </w:r>
      <w:r w:rsidR="0057211A" w:rsidRPr="0057211A">
        <w:rPr>
          <w:rFonts w:ascii="Traditional Arabic" w:hAnsi="Traditional Arabic" w:cs="Traditional Arabic"/>
          <w:sz w:val="22"/>
          <w:szCs w:val="22"/>
        </w:rPr>
        <w:t>(Raisch &amp; Birkinshaw, 2008).</w:t>
      </w:r>
    </w:p>
    <w:p w14:paraId="136B865B" w14:textId="22911CC7" w:rsidR="00437601" w:rsidRDefault="00B375C9" w:rsidP="008215B8">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0057211A" w:rsidRPr="0057211A">
        <w:rPr>
          <w:rFonts w:ascii="Traditional Arabic" w:hAnsi="Traditional Arabic" w:cs="Traditional Arabic"/>
          <w:rtl/>
        </w:rPr>
        <w:t>وقد أدى هذا الواقع إلى ظهور العديد من المفاهيم الإدارية الحديثة التي تهدف إلى تعزيز قدرة المؤسسات على تحقيق التوازن بين الاستقرار التنظيمي والتجديد المستمر، ومن أبرز هذه المفاهيم مفهوم البراعة التنظيمية</w:t>
      </w:r>
      <w:r w:rsidR="0057211A" w:rsidRPr="0057211A">
        <w:rPr>
          <w:rFonts w:ascii="Traditional Arabic" w:hAnsi="Traditional Arabic" w:cs="Traditional Arabic"/>
          <w:sz w:val="22"/>
          <w:szCs w:val="22"/>
        </w:rPr>
        <w:t xml:space="preserve"> (Organizational Ambidexterity)</w:t>
      </w:r>
      <w:r w:rsidR="0057211A" w:rsidRPr="0057211A">
        <w:rPr>
          <w:rFonts w:ascii="Traditional Arabic" w:hAnsi="Traditional Arabic" w:cs="Traditional Arabic"/>
        </w:rPr>
        <w:t xml:space="preserve"> </w:t>
      </w:r>
      <w:r w:rsidR="0057211A" w:rsidRPr="0057211A">
        <w:rPr>
          <w:rFonts w:ascii="Traditional Arabic" w:hAnsi="Traditional Arabic" w:cs="Traditional Arabic"/>
          <w:rtl/>
        </w:rPr>
        <w:t>الذي يعد أحد المفاهيم المحورية في الأدبيات الإدارية المعاصرة. ويشير هذا المفهوم إلى قدرة المنظمة على تحقيق التوازن بين أنشطة الاستغلال التي تهدف إلى تحسين العمليات الحالية وتعزيز الكفاءة التشغيلية، وأنشطة الاستكشاف التي تركز على البحث عن فرص جديدة للابتكار والتطوير</w:t>
      </w:r>
      <w:r w:rsidR="0057211A" w:rsidRPr="0057211A">
        <w:rPr>
          <w:rFonts w:ascii="Traditional Arabic" w:hAnsi="Traditional Arabic" w:cs="Traditional Arabic"/>
        </w:rPr>
        <w:t xml:space="preserve"> </w:t>
      </w:r>
      <w:r w:rsidR="0057211A" w:rsidRPr="0057211A">
        <w:rPr>
          <w:rFonts w:ascii="Traditional Arabic" w:hAnsi="Traditional Arabic" w:cs="Traditional Arabic"/>
          <w:sz w:val="22"/>
          <w:szCs w:val="22"/>
        </w:rPr>
        <w:t>(March, 1991).</w:t>
      </w:r>
    </w:p>
    <w:p w14:paraId="1CA62432" w14:textId="455F24D7" w:rsidR="0057211A" w:rsidRPr="0057211A" w:rsidRDefault="008215B8" w:rsidP="008215B8">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Pr="008215B8">
        <w:rPr>
          <w:rFonts w:ascii="Traditional Arabic" w:hAnsi="Traditional Arabic" w:cs="Traditional Arabic" w:hint="cs"/>
          <w:rtl/>
        </w:rPr>
        <w:t>وقد</w:t>
      </w:r>
      <w:r w:rsidRPr="008215B8">
        <w:rPr>
          <w:rFonts w:ascii="Traditional Arabic" w:hAnsi="Traditional Arabic" w:cs="Traditional Arabic"/>
          <w:rtl/>
        </w:rPr>
        <w:t xml:space="preserve"> </w:t>
      </w:r>
      <w:r w:rsidRPr="008215B8">
        <w:rPr>
          <w:rFonts w:ascii="Traditional Arabic" w:hAnsi="Traditional Arabic" w:cs="Traditional Arabic" w:hint="cs"/>
          <w:rtl/>
        </w:rPr>
        <w:t>حظي</w:t>
      </w:r>
      <w:r w:rsidRPr="008215B8">
        <w:rPr>
          <w:rFonts w:ascii="Traditional Arabic" w:hAnsi="Traditional Arabic" w:cs="Traditional Arabic"/>
          <w:rtl/>
        </w:rPr>
        <w:t xml:space="preserve"> </w:t>
      </w:r>
      <w:r w:rsidRPr="008215B8">
        <w:rPr>
          <w:rFonts w:ascii="Traditional Arabic" w:hAnsi="Traditional Arabic" w:cs="Traditional Arabic" w:hint="cs"/>
          <w:rtl/>
        </w:rPr>
        <w:t>هذا</w:t>
      </w:r>
      <w:r w:rsidRPr="008215B8">
        <w:rPr>
          <w:rFonts w:ascii="Traditional Arabic" w:hAnsi="Traditional Arabic" w:cs="Traditional Arabic"/>
          <w:rtl/>
        </w:rPr>
        <w:t xml:space="preserve"> </w:t>
      </w:r>
      <w:r w:rsidRPr="008215B8">
        <w:rPr>
          <w:rFonts w:ascii="Traditional Arabic" w:hAnsi="Traditional Arabic" w:cs="Traditional Arabic" w:hint="cs"/>
          <w:rtl/>
        </w:rPr>
        <w:t>المفهوم</w:t>
      </w:r>
      <w:r w:rsidRPr="008215B8">
        <w:rPr>
          <w:rFonts w:ascii="Traditional Arabic" w:hAnsi="Traditional Arabic" w:cs="Traditional Arabic"/>
          <w:rtl/>
        </w:rPr>
        <w:t xml:space="preserve"> </w:t>
      </w:r>
      <w:r w:rsidRPr="008215B8">
        <w:rPr>
          <w:rFonts w:ascii="Traditional Arabic" w:hAnsi="Traditional Arabic" w:cs="Traditional Arabic" w:hint="cs"/>
          <w:rtl/>
        </w:rPr>
        <w:t>باهتمام</w:t>
      </w:r>
      <w:r w:rsidRPr="008215B8">
        <w:rPr>
          <w:rFonts w:ascii="Traditional Arabic" w:hAnsi="Traditional Arabic" w:cs="Traditional Arabic"/>
          <w:rtl/>
        </w:rPr>
        <w:t xml:space="preserve"> </w:t>
      </w:r>
      <w:r w:rsidRPr="008215B8">
        <w:rPr>
          <w:rFonts w:ascii="Traditional Arabic" w:hAnsi="Traditional Arabic" w:cs="Traditional Arabic" w:hint="cs"/>
          <w:rtl/>
        </w:rPr>
        <w:t>واسع</w:t>
      </w:r>
      <w:r w:rsidRPr="008215B8">
        <w:rPr>
          <w:rFonts w:ascii="Traditional Arabic" w:hAnsi="Traditional Arabic" w:cs="Traditional Arabic"/>
          <w:rtl/>
        </w:rPr>
        <w:t xml:space="preserve"> </w:t>
      </w:r>
      <w:r w:rsidRPr="008215B8">
        <w:rPr>
          <w:rFonts w:ascii="Traditional Arabic" w:hAnsi="Traditional Arabic" w:cs="Traditional Arabic" w:hint="cs"/>
          <w:rtl/>
        </w:rPr>
        <w:t>في</w:t>
      </w:r>
      <w:r w:rsidRPr="008215B8">
        <w:rPr>
          <w:rFonts w:ascii="Traditional Arabic" w:hAnsi="Traditional Arabic" w:cs="Traditional Arabic"/>
          <w:rtl/>
        </w:rPr>
        <w:t xml:space="preserve"> </w:t>
      </w:r>
      <w:r w:rsidRPr="008215B8">
        <w:rPr>
          <w:rFonts w:ascii="Traditional Arabic" w:hAnsi="Traditional Arabic" w:cs="Traditional Arabic" w:hint="cs"/>
          <w:rtl/>
        </w:rPr>
        <w:t>الدراسات</w:t>
      </w:r>
      <w:r w:rsidRPr="008215B8">
        <w:rPr>
          <w:rFonts w:ascii="Traditional Arabic" w:hAnsi="Traditional Arabic" w:cs="Traditional Arabic"/>
          <w:rtl/>
        </w:rPr>
        <w:t xml:space="preserve"> </w:t>
      </w:r>
      <w:r w:rsidRPr="008215B8">
        <w:rPr>
          <w:rFonts w:ascii="Traditional Arabic" w:hAnsi="Traditional Arabic" w:cs="Traditional Arabic" w:hint="cs"/>
          <w:rtl/>
        </w:rPr>
        <w:t>الإدارية،</w:t>
      </w:r>
      <w:r w:rsidRPr="008215B8">
        <w:rPr>
          <w:rFonts w:ascii="Traditional Arabic" w:hAnsi="Traditional Arabic" w:cs="Traditional Arabic"/>
          <w:rtl/>
        </w:rPr>
        <w:t xml:space="preserve"> </w:t>
      </w:r>
      <w:r w:rsidRPr="008215B8">
        <w:rPr>
          <w:rFonts w:ascii="Traditional Arabic" w:hAnsi="Traditional Arabic" w:cs="Traditional Arabic" w:hint="cs"/>
          <w:rtl/>
        </w:rPr>
        <w:t>حيث</w:t>
      </w:r>
      <w:r w:rsidRPr="008215B8">
        <w:rPr>
          <w:rFonts w:ascii="Traditional Arabic" w:hAnsi="Traditional Arabic" w:cs="Traditional Arabic"/>
          <w:rtl/>
        </w:rPr>
        <w:t xml:space="preserve"> </w:t>
      </w:r>
      <w:r w:rsidRPr="008215B8">
        <w:rPr>
          <w:rFonts w:ascii="Traditional Arabic" w:hAnsi="Traditional Arabic" w:cs="Traditional Arabic" w:hint="cs"/>
          <w:rtl/>
        </w:rPr>
        <w:t>أظهرت</w:t>
      </w:r>
      <w:r w:rsidRPr="008215B8">
        <w:rPr>
          <w:rFonts w:ascii="Traditional Arabic" w:hAnsi="Traditional Arabic" w:cs="Traditional Arabic"/>
          <w:rtl/>
        </w:rPr>
        <w:t xml:space="preserve"> </w:t>
      </w:r>
      <w:r w:rsidRPr="008215B8">
        <w:rPr>
          <w:rFonts w:ascii="Traditional Arabic" w:hAnsi="Traditional Arabic" w:cs="Traditional Arabic" w:hint="cs"/>
          <w:rtl/>
        </w:rPr>
        <w:t>العديد</w:t>
      </w:r>
      <w:r w:rsidRPr="008215B8">
        <w:rPr>
          <w:rFonts w:ascii="Traditional Arabic" w:hAnsi="Traditional Arabic" w:cs="Traditional Arabic"/>
          <w:rtl/>
        </w:rPr>
        <w:t xml:space="preserve"> </w:t>
      </w:r>
      <w:r w:rsidRPr="008215B8">
        <w:rPr>
          <w:rFonts w:ascii="Traditional Arabic" w:hAnsi="Traditional Arabic" w:cs="Traditional Arabic" w:hint="cs"/>
          <w:rtl/>
        </w:rPr>
        <w:t>من</w:t>
      </w:r>
      <w:r w:rsidRPr="008215B8">
        <w:rPr>
          <w:rFonts w:ascii="Traditional Arabic" w:hAnsi="Traditional Arabic" w:cs="Traditional Arabic"/>
          <w:rtl/>
        </w:rPr>
        <w:t xml:space="preserve"> </w:t>
      </w:r>
      <w:r w:rsidRPr="008215B8">
        <w:rPr>
          <w:rFonts w:ascii="Traditional Arabic" w:hAnsi="Traditional Arabic" w:cs="Traditional Arabic" w:hint="cs"/>
          <w:rtl/>
        </w:rPr>
        <w:t>الأبحاث</w:t>
      </w:r>
      <w:r w:rsidRPr="008215B8">
        <w:rPr>
          <w:rFonts w:ascii="Traditional Arabic" w:hAnsi="Traditional Arabic" w:cs="Traditional Arabic"/>
          <w:rtl/>
        </w:rPr>
        <w:t xml:space="preserve"> </w:t>
      </w:r>
      <w:r w:rsidRPr="008215B8">
        <w:rPr>
          <w:rFonts w:ascii="Traditional Arabic" w:hAnsi="Traditional Arabic" w:cs="Traditional Arabic" w:hint="cs"/>
          <w:rtl/>
        </w:rPr>
        <w:t>أن</w:t>
      </w:r>
      <w:r w:rsidRPr="008215B8">
        <w:rPr>
          <w:rFonts w:ascii="Traditional Arabic" w:hAnsi="Traditional Arabic" w:cs="Traditional Arabic"/>
          <w:rtl/>
        </w:rPr>
        <w:t xml:space="preserve"> </w:t>
      </w:r>
      <w:r w:rsidRPr="008215B8">
        <w:rPr>
          <w:rFonts w:ascii="Traditional Arabic" w:hAnsi="Traditional Arabic" w:cs="Traditional Arabic" w:hint="cs"/>
          <w:rtl/>
        </w:rPr>
        <w:t>المؤسسات</w:t>
      </w:r>
      <w:r w:rsidRPr="008215B8">
        <w:rPr>
          <w:rFonts w:ascii="Traditional Arabic" w:hAnsi="Traditional Arabic" w:cs="Traditional Arabic"/>
          <w:rtl/>
        </w:rPr>
        <w:t xml:space="preserve"> </w:t>
      </w:r>
      <w:r w:rsidRPr="008215B8">
        <w:rPr>
          <w:rFonts w:ascii="Traditional Arabic" w:hAnsi="Traditional Arabic" w:cs="Traditional Arabic" w:hint="cs"/>
          <w:rtl/>
        </w:rPr>
        <w:t>التي</w:t>
      </w:r>
      <w:r w:rsidRPr="008215B8">
        <w:rPr>
          <w:rFonts w:ascii="Traditional Arabic" w:hAnsi="Traditional Arabic" w:cs="Traditional Arabic"/>
          <w:rtl/>
        </w:rPr>
        <w:t xml:space="preserve"> </w:t>
      </w:r>
      <w:r w:rsidRPr="008215B8">
        <w:rPr>
          <w:rFonts w:ascii="Traditional Arabic" w:hAnsi="Traditional Arabic" w:cs="Traditional Arabic" w:hint="cs"/>
          <w:rtl/>
        </w:rPr>
        <w:t>تتمكن</w:t>
      </w:r>
      <w:r w:rsidRPr="008215B8">
        <w:rPr>
          <w:rFonts w:ascii="Traditional Arabic" w:hAnsi="Traditional Arabic" w:cs="Traditional Arabic"/>
          <w:rtl/>
        </w:rPr>
        <w:t xml:space="preserve"> </w:t>
      </w:r>
      <w:r w:rsidRPr="008215B8">
        <w:rPr>
          <w:rFonts w:ascii="Traditional Arabic" w:hAnsi="Traditional Arabic" w:cs="Traditional Arabic" w:hint="cs"/>
          <w:rtl/>
        </w:rPr>
        <w:t>من</w:t>
      </w:r>
      <w:r w:rsidRPr="008215B8">
        <w:rPr>
          <w:rFonts w:ascii="Traditional Arabic" w:hAnsi="Traditional Arabic" w:cs="Traditional Arabic"/>
          <w:rtl/>
        </w:rPr>
        <w:t xml:space="preserve"> </w:t>
      </w:r>
      <w:r w:rsidRPr="008215B8">
        <w:rPr>
          <w:rFonts w:ascii="Traditional Arabic" w:hAnsi="Traditional Arabic" w:cs="Traditional Arabic" w:hint="cs"/>
          <w:rtl/>
        </w:rPr>
        <w:t>تحقيق</w:t>
      </w:r>
      <w:r w:rsidRPr="008215B8">
        <w:rPr>
          <w:rFonts w:ascii="Traditional Arabic" w:hAnsi="Traditional Arabic" w:cs="Traditional Arabic"/>
          <w:rtl/>
        </w:rPr>
        <w:t xml:space="preserve"> </w:t>
      </w:r>
      <w:r w:rsidRPr="008215B8">
        <w:rPr>
          <w:rFonts w:ascii="Traditional Arabic" w:hAnsi="Traditional Arabic" w:cs="Traditional Arabic" w:hint="cs"/>
          <w:rtl/>
        </w:rPr>
        <w:t>مستويات</w:t>
      </w:r>
      <w:r w:rsidRPr="008215B8">
        <w:rPr>
          <w:rFonts w:ascii="Traditional Arabic" w:hAnsi="Traditional Arabic" w:cs="Traditional Arabic"/>
          <w:rtl/>
        </w:rPr>
        <w:t xml:space="preserve"> </w:t>
      </w:r>
      <w:r w:rsidRPr="008215B8">
        <w:rPr>
          <w:rFonts w:ascii="Traditional Arabic" w:hAnsi="Traditional Arabic" w:cs="Traditional Arabic" w:hint="cs"/>
          <w:rtl/>
        </w:rPr>
        <w:t>مرتفعة</w:t>
      </w:r>
      <w:r w:rsidRPr="008215B8">
        <w:rPr>
          <w:rFonts w:ascii="Traditional Arabic" w:hAnsi="Traditional Arabic" w:cs="Traditional Arabic"/>
          <w:rtl/>
        </w:rPr>
        <w:t xml:space="preserve"> </w:t>
      </w:r>
      <w:r w:rsidRPr="008215B8">
        <w:rPr>
          <w:rFonts w:ascii="Traditional Arabic" w:hAnsi="Traditional Arabic" w:cs="Traditional Arabic" w:hint="cs"/>
          <w:rtl/>
        </w:rPr>
        <w:t>من</w:t>
      </w:r>
      <w:r w:rsidRPr="008215B8">
        <w:rPr>
          <w:rFonts w:ascii="Traditional Arabic" w:hAnsi="Traditional Arabic" w:cs="Traditional Arabic"/>
          <w:rtl/>
        </w:rPr>
        <w:t xml:space="preserve"> </w:t>
      </w:r>
      <w:r w:rsidRPr="008215B8">
        <w:rPr>
          <w:rFonts w:ascii="Traditional Arabic" w:hAnsi="Traditional Arabic" w:cs="Traditional Arabic" w:hint="cs"/>
          <w:rtl/>
        </w:rPr>
        <w:t>البراعة</w:t>
      </w:r>
      <w:r w:rsidRPr="008215B8">
        <w:rPr>
          <w:rFonts w:ascii="Traditional Arabic" w:hAnsi="Traditional Arabic" w:cs="Traditional Arabic"/>
          <w:rtl/>
        </w:rPr>
        <w:t xml:space="preserve"> </w:t>
      </w:r>
      <w:r w:rsidRPr="008215B8">
        <w:rPr>
          <w:rFonts w:ascii="Traditional Arabic" w:hAnsi="Traditional Arabic" w:cs="Traditional Arabic" w:hint="cs"/>
          <w:rtl/>
        </w:rPr>
        <w:t>التنظيمية</w:t>
      </w:r>
      <w:r w:rsidRPr="008215B8">
        <w:rPr>
          <w:rFonts w:ascii="Traditional Arabic" w:hAnsi="Traditional Arabic" w:cs="Traditional Arabic"/>
          <w:rtl/>
        </w:rPr>
        <w:t xml:space="preserve"> </w:t>
      </w:r>
      <w:r w:rsidRPr="008215B8">
        <w:rPr>
          <w:rFonts w:ascii="Traditional Arabic" w:hAnsi="Traditional Arabic" w:cs="Traditional Arabic" w:hint="cs"/>
          <w:rtl/>
        </w:rPr>
        <w:t>تكون</w:t>
      </w:r>
      <w:r w:rsidRPr="008215B8">
        <w:rPr>
          <w:rFonts w:ascii="Traditional Arabic" w:hAnsi="Traditional Arabic" w:cs="Traditional Arabic"/>
          <w:rtl/>
        </w:rPr>
        <w:t xml:space="preserve"> </w:t>
      </w:r>
      <w:r w:rsidRPr="008215B8">
        <w:rPr>
          <w:rFonts w:ascii="Traditional Arabic" w:hAnsi="Traditional Arabic" w:cs="Traditional Arabic" w:hint="cs"/>
          <w:rtl/>
        </w:rPr>
        <w:t>أكثر</w:t>
      </w:r>
      <w:r w:rsidRPr="008215B8">
        <w:rPr>
          <w:rFonts w:ascii="Traditional Arabic" w:hAnsi="Traditional Arabic" w:cs="Traditional Arabic"/>
          <w:rtl/>
        </w:rPr>
        <w:t xml:space="preserve"> </w:t>
      </w:r>
      <w:r w:rsidRPr="008215B8">
        <w:rPr>
          <w:rFonts w:ascii="Traditional Arabic" w:hAnsi="Traditional Arabic" w:cs="Traditional Arabic" w:hint="cs"/>
          <w:rtl/>
        </w:rPr>
        <w:t>قدرة</w:t>
      </w:r>
      <w:r w:rsidRPr="008215B8">
        <w:rPr>
          <w:rFonts w:ascii="Traditional Arabic" w:hAnsi="Traditional Arabic" w:cs="Traditional Arabic"/>
          <w:rtl/>
        </w:rPr>
        <w:t xml:space="preserve"> </w:t>
      </w:r>
      <w:r w:rsidRPr="008215B8">
        <w:rPr>
          <w:rFonts w:ascii="Traditional Arabic" w:hAnsi="Traditional Arabic" w:cs="Traditional Arabic" w:hint="cs"/>
          <w:rtl/>
        </w:rPr>
        <w:t>على</w:t>
      </w:r>
      <w:r w:rsidRPr="008215B8">
        <w:rPr>
          <w:rFonts w:ascii="Traditional Arabic" w:hAnsi="Traditional Arabic" w:cs="Traditional Arabic"/>
          <w:rtl/>
        </w:rPr>
        <w:t xml:space="preserve"> </w:t>
      </w:r>
      <w:r w:rsidRPr="008215B8">
        <w:rPr>
          <w:rFonts w:ascii="Traditional Arabic" w:hAnsi="Traditional Arabic" w:cs="Traditional Arabic" w:hint="cs"/>
          <w:rtl/>
        </w:rPr>
        <w:t>التكيف</w:t>
      </w:r>
      <w:r w:rsidRPr="008215B8">
        <w:rPr>
          <w:rFonts w:ascii="Traditional Arabic" w:hAnsi="Traditional Arabic" w:cs="Traditional Arabic"/>
          <w:rtl/>
        </w:rPr>
        <w:t xml:space="preserve"> </w:t>
      </w:r>
      <w:r w:rsidRPr="008215B8">
        <w:rPr>
          <w:rFonts w:ascii="Traditional Arabic" w:hAnsi="Traditional Arabic" w:cs="Traditional Arabic" w:hint="cs"/>
          <w:rtl/>
        </w:rPr>
        <w:t>مع</w:t>
      </w:r>
      <w:r w:rsidRPr="008215B8">
        <w:rPr>
          <w:rFonts w:ascii="Traditional Arabic" w:hAnsi="Traditional Arabic" w:cs="Traditional Arabic"/>
          <w:rtl/>
        </w:rPr>
        <w:t xml:space="preserve"> </w:t>
      </w:r>
      <w:r w:rsidRPr="008215B8">
        <w:rPr>
          <w:rFonts w:ascii="Traditional Arabic" w:hAnsi="Traditional Arabic" w:cs="Traditional Arabic" w:hint="cs"/>
          <w:rtl/>
        </w:rPr>
        <w:t>التغيرات</w:t>
      </w:r>
      <w:r w:rsidRPr="008215B8">
        <w:rPr>
          <w:rFonts w:ascii="Traditional Arabic" w:hAnsi="Traditional Arabic" w:cs="Traditional Arabic"/>
          <w:rtl/>
        </w:rPr>
        <w:t xml:space="preserve"> </w:t>
      </w:r>
      <w:r w:rsidRPr="008215B8">
        <w:rPr>
          <w:rFonts w:ascii="Traditional Arabic" w:hAnsi="Traditional Arabic" w:cs="Traditional Arabic" w:hint="cs"/>
          <w:rtl/>
        </w:rPr>
        <w:t>البيئية</w:t>
      </w:r>
      <w:r w:rsidRPr="008215B8">
        <w:rPr>
          <w:rFonts w:ascii="Traditional Arabic" w:hAnsi="Traditional Arabic" w:cs="Traditional Arabic"/>
          <w:rtl/>
        </w:rPr>
        <w:t xml:space="preserve"> </w:t>
      </w:r>
      <w:r w:rsidRPr="008215B8">
        <w:rPr>
          <w:rFonts w:ascii="Traditional Arabic" w:hAnsi="Traditional Arabic" w:cs="Traditional Arabic" w:hint="cs"/>
          <w:rtl/>
        </w:rPr>
        <w:t>وتحقيق</w:t>
      </w:r>
      <w:r w:rsidRPr="008215B8">
        <w:rPr>
          <w:rFonts w:ascii="Traditional Arabic" w:hAnsi="Traditional Arabic" w:cs="Traditional Arabic"/>
          <w:rtl/>
        </w:rPr>
        <w:t xml:space="preserve"> </w:t>
      </w:r>
      <w:r w:rsidRPr="008215B8">
        <w:rPr>
          <w:rFonts w:ascii="Traditional Arabic" w:hAnsi="Traditional Arabic" w:cs="Traditional Arabic" w:hint="cs"/>
          <w:rtl/>
        </w:rPr>
        <w:t>الأداء</w:t>
      </w:r>
      <w:r w:rsidRPr="008215B8">
        <w:rPr>
          <w:rFonts w:ascii="Traditional Arabic" w:hAnsi="Traditional Arabic" w:cs="Traditional Arabic"/>
          <w:rtl/>
        </w:rPr>
        <w:t xml:space="preserve"> </w:t>
      </w:r>
      <w:r w:rsidRPr="008215B8">
        <w:rPr>
          <w:rFonts w:ascii="Traditional Arabic" w:hAnsi="Traditional Arabic" w:cs="Traditional Arabic" w:hint="cs"/>
          <w:rtl/>
        </w:rPr>
        <w:t>المتفوق</w:t>
      </w:r>
      <w:r w:rsidRPr="008215B8">
        <w:rPr>
          <w:rFonts w:ascii="Traditional Arabic" w:hAnsi="Traditional Arabic" w:cs="Traditional Arabic"/>
          <w:rtl/>
        </w:rPr>
        <w:t xml:space="preserve"> </w:t>
      </w:r>
      <w:r w:rsidRPr="008215B8">
        <w:rPr>
          <w:rFonts w:ascii="Traditional Arabic" w:hAnsi="Traditional Arabic" w:cs="Traditional Arabic" w:hint="cs"/>
          <w:rtl/>
        </w:rPr>
        <w:t>والاستدامة</w:t>
      </w:r>
      <w:r w:rsidRPr="008215B8">
        <w:rPr>
          <w:rFonts w:ascii="Traditional Arabic" w:hAnsi="Traditional Arabic" w:cs="Traditional Arabic"/>
          <w:rtl/>
        </w:rPr>
        <w:t xml:space="preserve"> </w:t>
      </w:r>
      <w:r w:rsidRPr="008215B8">
        <w:rPr>
          <w:rFonts w:ascii="Traditional Arabic" w:hAnsi="Traditional Arabic" w:cs="Traditional Arabic" w:hint="cs"/>
          <w:rtl/>
        </w:rPr>
        <w:t>التنظيمية</w:t>
      </w:r>
      <w:r w:rsidRPr="008215B8">
        <w:rPr>
          <w:rFonts w:ascii="Traditional Arabic" w:hAnsi="Traditional Arabic" w:cs="Traditional Arabic"/>
          <w:rtl/>
        </w:rPr>
        <w:t xml:space="preserve"> </w:t>
      </w:r>
      <w:r w:rsidRPr="006123C0">
        <w:rPr>
          <w:rFonts w:ascii="Traditional Arabic" w:hAnsi="Traditional Arabic" w:cs="Traditional Arabic"/>
          <w:sz w:val="22"/>
          <w:szCs w:val="22"/>
          <w:rtl/>
        </w:rPr>
        <w:t>(</w:t>
      </w:r>
      <w:r w:rsidRPr="006123C0">
        <w:rPr>
          <w:rFonts w:ascii="Traditional Arabic" w:hAnsi="Traditional Arabic" w:cs="Traditional Arabic"/>
          <w:sz w:val="22"/>
          <w:szCs w:val="22"/>
        </w:rPr>
        <w:t>O’Reilly &amp; Tushman, 2016; Papachroni, Heracleous &amp; Paroutis, 2022</w:t>
      </w:r>
      <w:r w:rsidRPr="006123C0">
        <w:rPr>
          <w:rFonts w:ascii="Traditional Arabic" w:hAnsi="Traditional Arabic" w:cs="Traditional Arabic"/>
          <w:sz w:val="22"/>
          <w:szCs w:val="22"/>
          <w:rtl/>
        </w:rPr>
        <w:t>)</w:t>
      </w:r>
      <w:r w:rsidRPr="006123C0">
        <w:rPr>
          <w:rFonts w:ascii="Traditional Arabic" w:hAnsi="Traditional Arabic" w:cs="Traditional Arabic" w:hint="cs"/>
          <w:sz w:val="22"/>
          <w:szCs w:val="22"/>
          <w:rtl/>
        </w:rPr>
        <w:t>،</w:t>
      </w:r>
      <w:r>
        <w:rPr>
          <w:rFonts w:ascii="Traditional Arabic" w:hAnsi="Traditional Arabic" w:cs="Traditional Arabic" w:hint="cs"/>
          <w:rtl/>
        </w:rPr>
        <w:t xml:space="preserve"> كما </w:t>
      </w:r>
      <w:r w:rsidR="0057211A" w:rsidRPr="0057211A">
        <w:rPr>
          <w:rFonts w:ascii="Traditional Arabic" w:hAnsi="Traditional Arabic" w:cs="Traditional Arabic"/>
          <w:rtl/>
        </w:rPr>
        <w:t>تسهم هذه البراعة في تعزيز الابتكار المؤسسي وتحسين جودة الأداء التنظيمي، الأمر الذي يجعلها أحد العوامل الرئيسة في تحقيق التميز المؤسسي والاستدامة طويلة المدى</w:t>
      </w:r>
      <w:r w:rsidR="0057211A" w:rsidRPr="0057211A">
        <w:rPr>
          <w:rFonts w:ascii="Traditional Arabic" w:hAnsi="Traditional Arabic" w:cs="Traditional Arabic"/>
        </w:rPr>
        <w:t>.</w:t>
      </w:r>
    </w:p>
    <w:p w14:paraId="2CC7474A" w14:textId="261859C7" w:rsidR="0057211A" w:rsidRPr="0057211A" w:rsidRDefault="00B375C9" w:rsidP="00B375C9">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57211A" w:rsidRPr="0057211A">
        <w:rPr>
          <w:rFonts w:ascii="Traditional Arabic" w:hAnsi="Traditional Arabic" w:cs="Traditional Arabic"/>
          <w:rtl/>
        </w:rPr>
        <w:t>وتزداد أهمية هذا المفهوم في القطاع العام، حيث تواجه المؤسسات الحكومية تحديات متزايدة تتمثل في ضرورة تحقيق التوازن بين استقرار الخدمات العامة وكفاءتها من جهة، والاستجابة للتغيرات الاقتصادية والاجتماعية والتكنولوجية المتسارعة من جهة أخرى. وقد دفعت هذه التحديات العديد من الحكومات إلى تبني نماذج تنظيمية حديثة تهدف إلى تعزيز الابتكار المؤسسي وتحسين الأداء الحكومي</w:t>
      </w:r>
      <w:r w:rsidR="0057211A" w:rsidRPr="0057211A">
        <w:rPr>
          <w:rFonts w:ascii="Traditional Arabic" w:hAnsi="Traditional Arabic" w:cs="Traditional Arabic"/>
        </w:rPr>
        <w:t>.</w:t>
      </w:r>
    </w:p>
    <w:p w14:paraId="7406B367" w14:textId="09B55A3F" w:rsidR="0057211A" w:rsidRDefault="00B375C9" w:rsidP="00B375C9">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0057211A" w:rsidRPr="0057211A">
        <w:rPr>
          <w:rFonts w:ascii="Traditional Arabic" w:hAnsi="Traditional Arabic" w:cs="Traditional Arabic"/>
          <w:rtl/>
        </w:rPr>
        <w:t>وفي السياق السعودي، تكتسب هذه المسألة أهمية خاصة في ضوء التحولات التنموية التي تشهدها المملكة العربية السعودية ضمن رؤية المملكة 2030، التي تهدف إلى تطوير أداء القطاع الحكومي وتعزيز كفاءته ومرونته التنظيمية. وقد أطلقت الحكومة السعودية مجموعة من البرامج والمبادرات التي تستهدف رفع مستوى التميز المؤسسي في الجهات الحكومية، مثل برنامج التحول الوطني وبرنامج التميز المؤسسي الحكومي، اللذين يركزان على تطوير القدرات التنظيمية للمؤسسات الحكومية وتعزيز قدرتها على تحقيق نتائج مستدامة</w:t>
      </w:r>
      <w:r w:rsidR="0057211A" w:rsidRPr="0057211A">
        <w:rPr>
          <w:rFonts w:ascii="Traditional Arabic" w:hAnsi="Traditional Arabic" w:cs="Traditional Arabic"/>
        </w:rPr>
        <w:t>.</w:t>
      </w:r>
    </w:p>
    <w:p w14:paraId="45AFA969" w14:textId="77777777" w:rsidR="0060629A" w:rsidRPr="0060629A" w:rsidRDefault="0060629A" w:rsidP="0060629A">
      <w:pPr>
        <w:tabs>
          <w:tab w:val="left" w:pos="1368"/>
        </w:tabs>
        <w:bidi/>
        <w:spacing w:line="276" w:lineRule="auto"/>
        <w:jc w:val="both"/>
        <w:rPr>
          <w:rFonts w:ascii="Traditional Arabic" w:hAnsi="Traditional Arabic" w:cs="Traditional Arabic"/>
          <w:b/>
          <w:bCs/>
        </w:rPr>
      </w:pPr>
      <w:r w:rsidRPr="0060629A">
        <w:rPr>
          <w:rFonts w:ascii="Traditional Arabic" w:hAnsi="Traditional Arabic" w:cs="Traditional Arabic"/>
          <w:b/>
          <w:bCs/>
          <w:rtl/>
        </w:rPr>
        <w:t>أولاً: أهمية الإطار النظري في الدراسات التنظيمية الحديثة</w:t>
      </w:r>
    </w:p>
    <w:p w14:paraId="7F02FB94" w14:textId="4C1AEC84" w:rsidR="0060629A" w:rsidRPr="0060629A" w:rsidRDefault="0060629A" w:rsidP="00397D41">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397D41" w:rsidRPr="00397D41">
        <w:rPr>
          <w:rFonts w:ascii="Traditional Arabic" w:hAnsi="Traditional Arabic" w:cs="Traditional Arabic"/>
          <w:rtl/>
        </w:rPr>
        <w:t>تتجلى أهمية الإطار النظري في الدراسات التنظيمية الحديثة في قدرته على تفسير الظواهر الإدارية المعقدة وفهم العلاقات بين متغيراتها المختلفة، حيث يوفر الأساس المفاهيمي الذي يستند إليه الباحث في تحليل المشكلة البحثية وبناء فرضيات الدراسة</w:t>
      </w:r>
      <w:r w:rsidRPr="0060629A">
        <w:rPr>
          <w:rFonts w:ascii="Traditional Arabic" w:hAnsi="Traditional Arabic" w:cs="Traditional Arabic"/>
          <w:rtl/>
        </w:rPr>
        <w:t>. ويهدف الإطار النظري إلى بناء إطار مفاهيمي واضح يستند إلى الأدبيات العلمية والنظريات الإدارية التي تناولت موضوع الدراسة، بما يساعد على توجيه عملية البحث وصياغة فرضياته وتفسير نتائجه بطريقة علمية منهجية</w:t>
      </w:r>
      <w:r w:rsidRPr="0060629A">
        <w:rPr>
          <w:rFonts w:ascii="Traditional Arabic" w:hAnsi="Traditional Arabic" w:cs="Traditional Arabic"/>
        </w:rPr>
        <w:t xml:space="preserve"> </w:t>
      </w:r>
      <w:r w:rsidRPr="0060629A">
        <w:rPr>
          <w:rFonts w:ascii="Traditional Arabic" w:hAnsi="Traditional Arabic" w:cs="Traditional Arabic"/>
          <w:sz w:val="22"/>
          <w:szCs w:val="22"/>
        </w:rPr>
        <w:t>(Sekaran &amp; Bougie, 2020).</w:t>
      </w:r>
    </w:p>
    <w:p w14:paraId="307A662F" w14:textId="7024A2F5" w:rsidR="0060629A" w:rsidRPr="0060629A" w:rsidRDefault="0060629A" w:rsidP="00346CE4">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lastRenderedPageBreak/>
        <w:t xml:space="preserve">     </w:t>
      </w:r>
      <w:r w:rsidRPr="0060629A">
        <w:rPr>
          <w:rFonts w:ascii="Traditional Arabic" w:hAnsi="Traditional Arabic" w:cs="Traditional Arabic"/>
          <w:rtl/>
        </w:rPr>
        <w:t>وتزداد أهمية الإطار النظري في الدراسات التنظيمية الحديثة نظرًا لطبيعة الظواهر الإدارية التي تتسم بالتعقيد والتداخل بين العديد من العوامل التنظيمية والسلوكية والاستراتيجية. فالمؤسسات المعاصرة تعمل في بيئات ديناميكية تتسم بدرجة عالية من عدم اليقين والتغير السريع، الأمر الذي يجعل فهم العلاقات بين المتغيرات التنظيمية مسألة بالغة الأهمية بالنسبة للباحثين وصناع القرار على حد سواء</w:t>
      </w:r>
      <w:r w:rsidRPr="0060629A">
        <w:rPr>
          <w:rFonts w:ascii="Traditional Arabic" w:hAnsi="Traditional Arabic" w:cs="Traditional Arabic"/>
          <w:sz w:val="22"/>
          <w:szCs w:val="22"/>
        </w:rPr>
        <w:t xml:space="preserve"> (Raisch &amp; Birkinshaw, 2008).</w:t>
      </w:r>
    </w:p>
    <w:p w14:paraId="62AEF802" w14:textId="191E9AD6" w:rsidR="0060629A" w:rsidRPr="0060629A" w:rsidRDefault="0060629A" w:rsidP="00346CE4">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Pr="0060629A">
        <w:rPr>
          <w:rFonts w:ascii="Traditional Arabic" w:hAnsi="Traditional Arabic" w:cs="Traditional Arabic"/>
          <w:rtl/>
        </w:rPr>
        <w:t>كما يسهم الإطار النظري في تحديد المفاهيم الأساسية للدراسة وتوضيح أبعادها المختلفة، إضافة إلى إبراز التطور التاريخي للمفاهيم الإدارية وتحليل إسهامات الباحثين السابقين في تطويرها. ومن خلال هذا التحليل يستطيع الباحث تحديد الفجوات المعرفية في الأدبيات العلمية، وهو ما يساعد على تبرير أهمية الدراسة الحالية وإبراز إسهامها العلمي في تطوير المعرفة في مجال الإدارة والتنظيم</w:t>
      </w:r>
      <w:r w:rsidRPr="0060629A">
        <w:rPr>
          <w:rFonts w:ascii="Traditional Arabic" w:hAnsi="Traditional Arabic" w:cs="Traditional Arabic"/>
        </w:rPr>
        <w:t xml:space="preserve"> </w:t>
      </w:r>
      <w:r w:rsidRPr="0060629A">
        <w:rPr>
          <w:rFonts w:ascii="Traditional Arabic" w:hAnsi="Traditional Arabic" w:cs="Traditional Arabic"/>
          <w:sz w:val="22"/>
          <w:szCs w:val="22"/>
        </w:rPr>
        <w:t>(Saunders, Lewis &amp; Thornhill, 2019).</w:t>
      </w:r>
    </w:p>
    <w:p w14:paraId="13D2292B" w14:textId="651781E7" w:rsidR="0060629A" w:rsidRPr="0060629A" w:rsidRDefault="0060629A" w:rsidP="00346CE4">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Pr="0060629A">
        <w:rPr>
          <w:rFonts w:ascii="Traditional Arabic" w:hAnsi="Traditional Arabic" w:cs="Traditional Arabic"/>
          <w:rtl/>
        </w:rPr>
        <w:t>وعلاوة على ذلك، يساعد الإطار النظري على بناء نموذج مفاهيمي يوضح العلاقات بين متغيرات الدراسة، الأمر الذي يمثل الأساس الذي تستند إليه الدراسة الميدانية في اختبار الفرضيات وتحليل النتائج. ولذلك يُعد الإطار النظري أحد العناصر الجوهرية التي تعكس مدى تمكن الباحث من الأدبيات العلمية وقدرته على توظيفها في تفسير الظاهرة المدروسة بطريقة علمية منهجية</w:t>
      </w:r>
      <w:r w:rsidRPr="0060629A">
        <w:rPr>
          <w:rFonts w:ascii="Traditional Arabic" w:hAnsi="Traditional Arabic" w:cs="Traditional Arabic"/>
        </w:rPr>
        <w:t>.</w:t>
      </w:r>
    </w:p>
    <w:p w14:paraId="0082180A" w14:textId="77777777" w:rsidR="0060629A" w:rsidRPr="0060629A" w:rsidRDefault="0060629A" w:rsidP="0060629A">
      <w:pPr>
        <w:tabs>
          <w:tab w:val="left" w:pos="1368"/>
        </w:tabs>
        <w:bidi/>
        <w:spacing w:line="276" w:lineRule="auto"/>
        <w:jc w:val="both"/>
        <w:rPr>
          <w:rFonts w:ascii="Traditional Arabic" w:hAnsi="Traditional Arabic" w:cs="Traditional Arabic"/>
          <w:b/>
          <w:bCs/>
        </w:rPr>
      </w:pPr>
      <w:r w:rsidRPr="0060629A">
        <w:rPr>
          <w:rFonts w:ascii="Traditional Arabic" w:hAnsi="Traditional Arabic" w:cs="Traditional Arabic"/>
          <w:b/>
          <w:bCs/>
          <w:rtl/>
        </w:rPr>
        <w:t>ثانياً: الأسس النظرية التي يقوم عليها مفهوم البراعة التنظيمية</w:t>
      </w:r>
    </w:p>
    <w:p w14:paraId="19E0DAB4" w14:textId="36A7DB7E" w:rsidR="0060629A" w:rsidRPr="0060629A" w:rsidRDefault="00346CE4" w:rsidP="0060629A">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60629A" w:rsidRPr="0060629A">
        <w:rPr>
          <w:rFonts w:ascii="Traditional Arabic" w:hAnsi="Traditional Arabic" w:cs="Traditional Arabic"/>
          <w:rtl/>
        </w:rPr>
        <w:t>يستند مفهوم البراعة التنظيمية إلى مجموعة من الأسس النظرية التي تطورت في الأدبيات الإدارية خلال العقود الأخيرة، والتي حاولت تفسير قدرة المؤسسات على تحقيق التوازن بين الكفاءة التشغيلية والابتكار المؤسسي. ومن أبرز هذه الأسس النظرية نظرية التعلم التنظيمي ونظرية القدرات الديناميكية ونظرية التوازن بين الاستكشاف والاستغلال</w:t>
      </w:r>
      <w:r w:rsidR="0060629A" w:rsidRPr="0060629A">
        <w:rPr>
          <w:rFonts w:ascii="Traditional Arabic" w:hAnsi="Traditional Arabic" w:cs="Traditional Arabic"/>
        </w:rPr>
        <w:t>.</w:t>
      </w:r>
    </w:p>
    <w:p w14:paraId="6232DF2A" w14:textId="17534DA6" w:rsidR="0060629A" w:rsidRPr="0060629A" w:rsidRDefault="00346CE4" w:rsidP="0060629A">
      <w:pPr>
        <w:tabs>
          <w:tab w:val="left" w:pos="1368"/>
        </w:tabs>
        <w:bidi/>
        <w:spacing w:line="276" w:lineRule="auto"/>
        <w:jc w:val="both"/>
        <w:rPr>
          <w:rFonts w:ascii="Traditional Arabic" w:hAnsi="Traditional Arabic" w:cs="Traditional Arabic"/>
        </w:rPr>
      </w:pPr>
      <w:r w:rsidRPr="00813C94">
        <w:rPr>
          <w:rFonts w:ascii="Traditional Arabic" w:hAnsi="Traditional Arabic" w:cs="Traditional Arabic" w:hint="cs"/>
          <w:rtl/>
        </w:rPr>
        <w:t xml:space="preserve">     </w:t>
      </w:r>
      <w:r w:rsidR="0060629A" w:rsidRPr="0060629A">
        <w:rPr>
          <w:rFonts w:ascii="Traditional Arabic" w:hAnsi="Traditional Arabic" w:cs="Traditional Arabic"/>
          <w:rtl/>
        </w:rPr>
        <w:t>وتعد نظرية الاستكشاف والاستغلال التي قدمها</w:t>
      </w:r>
      <w:r w:rsidR="0060629A" w:rsidRPr="0060629A">
        <w:rPr>
          <w:rFonts w:ascii="Traditional Arabic" w:hAnsi="Traditional Arabic" w:cs="Traditional Arabic"/>
        </w:rPr>
        <w:t xml:space="preserve"> </w:t>
      </w:r>
      <w:r w:rsidR="00210948">
        <w:rPr>
          <w:rFonts w:ascii="Traditional Arabic" w:hAnsi="Traditional Arabic" w:cs="Traditional Arabic"/>
        </w:rPr>
        <w:t>(</w:t>
      </w:r>
      <w:r w:rsidR="0060629A" w:rsidRPr="0060629A">
        <w:rPr>
          <w:rFonts w:ascii="Traditional Arabic" w:hAnsi="Traditional Arabic" w:cs="Traditional Arabic"/>
        </w:rPr>
        <w:t>March</w:t>
      </w:r>
      <w:r w:rsidR="00210948">
        <w:rPr>
          <w:rFonts w:ascii="Traditional Arabic" w:hAnsi="Traditional Arabic" w:cs="Traditional Arabic"/>
        </w:rPr>
        <w:t>,</w:t>
      </w:r>
      <w:r w:rsidR="00210948" w:rsidRPr="0060629A">
        <w:rPr>
          <w:rFonts w:ascii="Traditional Arabic" w:hAnsi="Traditional Arabic" w:cs="Traditional Arabic"/>
        </w:rPr>
        <w:t xml:space="preserve"> </w:t>
      </w:r>
      <w:r w:rsidR="0060629A" w:rsidRPr="0060629A">
        <w:rPr>
          <w:rFonts w:ascii="Traditional Arabic" w:hAnsi="Traditional Arabic" w:cs="Traditional Arabic"/>
        </w:rPr>
        <w:t xml:space="preserve">1991) </w:t>
      </w:r>
      <w:r w:rsidR="0060629A" w:rsidRPr="0060629A">
        <w:rPr>
          <w:rFonts w:ascii="Traditional Arabic" w:hAnsi="Traditional Arabic" w:cs="Traditional Arabic"/>
          <w:rtl/>
        </w:rPr>
        <w:t>من أهم الأسس الفكرية التي قام عليها مفهوم البراعة التنظيمية. حيث أشار</w:t>
      </w:r>
      <w:r w:rsidR="0060629A" w:rsidRPr="0060629A">
        <w:rPr>
          <w:rFonts w:ascii="Traditional Arabic" w:hAnsi="Traditional Arabic" w:cs="Traditional Arabic"/>
        </w:rPr>
        <w:t xml:space="preserve"> March </w:t>
      </w:r>
      <w:r w:rsidRPr="00813C94">
        <w:rPr>
          <w:rFonts w:ascii="Traditional Arabic" w:hAnsi="Traditional Arabic" w:cs="Traditional Arabic" w:hint="cs"/>
          <w:rtl/>
        </w:rPr>
        <w:t xml:space="preserve"> </w:t>
      </w:r>
      <w:r w:rsidR="0060629A" w:rsidRPr="0060629A">
        <w:rPr>
          <w:rFonts w:ascii="Traditional Arabic" w:hAnsi="Traditional Arabic" w:cs="Traditional Arabic"/>
          <w:rtl/>
        </w:rPr>
        <w:t>إلى أن المنظمات تواجه معضلة أساسية تتمثل في ضرورة تحقيق التوازن بين نشاطين رئيسين هما الاستكشاف والاستغلال. فبينما يركز الاستكشاف على التجربة والابتكار واكتشاف الفرص الجديدة، يركز الاستغلال على تحسين العمليات الحالية وتعزيز الكفاءة التشغيلية. ويرى</w:t>
      </w:r>
      <w:r w:rsidR="0060629A" w:rsidRPr="0060629A">
        <w:rPr>
          <w:rFonts w:ascii="Traditional Arabic" w:hAnsi="Traditional Arabic" w:cs="Traditional Arabic"/>
        </w:rPr>
        <w:t xml:space="preserve"> March </w:t>
      </w:r>
      <w:r w:rsidR="0060629A" w:rsidRPr="0060629A">
        <w:rPr>
          <w:rFonts w:ascii="Traditional Arabic" w:hAnsi="Traditional Arabic" w:cs="Traditional Arabic"/>
          <w:rtl/>
        </w:rPr>
        <w:t>أن تحقيق التوازن بين هذين النشاطين يعد من أهم التحديات الاستراتيجية التي تواجه المؤسسات في البيئات التنظيمية المعاصرة</w:t>
      </w:r>
      <w:r w:rsidR="0060629A" w:rsidRPr="0060629A">
        <w:rPr>
          <w:rFonts w:ascii="Traditional Arabic" w:hAnsi="Traditional Arabic" w:cs="Traditional Arabic"/>
        </w:rPr>
        <w:t>.</w:t>
      </w:r>
    </w:p>
    <w:p w14:paraId="54A8474E" w14:textId="4FECD183" w:rsidR="0060629A" w:rsidRPr="0060629A" w:rsidRDefault="00346CE4" w:rsidP="0060629A">
      <w:pPr>
        <w:tabs>
          <w:tab w:val="left" w:pos="1368"/>
        </w:tabs>
        <w:bidi/>
        <w:spacing w:line="276" w:lineRule="auto"/>
        <w:jc w:val="both"/>
        <w:rPr>
          <w:rFonts w:ascii="Traditional Arabic" w:hAnsi="Traditional Arabic" w:cs="Traditional Arabic"/>
        </w:rPr>
      </w:pPr>
      <w:r w:rsidRPr="00813C94">
        <w:rPr>
          <w:rFonts w:ascii="Traditional Arabic" w:hAnsi="Traditional Arabic" w:cs="Traditional Arabic" w:hint="cs"/>
          <w:rtl/>
        </w:rPr>
        <w:t xml:space="preserve">     </w:t>
      </w:r>
      <w:r w:rsidR="0060629A" w:rsidRPr="0060629A">
        <w:rPr>
          <w:rFonts w:ascii="Traditional Arabic" w:hAnsi="Traditional Arabic" w:cs="Traditional Arabic"/>
          <w:rtl/>
        </w:rPr>
        <w:t xml:space="preserve">وقد طور عدد من الباحثين هذا الطرح النظري لاحقًا، حيث قدم </w:t>
      </w:r>
      <w:r w:rsidRPr="00813C94">
        <w:rPr>
          <w:rFonts w:ascii="Traditional Arabic" w:hAnsi="Traditional Arabic" w:cs="Traditional Arabic"/>
        </w:rPr>
        <w:t xml:space="preserve"> </w:t>
      </w:r>
      <w:r w:rsidR="00210948" w:rsidRPr="00210948">
        <w:rPr>
          <w:rFonts w:ascii="Traditional Arabic" w:hAnsi="Traditional Arabic" w:cs="Traditional Arabic"/>
          <w:sz w:val="22"/>
          <w:szCs w:val="22"/>
        </w:rPr>
        <w:t>(</w:t>
      </w:r>
      <w:r w:rsidR="0060629A" w:rsidRPr="0060629A">
        <w:rPr>
          <w:rFonts w:ascii="Traditional Arabic" w:hAnsi="Traditional Arabic" w:cs="Traditional Arabic"/>
          <w:sz w:val="22"/>
          <w:szCs w:val="22"/>
        </w:rPr>
        <w:t>Tushman &amp; O’Reilly</w:t>
      </w:r>
      <w:r w:rsidR="00210948" w:rsidRPr="00210948">
        <w:rPr>
          <w:rFonts w:ascii="Traditional Arabic" w:hAnsi="Traditional Arabic" w:cs="Traditional Arabic"/>
          <w:sz w:val="22"/>
          <w:szCs w:val="22"/>
        </w:rPr>
        <w:t>,</w:t>
      </w:r>
      <w:r w:rsidR="0060629A" w:rsidRPr="0060629A">
        <w:rPr>
          <w:rFonts w:ascii="Traditional Arabic" w:hAnsi="Traditional Arabic" w:cs="Traditional Arabic"/>
          <w:sz w:val="22"/>
          <w:szCs w:val="22"/>
        </w:rPr>
        <w:t xml:space="preserve"> 1996) </w:t>
      </w:r>
      <w:r w:rsidR="0060629A" w:rsidRPr="0060629A">
        <w:rPr>
          <w:rFonts w:ascii="Traditional Arabic" w:hAnsi="Traditional Arabic" w:cs="Traditional Arabic"/>
          <w:rtl/>
        </w:rPr>
        <w:t>مفهوم المنظمة ثنائية القدرات</w:t>
      </w:r>
      <w:r w:rsidR="0060629A" w:rsidRPr="0060629A">
        <w:rPr>
          <w:rFonts w:ascii="Traditional Arabic" w:hAnsi="Traditional Arabic" w:cs="Traditional Arabic"/>
        </w:rPr>
        <w:t xml:space="preserve"> </w:t>
      </w:r>
      <w:r w:rsidR="0060629A" w:rsidRPr="0060629A">
        <w:rPr>
          <w:rFonts w:ascii="Traditional Arabic" w:hAnsi="Traditional Arabic" w:cs="Traditional Arabic"/>
          <w:sz w:val="22"/>
          <w:szCs w:val="22"/>
        </w:rPr>
        <w:t>(Ambidextrous Organization)</w:t>
      </w:r>
      <w:r w:rsidR="0060629A" w:rsidRPr="0060629A">
        <w:rPr>
          <w:rFonts w:ascii="Traditional Arabic" w:hAnsi="Traditional Arabic" w:cs="Traditional Arabic"/>
          <w:rtl/>
        </w:rPr>
        <w:t>، والتي تتمكن من إدارة أنشطة الاستغلال والاستكشاف في الوقت ذاته. وأوضح الباحثان أن تحقيق هذا التوازن يتطلب وجود هياكل تنظيمية مرنة تسمح بفصل الأنشطة الابتكارية عن الأنشطة التشغيلية مع الحفاظ على التكامل بينها</w:t>
      </w:r>
      <w:r w:rsidR="0060629A" w:rsidRPr="0060629A">
        <w:rPr>
          <w:rFonts w:ascii="Traditional Arabic" w:hAnsi="Traditional Arabic" w:cs="Traditional Arabic"/>
        </w:rPr>
        <w:t>.</w:t>
      </w:r>
    </w:p>
    <w:p w14:paraId="56C452DA" w14:textId="29CD2AD4" w:rsidR="0060629A" w:rsidRPr="0060629A" w:rsidRDefault="00346CE4" w:rsidP="0060629A">
      <w:pPr>
        <w:tabs>
          <w:tab w:val="left" w:pos="1368"/>
        </w:tabs>
        <w:bidi/>
        <w:spacing w:line="276" w:lineRule="auto"/>
        <w:jc w:val="both"/>
        <w:rPr>
          <w:rFonts w:ascii="Traditional Arabic" w:hAnsi="Traditional Arabic" w:cs="Traditional Arabic"/>
        </w:rPr>
      </w:pPr>
      <w:r w:rsidRPr="00813C94">
        <w:rPr>
          <w:rFonts w:ascii="Traditional Arabic" w:hAnsi="Traditional Arabic" w:cs="Traditional Arabic" w:hint="cs"/>
          <w:rtl/>
        </w:rPr>
        <w:t xml:space="preserve">     </w:t>
      </w:r>
      <w:r w:rsidR="0060629A" w:rsidRPr="0060629A">
        <w:rPr>
          <w:rFonts w:ascii="Traditional Arabic" w:hAnsi="Traditional Arabic" w:cs="Traditional Arabic"/>
          <w:rtl/>
        </w:rPr>
        <w:t xml:space="preserve">كما قدم </w:t>
      </w:r>
      <w:r w:rsidRPr="00813C94">
        <w:rPr>
          <w:rFonts w:ascii="Traditional Arabic" w:hAnsi="Traditional Arabic" w:cs="Traditional Arabic"/>
        </w:rPr>
        <w:t xml:space="preserve"> </w:t>
      </w:r>
      <w:r w:rsidR="00E02C14" w:rsidRPr="00560968">
        <w:rPr>
          <w:rFonts w:ascii="Traditional Arabic" w:hAnsi="Traditional Arabic" w:cs="Traditional Arabic"/>
          <w:sz w:val="22"/>
          <w:szCs w:val="22"/>
        </w:rPr>
        <w:t>(</w:t>
      </w:r>
      <w:r w:rsidR="0060629A" w:rsidRPr="0060629A">
        <w:rPr>
          <w:rFonts w:ascii="Traditional Arabic" w:hAnsi="Traditional Arabic" w:cs="Traditional Arabic"/>
          <w:sz w:val="22"/>
          <w:szCs w:val="22"/>
        </w:rPr>
        <w:t>Gibson &amp; Birkinshaw</w:t>
      </w:r>
      <w:r w:rsidR="00E02C14" w:rsidRPr="00560968">
        <w:rPr>
          <w:rFonts w:ascii="Traditional Arabic" w:hAnsi="Traditional Arabic" w:cs="Traditional Arabic"/>
          <w:sz w:val="22"/>
          <w:szCs w:val="22"/>
        </w:rPr>
        <w:t>,</w:t>
      </w:r>
      <w:r w:rsidR="0060629A" w:rsidRPr="0060629A">
        <w:rPr>
          <w:rFonts w:ascii="Traditional Arabic" w:hAnsi="Traditional Arabic" w:cs="Traditional Arabic"/>
          <w:sz w:val="22"/>
          <w:szCs w:val="22"/>
        </w:rPr>
        <w:t xml:space="preserve"> 2004)</w:t>
      </w:r>
      <w:r w:rsidR="0060629A" w:rsidRPr="0060629A">
        <w:rPr>
          <w:rFonts w:ascii="Traditional Arabic" w:hAnsi="Traditional Arabic" w:cs="Traditional Arabic"/>
        </w:rPr>
        <w:t xml:space="preserve"> </w:t>
      </w:r>
      <w:r w:rsidR="0060629A" w:rsidRPr="0060629A">
        <w:rPr>
          <w:rFonts w:ascii="Traditional Arabic" w:hAnsi="Traditional Arabic" w:cs="Traditional Arabic"/>
          <w:rtl/>
        </w:rPr>
        <w:t>مفهوم البراعة السياقية الذي يركز على تمكين الأفراد داخل المنظمة من تحقيق التوازن بين الاستكشاف والاستغلال ضمن بيئة تنظيمية تشجع المبادرة والابتكار. ويرى الباحثان أن الثقافة التنظيمية والقيادة الإدارية تلعبان دورًا حاسمًا في تعزيز قدرة الأفراد على تحقيق هذا التوازن</w:t>
      </w:r>
      <w:r w:rsidR="0060629A" w:rsidRPr="0060629A">
        <w:rPr>
          <w:rFonts w:ascii="Traditional Arabic" w:hAnsi="Traditional Arabic" w:cs="Traditional Arabic"/>
        </w:rPr>
        <w:t>.</w:t>
      </w:r>
    </w:p>
    <w:p w14:paraId="44AB5507" w14:textId="6A6264C7" w:rsidR="0060629A" w:rsidRPr="0060629A" w:rsidRDefault="00813C94" w:rsidP="0060629A">
      <w:pPr>
        <w:tabs>
          <w:tab w:val="left" w:pos="1368"/>
        </w:tabs>
        <w:bidi/>
        <w:spacing w:line="276" w:lineRule="auto"/>
        <w:jc w:val="both"/>
        <w:rPr>
          <w:rFonts w:ascii="Traditional Arabic" w:hAnsi="Traditional Arabic" w:cs="Traditional Arabic"/>
        </w:rPr>
      </w:pPr>
      <w:r w:rsidRPr="00813C94">
        <w:rPr>
          <w:rFonts w:ascii="Traditional Arabic" w:hAnsi="Traditional Arabic" w:cs="Traditional Arabic"/>
        </w:rPr>
        <w:t xml:space="preserve">     </w:t>
      </w:r>
      <w:r w:rsidR="0060629A" w:rsidRPr="0060629A">
        <w:rPr>
          <w:rFonts w:ascii="Traditional Arabic" w:hAnsi="Traditional Arabic" w:cs="Traditional Arabic"/>
          <w:rtl/>
        </w:rPr>
        <w:t>ومن ناحية أخرى، ترتبط البراعة التنظيمية أيضًا بنظرية القدرات الديناميكية</w:t>
      </w:r>
      <w:r w:rsidR="0060629A" w:rsidRPr="0060629A">
        <w:rPr>
          <w:rFonts w:ascii="Traditional Arabic" w:hAnsi="Traditional Arabic" w:cs="Traditional Arabic"/>
        </w:rPr>
        <w:t xml:space="preserve"> </w:t>
      </w:r>
      <w:r w:rsidR="0060629A" w:rsidRPr="0060629A">
        <w:rPr>
          <w:rFonts w:ascii="Traditional Arabic" w:hAnsi="Traditional Arabic" w:cs="Traditional Arabic"/>
          <w:sz w:val="22"/>
          <w:szCs w:val="22"/>
        </w:rPr>
        <w:t>(Dynamic Capabilities)</w:t>
      </w:r>
      <w:r w:rsidR="0060629A" w:rsidRPr="0060629A">
        <w:rPr>
          <w:rFonts w:ascii="Traditional Arabic" w:hAnsi="Traditional Arabic" w:cs="Traditional Arabic"/>
        </w:rPr>
        <w:t xml:space="preserve"> </w:t>
      </w:r>
      <w:r w:rsidR="0060629A" w:rsidRPr="0060629A">
        <w:rPr>
          <w:rFonts w:ascii="Traditional Arabic" w:hAnsi="Traditional Arabic" w:cs="Traditional Arabic"/>
          <w:rtl/>
        </w:rPr>
        <w:t>التي تشير إلى قدرة المنظمة على إعادة تشكيل مواردها وقدراتها لمواجهة التغيرات البيئية. فالمؤسسات التي تمتلك قدرات ديناميكية عالية تكون أكثر قدرة على تطوير ابتكارات جديدة مع الحفاظ على كفاءتها التشغيلية، وهو ما يعزز قدرتها على تحقيق الأداء المتفوق والاستدامة على المدى الطويل</w:t>
      </w:r>
      <w:r w:rsidR="0060629A" w:rsidRPr="0060629A">
        <w:rPr>
          <w:rFonts w:ascii="Traditional Arabic" w:hAnsi="Traditional Arabic" w:cs="Traditional Arabic"/>
        </w:rPr>
        <w:t xml:space="preserve"> </w:t>
      </w:r>
      <w:r w:rsidR="0060629A" w:rsidRPr="0060629A">
        <w:rPr>
          <w:rFonts w:ascii="Traditional Arabic" w:hAnsi="Traditional Arabic" w:cs="Traditional Arabic"/>
          <w:sz w:val="22"/>
          <w:szCs w:val="22"/>
        </w:rPr>
        <w:t>(Teece, 2018).</w:t>
      </w:r>
    </w:p>
    <w:p w14:paraId="54675731" w14:textId="22C3CB73" w:rsidR="0060629A" w:rsidRPr="0060629A" w:rsidRDefault="00F172AD" w:rsidP="00813C94">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60629A" w:rsidRPr="0060629A">
        <w:rPr>
          <w:rFonts w:ascii="Traditional Arabic" w:hAnsi="Traditional Arabic" w:cs="Traditional Arabic"/>
          <w:rtl/>
        </w:rPr>
        <w:t>وبذلك يمكن القول إن البراعة التنظيمية تمثل إطارًا نظريًا متكاملًا يجمع بين عدة مدارس فكرية في الإدارة الاستراتيجية والتنظيم، حيث تسعى إلى تفسير قدرة المؤسسات على تحقيق التوازن بين الاستقرار والتجديد، وبين الكفاءة التشغيلية والابتكار المستمر</w:t>
      </w:r>
      <w:r w:rsidR="0060629A" w:rsidRPr="0060629A">
        <w:rPr>
          <w:rFonts w:ascii="Traditional Arabic" w:hAnsi="Traditional Arabic" w:cs="Traditional Arabic"/>
        </w:rPr>
        <w:t>.</w:t>
      </w:r>
    </w:p>
    <w:p w14:paraId="1B88DF13" w14:textId="77777777" w:rsidR="0060629A" w:rsidRPr="0060629A" w:rsidRDefault="0060629A" w:rsidP="0060629A">
      <w:pPr>
        <w:tabs>
          <w:tab w:val="left" w:pos="1368"/>
        </w:tabs>
        <w:bidi/>
        <w:spacing w:line="276" w:lineRule="auto"/>
        <w:jc w:val="both"/>
        <w:rPr>
          <w:rFonts w:ascii="Traditional Arabic" w:hAnsi="Traditional Arabic" w:cs="Traditional Arabic"/>
          <w:b/>
          <w:bCs/>
        </w:rPr>
      </w:pPr>
      <w:r w:rsidRPr="0060629A">
        <w:rPr>
          <w:rFonts w:ascii="Traditional Arabic" w:hAnsi="Traditional Arabic" w:cs="Traditional Arabic"/>
          <w:b/>
          <w:bCs/>
          <w:rtl/>
        </w:rPr>
        <w:lastRenderedPageBreak/>
        <w:t>ثالثاً: البراعة التنظيمية في سياق التحول الحكومي ورؤية المملكة 2030</w:t>
      </w:r>
    </w:p>
    <w:p w14:paraId="6CE2A16F" w14:textId="7614AF42" w:rsidR="0060629A" w:rsidRPr="0060629A" w:rsidRDefault="00813C94" w:rsidP="0060629A">
      <w:pPr>
        <w:tabs>
          <w:tab w:val="left" w:pos="1368"/>
        </w:tabs>
        <w:bidi/>
        <w:spacing w:line="276" w:lineRule="auto"/>
        <w:jc w:val="both"/>
        <w:rPr>
          <w:rFonts w:ascii="Traditional Arabic" w:hAnsi="Traditional Arabic" w:cs="Traditional Arabic"/>
        </w:rPr>
      </w:pPr>
      <w:r>
        <w:rPr>
          <w:rFonts w:ascii="Traditional Arabic" w:hAnsi="Traditional Arabic" w:cs="Traditional Arabic"/>
        </w:rPr>
        <w:t xml:space="preserve">     </w:t>
      </w:r>
      <w:r w:rsidR="0060629A" w:rsidRPr="0060629A">
        <w:rPr>
          <w:rFonts w:ascii="Traditional Arabic" w:hAnsi="Traditional Arabic" w:cs="Traditional Arabic"/>
          <w:rtl/>
        </w:rPr>
        <w:t>شهدت الإدارة الحكومية في السنوات الأخيرة تحولات كبيرة نتيجة للتغيرات الاقتصادية والتكنولوجية والاجتماعية المتسارعة. فقد أصبحت الحكومات مطالبة بتقديم خدمات أكثر كفاءة وابتكارًا، إضافة إلى قدرتها على الاستجابة السريعة لاحتياجات المجتمع والتحديات التنموية المختلفة. وفي هذا السياق برزت الحاجة إلى تبني نماذج تنظيمية حديثة تساعد المؤسسات الحكومية على تحقيق التوازن بين الاستقرار التشغيلي والتجديد المؤسسي</w:t>
      </w:r>
      <w:r w:rsidR="0060629A" w:rsidRPr="0060629A">
        <w:rPr>
          <w:rFonts w:ascii="Traditional Arabic" w:hAnsi="Traditional Arabic" w:cs="Traditional Arabic"/>
        </w:rPr>
        <w:t>.</w:t>
      </w:r>
    </w:p>
    <w:p w14:paraId="4D580EBE" w14:textId="0696DCE9" w:rsidR="0060629A" w:rsidRPr="0060629A" w:rsidRDefault="00813C94" w:rsidP="0060629A">
      <w:pPr>
        <w:tabs>
          <w:tab w:val="left" w:pos="1368"/>
        </w:tabs>
        <w:bidi/>
        <w:spacing w:line="276" w:lineRule="auto"/>
        <w:jc w:val="both"/>
        <w:rPr>
          <w:rFonts w:ascii="Traditional Arabic" w:hAnsi="Traditional Arabic" w:cs="Traditional Arabic"/>
        </w:rPr>
      </w:pPr>
      <w:r w:rsidRPr="00813C94">
        <w:rPr>
          <w:rFonts w:ascii="Traditional Arabic" w:hAnsi="Traditional Arabic" w:cs="Traditional Arabic"/>
        </w:rPr>
        <w:t xml:space="preserve">     </w:t>
      </w:r>
      <w:r w:rsidR="0060629A" w:rsidRPr="0060629A">
        <w:rPr>
          <w:rFonts w:ascii="Traditional Arabic" w:hAnsi="Traditional Arabic" w:cs="Traditional Arabic"/>
          <w:rtl/>
        </w:rPr>
        <w:t>ويعد مفهوم البراعة التنظيمية أحد المفاهيم الإدارية التي يمكن أن تسهم بشكل كبير في دعم جهود التحول الحكومي، حيث يساعد المؤسسات العامة على تحقيق التوازن بين تحسين كفاءة العمليات الحالية واستكشاف فرص جديدة لتطوير الخدمات الحكومية. وقد أظهرت العديد من الدراسات أن المؤسسات الحكومية التي تتبنى ممارسات البراعة التنظيمية تكون أكثر قدرة على الابتكار وتحسين جودة الخدمات العامة وتعزيز رضا المستفيدين</w:t>
      </w:r>
      <w:r w:rsidR="0060629A" w:rsidRPr="0060629A">
        <w:rPr>
          <w:rFonts w:ascii="Traditional Arabic" w:hAnsi="Traditional Arabic" w:cs="Traditional Arabic"/>
        </w:rPr>
        <w:t xml:space="preserve"> </w:t>
      </w:r>
      <w:r w:rsidR="0060629A" w:rsidRPr="0060629A">
        <w:rPr>
          <w:rFonts w:ascii="Traditional Arabic" w:hAnsi="Traditional Arabic" w:cs="Traditional Arabic"/>
          <w:sz w:val="22"/>
          <w:szCs w:val="22"/>
        </w:rPr>
        <w:t>(Yoon &amp; Lim, 2022).</w:t>
      </w:r>
    </w:p>
    <w:p w14:paraId="463A6CC2" w14:textId="5C328686" w:rsidR="0060629A" w:rsidRPr="0060629A" w:rsidRDefault="00813C94" w:rsidP="0060629A">
      <w:pPr>
        <w:tabs>
          <w:tab w:val="left" w:pos="1368"/>
        </w:tabs>
        <w:bidi/>
        <w:spacing w:line="276" w:lineRule="auto"/>
        <w:jc w:val="both"/>
        <w:rPr>
          <w:rFonts w:ascii="Traditional Arabic" w:hAnsi="Traditional Arabic" w:cs="Traditional Arabic"/>
        </w:rPr>
      </w:pPr>
      <w:r w:rsidRPr="00813C94">
        <w:rPr>
          <w:rFonts w:ascii="Traditional Arabic" w:hAnsi="Traditional Arabic" w:cs="Traditional Arabic"/>
        </w:rPr>
        <w:t xml:space="preserve">     </w:t>
      </w:r>
      <w:r w:rsidR="0060629A" w:rsidRPr="0060629A">
        <w:rPr>
          <w:rFonts w:ascii="Traditional Arabic" w:hAnsi="Traditional Arabic" w:cs="Traditional Arabic"/>
          <w:rtl/>
        </w:rPr>
        <w:t>وفي المملكة العربية السعودية، يأتي الاهتمام بتطوير القدرات التنظيمية للمؤسسات الحكومية في إطار رؤية المملكة 2030 التي تهدف إلى بناء قطاع حكومي أكثر كفاءة ومرونة وقدرة على الابتكار. وتسعى هذه الرؤية إلى تطوير الأداء المؤسسي للجهات الحكومية وتعزيز قدرتها على تحقيق التميز المؤسسي والاستدامة في الأداء الحكومي</w:t>
      </w:r>
      <w:r w:rsidR="0060629A" w:rsidRPr="0060629A">
        <w:rPr>
          <w:rFonts w:ascii="Traditional Arabic" w:hAnsi="Traditional Arabic" w:cs="Traditional Arabic"/>
        </w:rPr>
        <w:t>.</w:t>
      </w:r>
    </w:p>
    <w:p w14:paraId="4A6B313B" w14:textId="0DABB6F2" w:rsidR="0060629A" w:rsidRPr="0060629A" w:rsidRDefault="00813C94" w:rsidP="0060629A">
      <w:pPr>
        <w:tabs>
          <w:tab w:val="left" w:pos="1368"/>
        </w:tabs>
        <w:bidi/>
        <w:spacing w:line="276" w:lineRule="auto"/>
        <w:jc w:val="both"/>
        <w:rPr>
          <w:rFonts w:ascii="Traditional Arabic" w:hAnsi="Traditional Arabic" w:cs="Traditional Arabic"/>
        </w:rPr>
      </w:pPr>
      <w:r w:rsidRPr="00813C94">
        <w:rPr>
          <w:rFonts w:ascii="Traditional Arabic" w:hAnsi="Traditional Arabic" w:cs="Traditional Arabic"/>
        </w:rPr>
        <w:t xml:space="preserve">     </w:t>
      </w:r>
      <w:r w:rsidR="0060629A" w:rsidRPr="0060629A">
        <w:rPr>
          <w:rFonts w:ascii="Traditional Arabic" w:hAnsi="Traditional Arabic" w:cs="Traditional Arabic"/>
          <w:rtl/>
        </w:rPr>
        <w:t>وقد تجسدت هذه التوجهات في عدد من المبادرات والبرامج الوطنية، مثل برنامج التحول الوطني وبرنامج التميز المؤسسي الحكومي، اللذين يهدفان إلى رفع مستوى الكفاءة التنظيمية في الجهات الحكومية وتعزيز قدرتها على تحقيق نتائج مستدامة. وفي هذا السياق يمكن النظر إلى البراعة التنظيمية بوصفها أحد الأطر الاستراتيجية التي تساعد المؤسسات الحكومية على تحقيق التوازن بين الكفاءة التشغيلية والابتكار المؤسسي، بما يسهم في دعم جهود التحول المؤسسي وتحقيق أهداف رؤية المملكة 2030</w:t>
      </w:r>
      <w:r w:rsidR="0060629A" w:rsidRPr="0060629A">
        <w:rPr>
          <w:rFonts w:ascii="Traditional Arabic" w:hAnsi="Traditional Arabic" w:cs="Traditional Arabic"/>
        </w:rPr>
        <w:t>.</w:t>
      </w:r>
    </w:p>
    <w:p w14:paraId="6752FCED" w14:textId="778B04C2" w:rsidR="00B375C9" w:rsidRPr="0057211A" w:rsidRDefault="00813C94" w:rsidP="00F172AD">
      <w:pPr>
        <w:tabs>
          <w:tab w:val="left" w:pos="1368"/>
        </w:tabs>
        <w:bidi/>
        <w:spacing w:line="276" w:lineRule="auto"/>
        <w:jc w:val="both"/>
        <w:rPr>
          <w:rFonts w:ascii="Traditional Arabic" w:hAnsi="Traditional Arabic" w:cs="Traditional Arabic"/>
        </w:rPr>
      </w:pPr>
      <w:r w:rsidRPr="00813C94">
        <w:rPr>
          <w:rFonts w:ascii="Traditional Arabic" w:hAnsi="Traditional Arabic" w:cs="Traditional Arabic"/>
        </w:rPr>
        <w:t xml:space="preserve">     </w:t>
      </w:r>
      <w:r w:rsidR="0060629A" w:rsidRPr="0060629A">
        <w:rPr>
          <w:rFonts w:ascii="Traditional Arabic" w:hAnsi="Traditional Arabic" w:cs="Traditional Arabic"/>
          <w:rtl/>
        </w:rPr>
        <w:t>وبناءً على ذلك، فإن دراسة البراعة التنظيمية في القطاع الحكومي السعودي تمثل مدخلًا مهمًا لفهم الآليات التنظيمية التي يمكن من خلالها تعزيز التميز المؤسسي وتحقيق الاستدامة في الأداء الحكومي</w:t>
      </w:r>
      <w:r w:rsidR="0060629A" w:rsidRPr="0060629A">
        <w:rPr>
          <w:rFonts w:ascii="Traditional Arabic" w:hAnsi="Traditional Arabic" w:cs="Traditional Arabic"/>
        </w:rPr>
        <w:t>.</w:t>
      </w:r>
    </w:p>
    <w:p w14:paraId="401D683C" w14:textId="2FE74974" w:rsidR="0057211A" w:rsidRPr="0057211A" w:rsidRDefault="00F172AD" w:rsidP="00B375C9">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57211A" w:rsidRPr="0057211A">
        <w:rPr>
          <w:rFonts w:ascii="Traditional Arabic" w:hAnsi="Traditional Arabic" w:cs="Traditional Arabic"/>
          <w:rtl/>
        </w:rPr>
        <w:t>ومن هذا المنطلق، يبرز مفهوم البراعة التنظيمية بوصفه أحد الأطر النظرية التي يمكن أن تسهم في دعم جهود التحول المؤسسي في القطاع الحكومي، من خلال تمكين المؤسسات من تحقيق التوازن بين الكفاءة التشغيلية والابتكار المؤسسي، بما يعزز قدرتها على تحقيق التميز المؤسسي وضمان الاستدامة في الأداء الحكومي</w:t>
      </w:r>
      <w:r w:rsidR="0057211A" w:rsidRPr="0057211A">
        <w:rPr>
          <w:rFonts w:ascii="Traditional Arabic" w:hAnsi="Traditional Arabic" w:cs="Traditional Arabic"/>
        </w:rPr>
        <w:t>.</w:t>
      </w:r>
    </w:p>
    <w:p w14:paraId="43349C57" w14:textId="7F4421E5" w:rsidR="0057211A" w:rsidRDefault="00F172AD" w:rsidP="00DD79AC">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00DD79AC" w:rsidRPr="00DD79AC">
        <w:rPr>
          <w:rFonts w:ascii="Traditional Arabic" w:hAnsi="Traditional Arabic" w:cs="Traditional Arabic"/>
          <w:rtl/>
        </w:rPr>
        <w:t>وبناءً على ما سبق، يسعى هذا الفصل إلى تقديم إطار نظري متكامل لمتغيرات الدراسة، وذلك من خلال استعراض وتحليل الأدبيات العلمية المرتبطة بمفهوم البراعة التنظيمية وأبعادها المختلفة، إضافة إلى تناول مفهوم التميز المؤسسي وأهم نماذجه في المؤسسات الحديثة، ومناقشة مفهوم الاستدامة المؤسسية وأبعادها في السياق التنظيمي. كما يتناول الفصل تحليل العلاقات النظرية بين هذه المتغيرات في ضوء الدراسات السابقة، وصولًا إلى تحديد الفجوة البحثية التي تسعى الدراسة الحالية إلى معالجتها</w:t>
      </w:r>
      <w:r w:rsidR="00DD79AC" w:rsidRPr="00DD79AC">
        <w:rPr>
          <w:rFonts w:ascii="Traditional Arabic" w:hAnsi="Traditional Arabic" w:cs="Traditional Arabic"/>
        </w:rPr>
        <w:t>.</w:t>
      </w:r>
    </w:p>
    <w:p w14:paraId="5E9E016C" w14:textId="77777777" w:rsidR="00BF5384" w:rsidRDefault="00682381" w:rsidP="00BF5384">
      <w:pPr>
        <w:tabs>
          <w:tab w:val="left" w:pos="1368"/>
        </w:tabs>
        <w:bidi/>
        <w:spacing w:line="276" w:lineRule="auto"/>
        <w:jc w:val="both"/>
        <w:rPr>
          <w:rFonts w:ascii="Traditional Arabic" w:hAnsi="Traditional Arabic" w:cs="Traditional Arabic"/>
          <w:b/>
          <w:bCs/>
        </w:rPr>
      </w:pPr>
      <w:r w:rsidRPr="00682381">
        <w:rPr>
          <w:rFonts w:ascii="Traditional Arabic" w:hAnsi="Traditional Arabic" w:cs="Traditional Arabic"/>
          <w:b/>
          <w:bCs/>
          <w:rtl/>
        </w:rPr>
        <w:t>أولاً: البراعة التنظيمية</w:t>
      </w:r>
      <w:r>
        <w:rPr>
          <w:rFonts w:ascii="Traditional Arabic" w:hAnsi="Traditional Arabic" w:cs="Traditional Arabic" w:hint="cs"/>
          <w:b/>
          <w:bCs/>
          <w:rtl/>
        </w:rPr>
        <w:t xml:space="preserve"> </w:t>
      </w:r>
      <w:r w:rsidRPr="00682381">
        <w:rPr>
          <w:rFonts w:ascii="Traditional Arabic" w:hAnsi="Traditional Arabic" w:cs="Traditional Arabic"/>
          <w:b/>
          <w:bCs/>
        </w:rPr>
        <w:t xml:space="preserve"> </w:t>
      </w:r>
      <w:r w:rsidRPr="00682381">
        <w:rPr>
          <w:rFonts w:ascii="Traditional Arabic" w:hAnsi="Traditional Arabic" w:cs="Traditional Arabic"/>
          <w:b/>
          <w:bCs/>
          <w:sz w:val="22"/>
          <w:szCs w:val="22"/>
        </w:rPr>
        <w:t>(Organizational Ambidexterity)</w:t>
      </w:r>
    </w:p>
    <w:p w14:paraId="79C1EBC9" w14:textId="777544C4" w:rsidR="00682381" w:rsidRPr="00682381" w:rsidRDefault="00682381" w:rsidP="00BF5384">
      <w:pPr>
        <w:tabs>
          <w:tab w:val="left" w:pos="1368"/>
        </w:tabs>
        <w:bidi/>
        <w:spacing w:line="276" w:lineRule="auto"/>
        <w:jc w:val="both"/>
        <w:rPr>
          <w:rFonts w:ascii="Traditional Arabic" w:hAnsi="Traditional Arabic" w:cs="Traditional Arabic"/>
          <w:b/>
          <w:bCs/>
        </w:rPr>
      </w:pPr>
      <w:r w:rsidRPr="00682381">
        <w:rPr>
          <w:rFonts w:ascii="Traditional Arabic" w:hAnsi="Traditional Arabic" w:cs="Traditional Arabic"/>
          <w:b/>
          <w:bCs/>
          <w:rtl/>
        </w:rPr>
        <w:t>مفهوم البراعة التنظيمية</w:t>
      </w:r>
    </w:p>
    <w:p w14:paraId="1F7F6B58" w14:textId="0EA0BD84" w:rsidR="00682381" w:rsidRPr="00682381" w:rsidRDefault="00682381" w:rsidP="00682381">
      <w:pPr>
        <w:tabs>
          <w:tab w:val="left" w:pos="1368"/>
        </w:tabs>
        <w:bidi/>
        <w:spacing w:line="276" w:lineRule="auto"/>
        <w:jc w:val="both"/>
        <w:rPr>
          <w:rFonts w:ascii="Traditional Arabic" w:hAnsi="Traditional Arabic" w:cs="Traditional Arabic"/>
        </w:rPr>
      </w:pPr>
      <w:r w:rsidRPr="00682381">
        <w:rPr>
          <w:rFonts w:ascii="Traditional Arabic" w:hAnsi="Traditional Arabic" w:cs="Traditional Arabic" w:hint="cs"/>
          <w:rtl/>
        </w:rPr>
        <w:lastRenderedPageBreak/>
        <w:t xml:space="preserve">     </w:t>
      </w:r>
      <w:r w:rsidRPr="00682381">
        <w:rPr>
          <w:rFonts w:ascii="Traditional Arabic" w:hAnsi="Traditional Arabic" w:cs="Traditional Arabic"/>
          <w:rtl/>
        </w:rPr>
        <w:t>يُعد مفهوم البراعة التنظيمية من المفاهيم الحديثة التي حظيت باهتمام واسع في الأدبيات الإدارية خلال العقود الأخيرة، حيث ظهر هذا المفهوم استجابةً للتحديات المتزايدة التي تواجه المؤسسات في بيئات العمل المعاصرة. فقد أصبحت المؤسسات مطالبة بالحفاظ على كفاءتها التشغيلية في إدارة عملياتها الحالية، وفي الوقت ذاته تطوير قدراتها الابتكارية لمواكبة التغيرات المتسارعة في البيئة الاقتصادية والتكنولوجية. ومن هنا برزت الحاجة إلى تبني نماذج تنظيمية قادرة على تحقيق التوازن بين الاستقرار التشغيلي والتجديد المؤسسي</w:t>
      </w:r>
      <w:r w:rsidRPr="00682381">
        <w:rPr>
          <w:rFonts w:ascii="Traditional Arabic" w:hAnsi="Traditional Arabic" w:cs="Traditional Arabic"/>
        </w:rPr>
        <w:t>.</w:t>
      </w:r>
    </w:p>
    <w:p w14:paraId="7645C30A" w14:textId="73D4B93F" w:rsidR="00682381" w:rsidRPr="00682381" w:rsidRDefault="00682381" w:rsidP="00682381">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Pr="00682381">
        <w:rPr>
          <w:rFonts w:ascii="Traditional Arabic" w:hAnsi="Traditional Arabic" w:cs="Traditional Arabic"/>
          <w:rtl/>
        </w:rPr>
        <w:t>وقد أشار عدد من الباحثين إلى أن المؤسسات تواجه تحديًا استراتيجيًا يتمثل في ضرورة تحقيق التوازن بين نشاطين رئيسين هما الاستكشاف</w:t>
      </w:r>
      <w:r w:rsidRPr="00682381">
        <w:rPr>
          <w:rFonts w:ascii="Traditional Arabic" w:hAnsi="Traditional Arabic" w:cs="Traditional Arabic"/>
        </w:rPr>
        <w:t xml:space="preserve"> </w:t>
      </w:r>
      <w:r w:rsidRPr="00682381">
        <w:rPr>
          <w:rFonts w:ascii="Traditional Arabic" w:hAnsi="Traditional Arabic" w:cs="Traditional Arabic"/>
          <w:sz w:val="22"/>
          <w:szCs w:val="22"/>
        </w:rPr>
        <w:t xml:space="preserve">(Exploration) </w:t>
      </w:r>
      <w:r>
        <w:rPr>
          <w:rFonts w:ascii="Traditional Arabic" w:hAnsi="Traditional Arabic" w:cs="Traditional Arabic" w:hint="cs"/>
          <w:rtl/>
        </w:rPr>
        <w:t xml:space="preserve"> </w:t>
      </w:r>
      <w:r w:rsidRPr="00682381">
        <w:rPr>
          <w:rFonts w:ascii="Traditional Arabic" w:hAnsi="Traditional Arabic" w:cs="Traditional Arabic"/>
          <w:rtl/>
        </w:rPr>
        <w:t>والاستغلال</w:t>
      </w:r>
      <w:r w:rsidRPr="00682381">
        <w:rPr>
          <w:rFonts w:ascii="Traditional Arabic" w:hAnsi="Traditional Arabic" w:cs="Traditional Arabic"/>
        </w:rPr>
        <w:t xml:space="preserve"> </w:t>
      </w:r>
      <w:r w:rsidR="007129C6" w:rsidRPr="00B968E5">
        <w:rPr>
          <w:rFonts w:ascii="Traditional Arabic" w:hAnsi="Traditional Arabic" w:cs="Traditional Arabic"/>
          <w:sz w:val="22"/>
          <w:szCs w:val="22"/>
        </w:rPr>
        <w:t>.</w:t>
      </w:r>
      <w:r w:rsidRPr="00682381">
        <w:rPr>
          <w:rFonts w:ascii="Traditional Arabic" w:hAnsi="Traditional Arabic" w:cs="Traditional Arabic"/>
          <w:sz w:val="22"/>
          <w:szCs w:val="22"/>
        </w:rPr>
        <w:t>(Exploitation)</w:t>
      </w:r>
      <w:r w:rsidRPr="00682381">
        <w:rPr>
          <w:rFonts w:ascii="Traditional Arabic" w:hAnsi="Traditional Arabic" w:cs="Traditional Arabic"/>
        </w:rPr>
        <w:t xml:space="preserve"> </w:t>
      </w:r>
      <w:r w:rsidRPr="00682381">
        <w:rPr>
          <w:rFonts w:ascii="Traditional Arabic" w:hAnsi="Traditional Arabic" w:cs="Traditional Arabic"/>
          <w:rtl/>
        </w:rPr>
        <w:t>حيث يشير الاستكشاف إلى الأنشطة المرتبطة بالبحث عن فرص جديدة والابتكار والتجريب، في حين يشير الاستغلال إلى الأنشطة التي تركز على تحسين العمليات الحالية وتعزيز الكفاءة التشغيلية. ويرى الباحثون أن تركيز المنظمة على أحد هذين النشاطين دون الآخر قد يؤدي إلى اختلال في قدرتها على تحقيق الأداء المستدام</w:t>
      </w:r>
      <w:r w:rsidR="007129C6">
        <w:rPr>
          <w:rFonts w:ascii="Traditional Arabic" w:hAnsi="Traditional Arabic" w:cs="Traditional Arabic"/>
        </w:rPr>
        <w:t>.</w:t>
      </w:r>
      <w:r w:rsidRPr="00682381">
        <w:rPr>
          <w:rFonts w:ascii="Traditional Arabic" w:hAnsi="Traditional Arabic" w:cs="Traditional Arabic"/>
        </w:rPr>
        <w:t xml:space="preserve"> </w:t>
      </w:r>
      <w:r w:rsidRPr="00682381">
        <w:rPr>
          <w:rFonts w:ascii="Traditional Arabic" w:hAnsi="Traditional Arabic" w:cs="Traditional Arabic"/>
          <w:sz w:val="22"/>
          <w:szCs w:val="22"/>
        </w:rPr>
        <w:t>(</w:t>
      </w:r>
      <w:proofErr w:type="gramStart"/>
      <w:r w:rsidRPr="00682381">
        <w:rPr>
          <w:rFonts w:ascii="Traditional Arabic" w:hAnsi="Traditional Arabic" w:cs="Traditional Arabic"/>
          <w:sz w:val="22"/>
          <w:szCs w:val="22"/>
        </w:rPr>
        <w:t>March,</w:t>
      </w:r>
      <w:proofErr w:type="gramEnd"/>
      <w:r w:rsidRPr="00682381">
        <w:rPr>
          <w:rFonts w:ascii="Traditional Arabic" w:hAnsi="Traditional Arabic" w:cs="Traditional Arabic"/>
          <w:sz w:val="22"/>
          <w:szCs w:val="22"/>
        </w:rPr>
        <w:t xml:space="preserve"> 1991)</w:t>
      </w:r>
    </w:p>
    <w:p w14:paraId="6D58600D" w14:textId="7781EE16" w:rsidR="00682381" w:rsidRPr="00682381" w:rsidRDefault="007129C6" w:rsidP="00682381">
      <w:pPr>
        <w:tabs>
          <w:tab w:val="left" w:pos="1368"/>
        </w:tabs>
        <w:bidi/>
        <w:spacing w:line="276" w:lineRule="auto"/>
        <w:jc w:val="both"/>
        <w:rPr>
          <w:rFonts w:ascii="Traditional Arabic" w:hAnsi="Traditional Arabic" w:cs="Traditional Arabic"/>
        </w:rPr>
      </w:pPr>
      <w:r>
        <w:rPr>
          <w:rFonts w:ascii="Traditional Arabic" w:hAnsi="Traditional Arabic" w:cs="Traditional Arabic"/>
        </w:rPr>
        <w:t xml:space="preserve">     </w:t>
      </w:r>
      <w:r w:rsidR="00682381" w:rsidRPr="00682381">
        <w:rPr>
          <w:rFonts w:ascii="Traditional Arabic" w:hAnsi="Traditional Arabic" w:cs="Traditional Arabic"/>
          <w:rtl/>
        </w:rPr>
        <w:t>وفي هذا السياق ظهر مفهوم البراعة التنظيمية ليصف قدرة المنظمة على إدارة هذين النشاطين بشكل متوازن ومتزامن. وقد عرّفت البراعة التنظيمية بأنها قدرة المنظمة على تحقيق التوازن بين أنشطة الاستكشاف التي تهدف إلى الابتكار والتجديد، وأنشطة الاستغلال التي تركز على تحسين الكفاءة التشغيلية وتحقيق الأداء المستقر</w:t>
      </w:r>
      <w:r w:rsidR="00682381" w:rsidRPr="00682381">
        <w:rPr>
          <w:rFonts w:ascii="Traditional Arabic" w:hAnsi="Traditional Arabic" w:cs="Traditional Arabic"/>
        </w:rPr>
        <w:t xml:space="preserve"> </w:t>
      </w:r>
      <w:r w:rsidR="00682381" w:rsidRPr="00682381">
        <w:rPr>
          <w:rFonts w:ascii="Traditional Arabic" w:hAnsi="Traditional Arabic" w:cs="Traditional Arabic"/>
          <w:sz w:val="22"/>
          <w:szCs w:val="22"/>
        </w:rPr>
        <w:t>(O’Reilly &amp; Tushman, 2016).</w:t>
      </w:r>
    </w:p>
    <w:p w14:paraId="7269B1A7" w14:textId="0DCA1E6E" w:rsidR="00682381" w:rsidRPr="00682381" w:rsidRDefault="007129C6" w:rsidP="00682381">
      <w:pPr>
        <w:tabs>
          <w:tab w:val="left" w:pos="1368"/>
        </w:tabs>
        <w:bidi/>
        <w:spacing w:line="276" w:lineRule="auto"/>
        <w:jc w:val="both"/>
        <w:rPr>
          <w:rFonts w:ascii="Traditional Arabic" w:hAnsi="Traditional Arabic" w:cs="Traditional Arabic"/>
        </w:rPr>
      </w:pPr>
      <w:r>
        <w:rPr>
          <w:rFonts w:ascii="Traditional Arabic" w:hAnsi="Traditional Arabic" w:cs="Traditional Arabic"/>
        </w:rPr>
        <w:t xml:space="preserve">     </w:t>
      </w:r>
      <w:r w:rsidR="00682381" w:rsidRPr="00682381">
        <w:rPr>
          <w:rFonts w:ascii="Traditional Arabic" w:hAnsi="Traditional Arabic" w:cs="Traditional Arabic"/>
          <w:rtl/>
        </w:rPr>
        <w:t>كما تشير بعض الدراسات إلى أن البراعة التنظيمية تمثل قدرة المنظمة على تحقيق التوازن بين متطلبات التكيف مع التغيرات البيئية ومتطلبات الكفاءة في العمليات الحالية، وذلك من خلال توفير بيئة تنظيمية تمكن الأفراد من الجمع بين الابتكار والانضباط التشغيلي في الوقت ذاته</w:t>
      </w:r>
      <w:r w:rsidR="00682381" w:rsidRPr="00682381">
        <w:rPr>
          <w:rFonts w:ascii="Traditional Arabic" w:hAnsi="Traditional Arabic" w:cs="Traditional Arabic"/>
        </w:rPr>
        <w:t xml:space="preserve"> </w:t>
      </w:r>
      <w:r w:rsidR="00682381" w:rsidRPr="00682381">
        <w:rPr>
          <w:rFonts w:ascii="Traditional Arabic" w:hAnsi="Traditional Arabic" w:cs="Traditional Arabic"/>
          <w:sz w:val="22"/>
          <w:szCs w:val="22"/>
        </w:rPr>
        <w:t>(Gibson &amp; Birkinshaw, 2004).</w:t>
      </w:r>
    </w:p>
    <w:p w14:paraId="5BD15944" w14:textId="27E3C111" w:rsidR="00682381" w:rsidRPr="00682381" w:rsidRDefault="00366B73" w:rsidP="00682381">
      <w:pPr>
        <w:tabs>
          <w:tab w:val="left" w:pos="1368"/>
        </w:tabs>
        <w:bidi/>
        <w:spacing w:line="276" w:lineRule="auto"/>
        <w:jc w:val="both"/>
        <w:rPr>
          <w:rFonts w:ascii="Traditional Arabic" w:hAnsi="Traditional Arabic" w:cs="Traditional Arabic"/>
        </w:rPr>
      </w:pPr>
      <w:r>
        <w:rPr>
          <w:rFonts w:ascii="Traditional Arabic" w:hAnsi="Traditional Arabic" w:cs="Traditional Arabic"/>
        </w:rPr>
        <w:t xml:space="preserve">     </w:t>
      </w:r>
      <w:r w:rsidR="00682381" w:rsidRPr="00682381">
        <w:rPr>
          <w:rFonts w:ascii="Traditional Arabic" w:hAnsi="Traditional Arabic" w:cs="Traditional Arabic"/>
          <w:rtl/>
        </w:rPr>
        <w:t>ومن منظور أحدث، تُعد البراعة التنظيمية قدرة المؤسسات على إدارة التوترات التنظيمية الناتجة عن التنافس بين الاستكشاف والاستغلال، من خلال تطوير آليات تنظيمية وقيادية تسمح بتحقيق التكامل بين هذين التوجهين الاستراتيجيين</w:t>
      </w:r>
      <w:r w:rsidR="00682381" w:rsidRPr="00682381">
        <w:rPr>
          <w:rFonts w:ascii="Traditional Arabic" w:hAnsi="Traditional Arabic" w:cs="Traditional Arabic"/>
        </w:rPr>
        <w:t xml:space="preserve"> </w:t>
      </w:r>
      <w:r w:rsidR="00682381" w:rsidRPr="00682381">
        <w:rPr>
          <w:rFonts w:ascii="Traditional Arabic" w:hAnsi="Traditional Arabic" w:cs="Traditional Arabic"/>
          <w:sz w:val="22"/>
          <w:szCs w:val="22"/>
        </w:rPr>
        <w:t>(Papachroni, Heracleous, &amp; Paroutis, 2022).</w:t>
      </w:r>
    </w:p>
    <w:p w14:paraId="095A5A73" w14:textId="77990186" w:rsidR="00682381" w:rsidRPr="00682381" w:rsidRDefault="0049092B" w:rsidP="00682381">
      <w:pPr>
        <w:tabs>
          <w:tab w:val="left" w:pos="1368"/>
        </w:tabs>
        <w:bidi/>
        <w:spacing w:line="276" w:lineRule="auto"/>
        <w:jc w:val="both"/>
        <w:rPr>
          <w:rFonts w:ascii="Traditional Arabic" w:hAnsi="Traditional Arabic" w:cs="Traditional Arabic"/>
        </w:rPr>
      </w:pPr>
      <w:r>
        <w:rPr>
          <w:rFonts w:ascii="Traditional Arabic" w:hAnsi="Traditional Arabic" w:cs="Traditional Arabic"/>
        </w:rPr>
        <w:t xml:space="preserve">     </w:t>
      </w:r>
      <w:r w:rsidR="00682381" w:rsidRPr="00682381">
        <w:rPr>
          <w:rFonts w:ascii="Traditional Arabic" w:hAnsi="Traditional Arabic" w:cs="Traditional Arabic"/>
          <w:rtl/>
        </w:rPr>
        <w:t>كما تُشير الأدبيات الحديثة إلى أن البراعة التنظيمية تمثل أحد القدرات الاستراتيجية التي تمكّن المؤسسات من تحقيق التوازن بين الكفاءة التشغيلية والابتكار المستمر، الأمر الذي يسهم في تعزيز قدرتها على تحقيق الأداء المتفوق والاستدامة التنظيمية في البيئات المتغيرة</w:t>
      </w:r>
      <w:r w:rsidR="00682381" w:rsidRPr="00682381">
        <w:rPr>
          <w:rFonts w:ascii="Traditional Arabic" w:hAnsi="Traditional Arabic" w:cs="Traditional Arabic"/>
        </w:rPr>
        <w:t xml:space="preserve"> </w:t>
      </w:r>
      <w:r w:rsidR="00682381" w:rsidRPr="00682381">
        <w:rPr>
          <w:rFonts w:ascii="Traditional Arabic" w:hAnsi="Traditional Arabic" w:cs="Traditional Arabic"/>
          <w:sz w:val="22"/>
          <w:szCs w:val="22"/>
        </w:rPr>
        <w:t>(Raisch &amp; Birkinshaw, 2023).</w:t>
      </w:r>
    </w:p>
    <w:p w14:paraId="6A4CB1F6" w14:textId="4CBFDD67" w:rsidR="00682381" w:rsidRPr="00682381" w:rsidRDefault="0049092B" w:rsidP="00682381">
      <w:pPr>
        <w:tabs>
          <w:tab w:val="left" w:pos="1368"/>
        </w:tabs>
        <w:bidi/>
        <w:spacing w:line="276" w:lineRule="auto"/>
        <w:jc w:val="both"/>
        <w:rPr>
          <w:rFonts w:ascii="Traditional Arabic" w:hAnsi="Traditional Arabic" w:cs="Traditional Arabic"/>
        </w:rPr>
      </w:pPr>
      <w:r>
        <w:rPr>
          <w:rFonts w:ascii="Traditional Arabic" w:hAnsi="Traditional Arabic" w:cs="Traditional Arabic"/>
        </w:rPr>
        <w:t xml:space="preserve">    </w:t>
      </w:r>
      <w:r w:rsidR="00682381" w:rsidRPr="00682381">
        <w:rPr>
          <w:rFonts w:ascii="Traditional Arabic" w:hAnsi="Traditional Arabic" w:cs="Traditional Arabic"/>
          <w:rtl/>
        </w:rPr>
        <w:t>ومن خلال استعراض التعريفات السابقة يمكن ملاحظة أن معظم الباحثين يتفقون على أن البراعة التنظيمية تقوم على تحقيق التوازن بين بعدين رئيسين هما الاستكشاف والاستغلال، حيث تسعى المؤسسات البارعة تنظيميًا إلى الاستفادة من مواردها وقدراتها الحالية مع العمل في الوقت ذاته على تطوير قدرات جديدة تمكنها من مواجهة التحديات المستقبلية</w:t>
      </w:r>
      <w:r w:rsidR="00682381" w:rsidRPr="00682381">
        <w:rPr>
          <w:rFonts w:ascii="Traditional Arabic" w:hAnsi="Traditional Arabic" w:cs="Traditional Arabic"/>
        </w:rPr>
        <w:t>.</w:t>
      </w:r>
    </w:p>
    <w:p w14:paraId="1B540F73" w14:textId="1D8A7E1E" w:rsidR="00682381" w:rsidRPr="00682381" w:rsidRDefault="00A73D29" w:rsidP="00682381">
      <w:pPr>
        <w:tabs>
          <w:tab w:val="left" w:pos="1368"/>
        </w:tabs>
        <w:bidi/>
        <w:spacing w:line="276" w:lineRule="auto"/>
        <w:jc w:val="both"/>
        <w:rPr>
          <w:rFonts w:ascii="Traditional Arabic" w:hAnsi="Traditional Arabic" w:cs="Traditional Arabic"/>
        </w:rPr>
      </w:pPr>
      <w:r>
        <w:rPr>
          <w:rFonts w:ascii="Traditional Arabic" w:hAnsi="Traditional Arabic" w:cs="Traditional Arabic"/>
        </w:rPr>
        <w:t xml:space="preserve">     </w:t>
      </w:r>
      <w:r w:rsidR="00682381" w:rsidRPr="00682381">
        <w:rPr>
          <w:rFonts w:ascii="Traditional Arabic" w:hAnsi="Traditional Arabic" w:cs="Traditional Arabic"/>
          <w:rtl/>
        </w:rPr>
        <w:t>وتكمن أهمية البراعة التنظيمية في كونها تساعد المؤسسات على تحقيق الاستقرار التشغيلي في الحاضر والابتكار للمستقبل في آنٍ واحد، الأمر الذي يجعلها أحد المفاهيم الأساسية في الإدارة الاستراتيجية المعاصرة، خاصة في البيئات التنظيمية التي تتسم بدرجة عالية من التغير وعدم اليقين</w:t>
      </w:r>
      <w:r w:rsidR="00682381" w:rsidRPr="00682381">
        <w:rPr>
          <w:rFonts w:ascii="Traditional Arabic" w:hAnsi="Traditional Arabic" w:cs="Traditional Arabic"/>
        </w:rPr>
        <w:t>.</w:t>
      </w:r>
    </w:p>
    <w:p w14:paraId="02E16388" w14:textId="0ACAD639" w:rsidR="00682381" w:rsidRPr="00682381" w:rsidRDefault="00A73D29" w:rsidP="00682381">
      <w:pPr>
        <w:tabs>
          <w:tab w:val="left" w:pos="1368"/>
        </w:tabs>
        <w:bidi/>
        <w:spacing w:line="276" w:lineRule="auto"/>
        <w:jc w:val="both"/>
        <w:rPr>
          <w:rFonts w:ascii="Traditional Arabic" w:hAnsi="Traditional Arabic" w:cs="Traditional Arabic"/>
        </w:rPr>
      </w:pPr>
      <w:r>
        <w:rPr>
          <w:rFonts w:ascii="Traditional Arabic" w:hAnsi="Traditional Arabic" w:cs="Traditional Arabic"/>
        </w:rPr>
        <w:t xml:space="preserve">     </w:t>
      </w:r>
      <w:r w:rsidR="00682381" w:rsidRPr="00682381">
        <w:rPr>
          <w:rFonts w:ascii="Traditional Arabic" w:hAnsi="Traditional Arabic" w:cs="Traditional Arabic"/>
          <w:rtl/>
        </w:rPr>
        <w:t>وفي سياق المؤسسات الحكومية، تزداد أهمية البراعة التنظيمية نظرًا للحاجة إلى تحقيق التوازن بين استقرار تقديم الخدمات العامة وكفاءتها من جهة، وتطوير أساليب عمل مبتكرة قادرة على تحسين جودة الخدمات الحكومية من جهة أخرى. ولذلك بدأت العديد من الحكومات في تبني ممارسات تنظيمية تعزز البراعة التنظيمية بهدف تحسين الأداء المؤسسي وتعزيز الابتكار في القطاع العام</w:t>
      </w:r>
      <w:r w:rsidR="00682381" w:rsidRPr="00682381">
        <w:rPr>
          <w:rFonts w:ascii="Traditional Arabic" w:hAnsi="Traditional Arabic" w:cs="Traditional Arabic"/>
        </w:rPr>
        <w:t>.</w:t>
      </w:r>
    </w:p>
    <w:p w14:paraId="1C7DC0AE" w14:textId="77777777" w:rsidR="00A73D29" w:rsidRDefault="00A73D29" w:rsidP="00A73D29">
      <w:pPr>
        <w:tabs>
          <w:tab w:val="left" w:pos="1368"/>
        </w:tabs>
        <w:bidi/>
        <w:spacing w:line="276" w:lineRule="auto"/>
        <w:jc w:val="both"/>
        <w:rPr>
          <w:rFonts w:ascii="Traditional Arabic" w:hAnsi="Traditional Arabic" w:cs="Traditional Arabic"/>
        </w:rPr>
      </w:pPr>
      <w:r>
        <w:rPr>
          <w:rFonts w:ascii="Traditional Arabic" w:hAnsi="Traditional Arabic" w:cs="Traditional Arabic"/>
        </w:rPr>
        <w:t xml:space="preserve">     </w:t>
      </w:r>
      <w:r w:rsidR="00682381" w:rsidRPr="00682381">
        <w:rPr>
          <w:rFonts w:ascii="Traditional Arabic" w:hAnsi="Traditional Arabic" w:cs="Traditional Arabic"/>
          <w:rtl/>
        </w:rPr>
        <w:t>وانطلاقًا من ذلك، يمكن النظر إلى البراعة التنظيمية بوصفها أحد القدرات التنظيمية التي تمكّن المؤسسات الحكومية من تحقيق التوازن بين الكفاءة التشغيلية والتجديد المؤسسي، بما يسهم في تعزيز قدرتها على تحقيق التميز المؤسسي وضمان الاستدامة في الأداء الحكومي</w:t>
      </w:r>
      <w:r w:rsidR="00682381" w:rsidRPr="00682381">
        <w:rPr>
          <w:rFonts w:ascii="Traditional Arabic" w:hAnsi="Traditional Arabic" w:cs="Traditional Arabic"/>
        </w:rPr>
        <w:t>.</w:t>
      </w:r>
    </w:p>
    <w:p w14:paraId="6480B70D" w14:textId="609702DD" w:rsidR="00682381" w:rsidRDefault="00A73D29" w:rsidP="00A73D29">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rPr>
        <w:lastRenderedPageBreak/>
        <w:t xml:space="preserve"> </w:t>
      </w:r>
      <w:r w:rsidR="002B028D">
        <w:rPr>
          <w:rFonts w:ascii="Traditional Arabic" w:hAnsi="Traditional Arabic" w:cs="Traditional Arabic"/>
        </w:rPr>
        <w:t xml:space="preserve">   </w:t>
      </w:r>
      <w:r w:rsidR="00682381" w:rsidRPr="00682381">
        <w:rPr>
          <w:rFonts w:ascii="Traditional Arabic" w:hAnsi="Traditional Arabic" w:cs="Traditional Arabic"/>
          <w:rtl/>
        </w:rPr>
        <w:t>وبناءً على ذلك، يمكن تعريف البراعة التنظيمية إجرائيًا في إطار هذه الدراسة بأنها</w:t>
      </w:r>
      <w:r w:rsidR="00682381" w:rsidRPr="00682381">
        <w:rPr>
          <w:rFonts w:ascii="Traditional Arabic" w:hAnsi="Traditional Arabic" w:cs="Traditional Arabic"/>
        </w:rPr>
        <w:t>:</w:t>
      </w:r>
      <w:r w:rsidR="00682381">
        <w:rPr>
          <w:rFonts w:ascii="Traditional Arabic" w:hAnsi="Traditional Arabic" w:cs="Traditional Arabic" w:hint="cs"/>
          <w:rtl/>
        </w:rPr>
        <w:t xml:space="preserve"> </w:t>
      </w:r>
      <w:r w:rsidR="00682381" w:rsidRPr="00682381">
        <w:rPr>
          <w:rFonts w:ascii="Traditional Arabic" w:hAnsi="Traditional Arabic" w:cs="Traditional Arabic"/>
          <w:rtl/>
        </w:rPr>
        <w:t>قدرة الهيئات الحكومية على تحقيق التوازن بين تحسين كفاءة عملياتها الحالية (الاستغلال) واستكشاف فرص جديدة للتطوير والابتكار (الاستكشاف)، بما يسهم في تحقيق التميز المؤسسي وضمان الاستدامة في الأداء التنظيمي</w:t>
      </w:r>
      <w:r w:rsidR="00682381" w:rsidRPr="00682381">
        <w:rPr>
          <w:rFonts w:ascii="Traditional Arabic" w:hAnsi="Traditional Arabic" w:cs="Traditional Arabic"/>
        </w:rPr>
        <w:t>.</w:t>
      </w:r>
    </w:p>
    <w:p w14:paraId="25DC7606" w14:textId="2AED3D45" w:rsidR="00932BCC" w:rsidRPr="00932BCC" w:rsidRDefault="00932BCC" w:rsidP="00932BCC">
      <w:pPr>
        <w:tabs>
          <w:tab w:val="left" w:pos="1368"/>
        </w:tabs>
        <w:bidi/>
        <w:spacing w:line="276" w:lineRule="auto"/>
        <w:jc w:val="both"/>
        <w:rPr>
          <w:rFonts w:ascii="Traditional Arabic" w:hAnsi="Traditional Arabic" w:cs="Traditional Arabic"/>
          <w:b/>
          <w:bCs/>
        </w:rPr>
      </w:pPr>
      <w:r w:rsidRPr="00932BCC">
        <w:rPr>
          <w:rFonts w:ascii="Traditional Arabic" w:hAnsi="Traditional Arabic" w:cs="Traditional Arabic"/>
          <w:b/>
          <w:bCs/>
          <w:rtl/>
        </w:rPr>
        <w:t>نشأة وتطور مفهوم البراعة التنظيمية</w:t>
      </w:r>
    </w:p>
    <w:p w14:paraId="15A894BB" w14:textId="22286CF3" w:rsidR="00932BCC" w:rsidRPr="00932BCC" w:rsidRDefault="00932BCC" w:rsidP="00932BCC">
      <w:pPr>
        <w:tabs>
          <w:tab w:val="left" w:pos="1368"/>
        </w:tabs>
        <w:bidi/>
        <w:spacing w:line="276" w:lineRule="auto"/>
        <w:jc w:val="both"/>
        <w:rPr>
          <w:rFonts w:ascii="Traditional Arabic" w:hAnsi="Traditional Arabic" w:cs="Traditional Arabic"/>
        </w:rPr>
      </w:pPr>
      <w:r w:rsidRPr="00A7499F">
        <w:rPr>
          <w:rFonts w:ascii="Traditional Arabic" w:hAnsi="Traditional Arabic" w:cs="Traditional Arabic" w:hint="cs"/>
          <w:rtl/>
        </w:rPr>
        <w:t xml:space="preserve">     </w:t>
      </w:r>
      <w:r w:rsidRPr="00932BCC">
        <w:rPr>
          <w:rFonts w:ascii="Traditional Arabic" w:hAnsi="Traditional Arabic" w:cs="Traditional Arabic"/>
          <w:rtl/>
        </w:rPr>
        <w:t>شهد مفهوم البراعة التنظيمية تطورًا ملحوظًا في الأدبيات الإدارية خلال العقود الماضية، حيث انتقل من كونه فكرة نظرية مرتبطة بالتعلم التنظيمي وإدارة المعرفة إلى إطار استراتيجي متكامل يفسر قدرة المؤسسات على تحقيق التوازن بين الكفاءة التشغيلية والابتكار المستمر. وقد جاء هذا التطور نتيجة التغيرات المتسارعة في بيئات الأعمال المعاصرة، التي أصبحت تتسم بدرجة عالية من التعقيد والتنافسية والتغير التكنولوجي المستمر</w:t>
      </w:r>
      <w:r w:rsidRPr="00932BCC">
        <w:rPr>
          <w:rFonts w:ascii="Traditional Arabic" w:hAnsi="Traditional Arabic" w:cs="Traditional Arabic"/>
        </w:rPr>
        <w:t>.</w:t>
      </w:r>
    </w:p>
    <w:p w14:paraId="7F5E8785" w14:textId="612B3ECF" w:rsidR="00932BCC" w:rsidRPr="00932BCC" w:rsidRDefault="00A7499F" w:rsidP="00932BCC">
      <w:pPr>
        <w:tabs>
          <w:tab w:val="left" w:pos="1368"/>
        </w:tabs>
        <w:bidi/>
        <w:spacing w:line="276" w:lineRule="auto"/>
        <w:jc w:val="both"/>
        <w:rPr>
          <w:rFonts w:ascii="Traditional Arabic" w:hAnsi="Traditional Arabic" w:cs="Traditional Arabic"/>
        </w:rPr>
      </w:pPr>
      <w:r w:rsidRPr="00A7499F">
        <w:rPr>
          <w:rFonts w:ascii="Traditional Arabic" w:hAnsi="Traditional Arabic" w:cs="Traditional Arabic" w:hint="cs"/>
          <w:rtl/>
        </w:rPr>
        <w:t xml:space="preserve">     </w:t>
      </w:r>
      <w:r w:rsidR="00932BCC" w:rsidRPr="00932BCC">
        <w:rPr>
          <w:rFonts w:ascii="Traditional Arabic" w:hAnsi="Traditional Arabic" w:cs="Traditional Arabic"/>
          <w:rtl/>
        </w:rPr>
        <w:t>وتعود الجذور الفكرية الأولى لمفهوم البراعة التنظيمية إلى الدراسات التي تناولت التعلم التنظيمي، حيث أشار الباحثون إلى أن المنظمات تحتاج إلى تطوير قدرتها على التعلم والتكيف مع التغيرات البيئية لضمان استمرارية أدائها وتحقيق التفوق التنظيمي. وفي هذا السياق قدمت بعض الدراسات المبكرة فكرة التوازن بين استغلال المعرفة الحالية واستكشاف المعرفة الجديدة بوصفها أحد العوامل الأساسية في نجاح المنظمات</w:t>
      </w:r>
      <w:r w:rsidR="00932BCC" w:rsidRPr="00932BCC">
        <w:rPr>
          <w:rFonts w:ascii="Traditional Arabic" w:hAnsi="Traditional Arabic" w:cs="Traditional Arabic"/>
          <w:sz w:val="22"/>
          <w:szCs w:val="22"/>
        </w:rPr>
        <w:t xml:space="preserve"> (March, 1991).</w:t>
      </w:r>
    </w:p>
    <w:p w14:paraId="6882055B" w14:textId="067033D3" w:rsidR="00932BCC" w:rsidRPr="00932BCC" w:rsidRDefault="00A7499F" w:rsidP="00932BCC">
      <w:pPr>
        <w:tabs>
          <w:tab w:val="left" w:pos="1368"/>
        </w:tabs>
        <w:bidi/>
        <w:spacing w:line="276" w:lineRule="auto"/>
        <w:jc w:val="both"/>
        <w:rPr>
          <w:rFonts w:ascii="Traditional Arabic" w:hAnsi="Traditional Arabic" w:cs="Traditional Arabic"/>
        </w:rPr>
      </w:pPr>
      <w:r w:rsidRPr="00A7499F">
        <w:rPr>
          <w:rFonts w:ascii="Traditional Arabic" w:hAnsi="Traditional Arabic" w:cs="Traditional Arabic" w:hint="cs"/>
          <w:rtl/>
        </w:rPr>
        <w:t xml:space="preserve">     </w:t>
      </w:r>
      <w:r w:rsidR="00932BCC" w:rsidRPr="00932BCC">
        <w:rPr>
          <w:rFonts w:ascii="Traditional Arabic" w:hAnsi="Traditional Arabic" w:cs="Traditional Arabic"/>
          <w:rtl/>
        </w:rPr>
        <w:t>وقد شكلت هذه الفكرة الأساس النظري لتطور مفهوم البراعة التنظيمية في الأدبيات الإدارية اللاحقة، حيث تم تطويرها لتفسير قدرة المؤسسات على تحقيق التوازن بين الاستقرار التشغيلي والتجديد المؤسسي. وفي هذا الإطار قدمت بعض الدراسات مفهوم المنظمة ثنائية القدرات</w:t>
      </w:r>
      <w:r w:rsidR="00932BCC" w:rsidRPr="00932BCC">
        <w:rPr>
          <w:rFonts w:ascii="Traditional Arabic" w:hAnsi="Traditional Arabic" w:cs="Traditional Arabic"/>
        </w:rPr>
        <w:t xml:space="preserve"> </w:t>
      </w:r>
      <w:r w:rsidR="00932BCC" w:rsidRPr="00932BCC">
        <w:rPr>
          <w:rFonts w:ascii="Traditional Arabic" w:hAnsi="Traditional Arabic" w:cs="Traditional Arabic"/>
          <w:sz w:val="22"/>
          <w:szCs w:val="22"/>
        </w:rPr>
        <w:t>(Ambidextrous Organization)</w:t>
      </w:r>
      <w:r w:rsidR="00932BCC" w:rsidRPr="00932BCC">
        <w:rPr>
          <w:rFonts w:ascii="Traditional Arabic" w:hAnsi="Traditional Arabic" w:cs="Traditional Arabic"/>
          <w:rtl/>
        </w:rPr>
        <w:t>، والتي تتمكن من إدارة أنشطة الاستغلال والاستكشاف في الوقت ذاته، بما يسمح لها بتحقيق الكفاءة التشغيلية والابتكار المستمر بشكل متوازن</w:t>
      </w:r>
      <w:r w:rsidR="00932BCC" w:rsidRPr="00932BCC">
        <w:rPr>
          <w:rFonts w:ascii="Traditional Arabic" w:hAnsi="Traditional Arabic" w:cs="Traditional Arabic"/>
        </w:rPr>
        <w:t xml:space="preserve"> </w:t>
      </w:r>
      <w:r w:rsidR="00932BCC" w:rsidRPr="00932BCC">
        <w:rPr>
          <w:rFonts w:ascii="Traditional Arabic" w:hAnsi="Traditional Arabic" w:cs="Traditional Arabic"/>
          <w:sz w:val="22"/>
          <w:szCs w:val="22"/>
        </w:rPr>
        <w:t>(Tushman &amp; O’Reilly, 1996).</w:t>
      </w:r>
    </w:p>
    <w:p w14:paraId="5F1460A1" w14:textId="58CD2346" w:rsidR="00932BCC" w:rsidRPr="00932BCC" w:rsidRDefault="00A7499F" w:rsidP="00932BCC">
      <w:pPr>
        <w:tabs>
          <w:tab w:val="left" w:pos="1368"/>
        </w:tabs>
        <w:bidi/>
        <w:spacing w:line="276" w:lineRule="auto"/>
        <w:jc w:val="both"/>
        <w:rPr>
          <w:rFonts w:ascii="Traditional Arabic" w:hAnsi="Traditional Arabic" w:cs="Traditional Arabic"/>
        </w:rPr>
      </w:pPr>
      <w:r w:rsidRPr="00A7499F">
        <w:rPr>
          <w:rFonts w:ascii="Traditional Arabic" w:hAnsi="Traditional Arabic" w:cs="Traditional Arabic" w:hint="cs"/>
          <w:rtl/>
        </w:rPr>
        <w:t xml:space="preserve">     </w:t>
      </w:r>
      <w:r w:rsidR="00932BCC" w:rsidRPr="00932BCC">
        <w:rPr>
          <w:rFonts w:ascii="Traditional Arabic" w:hAnsi="Traditional Arabic" w:cs="Traditional Arabic"/>
          <w:rtl/>
        </w:rPr>
        <w:t>وفي مرحلة لاحقة من تطور المفهوم، ركزت الدراسات على تحليل الآليات التنظيمية التي تمكن المؤسسات من تحقيق هذا التوازن. حيث أشارت بعض الأبحاث إلى أن تحقيق البراعة التنظيمية يتطلب تصميم هياكل تنظيمية مرنة تسمح بفصل الأنشطة الابتكارية عن الأنشطة التشغيلية مع الحفاظ على التكامل بينها، الأمر الذي يمكن المؤسسات من تحقيق الكفاءة التشغيلية وفي الوقت ذاته تطوير الابتكارات التنظيمية</w:t>
      </w:r>
      <w:r w:rsidR="00932BCC" w:rsidRPr="00932BCC">
        <w:rPr>
          <w:rFonts w:ascii="Traditional Arabic" w:hAnsi="Traditional Arabic" w:cs="Traditional Arabic"/>
        </w:rPr>
        <w:t xml:space="preserve"> </w:t>
      </w:r>
      <w:r w:rsidR="00932BCC" w:rsidRPr="00932BCC">
        <w:rPr>
          <w:rFonts w:ascii="Traditional Arabic" w:hAnsi="Traditional Arabic" w:cs="Traditional Arabic"/>
          <w:sz w:val="22"/>
          <w:szCs w:val="22"/>
        </w:rPr>
        <w:t>(O’Reilly &amp; Tushman, 2016).</w:t>
      </w:r>
    </w:p>
    <w:p w14:paraId="2BCBE1E6" w14:textId="532FF19A" w:rsidR="00932BCC" w:rsidRPr="00932BCC" w:rsidRDefault="00A7499F" w:rsidP="00932BCC">
      <w:pPr>
        <w:tabs>
          <w:tab w:val="left" w:pos="1368"/>
        </w:tabs>
        <w:bidi/>
        <w:spacing w:line="276" w:lineRule="auto"/>
        <w:jc w:val="both"/>
        <w:rPr>
          <w:rFonts w:ascii="Traditional Arabic" w:hAnsi="Traditional Arabic" w:cs="Traditional Arabic"/>
        </w:rPr>
      </w:pPr>
      <w:r w:rsidRPr="00A7499F">
        <w:rPr>
          <w:rFonts w:ascii="Traditional Arabic" w:hAnsi="Traditional Arabic" w:cs="Traditional Arabic" w:hint="cs"/>
          <w:rtl/>
        </w:rPr>
        <w:t xml:space="preserve">     </w:t>
      </w:r>
      <w:r w:rsidR="00932BCC" w:rsidRPr="00932BCC">
        <w:rPr>
          <w:rFonts w:ascii="Traditional Arabic" w:hAnsi="Traditional Arabic" w:cs="Traditional Arabic"/>
          <w:rtl/>
        </w:rPr>
        <w:t>كما ساهمت بعض الدراسات في تطوير مفهوم البراعة السياقية، والذي يركز على دور الثقافة التنظيمية والقيادة الإدارية في تمكين الأفراد داخل المنظمة من تحقيق التوازن بين الاستكشاف والاستغلال في إطار بيئة تنظيمية داعمة للابتكار والتجديد</w:t>
      </w:r>
      <w:r w:rsidR="00932BCC" w:rsidRPr="00932BCC">
        <w:rPr>
          <w:rFonts w:ascii="Traditional Arabic" w:hAnsi="Traditional Arabic" w:cs="Traditional Arabic"/>
        </w:rPr>
        <w:t xml:space="preserve"> </w:t>
      </w:r>
      <w:r w:rsidR="00932BCC" w:rsidRPr="00932BCC">
        <w:rPr>
          <w:rFonts w:ascii="Traditional Arabic" w:hAnsi="Traditional Arabic" w:cs="Traditional Arabic"/>
          <w:sz w:val="22"/>
          <w:szCs w:val="22"/>
        </w:rPr>
        <w:t>(Gibson &amp; Birkinshaw, 2004).</w:t>
      </w:r>
    </w:p>
    <w:p w14:paraId="47A5ED20" w14:textId="2E778E16" w:rsidR="00932BCC" w:rsidRPr="00932BCC" w:rsidRDefault="00A7499F" w:rsidP="00932BCC">
      <w:pPr>
        <w:tabs>
          <w:tab w:val="left" w:pos="1368"/>
        </w:tabs>
        <w:bidi/>
        <w:spacing w:line="276" w:lineRule="auto"/>
        <w:jc w:val="both"/>
        <w:rPr>
          <w:rFonts w:ascii="Traditional Arabic" w:hAnsi="Traditional Arabic" w:cs="Traditional Arabic"/>
        </w:rPr>
      </w:pPr>
      <w:r w:rsidRPr="00A7499F">
        <w:rPr>
          <w:rFonts w:ascii="Traditional Arabic" w:hAnsi="Traditional Arabic" w:cs="Traditional Arabic" w:hint="cs"/>
          <w:rtl/>
        </w:rPr>
        <w:t xml:space="preserve">     </w:t>
      </w:r>
      <w:r w:rsidR="00932BCC" w:rsidRPr="00932BCC">
        <w:rPr>
          <w:rFonts w:ascii="Traditional Arabic" w:hAnsi="Traditional Arabic" w:cs="Traditional Arabic"/>
          <w:rtl/>
        </w:rPr>
        <w:t>وفي السنوات الأخيرة، اتجهت الأدبيات الحديثة إلى توسيع نطاق مفهوم البراعة التنظيمية ليشمل أبعادًا استراتيجية وتنظيمية أوسع، حيث أصبحت البراعة التنظيمية تُعد إحدى القدرات التنظيمية الديناميكية التي تمكن المؤسسات من التكيف مع التغيرات البيئية وتحقيق الأداء المتفوق على المدى الطويل. وقد أكدت العديد من الدراسات أن المؤسسات التي تمتلك مستويات مرتفعة من البراعة التنظيمية تكون أكثر قدرة على تحقيق الابتكار وتحسين الأداء المؤسسي وتعزيز الاستدامة التنظيمية</w:t>
      </w:r>
      <w:r w:rsidR="00932BCC" w:rsidRPr="00932BCC">
        <w:rPr>
          <w:rFonts w:ascii="Traditional Arabic" w:hAnsi="Traditional Arabic" w:cs="Traditional Arabic"/>
        </w:rPr>
        <w:t xml:space="preserve"> </w:t>
      </w:r>
      <w:r w:rsidR="00932BCC" w:rsidRPr="00932BCC">
        <w:rPr>
          <w:rFonts w:ascii="Traditional Arabic" w:hAnsi="Traditional Arabic" w:cs="Traditional Arabic"/>
          <w:sz w:val="22"/>
          <w:szCs w:val="22"/>
        </w:rPr>
        <w:t>(Raisch &amp; Birkinshaw, 2023).</w:t>
      </w:r>
    </w:p>
    <w:p w14:paraId="4386C3C9" w14:textId="6975FFDF" w:rsidR="00932BCC" w:rsidRPr="00932BCC" w:rsidRDefault="00A7499F" w:rsidP="00932BCC">
      <w:pPr>
        <w:tabs>
          <w:tab w:val="left" w:pos="1368"/>
        </w:tabs>
        <w:bidi/>
        <w:spacing w:line="276" w:lineRule="auto"/>
        <w:jc w:val="both"/>
        <w:rPr>
          <w:rFonts w:ascii="Traditional Arabic" w:hAnsi="Traditional Arabic" w:cs="Traditional Arabic"/>
        </w:rPr>
      </w:pPr>
      <w:r w:rsidRPr="00A7499F">
        <w:rPr>
          <w:rFonts w:ascii="Traditional Arabic" w:hAnsi="Traditional Arabic" w:cs="Traditional Arabic" w:hint="cs"/>
          <w:rtl/>
        </w:rPr>
        <w:t xml:space="preserve">     </w:t>
      </w:r>
      <w:r w:rsidR="00932BCC" w:rsidRPr="00932BCC">
        <w:rPr>
          <w:rFonts w:ascii="Traditional Arabic" w:hAnsi="Traditional Arabic" w:cs="Traditional Arabic"/>
          <w:rtl/>
        </w:rPr>
        <w:t>كما تناولت الدراسات الحديثة البراعة التنظيمية من منظور التوترات التنظيمية</w:t>
      </w:r>
      <w:r w:rsidR="00932BCC" w:rsidRPr="00932BCC">
        <w:rPr>
          <w:rFonts w:ascii="Traditional Arabic" w:hAnsi="Traditional Arabic" w:cs="Traditional Arabic"/>
        </w:rPr>
        <w:t xml:space="preserve"> </w:t>
      </w:r>
      <w:r w:rsidR="00932BCC" w:rsidRPr="00932BCC">
        <w:rPr>
          <w:rFonts w:ascii="Traditional Arabic" w:hAnsi="Traditional Arabic" w:cs="Traditional Arabic"/>
          <w:sz w:val="22"/>
          <w:szCs w:val="22"/>
        </w:rPr>
        <w:t>(Organizational Tensions)</w:t>
      </w:r>
      <w:r w:rsidR="00932BCC" w:rsidRPr="00932BCC">
        <w:rPr>
          <w:rFonts w:ascii="Traditional Arabic" w:hAnsi="Traditional Arabic" w:cs="Traditional Arabic"/>
          <w:rtl/>
        </w:rPr>
        <w:t>، حيث تشير بعض الأبحاث إلى أن المؤسسات تواجه تناقضات مستمرة بين متطلبات الاستقرار ومتطلبات التغيير، وأن القدرة على إدارة هذه التوترات تمثل أحد العوامل الأساسية في تحقيق البراعة التنظيمية</w:t>
      </w:r>
      <w:r w:rsidR="00932BCC" w:rsidRPr="00932BCC">
        <w:rPr>
          <w:rFonts w:ascii="Traditional Arabic" w:hAnsi="Traditional Arabic" w:cs="Traditional Arabic"/>
        </w:rPr>
        <w:t xml:space="preserve"> </w:t>
      </w:r>
      <w:r w:rsidR="00932BCC" w:rsidRPr="00932BCC">
        <w:rPr>
          <w:rFonts w:ascii="Traditional Arabic" w:hAnsi="Traditional Arabic" w:cs="Traditional Arabic"/>
          <w:sz w:val="22"/>
          <w:szCs w:val="22"/>
        </w:rPr>
        <w:t>(Papachroni, Heracleous, &amp; Paroutis, 2022).</w:t>
      </w:r>
    </w:p>
    <w:p w14:paraId="2411C3B9" w14:textId="5943F508" w:rsidR="00932BCC" w:rsidRPr="00932BCC" w:rsidRDefault="00A7499F" w:rsidP="00932BCC">
      <w:pPr>
        <w:tabs>
          <w:tab w:val="left" w:pos="1368"/>
        </w:tabs>
        <w:bidi/>
        <w:spacing w:line="276" w:lineRule="auto"/>
        <w:jc w:val="both"/>
        <w:rPr>
          <w:rFonts w:ascii="Traditional Arabic" w:hAnsi="Traditional Arabic" w:cs="Traditional Arabic"/>
        </w:rPr>
      </w:pPr>
      <w:r w:rsidRPr="00A7499F">
        <w:rPr>
          <w:rFonts w:ascii="Traditional Arabic" w:hAnsi="Traditional Arabic" w:cs="Traditional Arabic" w:hint="cs"/>
          <w:rtl/>
        </w:rPr>
        <w:t xml:space="preserve">     </w:t>
      </w:r>
      <w:r w:rsidR="00932BCC" w:rsidRPr="00932BCC">
        <w:rPr>
          <w:rFonts w:ascii="Traditional Arabic" w:hAnsi="Traditional Arabic" w:cs="Traditional Arabic"/>
          <w:rtl/>
        </w:rPr>
        <w:t>وفي ضوء هذه التطورات النظرية، أصبح مفهوم البراعة التنظيمية أحد المفاهيم المركزية في مجال الإدارة الاستراتيجية والتنظيم، حيث يستخدم لتفسير قدرة المؤسسات على تحقيق التوازن بين الكفاءة التشغيلية والابتكار المستمر في البيئات التنظيمية المعقدة والمتغيرة</w:t>
      </w:r>
      <w:r w:rsidR="00932BCC" w:rsidRPr="00932BCC">
        <w:rPr>
          <w:rFonts w:ascii="Traditional Arabic" w:hAnsi="Traditional Arabic" w:cs="Traditional Arabic"/>
        </w:rPr>
        <w:t>.</w:t>
      </w:r>
    </w:p>
    <w:p w14:paraId="588E518B" w14:textId="1C9D7513" w:rsidR="00932BCC" w:rsidRDefault="00A7499F" w:rsidP="00932BCC">
      <w:pPr>
        <w:tabs>
          <w:tab w:val="left" w:pos="1368"/>
        </w:tabs>
        <w:bidi/>
        <w:spacing w:line="276" w:lineRule="auto"/>
        <w:jc w:val="both"/>
        <w:rPr>
          <w:rFonts w:ascii="Traditional Arabic" w:hAnsi="Traditional Arabic" w:cs="Traditional Arabic"/>
          <w:rtl/>
        </w:rPr>
      </w:pPr>
      <w:r w:rsidRPr="00A7499F">
        <w:rPr>
          <w:rFonts w:ascii="Traditional Arabic" w:hAnsi="Traditional Arabic" w:cs="Traditional Arabic" w:hint="cs"/>
          <w:rtl/>
        </w:rPr>
        <w:lastRenderedPageBreak/>
        <w:t xml:space="preserve">     </w:t>
      </w:r>
      <w:r w:rsidR="00932BCC" w:rsidRPr="00932BCC">
        <w:rPr>
          <w:rFonts w:ascii="Traditional Arabic" w:hAnsi="Traditional Arabic" w:cs="Traditional Arabic"/>
          <w:rtl/>
        </w:rPr>
        <w:t>وبذلك يمكن القول إن مفهوم البراعة التنظيمية قد تطور عبر عدة مراحل فكرية بدأت بنظرية التعلم التنظيمي والتوازن بين الاستكشاف والاستغلال، ثم انتقل إلى مفهوم المنظمة ثنائية القدرات، وصولًا إلى اعتباره أحد القدرات التنظيمية الديناميكية التي تسهم في تعزيز قدرة المؤسسات على تحقيق الأداء المتفوق والاستدامة التنظيمية</w:t>
      </w:r>
      <w:r w:rsidR="00932BCC" w:rsidRPr="00932BCC">
        <w:rPr>
          <w:rFonts w:ascii="Traditional Arabic" w:hAnsi="Traditional Arabic" w:cs="Traditional Arabic"/>
        </w:rPr>
        <w:t>.</w:t>
      </w:r>
    </w:p>
    <w:p w14:paraId="4C493929" w14:textId="6A54473F" w:rsidR="00CF282E" w:rsidRPr="00CF282E" w:rsidRDefault="00CF282E" w:rsidP="00CF282E">
      <w:pPr>
        <w:tabs>
          <w:tab w:val="left" w:pos="1368"/>
        </w:tabs>
        <w:bidi/>
        <w:spacing w:line="276" w:lineRule="auto"/>
        <w:jc w:val="both"/>
        <w:rPr>
          <w:rFonts w:ascii="Traditional Arabic" w:hAnsi="Traditional Arabic" w:cs="Traditional Arabic"/>
          <w:b/>
          <w:bCs/>
        </w:rPr>
      </w:pPr>
      <w:r w:rsidRPr="00CF282E">
        <w:rPr>
          <w:rFonts w:ascii="Traditional Arabic" w:hAnsi="Traditional Arabic" w:cs="Traditional Arabic"/>
          <w:b/>
          <w:bCs/>
          <w:rtl/>
        </w:rPr>
        <w:t>أهمية البراعة التنظيمية في المنظمات المعاصرة</w:t>
      </w:r>
    </w:p>
    <w:p w14:paraId="3022A6D9" w14:textId="7AFA6361" w:rsidR="00CF282E" w:rsidRPr="00CF282E" w:rsidRDefault="00066BA1" w:rsidP="00CF282E">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CF282E" w:rsidRPr="00CF282E">
        <w:rPr>
          <w:rFonts w:ascii="Traditional Arabic" w:hAnsi="Traditional Arabic" w:cs="Traditional Arabic"/>
          <w:rtl/>
        </w:rPr>
        <w:t>تزايد الاهتمام بمفهوم البراعة التنظيمية في الأدبيات الإدارية المعاصرة نظرًا للدور المهم الذي تلعبه في تعزيز قدرة المؤسسات على مواجهة التحديات المتزايدة في بيئات العمل الحديثة. فقد أصبحت المؤسسات تعمل في بيئات تتسم بدرجة عالية من التغير وعدم اليقين نتيجة التطورات التكنولوجية المتسارعة، وزيادة المنافسة العالمية، وتغير متطلبات أصحاب المصلحة. وفي ظل هذه الظروف، أصبح من الضروري أن تمتلك المؤسسات القدرة على تحقيق التوازن بين تحسين كفاءة عملياتها الحالية وتطوير قدراتها الابتكارية لمواجهة التحديات المستقبلية</w:t>
      </w:r>
      <w:r w:rsidR="00CF282E" w:rsidRPr="00CF282E">
        <w:rPr>
          <w:rFonts w:ascii="Traditional Arabic" w:hAnsi="Traditional Arabic" w:cs="Traditional Arabic"/>
        </w:rPr>
        <w:t>.</w:t>
      </w:r>
    </w:p>
    <w:p w14:paraId="3C679B37" w14:textId="53974D65" w:rsidR="00CF282E" w:rsidRPr="00CF282E" w:rsidRDefault="00066BA1" w:rsidP="00CF282E">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CF282E" w:rsidRPr="00CF282E">
        <w:rPr>
          <w:rFonts w:ascii="Traditional Arabic" w:hAnsi="Traditional Arabic" w:cs="Traditional Arabic"/>
          <w:rtl/>
        </w:rPr>
        <w:t>وتكمن أهمية البراعة التنظيمية في كونها تمكن المؤسسات من تحقيق التوازن بين الاستقرار التشغيلي والتجديد المؤسسي، حيث تسهم في تعزيز قدرة المنظمة على استغلال مواردها وقدراتها الحالية بكفاءة، وفي الوقت ذاته استكشاف فرص جديدة للتطوير والابتكار. وقد أشارت العديد من الدراسات إلى أن المؤسسات التي تمتلك مستويات مرتفعة من البراعة التنظيمية تكون أكثر قدرة على تحقيق الأداء المتفوق مقارنة بالمؤسسات التي تركز على أحد هذين البعدين دون الآخر</w:t>
      </w:r>
      <w:r w:rsidR="00CF282E" w:rsidRPr="00CF282E">
        <w:rPr>
          <w:rFonts w:ascii="Traditional Arabic" w:hAnsi="Traditional Arabic" w:cs="Traditional Arabic"/>
        </w:rPr>
        <w:t xml:space="preserve"> </w:t>
      </w:r>
      <w:r w:rsidR="00CF282E" w:rsidRPr="00CF282E">
        <w:rPr>
          <w:rFonts w:ascii="Traditional Arabic" w:hAnsi="Traditional Arabic" w:cs="Traditional Arabic"/>
          <w:sz w:val="22"/>
          <w:szCs w:val="22"/>
        </w:rPr>
        <w:t>(Raisch &amp; Birkinshaw, 2023).</w:t>
      </w:r>
    </w:p>
    <w:p w14:paraId="6DBA5249" w14:textId="3868A7CC" w:rsidR="00CF282E" w:rsidRPr="00CF282E" w:rsidRDefault="00066BA1" w:rsidP="00CF282E">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CF282E" w:rsidRPr="00CF282E">
        <w:rPr>
          <w:rFonts w:ascii="Traditional Arabic" w:hAnsi="Traditional Arabic" w:cs="Traditional Arabic"/>
          <w:rtl/>
        </w:rPr>
        <w:t>كما تسهم البراعة التنظيمية في تعزيز الابتكار المؤسسي، حيث تساعد المؤسسات على تطوير أفكار جديدة وتحويلها إلى منتجات أو خدمات أو عمليات تنظيمية مبتكرة تسهم في تحسين جودة الأداء المؤسسي. وقد أكدت بعض الدراسات أن تحقيق التوازن بين أنشطة الاستكشاف والاستغلال يعد من العوامل الأساسية التي تسهم في تعزيز الابتكار التنظيمي وتحسين القدرة التنافسية للمؤسسات في البيئات الديناميكية</w:t>
      </w:r>
      <w:r w:rsidR="00CF282E" w:rsidRPr="00CF282E">
        <w:rPr>
          <w:rFonts w:ascii="Traditional Arabic" w:hAnsi="Traditional Arabic" w:cs="Traditional Arabic"/>
        </w:rPr>
        <w:t xml:space="preserve"> </w:t>
      </w:r>
      <w:r w:rsidR="00CF282E" w:rsidRPr="00CF282E">
        <w:rPr>
          <w:rFonts w:ascii="Traditional Arabic" w:hAnsi="Traditional Arabic" w:cs="Traditional Arabic"/>
          <w:sz w:val="22"/>
          <w:szCs w:val="22"/>
        </w:rPr>
        <w:t>(O’Reilly &amp; Tushman, 2016).</w:t>
      </w:r>
    </w:p>
    <w:p w14:paraId="1FF3BB66" w14:textId="1A1C00B2" w:rsidR="00CF282E" w:rsidRPr="00CF282E" w:rsidRDefault="00066BA1" w:rsidP="00CF282E">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CF282E" w:rsidRPr="00CF282E">
        <w:rPr>
          <w:rFonts w:ascii="Traditional Arabic" w:hAnsi="Traditional Arabic" w:cs="Traditional Arabic"/>
          <w:rtl/>
        </w:rPr>
        <w:t>ومن ناحية أخرى، تلعب البراعة التنظيمية دورًا مهمًا في تعزيز القدرة التنظيمية على التكيف مع التغيرات البيئية، حيث تساعد المؤسسات على الاستجابة بمرونة للتغيرات الاقتصادية والتكنولوجية والتنظيمية التي تواجهها. فالمؤسسات التي تمتلك مستويات عالية من البراعة التنظيمية تكون أكثر قدرة على تعديل استراتيجياتها التنظيمية وتطوير هياكلها التنظيمية بما يتلاءم مع متطلبات البيئة المتغيرة</w:t>
      </w:r>
      <w:r w:rsidR="00CF282E" w:rsidRPr="00CF282E">
        <w:rPr>
          <w:rFonts w:ascii="Traditional Arabic" w:hAnsi="Traditional Arabic" w:cs="Traditional Arabic"/>
        </w:rPr>
        <w:t xml:space="preserve"> </w:t>
      </w:r>
      <w:r w:rsidR="00CF282E" w:rsidRPr="00CF282E">
        <w:rPr>
          <w:rFonts w:ascii="Traditional Arabic" w:hAnsi="Traditional Arabic" w:cs="Traditional Arabic"/>
          <w:sz w:val="22"/>
          <w:szCs w:val="22"/>
        </w:rPr>
        <w:t>(Papachroni, Heracleous, &amp; Paroutis, 2022).</w:t>
      </w:r>
    </w:p>
    <w:p w14:paraId="6468FBB7" w14:textId="1A138AA9" w:rsidR="00CF282E" w:rsidRPr="00CF282E" w:rsidRDefault="00066BA1" w:rsidP="00CF282E">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CF282E" w:rsidRPr="00CF282E">
        <w:rPr>
          <w:rFonts w:ascii="Traditional Arabic" w:hAnsi="Traditional Arabic" w:cs="Traditional Arabic"/>
          <w:rtl/>
        </w:rPr>
        <w:t>كما ترتبط البراعة التنظيمية ارتباطًا وثيقًا بتحقيق الاستدامة التنظيمية، حيث تساعد المؤسسات على تحقيق التوازن بين تحقيق النتائج قصيرة المدى وضمان استمرارية الأداء على المدى الطويل. فالمؤسسات التي تركز فقط على تحسين كفاءة عملياتها الحالية قد تواجه صعوبة في مواكبة التغيرات المستقبلية، في حين أن المؤسسات التي تركز فقط على الابتكار قد تعاني من ضعف في الكفاءة التشغيلية. ومن هنا تظهر أهمية البراعة التنظيمية في تحقيق التوازن بين هذين التوجهين بما يعزز الاستدامة المؤسسية</w:t>
      </w:r>
      <w:r w:rsidR="00CF282E" w:rsidRPr="00CF282E">
        <w:rPr>
          <w:rFonts w:ascii="Traditional Arabic" w:hAnsi="Traditional Arabic" w:cs="Traditional Arabic"/>
        </w:rPr>
        <w:t xml:space="preserve"> </w:t>
      </w:r>
      <w:r w:rsidR="00CF282E" w:rsidRPr="00CF282E">
        <w:rPr>
          <w:rFonts w:ascii="Traditional Arabic" w:hAnsi="Traditional Arabic" w:cs="Traditional Arabic"/>
          <w:sz w:val="22"/>
          <w:szCs w:val="22"/>
        </w:rPr>
        <w:t>(Raisch &amp; Birkinshaw, 2023).</w:t>
      </w:r>
    </w:p>
    <w:p w14:paraId="2A8D7625" w14:textId="4D8630F9" w:rsidR="00CF282E" w:rsidRPr="00CF282E" w:rsidRDefault="00066BA1" w:rsidP="00CF282E">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CF282E" w:rsidRPr="00CF282E">
        <w:rPr>
          <w:rFonts w:ascii="Traditional Arabic" w:hAnsi="Traditional Arabic" w:cs="Traditional Arabic"/>
          <w:rtl/>
        </w:rPr>
        <w:t>وفي سياق القطاع العام، تكتسب البراعة التنظيمية أهمية متزايدة نظرًا للحاجة إلى تحسين كفاءة الأداء الحكومي وتطوير الخدمات العامة بما يتوافق مع تطلعات المجتمع. حيث تسهم البراعة التنظيمية في تمكين المؤسسات الحكومية من تحقيق التوازن بين استقرار تقديم الخدمات العامة من جهة، وتطوير أساليب عمل مبتكرة تسهم في تحسين جودة هذه الخدمات من جهة أخرى</w:t>
      </w:r>
      <w:r w:rsidR="00CF282E" w:rsidRPr="00CF282E">
        <w:rPr>
          <w:rFonts w:ascii="Traditional Arabic" w:hAnsi="Traditional Arabic" w:cs="Traditional Arabic"/>
        </w:rPr>
        <w:t>.</w:t>
      </w:r>
    </w:p>
    <w:p w14:paraId="0FFA3B0B" w14:textId="5B120321" w:rsidR="00CF282E" w:rsidRPr="00CF282E" w:rsidRDefault="00066BA1" w:rsidP="00CF282E">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CF282E" w:rsidRPr="00CF282E">
        <w:rPr>
          <w:rFonts w:ascii="Traditional Arabic" w:hAnsi="Traditional Arabic" w:cs="Traditional Arabic"/>
          <w:rtl/>
        </w:rPr>
        <w:t>كما تساعد البراعة التنظيمية المؤسسات الحكومية على تعزيز قدرتها على تنفيذ برامج التحول المؤسسي وتحقيق التميز المؤسسي، خاصة في ظل التوجهات الحديثة التي تسعى إلى تطوير الأداء الحكومي وتعزيز كفاءة الإدارة العامة. ولذلك أصبح مفهوم البراعة التنظيمية أحد المفاهيم المهمة التي يتم الاعتماد عليها في تفسير قدرة المؤسسات الحكومية على تحقيق الابتكار وتحسين الأداء المؤسسي في البيئات التنظيمية المعاصرة</w:t>
      </w:r>
      <w:r w:rsidR="00CF282E" w:rsidRPr="00CF282E">
        <w:rPr>
          <w:rFonts w:ascii="Traditional Arabic" w:hAnsi="Traditional Arabic" w:cs="Traditional Arabic"/>
        </w:rPr>
        <w:t>.</w:t>
      </w:r>
    </w:p>
    <w:p w14:paraId="0DB7C10F" w14:textId="704584BA" w:rsidR="00CF282E" w:rsidRDefault="00066BA1" w:rsidP="00CF282E">
      <w:pPr>
        <w:tabs>
          <w:tab w:val="left" w:pos="1368"/>
        </w:tabs>
        <w:bidi/>
        <w:spacing w:line="276" w:lineRule="auto"/>
        <w:jc w:val="both"/>
        <w:rPr>
          <w:rFonts w:ascii="Traditional Arabic" w:hAnsi="Traditional Arabic" w:cs="Traditional Arabic"/>
          <w:rtl/>
        </w:rPr>
      </w:pPr>
      <w:r w:rsidRPr="00066BA1">
        <w:rPr>
          <w:rFonts w:ascii="Traditional Arabic" w:hAnsi="Traditional Arabic" w:cs="Traditional Arabic" w:hint="cs"/>
          <w:rtl/>
        </w:rPr>
        <w:lastRenderedPageBreak/>
        <w:t xml:space="preserve">     </w:t>
      </w:r>
      <w:r w:rsidR="00CF282E" w:rsidRPr="00CF282E">
        <w:rPr>
          <w:rFonts w:ascii="Traditional Arabic" w:hAnsi="Traditional Arabic" w:cs="Traditional Arabic"/>
          <w:rtl/>
        </w:rPr>
        <w:t>وبناءً على ما سبق، يمكن القول إن البراعة التنظيمية تمثل أحد العوامل الأساسية التي تسهم في تعزيز قدرة المؤسسات على تحقيق التميز المؤسسي والاستدامة التنظيمية، من خلال تمكينها من تحقيق التوازن بين الكفاءة التشغيلية والابتكار المستمر، وهو ما يجعلها أحد المفاهيم المحورية في الإدارة الاستراتيجية الحديثة</w:t>
      </w:r>
      <w:r w:rsidR="00CF282E" w:rsidRPr="00CF282E">
        <w:rPr>
          <w:rFonts w:ascii="Traditional Arabic" w:hAnsi="Traditional Arabic" w:cs="Traditional Arabic"/>
        </w:rPr>
        <w:t>.</w:t>
      </w:r>
    </w:p>
    <w:p w14:paraId="73302F7A" w14:textId="7426BDFA" w:rsidR="00696069" w:rsidRPr="00696069" w:rsidRDefault="00696069" w:rsidP="00696069">
      <w:pPr>
        <w:tabs>
          <w:tab w:val="left" w:pos="1368"/>
        </w:tabs>
        <w:bidi/>
        <w:spacing w:line="276" w:lineRule="auto"/>
        <w:jc w:val="both"/>
        <w:rPr>
          <w:rFonts w:ascii="Traditional Arabic" w:hAnsi="Traditional Arabic" w:cs="Traditional Arabic"/>
          <w:b/>
          <w:bCs/>
        </w:rPr>
      </w:pPr>
      <w:r w:rsidRPr="00696069">
        <w:rPr>
          <w:rFonts w:ascii="Traditional Arabic" w:hAnsi="Traditional Arabic" w:cs="Traditional Arabic"/>
          <w:b/>
          <w:bCs/>
          <w:rtl/>
        </w:rPr>
        <w:t>خصائص البراعة التنظيمية</w:t>
      </w:r>
    </w:p>
    <w:p w14:paraId="1A9A6365" w14:textId="77777777" w:rsidR="00696069" w:rsidRPr="00696069" w:rsidRDefault="00696069" w:rsidP="00696069">
      <w:pPr>
        <w:tabs>
          <w:tab w:val="left" w:pos="1368"/>
        </w:tabs>
        <w:bidi/>
        <w:spacing w:line="276" w:lineRule="auto"/>
        <w:jc w:val="both"/>
        <w:rPr>
          <w:rFonts w:ascii="Traditional Arabic" w:hAnsi="Traditional Arabic" w:cs="Traditional Arabic"/>
        </w:rPr>
      </w:pPr>
      <w:r w:rsidRPr="00696069">
        <w:rPr>
          <w:rFonts w:ascii="Traditional Arabic" w:hAnsi="Traditional Arabic" w:cs="Traditional Arabic"/>
          <w:rtl/>
        </w:rPr>
        <w:t>تُعد البراعة التنظيمية من القدرات التنظيمية الاستراتيجية التي تميز المؤسسات القادرة على تحقيق التوازن بين متطلبات الكفاءة التشغيلية ومتطلبات الابتكار والتجديد. وقد تناولت الأدبيات الإدارية هذا المفهوم من زوايا متعددة، حيث أشار العديد من الباحثين إلى أن المؤسسات التي تتمتع بالبراعة التنظيمية تمتلك مجموعة من الخصائص التي تمكنها من تحقيق هذا التوازن في بيئات العمل المعقدة والمتغيرة. وتتمثل أبرز خصائص البراعة التنظيمية فيما يأتي</w:t>
      </w:r>
      <w:r w:rsidRPr="00696069">
        <w:rPr>
          <w:rFonts w:ascii="Traditional Arabic" w:hAnsi="Traditional Arabic" w:cs="Traditional Arabic"/>
        </w:rPr>
        <w:t>:</w:t>
      </w:r>
    </w:p>
    <w:p w14:paraId="2FE3C7C6" w14:textId="4723064F" w:rsidR="00696069" w:rsidRPr="00696069" w:rsidRDefault="00A04F7F" w:rsidP="00696069">
      <w:pPr>
        <w:tabs>
          <w:tab w:val="left" w:pos="1368"/>
        </w:tabs>
        <w:bidi/>
        <w:spacing w:line="276" w:lineRule="auto"/>
        <w:jc w:val="both"/>
        <w:rPr>
          <w:rFonts w:ascii="Traditional Arabic" w:hAnsi="Traditional Arabic" w:cs="Traditional Arabic"/>
          <w:b/>
          <w:bCs/>
        </w:rPr>
      </w:pPr>
      <w:r>
        <w:rPr>
          <w:rFonts w:ascii="Traditional Arabic" w:hAnsi="Traditional Arabic" w:cs="Traditional Arabic" w:hint="cs"/>
          <w:b/>
          <w:bCs/>
          <w:rtl/>
        </w:rPr>
        <w:t>1.</w:t>
      </w:r>
      <w:r w:rsidR="00696069" w:rsidRPr="00696069">
        <w:rPr>
          <w:rFonts w:ascii="Traditional Arabic" w:hAnsi="Traditional Arabic" w:cs="Traditional Arabic"/>
          <w:b/>
          <w:bCs/>
        </w:rPr>
        <w:t xml:space="preserve"> </w:t>
      </w:r>
      <w:r w:rsidR="00696069" w:rsidRPr="00696069">
        <w:rPr>
          <w:rFonts w:ascii="Traditional Arabic" w:hAnsi="Traditional Arabic" w:cs="Traditional Arabic"/>
          <w:b/>
          <w:bCs/>
          <w:rtl/>
        </w:rPr>
        <w:t>التوازن بين الاستكشاف والاستغلال</w:t>
      </w:r>
    </w:p>
    <w:p w14:paraId="5073C59B" w14:textId="5F4EB7D5" w:rsidR="00696069" w:rsidRPr="00696069" w:rsidRDefault="00A04F7F" w:rsidP="00696069">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696069" w:rsidRPr="00696069">
        <w:rPr>
          <w:rFonts w:ascii="Traditional Arabic" w:hAnsi="Traditional Arabic" w:cs="Traditional Arabic"/>
          <w:rtl/>
        </w:rPr>
        <w:t>تُعد القدرة على تحقيق التوازن بين أنشطة الاستكشاف والاستغلال من أهم الخصائص التي تميز البراعة التنظيمية. حيث يشير الاستكشاف إلى البحث عن فرص جديدة للابتكار والتجريب وتطوير الأفكار الجديدة، في حين يشير الاستغلال إلى تحسين العمليات الحالية وتعزيز الكفاءة التشغيلية. وتمتلك المؤسسات البارعة تنظيميًا القدرة على الجمع بين هذين التوجهين بشكل متوازن بما يحقق الاستفادة من الموارد الحالية مع تطوير قدرات مستقبلية جديدة</w:t>
      </w:r>
      <w:r w:rsidR="00696069" w:rsidRPr="00696069">
        <w:rPr>
          <w:rFonts w:ascii="Traditional Arabic" w:hAnsi="Traditional Arabic" w:cs="Traditional Arabic"/>
        </w:rPr>
        <w:t xml:space="preserve"> </w:t>
      </w:r>
      <w:r w:rsidR="00696069" w:rsidRPr="00696069">
        <w:rPr>
          <w:rFonts w:ascii="Traditional Arabic" w:hAnsi="Traditional Arabic" w:cs="Traditional Arabic"/>
          <w:sz w:val="22"/>
          <w:szCs w:val="22"/>
        </w:rPr>
        <w:t>(March, 1991; Raisch &amp; Birkinshaw, 2023)</w:t>
      </w:r>
      <w:r w:rsidR="00696069" w:rsidRPr="00696069">
        <w:rPr>
          <w:rFonts w:ascii="Traditional Arabic" w:hAnsi="Traditional Arabic" w:cs="Traditional Arabic"/>
        </w:rPr>
        <w:t>.</w:t>
      </w:r>
    </w:p>
    <w:p w14:paraId="04709A83" w14:textId="762C65C7" w:rsidR="00696069" w:rsidRPr="00696069" w:rsidRDefault="00A04F7F" w:rsidP="00696069">
      <w:pPr>
        <w:tabs>
          <w:tab w:val="left" w:pos="1368"/>
        </w:tabs>
        <w:bidi/>
        <w:spacing w:line="276" w:lineRule="auto"/>
        <w:jc w:val="both"/>
        <w:rPr>
          <w:rFonts w:ascii="Traditional Arabic" w:hAnsi="Traditional Arabic" w:cs="Traditional Arabic"/>
          <w:b/>
          <w:bCs/>
        </w:rPr>
      </w:pPr>
      <w:r>
        <w:rPr>
          <w:rFonts w:ascii="Traditional Arabic" w:hAnsi="Traditional Arabic" w:cs="Traditional Arabic" w:hint="cs"/>
          <w:b/>
          <w:bCs/>
          <w:rtl/>
        </w:rPr>
        <w:t>2.</w:t>
      </w:r>
      <w:r w:rsidR="00696069" w:rsidRPr="00696069">
        <w:rPr>
          <w:rFonts w:ascii="Traditional Arabic" w:hAnsi="Traditional Arabic" w:cs="Traditional Arabic"/>
          <w:b/>
          <w:bCs/>
        </w:rPr>
        <w:t xml:space="preserve"> </w:t>
      </w:r>
      <w:r w:rsidR="00696069" w:rsidRPr="00696069">
        <w:rPr>
          <w:rFonts w:ascii="Traditional Arabic" w:hAnsi="Traditional Arabic" w:cs="Traditional Arabic"/>
          <w:b/>
          <w:bCs/>
          <w:rtl/>
        </w:rPr>
        <w:t>القدرة على التكيف مع التغيرات البيئية</w:t>
      </w:r>
    </w:p>
    <w:p w14:paraId="6EE446D7" w14:textId="27FAE6F1" w:rsidR="00696069" w:rsidRPr="00696069" w:rsidRDefault="00A04F7F" w:rsidP="00696069">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696069" w:rsidRPr="00696069">
        <w:rPr>
          <w:rFonts w:ascii="Traditional Arabic" w:hAnsi="Traditional Arabic" w:cs="Traditional Arabic"/>
          <w:rtl/>
        </w:rPr>
        <w:t>تتميز المؤسسات التي تمتلك البراعة التنظيمية بقدرتها العالية على التكيف مع التغيرات البيئية المختلفة، سواء كانت اقتصادية أو تكنولوجية أو تنظيمية. حيث تساعد البراعة التنظيمية المؤسسات على الاستجابة بسرعة للتغيرات في بيئة العمل من خلال تطوير استراتيجيات مرنة وهياكل تنظيمية قادرة على استيعاب التغيرات المستمرة</w:t>
      </w:r>
      <w:r w:rsidR="00696069" w:rsidRPr="00696069">
        <w:rPr>
          <w:rFonts w:ascii="Traditional Arabic" w:hAnsi="Traditional Arabic" w:cs="Traditional Arabic"/>
        </w:rPr>
        <w:t xml:space="preserve"> </w:t>
      </w:r>
      <w:r w:rsidR="00696069" w:rsidRPr="00696069">
        <w:rPr>
          <w:rFonts w:ascii="Traditional Arabic" w:hAnsi="Traditional Arabic" w:cs="Traditional Arabic"/>
          <w:sz w:val="22"/>
          <w:szCs w:val="22"/>
        </w:rPr>
        <w:t>(Papachroni, Heracleous, &amp; Paroutis, 2022).</w:t>
      </w:r>
    </w:p>
    <w:p w14:paraId="467E893C" w14:textId="76DB3059" w:rsidR="00696069" w:rsidRPr="00696069" w:rsidRDefault="00A04F7F" w:rsidP="00696069">
      <w:pPr>
        <w:tabs>
          <w:tab w:val="left" w:pos="1368"/>
        </w:tabs>
        <w:bidi/>
        <w:spacing w:line="276" w:lineRule="auto"/>
        <w:jc w:val="both"/>
        <w:rPr>
          <w:rFonts w:ascii="Traditional Arabic" w:hAnsi="Traditional Arabic" w:cs="Traditional Arabic"/>
          <w:b/>
          <w:bCs/>
        </w:rPr>
      </w:pPr>
      <w:r>
        <w:rPr>
          <w:rFonts w:ascii="Traditional Arabic" w:hAnsi="Traditional Arabic" w:cs="Traditional Arabic" w:hint="cs"/>
          <w:b/>
          <w:bCs/>
          <w:rtl/>
        </w:rPr>
        <w:t>3.</w:t>
      </w:r>
      <w:r w:rsidR="00696069" w:rsidRPr="00696069">
        <w:rPr>
          <w:rFonts w:ascii="Traditional Arabic" w:hAnsi="Traditional Arabic" w:cs="Traditional Arabic"/>
          <w:b/>
          <w:bCs/>
          <w:rtl/>
        </w:rPr>
        <w:t>التكامل بين الابتكار والكفاءة التشغيلية</w:t>
      </w:r>
    </w:p>
    <w:p w14:paraId="7F63A89F" w14:textId="281CD4A7" w:rsidR="00696069" w:rsidRPr="00696069" w:rsidRDefault="00A04F7F" w:rsidP="00696069">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696069" w:rsidRPr="00696069">
        <w:rPr>
          <w:rFonts w:ascii="Traditional Arabic" w:hAnsi="Traditional Arabic" w:cs="Traditional Arabic"/>
          <w:rtl/>
        </w:rPr>
        <w:t>من الخصائص الأساسية للبراعة التنظيمية قدرة المنظمة على تحقيق التكامل بين الابتكار المؤسسي والكفاءة التشغيلية. فالمؤسسات البارعة تنظيميًا لا تركز فقط على تطوير أفكار جديدة، بل تسعى أيضًا إلى تحسين كفاءة عملياتها الحالية. ويساعد هذا التكامل المؤسسات على تحقيق الأداء المتفوق والاستفادة من الابتكارات بطريقة تدعم تحقيق أهدافها الاستراتيجية</w:t>
      </w:r>
      <w:r w:rsidR="00696069" w:rsidRPr="00696069">
        <w:rPr>
          <w:rFonts w:ascii="Traditional Arabic" w:hAnsi="Traditional Arabic" w:cs="Traditional Arabic"/>
        </w:rPr>
        <w:t xml:space="preserve"> </w:t>
      </w:r>
      <w:r w:rsidR="00696069" w:rsidRPr="00696069">
        <w:rPr>
          <w:rFonts w:ascii="Traditional Arabic" w:hAnsi="Traditional Arabic" w:cs="Traditional Arabic"/>
          <w:sz w:val="22"/>
          <w:szCs w:val="22"/>
        </w:rPr>
        <w:t>(O’Reilly &amp; Tushman, 2016).</w:t>
      </w:r>
    </w:p>
    <w:p w14:paraId="2D48D632" w14:textId="48F44718" w:rsidR="00696069" w:rsidRPr="00696069" w:rsidRDefault="00A04F7F" w:rsidP="00696069">
      <w:pPr>
        <w:tabs>
          <w:tab w:val="left" w:pos="1368"/>
        </w:tabs>
        <w:bidi/>
        <w:spacing w:line="276" w:lineRule="auto"/>
        <w:jc w:val="both"/>
        <w:rPr>
          <w:rFonts w:ascii="Traditional Arabic" w:hAnsi="Traditional Arabic" w:cs="Traditional Arabic"/>
          <w:b/>
          <w:bCs/>
        </w:rPr>
      </w:pPr>
      <w:r>
        <w:rPr>
          <w:rFonts w:ascii="Traditional Arabic" w:hAnsi="Traditional Arabic" w:cs="Traditional Arabic" w:hint="cs"/>
          <w:b/>
          <w:bCs/>
          <w:rtl/>
        </w:rPr>
        <w:t>4.</w:t>
      </w:r>
      <w:r w:rsidR="00696069" w:rsidRPr="00696069">
        <w:rPr>
          <w:rFonts w:ascii="Traditional Arabic" w:hAnsi="Traditional Arabic" w:cs="Traditional Arabic"/>
          <w:b/>
          <w:bCs/>
          <w:rtl/>
        </w:rPr>
        <w:t>المرونة التنظيمية</w:t>
      </w:r>
    </w:p>
    <w:p w14:paraId="5E4E0E82" w14:textId="5816A0C0" w:rsidR="00696069" w:rsidRPr="00696069" w:rsidRDefault="00A04F7F" w:rsidP="00696069">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696069" w:rsidRPr="00696069">
        <w:rPr>
          <w:rFonts w:ascii="Traditional Arabic" w:hAnsi="Traditional Arabic" w:cs="Traditional Arabic"/>
          <w:rtl/>
        </w:rPr>
        <w:t xml:space="preserve">تتميز المؤسسات التي تمتلك البراعة التنظيمية بدرجة عالية من </w:t>
      </w:r>
      <w:r w:rsidR="00696069" w:rsidRPr="00696069">
        <w:rPr>
          <w:rFonts w:ascii="Traditional Arabic" w:hAnsi="Traditional Arabic" w:cs="Traditional Arabic"/>
          <w:b/>
          <w:bCs/>
          <w:rtl/>
        </w:rPr>
        <w:t>المرونة التنظيمية</w:t>
      </w:r>
      <w:r w:rsidR="00696069" w:rsidRPr="00696069">
        <w:rPr>
          <w:rFonts w:ascii="Traditional Arabic" w:hAnsi="Traditional Arabic" w:cs="Traditional Arabic"/>
          <w:rtl/>
        </w:rPr>
        <w:t>، حيث تكون قادرة على تعديل هياكلها التنظيمية وإجراءاتها الإدارية بما يتلاءم مع متطلبات البيئة المتغيرة. وتساعد هذه المرونة المؤسسات على الاستجابة بفعالية للتحديات التنظيمية وتحقيق التوازن بين متطلبات الاستقرار ومتطلبات التغيير</w:t>
      </w:r>
      <w:r w:rsidR="00696069" w:rsidRPr="00696069">
        <w:rPr>
          <w:rFonts w:ascii="Traditional Arabic" w:hAnsi="Traditional Arabic" w:cs="Traditional Arabic"/>
        </w:rPr>
        <w:t xml:space="preserve"> </w:t>
      </w:r>
      <w:r w:rsidR="00696069" w:rsidRPr="00696069">
        <w:rPr>
          <w:rFonts w:ascii="Traditional Arabic" w:hAnsi="Traditional Arabic" w:cs="Traditional Arabic"/>
          <w:sz w:val="22"/>
          <w:szCs w:val="22"/>
        </w:rPr>
        <w:t>(Raisch &amp; Birkinshaw, 2023).</w:t>
      </w:r>
    </w:p>
    <w:p w14:paraId="738F82F7" w14:textId="203DBB05" w:rsidR="00696069" w:rsidRPr="00696069" w:rsidRDefault="00A04F7F" w:rsidP="00696069">
      <w:pPr>
        <w:tabs>
          <w:tab w:val="left" w:pos="1368"/>
        </w:tabs>
        <w:bidi/>
        <w:spacing w:line="276" w:lineRule="auto"/>
        <w:jc w:val="both"/>
        <w:rPr>
          <w:rFonts w:ascii="Traditional Arabic" w:hAnsi="Traditional Arabic" w:cs="Traditional Arabic"/>
          <w:b/>
          <w:bCs/>
        </w:rPr>
      </w:pPr>
      <w:r>
        <w:rPr>
          <w:rFonts w:ascii="Traditional Arabic" w:hAnsi="Traditional Arabic" w:cs="Traditional Arabic" w:hint="cs"/>
          <w:b/>
          <w:bCs/>
          <w:rtl/>
        </w:rPr>
        <w:t>5.</w:t>
      </w:r>
      <w:r w:rsidR="00696069" w:rsidRPr="00696069">
        <w:rPr>
          <w:rFonts w:ascii="Traditional Arabic" w:hAnsi="Traditional Arabic" w:cs="Traditional Arabic"/>
          <w:b/>
          <w:bCs/>
          <w:rtl/>
        </w:rPr>
        <w:t>القيادة الداعمة للابتكار والتطوير</w:t>
      </w:r>
    </w:p>
    <w:p w14:paraId="63A03397" w14:textId="1FB105A8" w:rsidR="00696069" w:rsidRPr="00696069" w:rsidRDefault="00A04F7F" w:rsidP="00696069">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lastRenderedPageBreak/>
        <w:t xml:space="preserve">     </w:t>
      </w:r>
      <w:r w:rsidR="00696069" w:rsidRPr="00696069">
        <w:rPr>
          <w:rFonts w:ascii="Traditional Arabic" w:hAnsi="Traditional Arabic" w:cs="Traditional Arabic"/>
          <w:rtl/>
        </w:rPr>
        <w:t>تعد القيادة التنظيمية أحد العوامل المهمة التي تسهم في تعزيز البراعة التنظيمية داخل المؤسسات. حيث تلعب القيادة دورًا محوريًا في توجيه المنظمة نحو تحقيق التوازن بين الكفاءة التشغيلية والابتكار المؤسسي، من خلال دعم المبادرات الابتكارية وتشجيع العاملين على تطوير أفكار وأساليب عمل جديدة تسهم في تحسين الأداء المؤسسي</w:t>
      </w:r>
      <w:r w:rsidR="00696069" w:rsidRPr="00696069">
        <w:rPr>
          <w:rFonts w:ascii="Traditional Arabic" w:hAnsi="Traditional Arabic" w:cs="Traditional Arabic"/>
        </w:rPr>
        <w:t xml:space="preserve"> </w:t>
      </w:r>
      <w:r w:rsidR="00696069" w:rsidRPr="00696069">
        <w:rPr>
          <w:rFonts w:ascii="Traditional Arabic" w:hAnsi="Traditional Arabic" w:cs="Traditional Arabic"/>
          <w:sz w:val="22"/>
          <w:szCs w:val="22"/>
        </w:rPr>
        <w:t>(O’Reilly &amp; Tushman, 2016).</w:t>
      </w:r>
    </w:p>
    <w:p w14:paraId="13E81D6C" w14:textId="06D61AFF" w:rsidR="00696069" w:rsidRPr="00696069" w:rsidRDefault="00A04F7F" w:rsidP="00696069">
      <w:pPr>
        <w:tabs>
          <w:tab w:val="left" w:pos="1368"/>
        </w:tabs>
        <w:bidi/>
        <w:spacing w:line="276" w:lineRule="auto"/>
        <w:jc w:val="both"/>
        <w:rPr>
          <w:rFonts w:ascii="Traditional Arabic" w:hAnsi="Traditional Arabic" w:cs="Traditional Arabic"/>
          <w:b/>
          <w:bCs/>
        </w:rPr>
      </w:pPr>
      <w:r>
        <w:rPr>
          <w:rFonts w:ascii="Traditional Arabic" w:hAnsi="Traditional Arabic" w:cs="Traditional Arabic" w:hint="cs"/>
          <w:b/>
          <w:bCs/>
          <w:rtl/>
        </w:rPr>
        <w:t>6.</w:t>
      </w:r>
      <w:r w:rsidR="00696069" w:rsidRPr="00696069">
        <w:rPr>
          <w:rFonts w:ascii="Traditional Arabic" w:hAnsi="Traditional Arabic" w:cs="Traditional Arabic"/>
          <w:b/>
          <w:bCs/>
          <w:rtl/>
        </w:rPr>
        <w:t>التكامل المعرفي وتبادل المعرفة</w:t>
      </w:r>
    </w:p>
    <w:p w14:paraId="4ABD6B7C" w14:textId="76A38438" w:rsidR="00696069" w:rsidRPr="00696069" w:rsidRDefault="00A04F7F" w:rsidP="00696069">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696069" w:rsidRPr="00696069">
        <w:rPr>
          <w:rFonts w:ascii="Traditional Arabic" w:hAnsi="Traditional Arabic" w:cs="Traditional Arabic"/>
          <w:rtl/>
        </w:rPr>
        <w:t>تتميز المؤسسات البارعة تنظيميًا بقدرتها على إدارة المعرفة وتبادلها بين مختلف الوحدات التنظيمية، مما يسهم في تعزيز التعلم التنظيمي وتطوير القدرات المؤسسية. ويساعد التكامل المعرفي على نقل الخبرات والتجارب بين العاملين داخل المنظمة، الأمر الذي يسهم في تحسين عمليات اتخاذ القرار وتعزيز الابتكار المؤسسي</w:t>
      </w:r>
      <w:r w:rsidR="00696069" w:rsidRPr="00696069">
        <w:rPr>
          <w:rFonts w:ascii="Traditional Arabic" w:hAnsi="Traditional Arabic" w:cs="Traditional Arabic"/>
        </w:rPr>
        <w:t xml:space="preserve"> </w:t>
      </w:r>
      <w:r w:rsidR="00696069" w:rsidRPr="00696069">
        <w:rPr>
          <w:rFonts w:ascii="Traditional Arabic" w:hAnsi="Traditional Arabic" w:cs="Traditional Arabic"/>
          <w:sz w:val="22"/>
          <w:szCs w:val="22"/>
        </w:rPr>
        <w:t>(Gibson &amp; Birkinshaw, 2004).</w:t>
      </w:r>
    </w:p>
    <w:p w14:paraId="5FD1572D" w14:textId="7E16ACBF" w:rsidR="00696069" w:rsidRPr="00696069" w:rsidRDefault="00A04F7F" w:rsidP="00696069">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696069" w:rsidRPr="00696069">
        <w:rPr>
          <w:rFonts w:ascii="Traditional Arabic" w:hAnsi="Traditional Arabic" w:cs="Traditional Arabic"/>
          <w:rtl/>
        </w:rPr>
        <w:t>وبناءً على ما سبق، يمكن القول إن البراعة التنظيمية تمثل قدرة استراتيجية تمكن المؤسسات من تحقيق التوازن بين متطلبات الكفاءة التشغيلية ومتطلبات الابتكار والتجديد، من خلال مجموعة من الخصائص التنظيمية التي تساعدها على التكيف مع التغيرات البيئية وتحقيق الأداء المتفوق والاستدامة المؤسسية</w:t>
      </w:r>
      <w:r w:rsidR="00696069" w:rsidRPr="00696069">
        <w:rPr>
          <w:rFonts w:ascii="Traditional Arabic" w:hAnsi="Traditional Arabic" w:cs="Traditional Arabic"/>
        </w:rPr>
        <w:t>.</w:t>
      </w:r>
    </w:p>
    <w:p w14:paraId="6741FA7E" w14:textId="0D53073A" w:rsidR="003F4102" w:rsidRPr="003F4102" w:rsidRDefault="003F4102" w:rsidP="003F4102">
      <w:pPr>
        <w:tabs>
          <w:tab w:val="left" w:pos="1368"/>
        </w:tabs>
        <w:bidi/>
        <w:spacing w:line="276" w:lineRule="auto"/>
        <w:jc w:val="both"/>
        <w:rPr>
          <w:rFonts w:ascii="Traditional Arabic" w:hAnsi="Traditional Arabic" w:cs="Traditional Arabic"/>
          <w:b/>
          <w:bCs/>
        </w:rPr>
      </w:pPr>
      <w:r w:rsidRPr="003F4102">
        <w:rPr>
          <w:rFonts w:ascii="Traditional Arabic" w:hAnsi="Traditional Arabic" w:cs="Traditional Arabic"/>
          <w:b/>
          <w:bCs/>
          <w:rtl/>
        </w:rPr>
        <w:t>أبعاد البراعة التنظيمية</w:t>
      </w:r>
    </w:p>
    <w:p w14:paraId="69339900" w14:textId="1F2442FA" w:rsidR="003F4102" w:rsidRPr="003F4102" w:rsidRDefault="00874BBD" w:rsidP="003F4102">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3F4102" w:rsidRPr="003F4102">
        <w:rPr>
          <w:rFonts w:ascii="Traditional Arabic" w:hAnsi="Traditional Arabic" w:cs="Traditional Arabic"/>
          <w:rtl/>
        </w:rPr>
        <w:t xml:space="preserve">تناولت الأدبيات الإدارية مفهوم البراعة التنظيمية من خلال مجموعة من الأبعاد التي تفسر قدرة المؤسسات على تحقيق التوازن بين الاستكشاف والاستغلال في بيئات العمل المعاصرة. وقد اختلف الباحثون في تحديد هذه الأبعاد باختلاف السياقات التنظيمية ووجهات النظر النظرية، إلا أن معظم الدراسات تتفق على أن البراعة التنظيمية يمكن تحليلها من خلال مجموعة من الأبعاد التنظيمية التي تعكس الآليات التي تعتمد عليها المؤسسات لتحقيق هذا التوازن. ومن أبرز هذه الأبعاد </w:t>
      </w:r>
      <w:r w:rsidR="003F4102" w:rsidRPr="003F4102">
        <w:rPr>
          <w:rFonts w:ascii="Traditional Arabic" w:hAnsi="Traditional Arabic" w:cs="Traditional Arabic"/>
          <w:b/>
          <w:bCs/>
          <w:rtl/>
        </w:rPr>
        <w:t>البراعة الهيكلية، والبراعة السياقية، والبراعة القيادية</w:t>
      </w:r>
      <w:r w:rsidR="003F4102" w:rsidRPr="003F4102">
        <w:rPr>
          <w:rFonts w:ascii="Traditional Arabic" w:hAnsi="Traditional Arabic" w:cs="Traditional Arabic"/>
        </w:rPr>
        <w:t>.</w:t>
      </w:r>
    </w:p>
    <w:p w14:paraId="7B817E0C" w14:textId="6E7F0A6A" w:rsidR="003F4102" w:rsidRPr="003F4102" w:rsidRDefault="00874BBD" w:rsidP="003F4102">
      <w:pPr>
        <w:tabs>
          <w:tab w:val="left" w:pos="1368"/>
        </w:tabs>
        <w:bidi/>
        <w:spacing w:line="276" w:lineRule="auto"/>
        <w:jc w:val="both"/>
        <w:rPr>
          <w:rFonts w:ascii="Traditional Arabic" w:hAnsi="Traditional Arabic" w:cs="Traditional Arabic"/>
          <w:b/>
          <w:bCs/>
        </w:rPr>
      </w:pPr>
      <w:r>
        <w:rPr>
          <w:rFonts w:ascii="Traditional Arabic" w:hAnsi="Traditional Arabic" w:cs="Traditional Arabic" w:hint="cs"/>
          <w:b/>
          <w:bCs/>
          <w:rtl/>
        </w:rPr>
        <w:t>1.</w:t>
      </w:r>
      <w:r w:rsidR="003F4102" w:rsidRPr="003F4102">
        <w:rPr>
          <w:rFonts w:ascii="Traditional Arabic" w:hAnsi="Traditional Arabic" w:cs="Traditional Arabic"/>
          <w:b/>
          <w:bCs/>
          <w:rtl/>
        </w:rPr>
        <w:t>البراعة الهيكلية</w:t>
      </w:r>
      <w:r w:rsidR="003F4102" w:rsidRPr="003F4102">
        <w:rPr>
          <w:rFonts w:ascii="Traditional Arabic" w:hAnsi="Traditional Arabic" w:cs="Traditional Arabic"/>
          <w:b/>
          <w:bCs/>
        </w:rPr>
        <w:t xml:space="preserve"> </w:t>
      </w:r>
      <w:r w:rsidR="003F4102" w:rsidRPr="003F4102">
        <w:rPr>
          <w:rFonts w:ascii="Traditional Arabic" w:hAnsi="Traditional Arabic" w:cs="Traditional Arabic"/>
          <w:b/>
          <w:bCs/>
          <w:sz w:val="22"/>
          <w:szCs w:val="22"/>
        </w:rPr>
        <w:t>(Structural Ambidexterity)</w:t>
      </w:r>
      <w:r w:rsidRPr="00FF2497">
        <w:rPr>
          <w:rFonts w:ascii="Traditional Arabic" w:hAnsi="Traditional Arabic" w:cs="Traditional Arabic"/>
          <w:b/>
          <w:bCs/>
          <w:sz w:val="22"/>
          <w:szCs w:val="22"/>
        </w:rPr>
        <w:t xml:space="preserve"> </w:t>
      </w:r>
    </w:p>
    <w:p w14:paraId="31CD8586" w14:textId="4B1738F9" w:rsidR="003F4102" w:rsidRPr="003F4102" w:rsidRDefault="00874BBD" w:rsidP="003F4102">
      <w:pPr>
        <w:tabs>
          <w:tab w:val="left" w:pos="1368"/>
        </w:tabs>
        <w:bidi/>
        <w:spacing w:line="276" w:lineRule="auto"/>
        <w:jc w:val="both"/>
        <w:rPr>
          <w:rFonts w:ascii="Traditional Arabic" w:hAnsi="Traditional Arabic" w:cs="Traditional Arabic"/>
        </w:rPr>
      </w:pPr>
      <w:r>
        <w:rPr>
          <w:rFonts w:ascii="Traditional Arabic" w:hAnsi="Traditional Arabic" w:cs="Traditional Arabic"/>
        </w:rPr>
        <w:t xml:space="preserve">     </w:t>
      </w:r>
      <w:r w:rsidR="003F4102" w:rsidRPr="003F4102">
        <w:rPr>
          <w:rFonts w:ascii="Traditional Arabic" w:hAnsi="Traditional Arabic" w:cs="Traditional Arabic"/>
          <w:rtl/>
        </w:rPr>
        <w:t>تشير البراعة الهيكلية إلى قدرة المنظمة على تحقيق التوازن بين أنشطة الاستكشاف والاستغلال من خلال تصميم هياكل تنظيمية منفصلة لكل نوع من هذه الأنشطة، بحيث يتم تخصيص وحدات تنظيمية مستقلة للأنشطة الابتكارية، في حين تتولى وحدات أخرى إدارة العمليات التشغيلية الروتينية. ويهدف هذا الفصل الهيكلي إلى تمكين المنظمة من التركيز على الابتكار والتطوير في بعض الوحدات التنظيمية، مع الحفاظ على الكفاءة التشغيلية في وحدات أخرى</w:t>
      </w:r>
      <w:r w:rsidR="003F4102" w:rsidRPr="003F4102">
        <w:rPr>
          <w:rFonts w:ascii="Traditional Arabic" w:hAnsi="Traditional Arabic" w:cs="Traditional Arabic"/>
        </w:rPr>
        <w:t xml:space="preserve"> </w:t>
      </w:r>
      <w:r w:rsidR="003F4102" w:rsidRPr="003F4102">
        <w:rPr>
          <w:rFonts w:ascii="Traditional Arabic" w:hAnsi="Traditional Arabic" w:cs="Traditional Arabic"/>
          <w:sz w:val="22"/>
          <w:szCs w:val="22"/>
        </w:rPr>
        <w:t>(Tushman &amp; O’Reilly, 1996).</w:t>
      </w:r>
    </w:p>
    <w:p w14:paraId="34884690" w14:textId="564E195F" w:rsidR="003F4102" w:rsidRPr="003F4102" w:rsidRDefault="00874BBD" w:rsidP="003F4102">
      <w:pPr>
        <w:tabs>
          <w:tab w:val="left" w:pos="1368"/>
        </w:tabs>
        <w:bidi/>
        <w:spacing w:line="276" w:lineRule="auto"/>
        <w:jc w:val="both"/>
        <w:rPr>
          <w:rFonts w:ascii="Traditional Arabic" w:hAnsi="Traditional Arabic" w:cs="Traditional Arabic"/>
        </w:rPr>
      </w:pPr>
      <w:r>
        <w:rPr>
          <w:rFonts w:ascii="Traditional Arabic" w:hAnsi="Traditional Arabic" w:cs="Traditional Arabic"/>
        </w:rPr>
        <w:t xml:space="preserve">     </w:t>
      </w:r>
      <w:r w:rsidR="003F4102" w:rsidRPr="003F4102">
        <w:rPr>
          <w:rFonts w:ascii="Traditional Arabic" w:hAnsi="Traditional Arabic" w:cs="Traditional Arabic"/>
          <w:rtl/>
        </w:rPr>
        <w:t>وقد أشارت بعض الدراسات إلى أن هذا النوع من البراعة يسمح للمؤسسات بإدارة التوترات التنظيمية الناتجة عن التنافس بين متطلبات الابتكار ومتطلبات الكفاءة التشغيلية، حيث يتم توزيع هذه الأنشطة على وحدات تنظيمية مختلفة مع الحفاظ على التنسيق بينها على مستوى الإدارة العليا</w:t>
      </w:r>
      <w:r w:rsidR="003F4102" w:rsidRPr="003F4102">
        <w:rPr>
          <w:rFonts w:ascii="Traditional Arabic" w:hAnsi="Traditional Arabic" w:cs="Traditional Arabic"/>
        </w:rPr>
        <w:t xml:space="preserve"> </w:t>
      </w:r>
      <w:r w:rsidR="003F4102" w:rsidRPr="003F4102">
        <w:rPr>
          <w:rFonts w:ascii="Traditional Arabic" w:hAnsi="Traditional Arabic" w:cs="Traditional Arabic"/>
          <w:sz w:val="22"/>
          <w:szCs w:val="22"/>
        </w:rPr>
        <w:t>(O’Reilly &amp; Tushman, 2016).</w:t>
      </w:r>
    </w:p>
    <w:p w14:paraId="6B07D6D4" w14:textId="7641EA68" w:rsidR="003F4102" w:rsidRPr="003F4102" w:rsidRDefault="00874BBD" w:rsidP="003F4102">
      <w:pPr>
        <w:tabs>
          <w:tab w:val="left" w:pos="1368"/>
        </w:tabs>
        <w:bidi/>
        <w:spacing w:line="276" w:lineRule="auto"/>
        <w:jc w:val="both"/>
        <w:rPr>
          <w:rFonts w:ascii="Traditional Arabic" w:hAnsi="Traditional Arabic" w:cs="Traditional Arabic"/>
        </w:rPr>
      </w:pPr>
      <w:r>
        <w:rPr>
          <w:rFonts w:ascii="Traditional Arabic" w:hAnsi="Traditional Arabic" w:cs="Traditional Arabic"/>
        </w:rPr>
        <w:t xml:space="preserve">     </w:t>
      </w:r>
      <w:r w:rsidR="003F4102" w:rsidRPr="003F4102">
        <w:rPr>
          <w:rFonts w:ascii="Traditional Arabic" w:hAnsi="Traditional Arabic" w:cs="Traditional Arabic"/>
          <w:rtl/>
        </w:rPr>
        <w:t>كما تساعد البراعة الهيكلية المؤسسات على تطوير بيئة تنظيمية تدعم الابتكار دون التأثير سلبًا على استقرار العمليات التشغيلية، الأمر الذي يسهم في تحقيق التوازن بين الاستقرار والتجديد داخل المنظمة</w:t>
      </w:r>
      <w:r w:rsidR="003F4102" w:rsidRPr="003F4102">
        <w:rPr>
          <w:rFonts w:ascii="Traditional Arabic" w:hAnsi="Traditional Arabic" w:cs="Traditional Arabic"/>
        </w:rPr>
        <w:t>.</w:t>
      </w:r>
    </w:p>
    <w:p w14:paraId="26C97F06" w14:textId="47FF8B3A" w:rsidR="003F4102" w:rsidRPr="003F4102" w:rsidRDefault="00874BBD" w:rsidP="003F4102">
      <w:pPr>
        <w:tabs>
          <w:tab w:val="left" w:pos="1368"/>
        </w:tabs>
        <w:bidi/>
        <w:spacing w:line="276" w:lineRule="auto"/>
        <w:jc w:val="both"/>
        <w:rPr>
          <w:rFonts w:ascii="Traditional Arabic" w:hAnsi="Traditional Arabic" w:cs="Traditional Arabic"/>
          <w:b/>
          <w:bCs/>
          <w:sz w:val="22"/>
          <w:szCs w:val="22"/>
        </w:rPr>
      </w:pPr>
      <w:r>
        <w:rPr>
          <w:rFonts w:ascii="Traditional Arabic" w:hAnsi="Traditional Arabic" w:cs="Traditional Arabic"/>
          <w:b/>
          <w:bCs/>
        </w:rPr>
        <w:t>2</w:t>
      </w:r>
      <w:r>
        <w:rPr>
          <w:rFonts w:ascii="Traditional Arabic" w:hAnsi="Traditional Arabic" w:cs="Traditional Arabic" w:hint="cs"/>
          <w:b/>
          <w:bCs/>
          <w:rtl/>
        </w:rPr>
        <w:t>.</w:t>
      </w:r>
      <w:r w:rsidR="003F4102" w:rsidRPr="003F4102">
        <w:rPr>
          <w:rFonts w:ascii="Traditional Arabic" w:hAnsi="Traditional Arabic" w:cs="Traditional Arabic"/>
          <w:b/>
          <w:bCs/>
        </w:rPr>
        <w:t xml:space="preserve"> </w:t>
      </w:r>
      <w:r w:rsidR="003F4102" w:rsidRPr="003F4102">
        <w:rPr>
          <w:rFonts w:ascii="Traditional Arabic" w:hAnsi="Traditional Arabic" w:cs="Traditional Arabic"/>
          <w:b/>
          <w:bCs/>
          <w:rtl/>
        </w:rPr>
        <w:t xml:space="preserve">البراعة </w:t>
      </w:r>
      <w:proofErr w:type="gramStart"/>
      <w:r w:rsidR="003F4102" w:rsidRPr="003F4102">
        <w:rPr>
          <w:rFonts w:ascii="Traditional Arabic" w:hAnsi="Traditional Arabic" w:cs="Traditional Arabic"/>
          <w:b/>
          <w:bCs/>
          <w:rtl/>
        </w:rPr>
        <w:t>السياقية</w:t>
      </w:r>
      <w:r>
        <w:rPr>
          <w:rFonts w:ascii="Traditional Arabic" w:hAnsi="Traditional Arabic" w:cs="Traditional Arabic" w:hint="cs"/>
          <w:b/>
          <w:bCs/>
          <w:rtl/>
        </w:rPr>
        <w:t xml:space="preserve"> </w:t>
      </w:r>
      <w:r w:rsidR="003F4102" w:rsidRPr="003F4102">
        <w:rPr>
          <w:rFonts w:ascii="Traditional Arabic" w:hAnsi="Traditional Arabic" w:cs="Traditional Arabic"/>
          <w:b/>
          <w:bCs/>
          <w:sz w:val="22"/>
          <w:szCs w:val="22"/>
        </w:rPr>
        <w:t xml:space="preserve"> (</w:t>
      </w:r>
      <w:proofErr w:type="gramEnd"/>
      <w:r w:rsidR="003F4102" w:rsidRPr="003F4102">
        <w:rPr>
          <w:rFonts w:ascii="Traditional Arabic" w:hAnsi="Traditional Arabic" w:cs="Traditional Arabic"/>
          <w:b/>
          <w:bCs/>
          <w:sz w:val="22"/>
          <w:szCs w:val="22"/>
        </w:rPr>
        <w:t>Contextual Ambidexterity)</w:t>
      </w:r>
    </w:p>
    <w:p w14:paraId="1B1AD456" w14:textId="49E4044F" w:rsidR="003F4102" w:rsidRPr="003F4102" w:rsidRDefault="00874BBD" w:rsidP="003F4102">
      <w:pPr>
        <w:tabs>
          <w:tab w:val="left" w:pos="1368"/>
        </w:tabs>
        <w:bidi/>
        <w:spacing w:line="276" w:lineRule="auto"/>
        <w:jc w:val="both"/>
        <w:rPr>
          <w:rFonts w:ascii="Traditional Arabic" w:hAnsi="Traditional Arabic" w:cs="Traditional Arabic"/>
        </w:rPr>
      </w:pPr>
      <w:r w:rsidRPr="00EF1904">
        <w:rPr>
          <w:rFonts w:ascii="Traditional Arabic" w:hAnsi="Traditional Arabic" w:cs="Traditional Arabic" w:hint="cs"/>
          <w:rtl/>
        </w:rPr>
        <w:lastRenderedPageBreak/>
        <w:t xml:space="preserve">     </w:t>
      </w:r>
      <w:r w:rsidR="003F4102" w:rsidRPr="003F4102">
        <w:rPr>
          <w:rFonts w:ascii="Traditional Arabic" w:hAnsi="Traditional Arabic" w:cs="Traditional Arabic"/>
          <w:rtl/>
        </w:rPr>
        <w:t>تشير البراعة السياقية إلى قدرة المنظمة على تمكين الأفراد داخلها من تحقيق التوازن بين أنشطة الاستكشاف والاستغلال في إطار بيئة تنظيمية داعمة تشجع الابتكار والانضباط التشغيلي في الوقت ذاته. ويعتمد هذا النوع من البراعة على الثقافة التنظيمية ونظم الإدارة التي تحفز العاملين على الجمع بين الابتكار وتحسين الأداء التشغيلي ضمن نفس الوحدة التنظيمية</w:t>
      </w:r>
      <w:r w:rsidR="003F4102" w:rsidRPr="003F4102">
        <w:rPr>
          <w:rFonts w:ascii="Traditional Arabic" w:hAnsi="Traditional Arabic" w:cs="Traditional Arabic"/>
        </w:rPr>
        <w:t xml:space="preserve"> </w:t>
      </w:r>
      <w:r w:rsidR="003F4102" w:rsidRPr="003F4102">
        <w:rPr>
          <w:rFonts w:ascii="Traditional Arabic" w:hAnsi="Traditional Arabic" w:cs="Traditional Arabic"/>
          <w:sz w:val="22"/>
          <w:szCs w:val="22"/>
        </w:rPr>
        <w:t>(Gibson &amp; Birkinshaw, 2004).</w:t>
      </w:r>
    </w:p>
    <w:p w14:paraId="6F50A1D5" w14:textId="7459EEA7" w:rsidR="003F4102" w:rsidRPr="003F4102" w:rsidRDefault="00874BBD" w:rsidP="003F4102">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3F4102" w:rsidRPr="003F4102">
        <w:rPr>
          <w:rFonts w:ascii="Traditional Arabic" w:hAnsi="Traditional Arabic" w:cs="Traditional Arabic"/>
          <w:rtl/>
        </w:rPr>
        <w:t>وفي هذا السياق، تلعب الثقافة التنظيمية دورًا مهمًا في تعزيز البراعة السياقية، حيث تساعد القيم التنظيمية التي تشجع التعلم والمبادرة وتبادل المعرفة على تمكين العاملين من تطوير أفكار جديدة وفي الوقت ذاته تحسين كفاءة العمليات التنظيمية</w:t>
      </w:r>
      <w:r w:rsidR="003F4102" w:rsidRPr="003F4102">
        <w:rPr>
          <w:rFonts w:ascii="Traditional Arabic" w:hAnsi="Traditional Arabic" w:cs="Traditional Arabic"/>
        </w:rPr>
        <w:t>.</w:t>
      </w:r>
    </w:p>
    <w:p w14:paraId="035D6A3C" w14:textId="1F435A7C" w:rsidR="003F4102" w:rsidRPr="003F4102" w:rsidRDefault="00874BBD" w:rsidP="003F4102">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3F4102" w:rsidRPr="003F4102">
        <w:rPr>
          <w:rFonts w:ascii="Traditional Arabic" w:hAnsi="Traditional Arabic" w:cs="Traditional Arabic"/>
          <w:rtl/>
        </w:rPr>
        <w:t>كما تشير بعض الدراسات إلى أن البراعة السياقية تعتمد على توفير بيئة تنظيمية تتسم بالثقة والتعاون والمرونة، حيث يتم تشجيع العاملين على تحمل المسؤولية والمبادرة في تطوير أساليب العمل بما يسهم في تحقيق التوازن بين الابتكار والكفاءة التشغيلية</w:t>
      </w:r>
      <w:r w:rsidR="003F4102" w:rsidRPr="003F4102">
        <w:rPr>
          <w:rFonts w:ascii="Traditional Arabic" w:hAnsi="Traditional Arabic" w:cs="Traditional Arabic"/>
        </w:rPr>
        <w:t xml:space="preserve"> </w:t>
      </w:r>
      <w:r w:rsidR="003F4102" w:rsidRPr="003F4102">
        <w:rPr>
          <w:rFonts w:ascii="Traditional Arabic" w:hAnsi="Traditional Arabic" w:cs="Traditional Arabic"/>
          <w:sz w:val="22"/>
          <w:szCs w:val="22"/>
        </w:rPr>
        <w:t>(Papachroni, Heracleous, &amp; Paroutis, 2022).</w:t>
      </w:r>
    </w:p>
    <w:p w14:paraId="31C12B08" w14:textId="4D04B0CD" w:rsidR="003F4102" w:rsidRPr="003F4102" w:rsidRDefault="00874BBD" w:rsidP="003F4102">
      <w:pPr>
        <w:tabs>
          <w:tab w:val="left" w:pos="1368"/>
        </w:tabs>
        <w:bidi/>
        <w:spacing w:line="276" w:lineRule="auto"/>
        <w:jc w:val="both"/>
        <w:rPr>
          <w:rFonts w:ascii="Traditional Arabic" w:hAnsi="Traditional Arabic" w:cs="Traditional Arabic"/>
          <w:b/>
          <w:bCs/>
        </w:rPr>
      </w:pPr>
      <w:r>
        <w:rPr>
          <w:rFonts w:ascii="Traditional Arabic" w:hAnsi="Traditional Arabic" w:cs="Traditional Arabic" w:hint="cs"/>
          <w:b/>
          <w:bCs/>
          <w:rtl/>
        </w:rPr>
        <w:t>3.</w:t>
      </w:r>
      <w:r w:rsidR="003F4102" w:rsidRPr="003F4102">
        <w:rPr>
          <w:rFonts w:ascii="Traditional Arabic" w:hAnsi="Traditional Arabic" w:cs="Traditional Arabic"/>
          <w:b/>
          <w:bCs/>
        </w:rPr>
        <w:t xml:space="preserve"> </w:t>
      </w:r>
      <w:r w:rsidR="003F4102" w:rsidRPr="003F4102">
        <w:rPr>
          <w:rFonts w:ascii="Traditional Arabic" w:hAnsi="Traditional Arabic" w:cs="Traditional Arabic"/>
          <w:b/>
          <w:bCs/>
          <w:rtl/>
        </w:rPr>
        <w:t>البراعة القيادية</w:t>
      </w:r>
      <w:r>
        <w:rPr>
          <w:rFonts w:ascii="Traditional Arabic" w:hAnsi="Traditional Arabic" w:cs="Traditional Arabic" w:hint="cs"/>
          <w:b/>
          <w:bCs/>
          <w:rtl/>
        </w:rPr>
        <w:t xml:space="preserve"> </w:t>
      </w:r>
      <w:r w:rsidR="003F4102" w:rsidRPr="003F4102">
        <w:rPr>
          <w:rFonts w:ascii="Traditional Arabic" w:hAnsi="Traditional Arabic" w:cs="Traditional Arabic"/>
          <w:b/>
          <w:bCs/>
          <w:sz w:val="22"/>
          <w:szCs w:val="22"/>
        </w:rPr>
        <w:t xml:space="preserve"> (Leadership Ambidexterity)</w:t>
      </w:r>
    </w:p>
    <w:p w14:paraId="5A9CA453" w14:textId="0239B1D4" w:rsidR="003F4102" w:rsidRPr="003F4102" w:rsidRDefault="00874BBD" w:rsidP="003F4102">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3F4102" w:rsidRPr="003F4102">
        <w:rPr>
          <w:rFonts w:ascii="Traditional Arabic" w:hAnsi="Traditional Arabic" w:cs="Traditional Arabic"/>
          <w:rtl/>
        </w:rPr>
        <w:t>تشير البراعة القيادية إلى قدرة القيادات التنظيمية على توجيه المنظمة نحو تحقيق التوازن بين الاستكشاف والاستغلال من خلال تبني أساليب قيادية تدعم الابتكار والتجديد وفي الوقت ذاته تحافظ على استقرار العمليات التنظيمية. وتلعب القيادة دورًا حاسمًا في تعزيز البراعة التنظيمية من خلال صياغة الرؤية الاستراتيجية للمنظمة وتوجيه الموارد التنظيمية نحو تحقيق التوازن بين الكفاءة التشغيلية والابتكار المؤسسي</w:t>
      </w:r>
      <w:r w:rsidR="003F4102" w:rsidRPr="003F4102">
        <w:rPr>
          <w:rFonts w:ascii="Traditional Arabic" w:hAnsi="Traditional Arabic" w:cs="Traditional Arabic"/>
        </w:rPr>
        <w:t>.</w:t>
      </w:r>
    </w:p>
    <w:p w14:paraId="4658FCDD" w14:textId="41EA3083" w:rsidR="003F4102" w:rsidRPr="003F4102" w:rsidRDefault="00874BBD" w:rsidP="003F4102">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3F4102" w:rsidRPr="003F4102">
        <w:rPr>
          <w:rFonts w:ascii="Traditional Arabic" w:hAnsi="Traditional Arabic" w:cs="Traditional Arabic"/>
          <w:rtl/>
        </w:rPr>
        <w:t>وقد أكدت العديد من الدراسات أن القيادة التنظيمية تمثل أحد العوامل الأساسية التي تسهم في تحقيق البراعة التنظيمية، حيث تعمل القيادات الفاعلة على خلق بيئة تنظيمية تدعم التعلم المستمر وتشجع العاملين على الابتكار والمبادرة، مع الحفاظ في الوقت ذاته على الانضباط التنظيمي وتحقيق الأهداف الاستراتيجية للمنظمة</w:t>
      </w:r>
      <w:r w:rsidR="003F4102" w:rsidRPr="003F4102">
        <w:rPr>
          <w:rFonts w:ascii="Traditional Arabic" w:hAnsi="Traditional Arabic" w:cs="Traditional Arabic"/>
          <w:sz w:val="22"/>
          <w:szCs w:val="22"/>
        </w:rPr>
        <w:t xml:space="preserve"> (Raisch &amp; Birkinshaw, 2023).</w:t>
      </w:r>
    </w:p>
    <w:p w14:paraId="5EE975A9" w14:textId="7E41B0D0" w:rsidR="003F4102" w:rsidRPr="003F4102" w:rsidRDefault="00874BBD" w:rsidP="003F4102">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3F4102" w:rsidRPr="003F4102">
        <w:rPr>
          <w:rFonts w:ascii="Traditional Arabic" w:hAnsi="Traditional Arabic" w:cs="Traditional Arabic"/>
          <w:rtl/>
        </w:rPr>
        <w:t>كما تسهم القيادة البارعة في إدارة التوترات التنظيمية التي قد تنشأ بين متطلبات الاستقرار ومتطلبات التغيير، وذلك من خلال تطوير استراتيجيات تنظيمية مرنة تسمح للمؤسسات بالتكيف مع التغيرات البيئية وتحقيق الأداء المتفوق على المدى الطويل</w:t>
      </w:r>
      <w:r w:rsidR="003F4102" w:rsidRPr="003F4102">
        <w:rPr>
          <w:rFonts w:ascii="Traditional Arabic" w:hAnsi="Traditional Arabic" w:cs="Traditional Arabic"/>
        </w:rPr>
        <w:t>.</w:t>
      </w:r>
    </w:p>
    <w:p w14:paraId="084D50AB" w14:textId="6BC62F2B" w:rsidR="004A6C10" w:rsidRPr="004A6C10" w:rsidRDefault="00874BBD" w:rsidP="00000AF4">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3F4102" w:rsidRPr="003F4102">
        <w:rPr>
          <w:rFonts w:ascii="Traditional Arabic" w:hAnsi="Traditional Arabic" w:cs="Traditional Arabic"/>
          <w:rtl/>
        </w:rPr>
        <w:t>وبناءً على ما سبق، يمكن القول إن أبعاد البراعة التنظيمية تمثل مجموعة من الآليات التنظيمية والإدارية التي تمكن المؤسسات من تحقيق التوازن بين الكفاءة التشغيلية والابتكار المستمر. حيث تسهم البراعة الهيكلية في تنظيم الأنشطة الاستكشافية والاستغلالية من خلال الهياكل التنظيمية، بينما تعمل البراعة السياقية على تمكين الأفراد من تحقيق هذا التوازن داخل بيئة تنظيمية داعمة، في حين تلعب البراعة القيادية دورًا محوريًا في توجيه المنظمة نحو تحقيق هذا التوازن الاستراتيجي</w:t>
      </w:r>
      <w:r w:rsidR="003F4102" w:rsidRPr="003F4102">
        <w:rPr>
          <w:rFonts w:ascii="Traditional Arabic" w:hAnsi="Traditional Arabic" w:cs="Traditional Arabic"/>
        </w:rPr>
        <w:t>.</w:t>
      </w:r>
    </w:p>
    <w:p w14:paraId="191C5F67" w14:textId="65A47292" w:rsidR="004A6C10" w:rsidRPr="004A6C10" w:rsidRDefault="00BE2521" w:rsidP="004A6C10">
      <w:pPr>
        <w:tabs>
          <w:tab w:val="left" w:pos="1368"/>
        </w:tabs>
        <w:bidi/>
        <w:spacing w:line="276" w:lineRule="auto"/>
        <w:jc w:val="both"/>
        <w:rPr>
          <w:rFonts w:ascii="Traditional Arabic" w:hAnsi="Traditional Arabic" w:cs="Traditional Arabic"/>
          <w:b/>
          <w:bCs/>
        </w:rPr>
      </w:pPr>
      <w:r>
        <w:rPr>
          <w:rFonts w:ascii="Traditional Arabic" w:hAnsi="Traditional Arabic" w:cs="Traditional Arabic" w:hint="cs"/>
          <w:b/>
          <w:bCs/>
          <w:rtl/>
        </w:rPr>
        <w:t xml:space="preserve">ثانيًا: </w:t>
      </w:r>
      <w:r w:rsidR="004A6C10" w:rsidRPr="004A6C10">
        <w:rPr>
          <w:rFonts w:ascii="Traditional Arabic" w:hAnsi="Traditional Arabic" w:cs="Traditional Arabic"/>
          <w:b/>
          <w:bCs/>
          <w:rtl/>
        </w:rPr>
        <w:t>التميز المؤسسي</w:t>
      </w:r>
      <w:r w:rsidR="00000AF4">
        <w:rPr>
          <w:rFonts w:ascii="Traditional Arabic" w:hAnsi="Traditional Arabic" w:cs="Traditional Arabic" w:hint="cs"/>
          <w:b/>
          <w:bCs/>
          <w:rtl/>
        </w:rPr>
        <w:t xml:space="preserve"> </w:t>
      </w:r>
      <w:r w:rsidR="004A6C10" w:rsidRPr="004A6C10">
        <w:rPr>
          <w:rFonts w:ascii="Traditional Arabic" w:hAnsi="Traditional Arabic" w:cs="Traditional Arabic"/>
          <w:b/>
          <w:bCs/>
        </w:rPr>
        <w:t xml:space="preserve"> </w:t>
      </w:r>
      <w:r w:rsidR="004A6C10" w:rsidRPr="004A6C10">
        <w:rPr>
          <w:rFonts w:ascii="Traditional Arabic" w:hAnsi="Traditional Arabic" w:cs="Traditional Arabic"/>
          <w:b/>
          <w:bCs/>
          <w:sz w:val="22"/>
          <w:szCs w:val="22"/>
        </w:rPr>
        <w:t>(Organizational Excellence)</w:t>
      </w:r>
    </w:p>
    <w:p w14:paraId="7084BD7E" w14:textId="65A67B44" w:rsidR="004A6C10" w:rsidRPr="004A6C10" w:rsidRDefault="004A6C10" w:rsidP="004A6C10">
      <w:pPr>
        <w:tabs>
          <w:tab w:val="left" w:pos="1368"/>
        </w:tabs>
        <w:bidi/>
        <w:spacing w:line="276" w:lineRule="auto"/>
        <w:jc w:val="both"/>
        <w:rPr>
          <w:rFonts w:ascii="Traditional Arabic" w:hAnsi="Traditional Arabic" w:cs="Traditional Arabic"/>
          <w:b/>
          <w:bCs/>
        </w:rPr>
      </w:pPr>
      <w:r w:rsidRPr="004A6C10">
        <w:rPr>
          <w:rFonts w:ascii="Traditional Arabic" w:hAnsi="Traditional Arabic" w:cs="Traditional Arabic"/>
          <w:b/>
          <w:bCs/>
          <w:rtl/>
        </w:rPr>
        <w:t>مفهوم التميز المؤسسي</w:t>
      </w:r>
    </w:p>
    <w:p w14:paraId="2F668B20" w14:textId="5E00830E" w:rsidR="004A6C10" w:rsidRPr="004A6C10" w:rsidRDefault="00000AF4" w:rsidP="004A6C10">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4A6C10" w:rsidRPr="004A6C10">
        <w:rPr>
          <w:rFonts w:ascii="Traditional Arabic" w:hAnsi="Traditional Arabic" w:cs="Traditional Arabic"/>
          <w:rtl/>
        </w:rPr>
        <w:t>يُعد التميز المؤسسي من المفاهيم الحديثة التي حظيت باهتمام متزايد في الأدبيات الإدارية المعاصرة، وذلك في ظل التحديات المتزايدة التي تواجه المؤسسات في بيئات العمل الحديثة. فقد أصبحت المؤسسات مطالبة بتحقيق مستويات عالية من الكفاءة والجودة في أدائها، إضافة إلى قدرتها على الابتكار والتكيف مع التغيرات البيئية المتسارعة. وفي هذا السياق برز مفهوم التميز المؤسسي بوصفه أحد الأطر الإدارية التي تسعى إلى تحقيق الأداء المتفوق والاستدامة التنظيمية</w:t>
      </w:r>
      <w:r w:rsidR="004A6C10" w:rsidRPr="004A6C10">
        <w:rPr>
          <w:rFonts w:ascii="Traditional Arabic" w:hAnsi="Traditional Arabic" w:cs="Traditional Arabic"/>
        </w:rPr>
        <w:t>.</w:t>
      </w:r>
    </w:p>
    <w:p w14:paraId="0BF42A50" w14:textId="1A51758A" w:rsidR="004A6C10" w:rsidRPr="004A6C10" w:rsidRDefault="00000AF4" w:rsidP="004A6C10">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lastRenderedPageBreak/>
        <w:t xml:space="preserve">     </w:t>
      </w:r>
      <w:r w:rsidR="004A6C10" w:rsidRPr="004A6C10">
        <w:rPr>
          <w:rFonts w:ascii="Traditional Arabic" w:hAnsi="Traditional Arabic" w:cs="Traditional Arabic"/>
          <w:rtl/>
        </w:rPr>
        <w:t>ويشير التميز المؤسسي بشكل عام إلى قدرة المؤسسة على تحقيق مستويات عالية من الأداء من خلال تطبيق أفضل الممارسات الإدارية والتنظيمية التي تمكنها من تحقيق أهدافها الاستراتيجية بكفاءة وفعالية. كما يعكس التميز المؤسسي قدرة المنظمة على تحقيق التفوق في مختلف جوانب عملها، بما في ذلك القيادة، وإدارة الموارد البشرية، وإدارة العمليات، وجودة الخدمات المقدمة لأصحاب المصلحة</w:t>
      </w:r>
      <w:r w:rsidR="004A6C10" w:rsidRPr="004A6C10">
        <w:rPr>
          <w:rFonts w:ascii="Traditional Arabic" w:hAnsi="Traditional Arabic" w:cs="Traditional Arabic"/>
        </w:rPr>
        <w:t xml:space="preserve"> </w:t>
      </w:r>
      <w:r w:rsidR="004A6C10" w:rsidRPr="004A6C10">
        <w:rPr>
          <w:rFonts w:ascii="Traditional Arabic" w:hAnsi="Traditional Arabic" w:cs="Traditional Arabic"/>
          <w:sz w:val="22"/>
          <w:szCs w:val="22"/>
        </w:rPr>
        <w:t>(Dahlgaard-Park, 2021).</w:t>
      </w:r>
    </w:p>
    <w:p w14:paraId="3107F0D1" w14:textId="00EF34B7" w:rsidR="004A6C10" w:rsidRPr="004A6C10" w:rsidRDefault="00000AF4" w:rsidP="004A6C10">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4A6C10" w:rsidRPr="004A6C10">
        <w:rPr>
          <w:rFonts w:ascii="Traditional Arabic" w:hAnsi="Traditional Arabic" w:cs="Traditional Arabic"/>
          <w:rtl/>
        </w:rPr>
        <w:t>وقد عرّف التميز المؤسسي بأنه منهج إداري شامل يهدف إلى تحسين أداء المؤسسات من خلال تبني ممارسات تنظيمية متقدمة تركز على تحقيق الجودة الشاملة، وتعزيز الابتكار المؤسسي، وتحقيق رضا أصحاب المصلحة، بما يسهم في تحقيق الأداء المتفوق والاستدامة التنظيمية</w:t>
      </w:r>
      <w:r w:rsidR="004A6C10" w:rsidRPr="004A6C10">
        <w:rPr>
          <w:rFonts w:ascii="Traditional Arabic" w:hAnsi="Traditional Arabic" w:cs="Traditional Arabic"/>
        </w:rPr>
        <w:t xml:space="preserve"> </w:t>
      </w:r>
      <w:r w:rsidR="004A6C10" w:rsidRPr="004A6C10">
        <w:rPr>
          <w:rFonts w:ascii="Traditional Arabic" w:hAnsi="Traditional Arabic" w:cs="Traditional Arabic"/>
          <w:sz w:val="22"/>
          <w:szCs w:val="22"/>
        </w:rPr>
        <w:t>(Talwar, 2020).</w:t>
      </w:r>
    </w:p>
    <w:p w14:paraId="18AE4CC8" w14:textId="7CABDBBF" w:rsidR="004A6C10" w:rsidRPr="004A6C10" w:rsidRDefault="00000AF4" w:rsidP="004A6C10">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4A6C10" w:rsidRPr="004A6C10">
        <w:rPr>
          <w:rFonts w:ascii="Traditional Arabic" w:hAnsi="Traditional Arabic" w:cs="Traditional Arabic"/>
          <w:rtl/>
        </w:rPr>
        <w:t>كما يشير بعض الباحثين إلى أن التميز المؤسسي يمثل قدرة المنظمة على تحقيق نتائج متفوقة ومستدامة من خلال تطوير قدراتها التنظيمية وتوظيف مواردها بكفاءة، إضافة إلى قدرتها على الاستجابة بفعالية للتغيرات في البيئة الخارجية</w:t>
      </w:r>
      <w:r w:rsidR="004A6C10" w:rsidRPr="004A6C10">
        <w:rPr>
          <w:rFonts w:ascii="Traditional Arabic" w:hAnsi="Traditional Arabic" w:cs="Traditional Arabic"/>
        </w:rPr>
        <w:t xml:space="preserve"> </w:t>
      </w:r>
      <w:r w:rsidR="004A6C10" w:rsidRPr="004A6C10">
        <w:rPr>
          <w:rFonts w:ascii="Traditional Arabic" w:hAnsi="Traditional Arabic" w:cs="Traditional Arabic"/>
          <w:sz w:val="22"/>
          <w:szCs w:val="22"/>
        </w:rPr>
        <w:t>(Dahlgaard-Park, 2021).</w:t>
      </w:r>
    </w:p>
    <w:p w14:paraId="71C459BD" w14:textId="5D89AD73" w:rsidR="004A6C10" w:rsidRPr="004A6C10" w:rsidRDefault="00000AF4" w:rsidP="004A6C10">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4A6C10" w:rsidRPr="004A6C10">
        <w:rPr>
          <w:rFonts w:ascii="Traditional Arabic" w:hAnsi="Traditional Arabic" w:cs="Traditional Arabic"/>
          <w:rtl/>
        </w:rPr>
        <w:t>وفي إطار النماذج الحديثة للتميز المؤسسي، يشير نموذج المؤسسة الأوروبية لإدارة الجودة</w:t>
      </w:r>
      <w:r w:rsidR="004A6C10" w:rsidRPr="004A6C10">
        <w:rPr>
          <w:rFonts w:ascii="Traditional Arabic" w:hAnsi="Traditional Arabic" w:cs="Traditional Arabic"/>
        </w:rPr>
        <w:t xml:space="preserve"> </w:t>
      </w:r>
      <w:r w:rsidR="004A6C10" w:rsidRPr="004A6C10">
        <w:rPr>
          <w:rFonts w:ascii="Traditional Arabic" w:hAnsi="Traditional Arabic" w:cs="Traditional Arabic"/>
          <w:sz w:val="22"/>
          <w:szCs w:val="22"/>
        </w:rPr>
        <w:t xml:space="preserve">(EFQM) </w:t>
      </w:r>
      <w:r w:rsidR="004A6C10" w:rsidRPr="004A6C10">
        <w:rPr>
          <w:rFonts w:ascii="Traditional Arabic" w:hAnsi="Traditional Arabic" w:cs="Traditional Arabic"/>
          <w:rtl/>
        </w:rPr>
        <w:t>إلى أن التميز المؤسسي يتمثل في قدرة المؤسسات على تحقيق أداء متميز ومستدام من خلال تبني ممارسات إدارية متكاملة تركز على القيادة الفاعلة، وإدارة الاستراتيجية، وتنمية الموارد البشرية، وتحسين العمليات التنظيمية، إضافة إلى تحقيق نتائج إيجابية لأصحاب المصلحة</w:t>
      </w:r>
      <w:r w:rsidR="004A6C10" w:rsidRPr="004A6C10">
        <w:rPr>
          <w:rFonts w:ascii="Traditional Arabic" w:hAnsi="Traditional Arabic" w:cs="Traditional Arabic"/>
        </w:rPr>
        <w:t xml:space="preserve"> </w:t>
      </w:r>
      <w:r w:rsidR="004A6C10" w:rsidRPr="004A6C10">
        <w:rPr>
          <w:rFonts w:ascii="Traditional Arabic" w:hAnsi="Traditional Arabic" w:cs="Traditional Arabic"/>
          <w:sz w:val="22"/>
          <w:szCs w:val="22"/>
        </w:rPr>
        <w:t>(EFQM, 2020).</w:t>
      </w:r>
    </w:p>
    <w:p w14:paraId="14B393A3" w14:textId="5628334A" w:rsidR="004A6C10" w:rsidRPr="004A6C10" w:rsidRDefault="00000AF4" w:rsidP="004A6C10">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4A6C10" w:rsidRPr="004A6C10">
        <w:rPr>
          <w:rFonts w:ascii="Traditional Arabic" w:hAnsi="Traditional Arabic" w:cs="Traditional Arabic"/>
          <w:rtl/>
        </w:rPr>
        <w:t>كما يؤكد بعض الباحثين أن التميز المؤسسي لا يقتصر على تحقيق نتائج متميزة في الوقت الحاضر، بل يمتد ليشمل قدرة المؤسسة على تحقيق الأداء المتفوق على المدى الطويل من خلال تطوير قدراتها التنظيمية وتعزيز قدرتها على الابتكار والتكيف مع التغيرات البيئية</w:t>
      </w:r>
      <w:r w:rsidR="004A6C10" w:rsidRPr="004A6C10">
        <w:rPr>
          <w:rFonts w:ascii="Traditional Arabic" w:hAnsi="Traditional Arabic" w:cs="Traditional Arabic"/>
        </w:rPr>
        <w:t xml:space="preserve"> </w:t>
      </w:r>
      <w:r w:rsidR="004A6C10" w:rsidRPr="004A6C10">
        <w:rPr>
          <w:rFonts w:ascii="Traditional Arabic" w:hAnsi="Traditional Arabic" w:cs="Traditional Arabic"/>
          <w:sz w:val="22"/>
          <w:szCs w:val="22"/>
        </w:rPr>
        <w:t>(Talwar, 2020).</w:t>
      </w:r>
    </w:p>
    <w:p w14:paraId="48337DF3" w14:textId="670D25FD" w:rsidR="004A6C10" w:rsidRPr="004A6C10" w:rsidRDefault="00000AF4" w:rsidP="004A6C10">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4A6C10" w:rsidRPr="004A6C10">
        <w:rPr>
          <w:rFonts w:ascii="Traditional Arabic" w:hAnsi="Traditional Arabic" w:cs="Traditional Arabic"/>
          <w:rtl/>
        </w:rPr>
        <w:t>وفي سياق المؤسسات الحكومية، يكتسب التميز المؤسسي أهمية خاصة نظرًا للحاجة إلى تحسين جودة الخدمات العامة وتعزيز كفاءة الأداء الحكومي. حيث تسعى العديد من الحكومات إلى تبني نماذج التميز المؤسسي بهدف تطوير الأداء الحكومي وتحقيق مستويات أعلى من رضا المستفيدين، إضافة إلى تعزيز الشفافية والكفاءة في إدارة الموارد العامة</w:t>
      </w:r>
      <w:r w:rsidR="004A6C10" w:rsidRPr="004A6C10">
        <w:rPr>
          <w:rFonts w:ascii="Traditional Arabic" w:hAnsi="Traditional Arabic" w:cs="Traditional Arabic"/>
        </w:rPr>
        <w:t>.</w:t>
      </w:r>
    </w:p>
    <w:p w14:paraId="7A73B3C8" w14:textId="452EC43D" w:rsidR="004A6C10" w:rsidRPr="004A6C10" w:rsidRDefault="00000AF4" w:rsidP="004A6C10">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4A6C10" w:rsidRPr="004A6C10">
        <w:rPr>
          <w:rFonts w:ascii="Traditional Arabic" w:hAnsi="Traditional Arabic" w:cs="Traditional Arabic"/>
          <w:rtl/>
        </w:rPr>
        <w:t>وفي المملكة العربية السعودية، يحظى التميز المؤسسي باهتمام متزايد في إطار الجهود الرامية إلى تطوير الأداء الحكومي وتحقيق التحول المؤسسي بما يتوافق مع رؤية المملكة 2030</w:t>
      </w:r>
      <w:r w:rsidR="004A6C10" w:rsidRPr="004A6C10">
        <w:rPr>
          <w:rFonts w:ascii="Traditional Arabic" w:hAnsi="Traditional Arabic" w:cs="Traditional Arabic"/>
        </w:rPr>
        <w:t xml:space="preserve">. </w:t>
      </w:r>
      <w:r w:rsidR="004A6C10" w:rsidRPr="004A6C10">
        <w:rPr>
          <w:rFonts w:ascii="Traditional Arabic" w:hAnsi="Traditional Arabic" w:cs="Traditional Arabic"/>
          <w:rtl/>
        </w:rPr>
        <w:t>حيث تسعى الجهات الحكومية إلى تطبيق أفضل الممارسات الإدارية العالمية وتعزيز ثقافة التميز المؤسسي بهدف تحسين جودة الخدمات الحكومية وتحقيق الكفاءة في الأداء المؤسسي</w:t>
      </w:r>
      <w:r w:rsidR="004A6C10" w:rsidRPr="004A6C10">
        <w:rPr>
          <w:rFonts w:ascii="Traditional Arabic" w:hAnsi="Traditional Arabic" w:cs="Traditional Arabic"/>
        </w:rPr>
        <w:t>.</w:t>
      </w:r>
    </w:p>
    <w:p w14:paraId="43C4FE0F" w14:textId="65CDAE8C" w:rsidR="004A6C10" w:rsidRPr="004A6C10" w:rsidRDefault="00000AF4" w:rsidP="004A6C10">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4A6C10" w:rsidRPr="004A6C10">
        <w:rPr>
          <w:rFonts w:ascii="Traditional Arabic" w:hAnsi="Traditional Arabic" w:cs="Traditional Arabic"/>
          <w:rtl/>
        </w:rPr>
        <w:t>وبناءً على ما سبق، يمكن تعريف التميز المؤسسي إجرائيًا في إطار هذه الدراسة بأنه</w:t>
      </w:r>
      <w:r w:rsidR="004A6C10" w:rsidRPr="004A6C10">
        <w:rPr>
          <w:rFonts w:ascii="Traditional Arabic" w:hAnsi="Traditional Arabic" w:cs="Traditional Arabic"/>
        </w:rPr>
        <w:t>:</w:t>
      </w:r>
      <w:r>
        <w:rPr>
          <w:rFonts w:ascii="Traditional Arabic" w:hAnsi="Traditional Arabic" w:cs="Traditional Arabic" w:hint="cs"/>
          <w:rtl/>
        </w:rPr>
        <w:t xml:space="preserve"> </w:t>
      </w:r>
      <w:r w:rsidR="004A6C10" w:rsidRPr="004A6C10">
        <w:rPr>
          <w:rFonts w:ascii="Traditional Arabic" w:hAnsi="Traditional Arabic" w:cs="Traditional Arabic"/>
          <w:rtl/>
        </w:rPr>
        <w:t>قدرة المؤسسات الحكومية على تحقيق مستويات متقدمة من الأداء التنظيمي من خلال تطبيق أفضل الممارسات الإدارية، وتطوير القدرات التنظيمية، وتحسين جودة الخدمات المقدمة للمستفيدين بما يسهم في تحقيق الاستدامة المؤسسية</w:t>
      </w:r>
      <w:r w:rsidR="004A6C10" w:rsidRPr="004A6C10">
        <w:rPr>
          <w:rFonts w:ascii="Traditional Arabic" w:hAnsi="Traditional Arabic" w:cs="Traditional Arabic"/>
        </w:rPr>
        <w:t>.</w:t>
      </w:r>
    </w:p>
    <w:p w14:paraId="6618B0F7" w14:textId="3ED3D1D2" w:rsidR="005B1DF3" w:rsidRPr="005B1DF3" w:rsidRDefault="005B1DF3" w:rsidP="005B1DF3">
      <w:pPr>
        <w:tabs>
          <w:tab w:val="left" w:pos="1368"/>
        </w:tabs>
        <w:bidi/>
        <w:spacing w:line="276" w:lineRule="auto"/>
        <w:jc w:val="both"/>
        <w:rPr>
          <w:rFonts w:ascii="Traditional Arabic" w:hAnsi="Traditional Arabic" w:cs="Traditional Arabic"/>
          <w:b/>
          <w:bCs/>
        </w:rPr>
      </w:pPr>
      <w:r w:rsidRPr="005B1DF3">
        <w:rPr>
          <w:rFonts w:ascii="Traditional Arabic" w:hAnsi="Traditional Arabic" w:cs="Traditional Arabic"/>
          <w:b/>
          <w:bCs/>
          <w:rtl/>
        </w:rPr>
        <w:t>نشأة وتطور مفهوم التميز المؤسسي</w:t>
      </w:r>
    </w:p>
    <w:p w14:paraId="5C49DB21" w14:textId="56D3FB3A" w:rsidR="005B1DF3" w:rsidRPr="005B1DF3" w:rsidRDefault="003464C6" w:rsidP="005B1DF3">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5B1DF3" w:rsidRPr="005B1DF3">
        <w:rPr>
          <w:rFonts w:ascii="Traditional Arabic" w:hAnsi="Traditional Arabic" w:cs="Traditional Arabic"/>
          <w:rtl/>
        </w:rPr>
        <w:t>شهد مفهوم التميز المؤسسي تطورًا ملحوظًا في الأدبيات الإدارية خلال العقود الماضية، حيث ارتبط ظهوره بالتغيرات التي شهدتها بيئات الأعمال وازدياد الاهتمام بتحسين الأداء التنظيمي وتحقيق الجودة في المؤسسات. وقد تطور هذا المفهوم تدريجيًا من التركيز على مفاهيم إدارة الجودة الشاملة إلى تبني نماذج إدارية متكاملة تهدف إلى تحقيق الأداء المتفوق والاستدامة التنظيمية</w:t>
      </w:r>
      <w:r w:rsidR="005B1DF3" w:rsidRPr="005B1DF3">
        <w:rPr>
          <w:rFonts w:ascii="Traditional Arabic" w:hAnsi="Traditional Arabic" w:cs="Traditional Arabic"/>
        </w:rPr>
        <w:t>.</w:t>
      </w:r>
    </w:p>
    <w:p w14:paraId="1868744E" w14:textId="5AD93362" w:rsidR="005B1DF3" w:rsidRPr="005B1DF3" w:rsidRDefault="003464C6" w:rsidP="005B1DF3">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5B1DF3" w:rsidRPr="005B1DF3">
        <w:rPr>
          <w:rFonts w:ascii="Traditional Arabic" w:hAnsi="Traditional Arabic" w:cs="Traditional Arabic"/>
          <w:rtl/>
        </w:rPr>
        <w:t>وتعود البدايات الأولى لفكرة التميز المؤسسي إلى الاهتمام المتزايد بمفهوم الجودة الشاملة</w:t>
      </w:r>
      <w:r w:rsidR="005B1DF3" w:rsidRPr="005B1DF3">
        <w:rPr>
          <w:rFonts w:ascii="Traditional Arabic" w:hAnsi="Traditional Arabic" w:cs="Traditional Arabic"/>
          <w:sz w:val="22"/>
          <w:szCs w:val="22"/>
        </w:rPr>
        <w:t xml:space="preserve"> (Total Quality Management)</w:t>
      </w:r>
      <w:r w:rsidR="005B1DF3" w:rsidRPr="005B1DF3">
        <w:rPr>
          <w:rFonts w:ascii="Traditional Arabic" w:hAnsi="Traditional Arabic" w:cs="Traditional Arabic"/>
        </w:rPr>
        <w:t xml:space="preserve"> </w:t>
      </w:r>
      <w:r w:rsidR="005B1DF3" w:rsidRPr="005B1DF3">
        <w:rPr>
          <w:rFonts w:ascii="Traditional Arabic" w:hAnsi="Traditional Arabic" w:cs="Traditional Arabic"/>
          <w:rtl/>
        </w:rPr>
        <w:t xml:space="preserve">خلال ثمانينيات القرن الماضي، حيث سعت المؤسسات إلى تحسين جودة منتجاتها وخدماتها من خلال تطوير العمليات التنظيمية وتعزيز مشاركة العاملين في عمليات التحسين </w:t>
      </w:r>
      <w:r w:rsidR="005B1DF3" w:rsidRPr="005B1DF3">
        <w:rPr>
          <w:rFonts w:ascii="Traditional Arabic" w:hAnsi="Traditional Arabic" w:cs="Traditional Arabic"/>
          <w:rtl/>
        </w:rPr>
        <w:lastRenderedPageBreak/>
        <w:t>المستمر. وقد أسهمت هذه الجهود في ظهور مجموعة من النماذج الإدارية التي تهدف إلى تعزيز الأداء التنظيمي وتحقيق التميز في المؤسسات</w:t>
      </w:r>
      <w:r w:rsidR="005B1DF3" w:rsidRPr="005B1DF3">
        <w:rPr>
          <w:rFonts w:ascii="Traditional Arabic" w:hAnsi="Traditional Arabic" w:cs="Traditional Arabic"/>
        </w:rPr>
        <w:t xml:space="preserve"> </w:t>
      </w:r>
      <w:r w:rsidR="005B1DF3" w:rsidRPr="005B1DF3">
        <w:rPr>
          <w:rFonts w:ascii="Traditional Arabic" w:hAnsi="Traditional Arabic" w:cs="Traditional Arabic"/>
          <w:sz w:val="22"/>
          <w:szCs w:val="22"/>
        </w:rPr>
        <w:t>(Talwar, 2020).</w:t>
      </w:r>
    </w:p>
    <w:p w14:paraId="7A429CB7" w14:textId="7880C484" w:rsidR="005B1DF3" w:rsidRPr="005B1DF3" w:rsidRDefault="003464C6" w:rsidP="005B1DF3">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5B1DF3" w:rsidRPr="005B1DF3">
        <w:rPr>
          <w:rFonts w:ascii="Traditional Arabic" w:hAnsi="Traditional Arabic" w:cs="Traditional Arabic"/>
          <w:rtl/>
        </w:rPr>
        <w:t>وفي مرحلة لاحقة، تطور مفهوم التميز المؤسسي ليصبح إطارًا إداريًا أكثر شمولًا يركز على تحقيق الأداء المتفوق من خلال تكامل مجموعة من الممارسات التنظيمية المتعلقة بالقيادة والاستراتيجية وإدارة الموارد البشرية وإدارة العمليات وتحقيق رضا أصحاب المصلحة. وقد أدى هذا التوجه إلى ظهور العديد من نماذج التميز المؤسسي التي تسعى إلى مساعدة المؤسسات على تحسين أدائها وتطوير قدراتها التنظيمية</w:t>
      </w:r>
      <w:r w:rsidR="005B1DF3" w:rsidRPr="005B1DF3">
        <w:rPr>
          <w:rFonts w:ascii="Traditional Arabic" w:hAnsi="Traditional Arabic" w:cs="Traditional Arabic"/>
        </w:rPr>
        <w:t xml:space="preserve"> </w:t>
      </w:r>
      <w:r w:rsidR="005B1DF3" w:rsidRPr="005B1DF3">
        <w:rPr>
          <w:rFonts w:ascii="Traditional Arabic" w:hAnsi="Traditional Arabic" w:cs="Traditional Arabic"/>
          <w:sz w:val="22"/>
          <w:szCs w:val="22"/>
        </w:rPr>
        <w:t>(Dahlgaard-Park, 2021).</w:t>
      </w:r>
    </w:p>
    <w:p w14:paraId="68830426" w14:textId="2AF60061" w:rsidR="005B1DF3" w:rsidRPr="005B1DF3" w:rsidRDefault="003464C6" w:rsidP="005B1DF3">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5B1DF3" w:rsidRPr="005B1DF3">
        <w:rPr>
          <w:rFonts w:ascii="Traditional Arabic" w:hAnsi="Traditional Arabic" w:cs="Traditional Arabic"/>
          <w:rtl/>
        </w:rPr>
        <w:t>ومن أبرز هذه النماذج نموذج التميز الأوروبي</w:t>
      </w:r>
      <w:r w:rsidR="005B1DF3" w:rsidRPr="005B1DF3">
        <w:rPr>
          <w:rFonts w:ascii="Traditional Arabic" w:hAnsi="Traditional Arabic" w:cs="Traditional Arabic"/>
        </w:rPr>
        <w:t xml:space="preserve"> </w:t>
      </w:r>
      <w:r w:rsidR="005B1DF3" w:rsidRPr="005B1DF3">
        <w:rPr>
          <w:rFonts w:ascii="Traditional Arabic" w:hAnsi="Traditional Arabic" w:cs="Traditional Arabic"/>
          <w:sz w:val="22"/>
          <w:szCs w:val="22"/>
        </w:rPr>
        <w:t>EFQM</w:t>
      </w:r>
      <w:r w:rsidR="005B1DF3" w:rsidRPr="005B1DF3">
        <w:rPr>
          <w:rFonts w:ascii="Traditional Arabic" w:hAnsi="Traditional Arabic" w:cs="Traditional Arabic"/>
        </w:rPr>
        <w:t xml:space="preserve"> </w:t>
      </w:r>
      <w:r w:rsidR="005B1DF3" w:rsidRPr="005B1DF3">
        <w:rPr>
          <w:rFonts w:ascii="Traditional Arabic" w:hAnsi="Traditional Arabic" w:cs="Traditional Arabic"/>
          <w:rtl/>
        </w:rPr>
        <w:t>الذي تم تطويره في بداية التسعينيات من قبل المؤسسة الأوروبية لإدارة الجودة، حيث يركز هذا النموذج على تحقيق التميز المؤسسي من خلال مجموعة من المعايير التي تشمل القيادة والاستراتيجية وإدارة الموارد البشرية والشراكات والموارد والعمليات التنظيمية والنتائج المؤسسية</w:t>
      </w:r>
      <w:r w:rsidR="005B1DF3" w:rsidRPr="005B1DF3">
        <w:rPr>
          <w:rFonts w:ascii="Traditional Arabic" w:hAnsi="Traditional Arabic" w:cs="Traditional Arabic"/>
        </w:rPr>
        <w:t xml:space="preserve"> </w:t>
      </w:r>
      <w:r w:rsidR="005B1DF3" w:rsidRPr="005B1DF3">
        <w:rPr>
          <w:rFonts w:ascii="Traditional Arabic" w:hAnsi="Traditional Arabic" w:cs="Traditional Arabic"/>
          <w:sz w:val="22"/>
          <w:szCs w:val="22"/>
        </w:rPr>
        <w:t>(EFQM, 2020)</w:t>
      </w:r>
      <w:r w:rsidR="005B1DF3" w:rsidRPr="005B1DF3">
        <w:rPr>
          <w:rFonts w:ascii="Traditional Arabic" w:hAnsi="Traditional Arabic" w:cs="Traditional Arabic"/>
        </w:rPr>
        <w:t xml:space="preserve">. </w:t>
      </w:r>
      <w:r w:rsidR="005B1DF3" w:rsidRPr="005B1DF3">
        <w:rPr>
          <w:rFonts w:ascii="Traditional Arabic" w:hAnsi="Traditional Arabic" w:cs="Traditional Arabic"/>
          <w:rtl/>
        </w:rPr>
        <w:t>وقد أصبح هذا النموذج أحد أكثر النماذج استخدامًا في تقييم الأداء المؤسسي في العديد من المؤسسات حول العالم</w:t>
      </w:r>
      <w:r w:rsidR="005B1DF3" w:rsidRPr="005B1DF3">
        <w:rPr>
          <w:rFonts w:ascii="Traditional Arabic" w:hAnsi="Traditional Arabic" w:cs="Traditional Arabic"/>
        </w:rPr>
        <w:t>.</w:t>
      </w:r>
    </w:p>
    <w:p w14:paraId="054326C3" w14:textId="24BD18A6" w:rsidR="005B1DF3" w:rsidRPr="005B1DF3" w:rsidRDefault="003464C6" w:rsidP="005B1DF3">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5B1DF3" w:rsidRPr="005B1DF3">
        <w:rPr>
          <w:rFonts w:ascii="Traditional Arabic" w:hAnsi="Traditional Arabic" w:cs="Traditional Arabic"/>
          <w:rtl/>
        </w:rPr>
        <w:t>كما ساهمت بعض النماذج الأخرى في تطوير مفهوم التميز المؤسسي، مثل نموذج مالكوم بالدريج للتميز المؤسسي</w:t>
      </w:r>
      <w:r w:rsidR="005B1DF3" w:rsidRPr="005B1DF3">
        <w:rPr>
          <w:rFonts w:ascii="Traditional Arabic" w:hAnsi="Traditional Arabic" w:cs="Traditional Arabic"/>
          <w:sz w:val="22"/>
          <w:szCs w:val="22"/>
        </w:rPr>
        <w:t xml:space="preserve"> (Malcolm Baldrige Model)</w:t>
      </w:r>
      <w:r w:rsidR="005B1DF3" w:rsidRPr="005B1DF3">
        <w:rPr>
          <w:rFonts w:ascii="Traditional Arabic" w:hAnsi="Traditional Arabic" w:cs="Traditional Arabic"/>
        </w:rPr>
        <w:t xml:space="preserve"> </w:t>
      </w:r>
      <w:r w:rsidR="005B1DF3" w:rsidRPr="005B1DF3">
        <w:rPr>
          <w:rFonts w:ascii="Traditional Arabic" w:hAnsi="Traditional Arabic" w:cs="Traditional Arabic"/>
          <w:rtl/>
        </w:rPr>
        <w:t>الذي يركز على تعزيز القيادة الاستراتيجية وتحسين جودة الأداء المؤسسي وتحقيق رضا أصحاب المصلحة. وقد ساعدت هذه النماذج في ترسيخ مفهوم التميز المؤسسي بوصفه إطارًا إداريًا متكاملًا يسعى إلى تحقيق الأداء المتفوق والاستدامة التنظيمية</w:t>
      </w:r>
      <w:r w:rsidR="005B1DF3" w:rsidRPr="005B1DF3">
        <w:rPr>
          <w:rFonts w:ascii="Traditional Arabic" w:hAnsi="Traditional Arabic" w:cs="Traditional Arabic"/>
        </w:rPr>
        <w:t>.</w:t>
      </w:r>
    </w:p>
    <w:p w14:paraId="7C32AB1A" w14:textId="473B8550" w:rsidR="005B1DF3" w:rsidRPr="005B1DF3" w:rsidRDefault="003464C6" w:rsidP="005B1DF3">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5B1DF3" w:rsidRPr="005B1DF3">
        <w:rPr>
          <w:rFonts w:ascii="Traditional Arabic" w:hAnsi="Traditional Arabic" w:cs="Traditional Arabic"/>
          <w:rtl/>
        </w:rPr>
        <w:t>وفي السنوات الأخيرة، اتجهت الأدبيات الإدارية إلى توسيع نطاق مفهوم التميز المؤسسي ليشمل أبعادًا جديدة ترتبط بالابتكار المؤسسي والتحول الرقمي والاستدامة التنظيمية. حيث أصبحت المؤسسات مطالبة ليس فقط بتحقيق الأداء المتفوق، بل أيضًا بالقدرة على التكيف مع التغيرات البيئية وتحقيق قيمة مستدامة لأصحاب المصلحة</w:t>
      </w:r>
      <w:r w:rsidR="005B1DF3" w:rsidRPr="005B1DF3">
        <w:rPr>
          <w:rFonts w:ascii="Traditional Arabic" w:hAnsi="Traditional Arabic" w:cs="Traditional Arabic"/>
        </w:rPr>
        <w:t>.</w:t>
      </w:r>
    </w:p>
    <w:p w14:paraId="3EDB015A" w14:textId="63BDCF8B" w:rsidR="005B1DF3" w:rsidRPr="005B1DF3" w:rsidRDefault="003464C6" w:rsidP="005B1DF3">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5B1DF3" w:rsidRPr="005B1DF3">
        <w:rPr>
          <w:rFonts w:ascii="Traditional Arabic" w:hAnsi="Traditional Arabic" w:cs="Traditional Arabic"/>
          <w:rtl/>
        </w:rPr>
        <w:t>وفي سياق القطاع الحكومي، أصبح مفهوم التميز المؤسسي أحد الأدوات المهمة التي تعتمد عليها الحكومات لتحسين جودة الخدمات العامة وتعزيز كفاءة الأداء الحكومي. وقد تبنت العديد من الدول نماذج التميز المؤسسي بهدف تطوير الإدارة العامة وتعزيز الشفافية وتحقيق رضا المستفيدين من الخدمات الحكومية</w:t>
      </w:r>
      <w:r w:rsidR="005B1DF3" w:rsidRPr="005B1DF3">
        <w:rPr>
          <w:rFonts w:ascii="Traditional Arabic" w:hAnsi="Traditional Arabic" w:cs="Traditional Arabic"/>
        </w:rPr>
        <w:t>.</w:t>
      </w:r>
    </w:p>
    <w:p w14:paraId="72CFABBD" w14:textId="2099A5B4" w:rsidR="005B1DF3" w:rsidRPr="005B1DF3" w:rsidRDefault="003464C6" w:rsidP="005B1DF3">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5B1DF3" w:rsidRPr="005B1DF3">
        <w:rPr>
          <w:rFonts w:ascii="Traditional Arabic" w:hAnsi="Traditional Arabic" w:cs="Traditional Arabic"/>
          <w:rtl/>
        </w:rPr>
        <w:t xml:space="preserve">وفي المملكة العربية السعودية، حظي مفهوم التميز المؤسسي باهتمام متزايد في إطار الجهود الرامية إلى تطوير الأداء الحكومي وتحقيق التحول المؤسسي بما يتوافق مع </w:t>
      </w:r>
      <w:r w:rsidR="005B1DF3" w:rsidRPr="005B1DF3">
        <w:rPr>
          <w:rFonts w:ascii="Traditional Arabic" w:hAnsi="Traditional Arabic" w:cs="Traditional Arabic"/>
          <w:b/>
          <w:bCs/>
          <w:rtl/>
        </w:rPr>
        <w:t xml:space="preserve">رؤية </w:t>
      </w:r>
      <w:r w:rsidR="005B1DF3" w:rsidRPr="005B1DF3">
        <w:rPr>
          <w:rFonts w:ascii="Traditional Arabic" w:hAnsi="Traditional Arabic" w:cs="Traditional Arabic"/>
          <w:rtl/>
        </w:rPr>
        <w:t>المملكة 2030</w:t>
      </w:r>
      <w:r w:rsidR="005B1DF3" w:rsidRPr="005B1DF3">
        <w:rPr>
          <w:rFonts w:ascii="Traditional Arabic" w:hAnsi="Traditional Arabic" w:cs="Traditional Arabic"/>
        </w:rPr>
        <w:t xml:space="preserve">. </w:t>
      </w:r>
      <w:r w:rsidR="005B1DF3" w:rsidRPr="005B1DF3">
        <w:rPr>
          <w:rFonts w:ascii="Traditional Arabic" w:hAnsi="Traditional Arabic" w:cs="Traditional Arabic"/>
          <w:rtl/>
        </w:rPr>
        <w:t>حيث تسعى الجهات الحكومية إلى تبني أفضل الممارسات الإدارية العالمية وتطبيق نماذج التميز المؤسسي بهدف تحسين جودة الخدمات الحكومية وتعزيز كفاءة الأداء المؤسسي</w:t>
      </w:r>
      <w:r w:rsidR="005B1DF3" w:rsidRPr="005B1DF3">
        <w:rPr>
          <w:rFonts w:ascii="Traditional Arabic" w:hAnsi="Traditional Arabic" w:cs="Traditional Arabic"/>
        </w:rPr>
        <w:t>.</w:t>
      </w:r>
    </w:p>
    <w:p w14:paraId="23FC6DE5" w14:textId="3DE2B39B" w:rsidR="005B1DF3" w:rsidRDefault="003464C6" w:rsidP="005B1DF3">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005B1DF3" w:rsidRPr="005B1DF3">
        <w:rPr>
          <w:rFonts w:ascii="Traditional Arabic" w:hAnsi="Traditional Arabic" w:cs="Traditional Arabic"/>
          <w:rtl/>
        </w:rPr>
        <w:t>وبناءً على ذلك، يمكن القول إن مفهوم التميز المؤسسي قد تطور من كونه مرتبطًا بتحسين جودة العمليات التنظيمية إلى إطار إداري متكامل يهدف إلى تحقيق الأداء المتفوق والاستدامة المؤسسية من خلال تطوير القدرات التنظيمية وتعزيز الابتكار المؤسسي</w:t>
      </w:r>
      <w:r w:rsidR="005B1DF3" w:rsidRPr="005B1DF3">
        <w:rPr>
          <w:rFonts w:ascii="Traditional Arabic" w:hAnsi="Traditional Arabic" w:cs="Traditional Arabic"/>
        </w:rPr>
        <w:t>.</w:t>
      </w:r>
    </w:p>
    <w:p w14:paraId="75FC4616" w14:textId="5F253144" w:rsidR="000624F4" w:rsidRPr="000624F4" w:rsidRDefault="000624F4" w:rsidP="000624F4">
      <w:pPr>
        <w:tabs>
          <w:tab w:val="left" w:pos="1368"/>
        </w:tabs>
        <w:bidi/>
        <w:spacing w:line="276" w:lineRule="auto"/>
        <w:jc w:val="both"/>
        <w:rPr>
          <w:rFonts w:ascii="Traditional Arabic" w:hAnsi="Traditional Arabic" w:cs="Traditional Arabic"/>
          <w:b/>
          <w:bCs/>
        </w:rPr>
      </w:pPr>
      <w:r w:rsidRPr="000624F4">
        <w:rPr>
          <w:rFonts w:ascii="Traditional Arabic" w:hAnsi="Traditional Arabic" w:cs="Traditional Arabic"/>
          <w:b/>
          <w:bCs/>
          <w:rtl/>
        </w:rPr>
        <w:t>أهمية التميز المؤسسي في المنظمات المعاصرة</w:t>
      </w:r>
    </w:p>
    <w:p w14:paraId="6A19BEFD" w14:textId="53463B87" w:rsidR="000624F4" w:rsidRPr="000624F4" w:rsidRDefault="00D4467C" w:rsidP="000624F4">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0624F4" w:rsidRPr="000624F4">
        <w:rPr>
          <w:rFonts w:ascii="Traditional Arabic" w:hAnsi="Traditional Arabic" w:cs="Traditional Arabic"/>
          <w:rtl/>
        </w:rPr>
        <w:t>يحظى مفهوم التميز المؤسسي بأهمية متزايدة في الأدبيات الإدارية المعاصرة نظرًا للدور الذي يلعبه في تعزيز قدرة المؤسسات على تحقيق الأداء المتفوق والاستجابة بفاعلية للتغيرات المتسارعة في بيئات العمل الحديثة. فقد أصبحت المؤسسات تواجه تحديات متزايدة تتمثل في شدة المنافسة، وتسارع التطورات التكنولوجية، وتزايد توقعات أصحاب المصلحة، الأمر الذي يتطلب تبني ممارسات إدارية متقدمة تسهم في تحسين الأداء المؤسسي وتحقيق الاستدامة التنظيمية</w:t>
      </w:r>
      <w:r w:rsidR="000624F4" w:rsidRPr="000624F4">
        <w:rPr>
          <w:rFonts w:ascii="Traditional Arabic" w:hAnsi="Traditional Arabic" w:cs="Traditional Arabic"/>
        </w:rPr>
        <w:t>.</w:t>
      </w:r>
    </w:p>
    <w:p w14:paraId="78C0D9A1" w14:textId="5B0F1D4C" w:rsidR="000624F4" w:rsidRPr="000624F4" w:rsidRDefault="00D4467C" w:rsidP="000624F4">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lastRenderedPageBreak/>
        <w:t xml:space="preserve">     </w:t>
      </w:r>
      <w:r w:rsidR="000624F4" w:rsidRPr="000624F4">
        <w:rPr>
          <w:rFonts w:ascii="Traditional Arabic" w:hAnsi="Traditional Arabic" w:cs="Traditional Arabic"/>
          <w:rtl/>
        </w:rPr>
        <w:t>وتكمن أهمية التميز المؤسسي في كونه يوفر إطارًا إداريًا متكاملًا يساعد المؤسسات على تحسين أدائها التنظيمي من خلال تطوير القيادة الاستراتيجية وتعزيز كفاءة إدارة الموارد البشرية وتحسين العمليات التنظيمية وتحقيق رضا المستفيدين من الخدمات. كما يسهم التميز المؤسسي في تعزيز قدرة المؤسسات على تحقيق التكامل بين مختلف أنشطتها التنظيمية بما يسهم في تحقيق الأداء المتفوق على المدى الطويل</w:t>
      </w:r>
      <w:r w:rsidR="000624F4" w:rsidRPr="000624F4">
        <w:rPr>
          <w:rFonts w:ascii="Traditional Arabic" w:hAnsi="Traditional Arabic" w:cs="Traditional Arabic"/>
        </w:rPr>
        <w:t xml:space="preserve"> </w:t>
      </w:r>
      <w:r w:rsidR="000624F4" w:rsidRPr="000624F4">
        <w:rPr>
          <w:rFonts w:ascii="Traditional Arabic" w:hAnsi="Traditional Arabic" w:cs="Traditional Arabic"/>
          <w:sz w:val="22"/>
          <w:szCs w:val="22"/>
        </w:rPr>
        <w:t>(Dahlgaard-Park, 2021).</w:t>
      </w:r>
    </w:p>
    <w:p w14:paraId="196A0102" w14:textId="4797689B" w:rsidR="000624F4" w:rsidRPr="000624F4" w:rsidRDefault="00D4467C" w:rsidP="000624F4">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0624F4" w:rsidRPr="000624F4">
        <w:rPr>
          <w:rFonts w:ascii="Traditional Arabic" w:hAnsi="Traditional Arabic" w:cs="Traditional Arabic"/>
          <w:rtl/>
        </w:rPr>
        <w:t>كما يسهم التميز المؤسسي في تعزيز جودة الأداء المؤسسي من خلال اعتماد المؤسسات على أفضل الممارسات الإدارية التي تهدف إلى تحسين العمليات التنظيمية وتطوير آليات اتخاذ القرار. ويساعد ذلك المؤسسات على تحقيق مستويات عالية من الكفاءة والفعالية في إدارة مواردها وتحقيق أهدافها الاستراتيجية</w:t>
      </w:r>
      <w:r w:rsidR="000624F4" w:rsidRPr="000624F4">
        <w:rPr>
          <w:rFonts w:ascii="Traditional Arabic" w:hAnsi="Traditional Arabic" w:cs="Traditional Arabic"/>
        </w:rPr>
        <w:t xml:space="preserve"> </w:t>
      </w:r>
      <w:r w:rsidR="000624F4" w:rsidRPr="000624F4">
        <w:rPr>
          <w:rFonts w:ascii="Traditional Arabic" w:hAnsi="Traditional Arabic" w:cs="Traditional Arabic"/>
          <w:sz w:val="22"/>
          <w:szCs w:val="22"/>
        </w:rPr>
        <w:t>(Talwar, 2020).</w:t>
      </w:r>
    </w:p>
    <w:p w14:paraId="12B56599" w14:textId="076B36D1" w:rsidR="000624F4" w:rsidRPr="000624F4" w:rsidRDefault="00D4467C" w:rsidP="000624F4">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0624F4" w:rsidRPr="000624F4">
        <w:rPr>
          <w:rFonts w:ascii="Traditional Arabic" w:hAnsi="Traditional Arabic" w:cs="Traditional Arabic"/>
          <w:rtl/>
        </w:rPr>
        <w:t>ومن ناحية أخرى، يلعب التميز المؤسسي دورًا مهمًا في تعزيز الابتكار المؤسسي، حيث يساعد المؤسسات على تطوير قدراتها التنظيمية وتشجيع العاملين على تبني الأفكار الإبداعية التي تسهم في تحسين جودة المنتجات والخدمات. كما يساعد التميز المؤسسي المؤسسات على تطوير ثقافة تنظيمية قائمة على التعلم المستمر والتحسين المستدام، الأمر الذي يسهم في تعزيز قدرتها على التكيف مع التغيرات البيئية</w:t>
      </w:r>
      <w:r w:rsidR="000624F4" w:rsidRPr="000624F4">
        <w:rPr>
          <w:rFonts w:ascii="Traditional Arabic" w:hAnsi="Traditional Arabic" w:cs="Traditional Arabic"/>
        </w:rPr>
        <w:t>.</w:t>
      </w:r>
    </w:p>
    <w:p w14:paraId="54075714" w14:textId="747A56A7" w:rsidR="000624F4" w:rsidRPr="000624F4" w:rsidRDefault="00D4467C" w:rsidP="000624F4">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0624F4" w:rsidRPr="000624F4">
        <w:rPr>
          <w:rFonts w:ascii="Traditional Arabic" w:hAnsi="Traditional Arabic" w:cs="Traditional Arabic"/>
          <w:rtl/>
        </w:rPr>
        <w:t>كما يسهم التميز المؤسسي في تعزيز رضا أصحاب المصلحة من خلال تحسين جودة الخدمات والمنتجات التي تقدمها المؤسسات، حيث تسعى المؤسسات المتميزة إلى تحقيق توازن بين تحقيق أهدافها التنظيمية وتلبية احتياجات وتوقعات أصحاب المصلحة. ويعد تحقيق رضا أصحاب المصلحة أحد المؤشرات المهمة التي تعكس مستوى التميز المؤسسي داخل المنظمة</w:t>
      </w:r>
      <w:r w:rsidR="000624F4" w:rsidRPr="000624F4">
        <w:rPr>
          <w:rFonts w:ascii="Traditional Arabic" w:hAnsi="Traditional Arabic" w:cs="Traditional Arabic"/>
        </w:rPr>
        <w:t xml:space="preserve"> </w:t>
      </w:r>
      <w:r w:rsidR="000624F4" w:rsidRPr="000624F4">
        <w:rPr>
          <w:rFonts w:ascii="Traditional Arabic" w:hAnsi="Traditional Arabic" w:cs="Traditional Arabic"/>
          <w:sz w:val="22"/>
          <w:szCs w:val="22"/>
        </w:rPr>
        <w:t>(EFQM, 2020).</w:t>
      </w:r>
    </w:p>
    <w:p w14:paraId="38A47275" w14:textId="4390C9FB" w:rsidR="000624F4" w:rsidRPr="000624F4" w:rsidRDefault="00D4467C" w:rsidP="000624F4">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0624F4" w:rsidRPr="000624F4">
        <w:rPr>
          <w:rFonts w:ascii="Traditional Arabic" w:hAnsi="Traditional Arabic" w:cs="Traditional Arabic"/>
          <w:rtl/>
        </w:rPr>
        <w:t>وفي سياق المؤسسات الحكومية، تكتسب ممارسات التميز المؤسسي أهمية خاصة نظرًا لدورها في تحسين جودة الخدمات العامة وتعزيز كفاءة الأداء الحكومي. حيث تساعد نماذج التميز المؤسسي الجهات الحكومية على تطوير عملياتها التنظيمية وتحسين مستوى الشفافية والمساءلة وتعزيز ثقة المجتمع في المؤسسات الحكومية</w:t>
      </w:r>
      <w:r w:rsidR="000624F4" w:rsidRPr="000624F4">
        <w:rPr>
          <w:rFonts w:ascii="Traditional Arabic" w:hAnsi="Traditional Arabic" w:cs="Traditional Arabic"/>
        </w:rPr>
        <w:t>.</w:t>
      </w:r>
    </w:p>
    <w:p w14:paraId="17C7C454" w14:textId="33892B6D" w:rsidR="000624F4" w:rsidRPr="000624F4" w:rsidRDefault="00EA638F" w:rsidP="000624F4">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0624F4" w:rsidRPr="000624F4">
        <w:rPr>
          <w:rFonts w:ascii="Traditional Arabic" w:hAnsi="Traditional Arabic" w:cs="Traditional Arabic"/>
          <w:rtl/>
        </w:rPr>
        <w:t>كما يسهم تطبيق التميز المؤسسي في دعم جهود الإصلاح الإداري والتحول المؤسسي داخل المؤسسات الحكومية، حيث يساعد على تطوير أساليب العمل الحكومي وتعزيز القدرة المؤسسية على تحقيق نتائج مستدامة. وقد أصبحت العديد من الحكومات حول العالم تعتمد على نماذج التميز المؤسسي كأداة لتقييم الأداء الحكومي وتحسين جودة الخدمات العامة</w:t>
      </w:r>
      <w:r w:rsidR="000624F4" w:rsidRPr="000624F4">
        <w:rPr>
          <w:rFonts w:ascii="Traditional Arabic" w:hAnsi="Traditional Arabic" w:cs="Traditional Arabic"/>
        </w:rPr>
        <w:t>.</w:t>
      </w:r>
    </w:p>
    <w:p w14:paraId="65C38B7A" w14:textId="2AE5E6E7" w:rsidR="000624F4" w:rsidRPr="000624F4" w:rsidRDefault="00EA638F" w:rsidP="000624F4">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0624F4" w:rsidRPr="000624F4">
        <w:rPr>
          <w:rFonts w:ascii="Traditional Arabic" w:hAnsi="Traditional Arabic" w:cs="Traditional Arabic"/>
          <w:rtl/>
        </w:rPr>
        <w:t>وفي المملكة العربية السعودية، يكتسب التميز المؤسسي أهمية متزايدة في إطار الجهود الرامية إلى تطوير القطاع الحكومي وتحقيق التحول المؤسسي بما يتوافق مع رؤية المملكة 2030، حيث تسعى الجهات الحكومية إلى تبني أفضل الممارسات الإدارية العالمية وتطبيق نماذج التميز المؤسسي بهدف تحسين جودة الخدمات الحكومية وتعزيز كفاءة الأداء المؤسسي</w:t>
      </w:r>
      <w:r w:rsidR="000624F4" w:rsidRPr="000624F4">
        <w:rPr>
          <w:rFonts w:ascii="Traditional Arabic" w:hAnsi="Traditional Arabic" w:cs="Traditional Arabic"/>
        </w:rPr>
        <w:t>.</w:t>
      </w:r>
    </w:p>
    <w:p w14:paraId="19CAB3AB" w14:textId="0CF8079D" w:rsidR="000624F4" w:rsidRPr="000624F4" w:rsidRDefault="00EA638F" w:rsidP="000624F4">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0624F4" w:rsidRPr="000624F4">
        <w:rPr>
          <w:rFonts w:ascii="Traditional Arabic" w:hAnsi="Traditional Arabic" w:cs="Traditional Arabic"/>
          <w:rtl/>
        </w:rPr>
        <w:t>وبناءً على ما سبق، يمكن القول إن التميز المؤسسي يمثل أحد الركائز الأساسية التي تسهم في تعزيز قدرة المؤسسات على تحقيق الأداء المتفوق والاستدامة التنظيمية، من خلال تبني ممارسات إدارية متقدمة تركز على تطوير القدرات التنظيمية وتحسين جودة الأداء المؤسسي وتحقيق رضا أصحاب المصلحة</w:t>
      </w:r>
      <w:r w:rsidR="000624F4" w:rsidRPr="000624F4">
        <w:rPr>
          <w:rFonts w:ascii="Traditional Arabic" w:hAnsi="Traditional Arabic" w:cs="Traditional Arabic"/>
        </w:rPr>
        <w:t>.</w:t>
      </w:r>
    </w:p>
    <w:p w14:paraId="22BC0893" w14:textId="30DFDE96" w:rsidR="00737A07" w:rsidRPr="00737A07" w:rsidRDefault="00737A07" w:rsidP="00737A07">
      <w:pPr>
        <w:tabs>
          <w:tab w:val="left" w:pos="1368"/>
        </w:tabs>
        <w:bidi/>
        <w:spacing w:line="276" w:lineRule="auto"/>
        <w:jc w:val="both"/>
        <w:rPr>
          <w:rFonts w:ascii="Traditional Arabic" w:hAnsi="Traditional Arabic" w:cs="Traditional Arabic"/>
          <w:b/>
          <w:bCs/>
        </w:rPr>
      </w:pPr>
      <w:r w:rsidRPr="00737A07">
        <w:rPr>
          <w:rFonts w:ascii="Traditional Arabic" w:hAnsi="Traditional Arabic" w:cs="Traditional Arabic"/>
          <w:b/>
          <w:bCs/>
          <w:rtl/>
        </w:rPr>
        <w:t>نماذج التميز المؤسسي</w:t>
      </w:r>
    </w:p>
    <w:p w14:paraId="22A1B6D0" w14:textId="6848095B" w:rsidR="00737A07" w:rsidRPr="00737A07" w:rsidRDefault="00737A07" w:rsidP="00737A07">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Pr="00737A07">
        <w:rPr>
          <w:rFonts w:ascii="Traditional Arabic" w:hAnsi="Traditional Arabic" w:cs="Traditional Arabic"/>
          <w:rtl/>
        </w:rPr>
        <w:t>ظهرت العديد من النماذج الإدارية التي تهدف إلى مساعدة المؤسسات على تحقيق التميز المؤسسي من خلال تطوير أدائها التنظيمي وتحسين جودة مخرجاتها. وقد جاءت هذه النماذج استجابةً للحاجة إلى توفير أطر عملية تساعد المؤسسات على تقييم أدائها وتحديد نقاط القوة والضعف فيها، ومن ثم العمل على تحسينها بما يحقق الأداء المتفوق والاستدامة التنظيمية. ومن أبرز هذه النماذج نموذج التميز الأوروبي</w:t>
      </w:r>
      <w:r w:rsidRPr="00737A07">
        <w:rPr>
          <w:rFonts w:ascii="Traditional Arabic" w:hAnsi="Traditional Arabic" w:cs="Traditional Arabic"/>
        </w:rPr>
        <w:t xml:space="preserve"> </w:t>
      </w:r>
      <w:r w:rsidRPr="00737A07">
        <w:rPr>
          <w:rFonts w:ascii="Traditional Arabic" w:hAnsi="Traditional Arabic" w:cs="Traditional Arabic"/>
          <w:sz w:val="22"/>
          <w:szCs w:val="22"/>
        </w:rPr>
        <w:t>(EFQM)</w:t>
      </w:r>
      <w:r w:rsidRPr="00737A07">
        <w:rPr>
          <w:rFonts w:ascii="Traditional Arabic" w:hAnsi="Traditional Arabic" w:cs="Traditional Arabic"/>
          <w:rtl/>
        </w:rPr>
        <w:t>، ونموذج مالكوم بالدريج للتميز المؤسسي</w:t>
      </w:r>
      <w:r w:rsidRPr="00737A07">
        <w:rPr>
          <w:rFonts w:ascii="Traditional Arabic" w:hAnsi="Traditional Arabic" w:cs="Traditional Arabic"/>
        </w:rPr>
        <w:t xml:space="preserve"> </w:t>
      </w:r>
      <w:r w:rsidRPr="00737A07">
        <w:rPr>
          <w:rFonts w:ascii="Traditional Arabic" w:hAnsi="Traditional Arabic" w:cs="Traditional Arabic"/>
          <w:sz w:val="22"/>
          <w:szCs w:val="22"/>
        </w:rPr>
        <w:t>(Malcolm Baldrige Model)</w:t>
      </w:r>
      <w:r w:rsidRPr="00737A07">
        <w:rPr>
          <w:rFonts w:ascii="Traditional Arabic" w:hAnsi="Traditional Arabic" w:cs="Traditional Arabic"/>
          <w:rtl/>
        </w:rPr>
        <w:t>، وجائزة ديمنغ للجودة</w:t>
      </w:r>
      <w:r w:rsidRPr="00737A07">
        <w:rPr>
          <w:rFonts w:ascii="Traditional Arabic" w:hAnsi="Traditional Arabic" w:cs="Traditional Arabic"/>
        </w:rPr>
        <w:t xml:space="preserve"> </w:t>
      </w:r>
      <w:r w:rsidRPr="00737A07">
        <w:rPr>
          <w:rFonts w:ascii="Traditional Arabic" w:hAnsi="Traditional Arabic" w:cs="Traditional Arabic"/>
          <w:sz w:val="22"/>
          <w:szCs w:val="22"/>
        </w:rPr>
        <w:t>(Deming Prize).</w:t>
      </w:r>
    </w:p>
    <w:p w14:paraId="30EF0103" w14:textId="1E630CC8" w:rsidR="00737A07" w:rsidRPr="00737A07" w:rsidRDefault="00737A07" w:rsidP="00737A07">
      <w:pPr>
        <w:tabs>
          <w:tab w:val="left" w:pos="1368"/>
        </w:tabs>
        <w:bidi/>
        <w:spacing w:line="276" w:lineRule="auto"/>
        <w:jc w:val="both"/>
        <w:rPr>
          <w:rFonts w:ascii="Traditional Arabic" w:hAnsi="Traditional Arabic" w:cs="Traditional Arabic"/>
          <w:b/>
          <w:bCs/>
        </w:rPr>
      </w:pPr>
      <w:r>
        <w:rPr>
          <w:rFonts w:ascii="Traditional Arabic" w:hAnsi="Traditional Arabic" w:cs="Traditional Arabic" w:hint="cs"/>
          <w:b/>
          <w:bCs/>
          <w:rtl/>
        </w:rPr>
        <w:lastRenderedPageBreak/>
        <w:t>1.</w:t>
      </w:r>
      <w:r w:rsidRPr="00737A07">
        <w:rPr>
          <w:rFonts w:ascii="Traditional Arabic" w:hAnsi="Traditional Arabic" w:cs="Traditional Arabic"/>
          <w:b/>
          <w:bCs/>
          <w:rtl/>
        </w:rPr>
        <w:t>نموذج التميز الأوروبي</w:t>
      </w:r>
      <w:r w:rsidRPr="00737A07">
        <w:rPr>
          <w:rFonts w:ascii="Traditional Arabic" w:hAnsi="Traditional Arabic" w:cs="Traditional Arabic"/>
          <w:b/>
          <w:bCs/>
        </w:rPr>
        <w:t xml:space="preserve"> </w:t>
      </w:r>
      <w:r w:rsidRPr="00737A07">
        <w:rPr>
          <w:rFonts w:ascii="Traditional Arabic" w:hAnsi="Traditional Arabic" w:cs="Traditional Arabic"/>
          <w:b/>
          <w:bCs/>
          <w:sz w:val="22"/>
          <w:szCs w:val="22"/>
        </w:rPr>
        <w:t>(EFQM Model)</w:t>
      </w:r>
    </w:p>
    <w:p w14:paraId="5C069373" w14:textId="5C9A2989" w:rsidR="00737A07" w:rsidRPr="00737A07" w:rsidRDefault="000C5DED" w:rsidP="00737A07">
      <w:pPr>
        <w:tabs>
          <w:tab w:val="left" w:pos="1368"/>
        </w:tabs>
        <w:bidi/>
        <w:spacing w:line="276" w:lineRule="auto"/>
        <w:jc w:val="both"/>
        <w:rPr>
          <w:rFonts w:ascii="Traditional Arabic" w:hAnsi="Traditional Arabic" w:cs="Traditional Arabic"/>
        </w:rPr>
      </w:pPr>
      <w:r w:rsidRPr="000C5DED">
        <w:rPr>
          <w:rFonts w:ascii="Traditional Arabic" w:hAnsi="Traditional Arabic" w:cs="Traditional Arabic" w:hint="cs"/>
          <w:rtl/>
        </w:rPr>
        <w:t xml:space="preserve">     </w:t>
      </w:r>
      <w:r w:rsidR="00737A07" w:rsidRPr="00737A07">
        <w:rPr>
          <w:rFonts w:ascii="Traditional Arabic" w:hAnsi="Traditional Arabic" w:cs="Traditional Arabic"/>
          <w:rtl/>
        </w:rPr>
        <w:t>يُعد نموذج التميز الأوروبي لإدارة الجودة</w:t>
      </w:r>
      <w:r w:rsidR="00737A07" w:rsidRPr="00737A07">
        <w:rPr>
          <w:rFonts w:ascii="Traditional Arabic" w:hAnsi="Traditional Arabic" w:cs="Traditional Arabic"/>
          <w:sz w:val="22"/>
          <w:szCs w:val="22"/>
        </w:rPr>
        <w:t xml:space="preserve"> (EFQM) </w:t>
      </w:r>
      <w:r w:rsidR="00737A07" w:rsidRPr="00737A07">
        <w:rPr>
          <w:rFonts w:ascii="Traditional Arabic" w:hAnsi="Traditional Arabic" w:cs="Traditional Arabic"/>
          <w:rtl/>
        </w:rPr>
        <w:t>من أكثر النماذج استخدامًا في مجال التميز المؤسسي على مستوى العالم، حيث تم تطويره من قبل المؤسسة الأوروبية لإدارة الجودة بهدف مساعدة المؤسسات على تحسين أدائها وتحقيق التميز في مختلف مجالات عملها. ويركز هذا النموذج على تحقيق التوازن بين الممكنات التنظيمية والنتائج المؤسسية، حيث يشمل مجموعة من المعايير التي تتعلق بالقيادة والاستراتيجية وإدارة الموارد البشرية والشراكات والموارد والعمليات التنظيمية، إضافة إلى النتائج المتعلقة بالعاملين والعملاء والمجتمع والأداء المؤسسي</w:t>
      </w:r>
      <w:r w:rsidR="00737A07" w:rsidRPr="00737A07">
        <w:rPr>
          <w:rFonts w:ascii="Traditional Arabic" w:hAnsi="Traditional Arabic" w:cs="Traditional Arabic"/>
        </w:rPr>
        <w:t xml:space="preserve"> </w:t>
      </w:r>
      <w:r w:rsidR="00737A07" w:rsidRPr="00737A07">
        <w:rPr>
          <w:rFonts w:ascii="Traditional Arabic" w:hAnsi="Traditional Arabic" w:cs="Traditional Arabic"/>
          <w:sz w:val="22"/>
          <w:szCs w:val="22"/>
        </w:rPr>
        <w:t>(EFQM, 2020).</w:t>
      </w:r>
    </w:p>
    <w:p w14:paraId="035387EF" w14:textId="43052D1B" w:rsidR="00737A07" w:rsidRPr="00737A07" w:rsidRDefault="002E2A01" w:rsidP="00737A07">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737A07" w:rsidRPr="00737A07">
        <w:rPr>
          <w:rFonts w:ascii="Traditional Arabic" w:hAnsi="Traditional Arabic" w:cs="Traditional Arabic"/>
          <w:rtl/>
        </w:rPr>
        <w:t>ويهدف نموذج</w:t>
      </w:r>
      <w:r w:rsidR="00737A07" w:rsidRPr="00737A07">
        <w:rPr>
          <w:rFonts w:ascii="Traditional Arabic" w:hAnsi="Traditional Arabic" w:cs="Traditional Arabic"/>
        </w:rPr>
        <w:t xml:space="preserve"> </w:t>
      </w:r>
      <w:r w:rsidR="00737A07" w:rsidRPr="00737A07">
        <w:rPr>
          <w:rFonts w:ascii="Traditional Arabic" w:hAnsi="Traditional Arabic" w:cs="Traditional Arabic"/>
          <w:sz w:val="22"/>
          <w:szCs w:val="22"/>
        </w:rPr>
        <w:t>EFQM</w:t>
      </w:r>
      <w:r w:rsidR="00737A07" w:rsidRPr="00737A07">
        <w:rPr>
          <w:rFonts w:ascii="Traditional Arabic" w:hAnsi="Traditional Arabic" w:cs="Traditional Arabic"/>
        </w:rPr>
        <w:t xml:space="preserve"> </w:t>
      </w:r>
      <w:r w:rsidR="00737A07" w:rsidRPr="00737A07">
        <w:rPr>
          <w:rFonts w:ascii="Traditional Arabic" w:hAnsi="Traditional Arabic" w:cs="Traditional Arabic"/>
          <w:rtl/>
        </w:rPr>
        <w:t>إلى مساعدة المؤسسات على تطوير قدراتها التنظيمية وتحقيق التحسين المستمر في أدائها، وذلك من خلال تبني ممارسات إدارية متقدمة تعتمد على الابتكار والتعلم المؤسسي وتحقيق رضا أصحاب المصلحة. كما يسهم هذا النموذج في تعزيز ثقافة التميز داخل المؤسسات وتحفيزها على تحقيق مستويات متقدمة من الأداء المؤسسي</w:t>
      </w:r>
      <w:r w:rsidR="00737A07" w:rsidRPr="00737A07">
        <w:rPr>
          <w:rFonts w:ascii="Traditional Arabic" w:hAnsi="Traditional Arabic" w:cs="Traditional Arabic"/>
        </w:rPr>
        <w:t>.</w:t>
      </w:r>
    </w:p>
    <w:p w14:paraId="3692978B" w14:textId="73E70B06" w:rsidR="00737A07" w:rsidRPr="00737A07" w:rsidRDefault="000C5DED" w:rsidP="00737A07">
      <w:pPr>
        <w:tabs>
          <w:tab w:val="left" w:pos="1368"/>
        </w:tabs>
        <w:bidi/>
        <w:spacing w:line="276" w:lineRule="auto"/>
        <w:jc w:val="both"/>
        <w:rPr>
          <w:rFonts w:ascii="Traditional Arabic" w:hAnsi="Traditional Arabic" w:cs="Traditional Arabic"/>
          <w:b/>
          <w:bCs/>
        </w:rPr>
      </w:pPr>
      <w:r>
        <w:rPr>
          <w:rFonts w:ascii="Traditional Arabic" w:hAnsi="Traditional Arabic" w:cs="Traditional Arabic" w:hint="cs"/>
          <w:b/>
          <w:bCs/>
          <w:rtl/>
        </w:rPr>
        <w:t>2.</w:t>
      </w:r>
      <w:r w:rsidR="00737A07" w:rsidRPr="00737A07">
        <w:rPr>
          <w:rFonts w:ascii="Traditional Arabic" w:hAnsi="Traditional Arabic" w:cs="Traditional Arabic"/>
          <w:b/>
          <w:bCs/>
          <w:rtl/>
        </w:rPr>
        <w:t>نموذج مالكوم بالدريج للتميز المؤسسي</w:t>
      </w:r>
      <w:r w:rsidR="00737A07" w:rsidRPr="00737A07">
        <w:rPr>
          <w:rFonts w:ascii="Traditional Arabic" w:hAnsi="Traditional Arabic" w:cs="Traditional Arabic"/>
          <w:b/>
          <w:bCs/>
        </w:rPr>
        <w:t xml:space="preserve"> </w:t>
      </w:r>
      <w:r w:rsidR="00737A07" w:rsidRPr="00737A07">
        <w:rPr>
          <w:rFonts w:ascii="Traditional Arabic" w:hAnsi="Traditional Arabic" w:cs="Traditional Arabic"/>
          <w:b/>
          <w:bCs/>
          <w:sz w:val="22"/>
          <w:szCs w:val="22"/>
        </w:rPr>
        <w:t>(Malcolm Baldrige Model)</w:t>
      </w:r>
    </w:p>
    <w:p w14:paraId="30CC806C" w14:textId="20BF9748" w:rsidR="00737A07" w:rsidRPr="00737A07" w:rsidRDefault="002E2A01" w:rsidP="00737A07">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737A07" w:rsidRPr="00737A07">
        <w:rPr>
          <w:rFonts w:ascii="Traditional Arabic" w:hAnsi="Traditional Arabic" w:cs="Traditional Arabic"/>
          <w:rtl/>
        </w:rPr>
        <w:t>يعد نموذج مالكوم بالدريج للتميز المؤسسي أحد النماذج العالمية المهمة التي تم تطويرها في الولايات المتحدة الأمريكية بهدف تعزيز جودة الأداء المؤسسي وتحسين القدرة التنافسية للمؤسسات. ويركز هذا النموذج على مجموعة من المعايير الأساسية التي تشمل القيادة، والتخطيط الاستراتيجي، والتركيز على العملاء، وإدارة المعرفة، وتنمية الموارد البشرية، وإدارة العمليات، إضافة إلى النتائج التنظيمية</w:t>
      </w:r>
      <w:r w:rsidR="00737A07" w:rsidRPr="00737A07">
        <w:rPr>
          <w:rFonts w:ascii="Traditional Arabic" w:hAnsi="Traditional Arabic" w:cs="Traditional Arabic"/>
        </w:rPr>
        <w:t>.</w:t>
      </w:r>
    </w:p>
    <w:p w14:paraId="3067804F" w14:textId="6EB98920" w:rsidR="00737A07" w:rsidRPr="00737A07" w:rsidRDefault="002E2A01" w:rsidP="00737A07">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737A07" w:rsidRPr="00737A07">
        <w:rPr>
          <w:rFonts w:ascii="Traditional Arabic" w:hAnsi="Traditional Arabic" w:cs="Traditional Arabic"/>
          <w:rtl/>
        </w:rPr>
        <w:t>ويهدف نموذج مالكوم بالدريج إلى مساعدة المؤسسات على تطوير أنظمة الإدارة لديها وتحسين قدرتها على تحقيق الأداء المتفوق من خلال التركيز على القيادة الاستراتيجية وتحقيق رضا العملاء وتعزيز الابتكار المؤسسي. كما يساعد هذا النموذج المؤسسات على تقييم أدائها التنظيمي بشكل شامل وتحديد مجالات التحسين التي تسهم في تحقيق التميز المؤسسي</w:t>
      </w:r>
      <w:r w:rsidR="00737A07" w:rsidRPr="00737A07">
        <w:rPr>
          <w:rFonts w:ascii="Traditional Arabic" w:hAnsi="Traditional Arabic" w:cs="Traditional Arabic"/>
        </w:rPr>
        <w:t xml:space="preserve"> </w:t>
      </w:r>
      <w:r w:rsidR="00737A07" w:rsidRPr="00737A07">
        <w:rPr>
          <w:rFonts w:ascii="Traditional Arabic" w:hAnsi="Traditional Arabic" w:cs="Traditional Arabic"/>
          <w:sz w:val="22"/>
          <w:szCs w:val="22"/>
        </w:rPr>
        <w:t>(Talwar, 2020).</w:t>
      </w:r>
    </w:p>
    <w:p w14:paraId="0DB21EB5" w14:textId="20950A16" w:rsidR="00737A07" w:rsidRPr="00737A07" w:rsidRDefault="002E2A01" w:rsidP="00737A07">
      <w:pPr>
        <w:tabs>
          <w:tab w:val="left" w:pos="1368"/>
        </w:tabs>
        <w:bidi/>
        <w:spacing w:line="276" w:lineRule="auto"/>
        <w:jc w:val="both"/>
        <w:rPr>
          <w:rFonts w:ascii="Traditional Arabic" w:hAnsi="Traditional Arabic" w:cs="Traditional Arabic"/>
          <w:b/>
          <w:bCs/>
        </w:rPr>
      </w:pPr>
      <w:r>
        <w:rPr>
          <w:rFonts w:ascii="Traditional Arabic" w:hAnsi="Traditional Arabic" w:cs="Traditional Arabic" w:hint="cs"/>
          <w:b/>
          <w:bCs/>
          <w:rtl/>
        </w:rPr>
        <w:t>3.</w:t>
      </w:r>
      <w:r w:rsidR="00737A07" w:rsidRPr="00737A07">
        <w:rPr>
          <w:rFonts w:ascii="Traditional Arabic" w:hAnsi="Traditional Arabic" w:cs="Traditional Arabic"/>
          <w:b/>
          <w:bCs/>
        </w:rPr>
        <w:t xml:space="preserve"> </w:t>
      </w:r>
      <w:r w:rsidR="00737A07" w:rsidRPr="00737A07">
        <w:rPr>
          <w:rFonts w:ascii="Traditional Arabic" w:hAnsi="Traditional Arabic" w:cs="Traditional Arabic"/>
          <w:b/>
          <w:bCs/>
          <w:rtl/>
        </w:rPr>
        <w:t>نموذج ديمنغ للجودة</w:t>
      </w:r>
      <w:r w:rsidR="00737A07" w:rsidRPr="00737A07">
        <w:rPr>
          <w:rFonts w:ascii="Traditional Arabic" w:hAnsi="Traditional Arabic" w:cs="Traditional Arabic"/>
          <w:b/>
          <w:bCs/>
        </w:rPr>
        <w:t xml:space="preserve"> </w:t>
      </w:r>
      <w:r w:rsidR="00737A07" w:rsidRPr="00737A07">
        <w:rPr>
          <w:rFonts w:ascii="Traditional Arabic" w:hAnsi="Traditional Arabic" w:cs="Traditional Arabic"/>
          <w:b/>
          <w:bCs/>
          <w:sz w:val="22"/>
          <w:szCs w:val="22"/>
        </w:rPr>
        <w:t>(Deming Prize)</w:t>
      </w:r>
    </w:p>
    <w:p w14:paraId="0550CE97" w14:textId="3352822C" w:rsidR="00737A07" w:rsidRPr="00737A07" w:rsidRDefault="002E2A01" w:rsidP="00737A07">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737A07" w:rsidRPr="00737A07">
        <w:rPr>
          <w:rFonts w:ascii="Traditional Arabic" w:hAnsi="Traditional Arabic" w:cs="Traditional Arabic"/>
          <w:rtl/>
        </w:rPr>
        <w:t>تعد جائزة ديمنغ للجودة من أقدم النماذج التي ظهرت في مجال تحسين الجودة والتميز المؤسسي، حيث تم تطويرها في اليابان بهدف تعزيز ممارسات إدارة الجودة الشاملة داخل المؤسسات. ويركز هذا النموذج على تطبيق مبادئ الجودة الشاملة وتحسين العمليات التنظيمية بشكل مستمر من خلال استخدام الأساليب العلمية في الإدارة واتخاذ القرار</w:t>
      </w:r>
      <w:r w:rsidR="00737A07" w:rsidRPr="00737A07">
        <w:rPr>
          <w:rFonts w:ascii="Traditional Arabic" w:hAnsi="Traditional Arabic" w:cs="Traditional Arabic"/>
        </w:rPr>
        <w:t>.</w:t>
      </w:r>
    </w:p>
    <w:p w14:paraId="08121940" w14:textId="68500D2D" w:rsidR="00737A07" w:rsidRPr="00737A07" w:rsidRDefault="002E2A01" w:rsidP="00737A07">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737A07" w:rsidRPr="00737A07">
        <w:rPr>
          <w:rFonts w:ascii="Traditional Arabic" w:hAnsi="Traditional Arabic" w:cs="Traditional Arabic"/>
          <w:rtl/>
        </w:rPr>
        <w:t>ويعتمد نموذج ديمنغ على مجموعة من المبادئ التي تهدف إلى تحسين جودة الأداء المؤسسي وتعزيز ثقافة التحسين المستمر داخل المؤسسات، حيث يشجع هذا النموذج المؤسسات على تطوير نظم الإدارة لديها وتحسين كفاءة العمليات التنظيمية بما يسهم في تحقيق الأداء المتفوق</w:t>
      </w:r>
      <w:r w:rsidR="00737A07" w:rsidRPr="00737A07">
        <w:rPr>
          <w:rFonts w:ascii="Traditional Arabic" w:hAnsi="Traditional Arabic" w:cs="Traditional Arabic"/>
        </w:rPr>
        <w:t xml:space="preserve"> </w:t>
      </w:r>
      <w:r w:rsidR="00737A07" w:rsidRPr="00737A07">
        <w:rPr>
          <w:rFonts w:ascii="Traditional Arabic" w:hAnsi="Traditional Arabic" w:cs="Traditional Arabic"/>
          <w:sz w:val="22"/>
          <w:szCs w:val="22"/>
        </w:rPr>
        <w:t>(Talwar, 2020).</w:t>
      </w:r>
    </w:p>
    <w:p w14:paraId="395F6E0A" w14:textId="05CB1D1C" w:rsidR="00737A07" w:rsidRPr="00737A07" w:rsidRDefault="002E2A01" w:rsidP="00737A07">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737A07" w:rsidRPr="00737A07">
        <w:rPr>
          <w:rFonts w:ascii="Traditional Arabic" w:hAnsi="Traditional Arabic" w:cs="Traditional Arabic"/>
          <w:rtl/>
        </w:rPr>
        <w:t>ومن خلال استعراض هذه النماذج يتضح أن جميعها تهدف إلى مساعدة المؤسسات على تحقيق التميز المؤسسي من خلال تطوير القيادة التنظيمية وتحسين إدارة الموارد البشرية وتعزيز جودة العمليات التنظيمية وتحقيق رضا أصحاب المصلحة. كما تسهم هذه النماذج في توفير أطر عملية تساعد المؤسسات على تقييم أدائها التنظيمي وتحديد مجالات التحسين بما يسهم في تحقيق الأداء المتفوق والاستدامة المؤسسية</w:t>
      </w:r>
      <w:r w:rsidR="00737A07" w:rsidRPr="00737A07">
        <w:rPr>
          <w:rFonts w:ascii="Traditional Arabic" w:hAnsi="Traditional Arabic" w:cs="Traditional Arabic"/>
        </w:rPr>
        <w:t>.</w:t>
      </w:r>
    </w:p>
    <w:p w14:paraId="06301E98" w14:textId="7D4649BB" w:rsidR="00FA2C01" w:rsidRPr="00FA2C01" w:rsidRDefault="00FA2C01" w:rsidP="00FA2C01">
      <w:pPr>
        <w:tabs>
          <w:tab w:val="left" w:pos="1368"/>
        </w:tabs>
        <w:bidi/>
        <w:spacing w:line="276" w:lineRule="auto"/>
        <w:jc w:val="both"/>
        <w:rPr>
          <w:rFonts w:ascii="Traditional Arabic" w:hAnsi="Traditional Arabic" w:cs="Traditional Arabic"/>
          <w:b/>
          <w:bCs/>
        </w:rPr>
      </w:pPr>
      <w:r w:rsidRPr="00FA2C01">
        <w:rPr>
          <w:rFonts w:ascii="Traditional Arabic" w:hAnsi="Traditional Arabic" w:cs="Traditional Arabic"/>
          <w:b/>
          <w:bCs/>
          <w:rtl/>
        </w:rPr>
        <w:t>أبعاد التميز المؤسسي</w:t>
      </w:r>
    </w:p>
    <w:p w14:paraId="7F126E2E" w14:textId="3B3602E4" w:rsidR="00FA2C01" w:rsidRPr="00FA2C01" w:rsidRDefault="008D503B" w:rsidP="00FA2C01">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FA2C01" w:rsidRPr="00FA2C01">
        <w:rPr>
          <w:rFonts w:ascii="Traditional Arabic" w:hAnsi="Traditional Arabic" w:cs="Traditional Arabic"/>
          <w:rtl/>
        </w:rPr>
        <w:t xml:space="preserve">يشير التميز المؤسسي إلى قدرة المنظمة على تحقيق أداء متفوق ومستدام من خلال تبني ممارسات إدارية وتنظيمية متكاملة تسهم في تطوير قدراتها التنظيمية وتحسين جودة خدماتها. وقد تناولت الأدبيات الإدارية مفهوم التميز المؤسسي من خلال مجموعة من الأبعاد التي تعكس الجوانب المختلفة للأداء التنظيمي، </w:t>
      </w:r>
      <w:r w:rsidR="00FA2C01" w:rsidRPr="00FA2C01">
        <w:rPr>
          <w:rFonts w:ascii="Traditional Arabic" w:hAnsi="Traditional Arabic" w:cs="Traditional Arabic"/>
          <w:rtl/>
        </w:rPr>
        <w:lastRenderedPageBreak/>
        <w:t xml:space="preserve">والتي تمثل الإطار الذي تعتمد عليه المؤسسات في تحقيق التميز في بيئات العمل المعاصرة. وتشير العديد من الدراسات إلى أن التميز المؤسسي يتحقق من خلال مجموعة من الأبعاد التنظيمية التي تشمل القيادة المؤسسية، والاستراتيجية التنظيمية، وإدارة الموارد البشرية، وإدارة العمليات، ونتائج الأداء المؤسسي </w:t>
      </w:r>
      <w:r w:rsidR="00FA2C01" w:rsidRPr="00FA2C01">
        <w:rPr>
          <w:rFonts w:ascii="Traditional Arabic" w:hAnsi="Traditional Arabic" w:cs="Traditional Arabic"/>
          <w:sz w:val="22"/>
          <w:szCs w:val="22"/>
        </w:rPr>
        <w:t>(EFQM, 2020; Dahlgaard-Park, 2021).</w:t>
      </w:r>
    </w:p>
    <w:p w14:paraId="0119C710" w14:textId="56D12B3F" w:rsidR="00FA2C01" w:rsidRPr="00FA2C01" w:rsidRDefault="00FA2C01" w:rsidP="00FA2C01">
      <w:pPr>
        <w:tabs>
          <w:tab w:val="left" w:pos="1368"/>
        </w:tabs>
        <w:bidi/>
        <w:spacing w:line="276" w:lineRule="auto"/>
        <w:jc w:val="both"/>
        <w:rPr>
          <w:rFonts w:ascii="Traditional Arabic" w:hAnsi="Traditional Arabic" w:cs="Traditional Arabic"/>
          <w:b/>
          <w:bCs/>
        </w:rPr>
      </w:pPr>
      <w:r>
        <w:rPr>
          <w:rFonts w:ascii="Traditional Arabic" w:hAnsi="Traditional Arabic" w:cs="Traditional Arabic" w:hint="cs"/>
          <w:b/>
          <w:bCs/>
          <w:rtl/>
        </w:rPr>
        <w:t>1.</w:t>
      </w:r>
      <w:r w:rsidRPr="00FA2C01">
        <w:rPr>
          <w:rFonts w:ascii="Traditional Arabic" w:hAnsi="Traditional Arabic" w:cs="Traditional Arabic"/>
          <w:b/>
          <w:bCs/>
        </w:rPr>
        <w:t xml:space="preserve"> </w:t>
      </w:r>
      <w:r w:rsidRPr="00FA2C01">
        <w:rPr>
          <w:rFonts w:ascii="Traditional Arabic" w:hAnsi="Traditional Arabic" w:cs="Traditional Arabic"/>
          <w:b/>
          <w:bCs/>
          <w:rtl/>
        </w:rPr>
        <w:t>القيادة المؤسسية</w:t>
      </w:r>
    </w:p>
    <w:p w14:paraId="54F6571A" w14:textId="1753E561" w:rsidR="00FA2C01" w:rsidRPr="00FA2C01" w:rsidRDefault="00FA2C01" w:rsidP="00FA2C01">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Pr="00FA2C01">
        <w:rPr>
          <w:rFonts w:ascii="Traditional Arabic" w:hAnsi="Traditional Arabic" w:cs="Traditional Arabic"/>
          <w:rtl/>
        </w:rPr>
        <w:t>تُعد القيادة المؤسسية أحد أهم الأبعاد التي تسهم في تحقيق التميز المؤسسي، حيث تلعب القيادة دورًا محوريًا في توجيه المنظمة نحو تحقيق أهدافها الاستراتيجية وتعزيز ثقافة التميز داخلها. وتتمثل أهمية القيادة المؤسسية في قدرتها على صياغة الرؤية الاستراتيجية للمنظمة وتحفيز العاملين على تحقيق الأهداف التنظيمية، إضافة إلى دعم الابتكار المؤسسي وتعزيز ثقافة التحسين المستمر داخل المنظمة. كما تسهم القيادة الفاعلة في تعزيز الثقة بين العاملين وتحقيق التكامل بين مختلف الوحدات التنظيمية بما يسهم في تحسين الأداء المؤسسي</w:t>
      </w:r>
      <w:r w:rsidRPr="00FA2C01">
        <w:rPr>
          <w:rFonts w:ascii="Traditional Arabic" w:hAnsi="Traditional Arabic" w:cs="Traditional Arabic"/>
          <w:sz w:val="22"/>
          <w:szCs w:val="22"/>
        </w:rPr>
        <w:t xml:space="preserve"> (Talwar, 2020).</w:t>
      </w:r>
    </w:p>
    <w:p w14:paraId="09785352" w14:textId="18B7AC0E" w:rsidR="00FA2C01" w:rsidRPr="00FA2C01" w:rsidRDefault="008D503B" w:rsidP="00FA2C01">
      <w:pPr>
        <w:tabs>
          <w:tab w:val="left" w:pos="1368"/>
        </w:tabs>
        <w:bidi/>
        <w:spacing w:line="276" w:lineRule="auto"/>
        <w:jc w:val="both"/>
        <w:rPr>
          <w:rFonts w:ascii="Traditional Arabic" w:hAnsi="Traditional Arabic" w:cs="Traditional Arabic"/>
          <w:b/>
          <w:bCs/>
        </w:rPr>
      </w:pPr>
      <w:r>
        <w:rPr>
          <w:rFonts w:ascii="Traditional Arabic" w:hAnsi="Traditional Arabic" w:cs="Traditional Arabic" w:hint="cs"/>
          <w:b/>
          <w:bCs/>
          <w:rtl/>
        </w:rPr>
        <w:t>2.</w:t>
      </w:r>
      <w:r w:rsidR="00FA2C01" w:rsidRPr="00FA2C01">
        <w:rPr>
          <w:rFonts w:ascii="Traditional Arabic" w:hAnsi="Traditional Arabic" w:cs="Traditional Arabic"/>
          <w:b/>
          <w:bCs/>
        </w:rPr>
        <w:t xml:space="preserve"> </w:t>
      </w:r>
      <w:r w:rsidR="00FA2C01" w:rsidRPr="00FA2C01">
        <w:rPr>
          <w:rFonts w:ascii="Traditional Arabic" w:hAnsi="Traditional Arabic" w:cs="Traditional Arabic"/>
          <w:b/>
          <w:bCs/>
          <w:rtl/>
        </w:rPr>
        <w:t>الاستراتيجية التنظيمية</w:t>
      </w:r>
    </w:p>
    <w:p w14:paraId="68212BAE" w14:textId="554CF085" w:rsidR="00FA2C01" w:rsidRPr="00FA2C01" w:rsidRDefault="00FA2C01" w:rsidP="00FA2C01">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Pr="00FA2C01">
        <w:rPr>
          <w:rFonts w:ascii="Traditional Arabic" w:hAnsi="Traditional Arabic" w:cs="Traditional Arabic"/>
          <w:rtl/>
        </w:rPr>
        <w:t>يشير بعد الاستراتيجية التنظيمية إلى قدرة المؤسسة على صياغة وتنفيذ استراتيجيات واضحة تساعدها على تحقيق أهدافها التنظيمية في بيئات العمل المتغيرة. حيث تعتمد المؤسسات المتميزة على التخطيط الاستراتيجي في تحديد أولوياتها المستقبلية وتوجيه مواردها التنظيمية نحو تحقيق أهدافها الاستراتيجية. كما يسهم هذا البعد في تعزيز قدرة المنظمة على التكيف مع التغيرات البيئية من خلال تطوير استراتيجيات مرنة تمكنها من تحقيق الأداء المتفوق والاستدامة المؤسسية</w:t>
      </w:r>
      <w:r w:rsidRPr="00FA2C01">
        <w:rPr>
          <w:rFonts w:ascii="Traditional Arabic" w:hAnsi="Traditional Arabic" w:cs="Traditional Arabic"/>
        </w:rPr>
        <w:t xml:space="preserve"> </w:t>
      </w:r>
      <w:r w:rsidRPr="00FA2C01">
        <w:rPr>
          <w:rFonts w:ascii="Traditional Arabic" w:hAnsi="Traditional Arabic" w:cs="Traditional Arabic"/>
          <w:sz w:val="22"/>
          <w:szCs w:val="22"/>
        </w:rPr>
        <w:t>(Dahlgaard-Park, 2021).</w:t>
      </w:r>
    </w:p>
    <w:p w14:paraId="5B95A992" w14:textId="43D49E2E" w:rsidR="00FA2C01" w:rsidRPr="00FA2C01" w:rsidRDefault="00FA2C01" w:rsidP="00FA2C01">
      <w:pPr>
        <w:tabs>
          <w:tab w:val="left" w:pos="1368"/>
        </w:tabs>
        <w:bidi/>
        <w:spacing w:line="276" w:lineRule="auto"/>
        <w:jc w:val="both"/>
        <w:rPr>
          <w:rFonts w:ascii="Traditional Arabic" w:hAnsi="Traditional Arabic" w:cs="Traditional Arabic"/>
          <w:b/>
          <w:bCs/>
        </w:rPr>
      </w:pPr>
      <w:r>
        <w:rPr>
          <w:rFonts w:ascii="Traditional Arabic" w:hAnsi="Traditional Arabic" w:cs="Traditional Arabic" w:hint="cs"/>
          <w:b/>
          <w:bCs/>
          <w:rtl/>
        </w:rPr>
        <w:t>3.</w:t>
      </w:r>
      <w:r w:rsidRPr="00FA2C01">
        <w:rPr>
          <w:rFonts w:ascii="Traditional Arabic" w:hAnsi="Traditional Arabic" w:cs="Traditional Arabic"/>
          <w:b/>
          <w:bCs/>
        </w:rPr>
        <w:t xml:space="preserve"> </w:t>
      </w:r>
      <w:r w:rsidRPr="00FA2C01">
        <w:rPr>
          <w:rFonts w:ascii="Traditional Arabic" w:hAnsi="Traditional Arabic" w:cs="Traditional Arabic"/>
          <w:b/>
          <w:bCs/>
          <w:rtl/>
        </w:rPr>
        <w:t>إدارة الموارد البشرية</w:t>
      </w:r>
    </w:p>
    <w:p w14:paraId="17972D71" w14:textId="30291FA2" w:rsidR="00FA2C01" w:rsidRPr="00FA2C01" w:rsidRDefault="00FA2C01" w:rsidP="00FA2C01">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Pr="00FA2C01">
        <w:rPr>
          <w:rFonts w:ascii="Traditional Arabic" w:hAnsi="Traditional Arabic" w:cs="Traditional Arabic"/>
          <w:rtl/>
        </w:rPr>
        <w:t>تمثل الموارد البشرية أحد العوامل الأساسية التي تسهم في تحقيق التميز المؤسسي، حيث تعتمد المؤسسات المتميزة على تطوير قدرات العاملين لديها وتعزيز مهاراتهم بما يسهم في تحسين الأداء التنظيمي. وتشمل إدارة الموارد البشرية مجموعة من الممارسات التي تهدف إلى استقطاب الكفاءات وتطوير مهارات العاملين وتحفيزهم على الابتكار والمشاركة في عمليات التحسين المستمر. كما تسهم إدارة الموارد البشرية الفاعلة في تعزيز ثقافة العمل الجماعي وتحقيق التكامل بين العاملين داخل المنظمة</w:t>
      </w:r>
      <w:r w:rsidRPr="00FA2C01">
        <w:rPr>
          <w:rFonts w:ascii="Traditional Arabic" w:hAnsi="Traditional Arabic" w:cs="Traditional Arabic"/>
        </w:rPr>
        <w:t xml:space="preserve"> </w:t>
      </w:r>
      <w:r w:rsidRPr="00FA2C01">
        <w:rPr>
          <w:rFonts w:ascii="Traditional Arabic" w:hAnsi="Traditional Arabic" w:cs="Traditional Arabic"/>
          <w:sz w:val="22"/>
          <w:szCs w:val="22"/>
        </w:rPr>
        <w:t>(EFQM, 2020).</w:t>
      </w:r>
    </w:p>
    <w:p w14:paraId="1DB71501" w14:textId="6E9841AB" w:rsidR="00FA2C01" w:rsidRPr="00FA2C01" w:rsidRDefault="00FA2C01" w:rsidP="00FA2C01">
      <w:pPr>
        <w:tabs>
          <w:tab w:val="left" w:pos="1368"/>
        </w:tabs>
        <w:bidi/>
        <w:spacing w:line="276" w:lineRule="auto"/>
        <w:jc w:val="both"/>
        <w:rPr>
          <w:rFonts w:ascii="Traditional Arabic" w:hAnsi="Traditional Arabic" w:cs="Traditional Arabic"/>
          <w:b/>
          <w:bCs/>
        </w:rPr>
      </w:pPr>
      <w:r>
        <w:rPr>
          <w:rFonts w:ascii="Traditional Arabic" w:hAnsi="Traditional Arabic" w:cs="Traditional Arabic" w:hint="cs"/>
          <w:b/>
          <w:bCs/>
          <w:rtl/>
        </w:rPr>
        <w:t>4.</w:t>
      </w:r>
      <w:r w:rsidRPr="00FA2C01">
        <w:rPr>
          <w:rFonts w:ascii="Traditional Arabic" w:hAnsi="Traditional Arabic" w:cs="Traditional Arabic"/>
          <w:b/>
          <w:bCs/>
        </w:rPr>
        <w:t xml:space="preserve"> </w:t>
      </w:r>
      <w:r w:rsidRPr="00FA2C01">
        <w:rPr>
          <w:rFonts w:ascii="Traditional Arabic" w:hAnsi="Traditional Arabic" w:cs="Traditional Arabic"/>
          <w:b/>
          <w:bCs/>
          <w:rtl/>
        </w:rPr>
        <w:t>إدارة العمليات</w:t>
      </w:r>
    </w:p>
    <w:p w14:paraId="13AD8FBF" w14:textId="7ADE8776" w:rsidR="00FA2C01" w:rsidRPr="00FA2C01" w:rsidRDefault="00FA2C01" w:rsidP="00FA2C01">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Pr="00FA2C01">
        <w:rPr>
          <w:rFonts w:ascii="Traditional Arabic" w:hAnsi="Traditional Arabic" w:cs="Traditional Arabic"/>
          <w:rtl/>
        </w:rPr>
        <w:t>يشير بعد إدارة العمليات إلى قدرة المؤسسة على تصميم وتنفيذ العمليات التنظيمية بكفاءة وفعالية بما يسهم في تحقيق جودة المنتجات والخدمات المقدمة للمستفيدين. حيث تسعى المؤسسات المتميزة إلى تحسين عملياتها التنظيمية بشكل مستمر من خلال تبني أساليب الإدارة الحديثة واستخدام التقنيات المتطورة في إدارة العمليات التنظيمية. ويساعد تحسين العمليات التنظيمية المؤسسات على تحقيق الكفاءة التشغيلية وتعزيز قدرتها على تحقيق الأداء المتفوق</w:t>
      </w:r>
      <w:r w:rsidRPr="00FA2C01">
        <w:rPr>
          <w:rFonts w:ascii="Traditional Arabic" w:hAnsi="Traditional Arabic" w:cs="Traditional Arabic"/>
        </w:rPr>
        <w:t xml:space="preserve"> </w:t>
      </w:r>
      <w:r w:rsidRPr="00FA2C01">
        <w:rPr>
          <w:rFonts w:ascii="Traditional Arabic" w:hAnsi="Traditional Arabic" w:cs="Traditional Arabic"/>
          <w:sz w:val="22"/>
          <w:szCs w:val="22"/>
        </w:rPr>
        <w:t>(Talwar, 2020).</w:t>
      </w:r>
    </w:p>
    <w:p w14:paraId="047057B3" w14:textId="391D0856" w:rsidR="00FA2C01" w:rsidRPr="00FA2C01" w:rsidRDefault="00FA2C01" w:rsidP="00FA2C01">
      <w:pPr>
        <w:tabs>
          <w:tab w:val="left" w:pos="1368"/>
        </w:tabs>
        <w:bidi/>
        <w:spacing w:line="276" w:lineRule="auto"/>
        <w:jc w:val="both"/>
        <w:rPr>
          <w:rFonts w:ascii="Traditional Arabic" w:hAnsi="Traditional Arabic" w:cs="Traditional Arabic"/>
          <w:b/>
          <w:bCs/>
        </w:rPr>
      </w:pPr>
      <w:r>
        <w:rPr>
          <w:rFonts w:ascii="Traditional Arabic" w:hAnsi="Traditional Arabic" w:cs="Traditional Arabic" w:hint="cs"/>
          <w:b/>
          <w:bCs/>
          <w:rtl/>
        </w:rPr>
        <w:t>5.</w:t>
      </w:r>
      <w:r w:rsidRPr="00FA2C01">
        <w:rPr>
          <w:rFonts w:ascii="Traditional Arabic" w:hAnsi="Traditional Arabic" w:cs="Traditional Arabic"/>
          <w:b/>
          <w:bCs/>
        </w:rPr>
        <w:t xml:space="preserve"> </w:t>
      </w:r>
      <w:r w:rsidRPr="00FA2C01">
        <w:rPr>
          <w:rFonts w:ascii="Traditional Arabic" w:hAnsi="Traditional Arabic" w:cs="Traditional Arabic"/>
          <w:b/>
          <w:bCs/>
          <w:rtl/>
        </w:rPr>
        <w:t>نتائج الأداء المؤسسي</w:t>
      </w:r>
    </w:p>
    <w:p w14:paraId="64E1222D" w14:textId="5A586545" w:rsidR="00FA2C01" w:rsidRPr="00FA2C01" w:rsidRDefault="00FA2C01" w:rsidP="00FA2C01">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Pr="00FA2C01">
        <w:rPr>
          <w:rFonts w:ascii="Traditional Arabic" w:hAnsi="Traditional Arabic" w:cs="Traditional Arabic"/>
          <w:rtl/>
        </w:rPr>
        <w:t>تمثل نتائج الأداء المؤسسي أحد الأبعاد الأساسية التي تعكس مستوى التميز المؤسسي داخل المنظمة، حيث تشير إلى النتائج التي تحققها المؤسسة في مختلف مجالات أدائها التنظيمي، بما في ذلك رضا المستفيدين، ومستوى أداء العاملين، والأداء المالي والتنظيمي. وتعد نتائج الأداء المؤسسي مؤشرًا مهمًا لقياس مدى نجاح المؤسسة في تطبيق ممارسات التميز المؤسسي وتحقيق أهدافها الاستراتيجية</w:t>
      </w:r>
      <w:r w:rsidRPr="00FA2C01">
        <w:rPr>
          <w:rFonts w:ascii="Traditional Arabic" w:hAnsi="Traditional Arabic" w:cs="Traditional Arabic"/>
        </w:rPr>
        <w:t xml:space="preserve"> </w:t>
      </w:r>
      <w:r w:rsidRPr="00FA2C01">
        <w:rPr>
          <w:rFonts w:ascii="Traditional Arabic" w:hAnsi="Traditional Arabic" w:cs="Traditional Arabic"/>
          <w:sz w:val="22"/>
          <w:szCs w:val="22"/>
        </w:rPr>
        <w:t>(EFQM, 2020)</w:t>
      </w:r>
      <w:r w:rsidRPr="00FA2C01">
        <w:rPr>
          <w:rFonts w:ascii="Traditional Arabic" w:hAnsi="Traditional Arabic" w:cs="Traditional Arabic"/>
        </w:rPr>
        <w:t>.</w:t>
      </w:r>
    </w:p>
    <w:p w14:paraId="2BE9025F" w14:textId="597CDD02" w:rsidR="00FA2C01" w:rsidRPr="00FA2C01" w:rsidRDefault="00FA2C01" w:rsidP="00FA2C01">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lastRenderedPageBreak/>
        <w:t xml:space="preserve">     </w:t>
      </w:r>
      <w:r w:rsidRPr="00FA2C01">
        <w:rPr>
          <w:rFonts w:ascii="Traditional Arabic" w:hAnsi="Traditional Arabic" w:cs="Traditional Arabic"/>
          <w:rtl/>
        </w:rPr>
        <w:t>وبناءً على ما سبق، يمكن القول إن التميز المؤسسي يتحقق من خلال تكامل مجموعة من الأبعاد التنظيمية التي تسهم في تطوير القدرات المؤسسية وتحسين جودة الأداء التنظيمي. حيث تلعب القيادة المؤسسية دورًا في توجيه المنظمة نحو تحقيق أهدافها الاستراتيجية، بينما تسهم الاستراتيجية التنظيمية في تحديد المسار المستقبلي للمؤسسة، كما تعمل إدارة الموارد البشرية على تطوير قدرات العاملين، في حين تساعد إدارة العمليات على تحسين كفاءة الأداء التنظيمي، وتعمل نتائج الأداء المؤسسي على قياس مدى نجاح المؤسسة في تحقيق التميز التنظيمي</w:t>
      </w:r>
      <w:r w:rsidRPr="00FA2C01">
        <w:rPr>
          <w:rFonts w:ascii="Traditional Arabic" w:hAnsi="Traditional Arabic" w:cs="Traditional Arabic"/>
        </w:rPr>
        <w:t>.</w:t>
      </w:r>
    </w:p>
    <w:p w14:paraId="51CFD86E" w14:textId="77777777" w:rsidR="008D71C2" w:rsidRPr="008D71C2" w:rsidRDefault="008D71C2" w:rsidP="008D71C2">
      <w:pPr>
        <w:tabs>
          <w:tab w:val="left" w:pos="1368"/>
        </w:tabs>
        <w:bidi/>
        <w:spacing w:line="276" w:lineRule="auto"/>
        <w:jc w:val="both"/>
        <w:rPr>
          <w:rFonts w:ascii="Traditional Arabic" w:hAnsi="Traditional Arabic" w:cs="Traditional Arabic"/>
          <w:b/>
          <w:bCs/>
        </w:rPr>
      </w:pPr>
      <w:r w:rsidRPr="008D71C2">
        <w:rPr>
          <w:rFonts w:ascii="Traditional Arabic" w:hAnsi="Traditional Arabic" w:cs="Traditional Arabic"/>
          <w:b/>
          <w:bCs/>
          <w:rtl/>
        </w:rPr>
        <w:t>ثالثاً: الاستدامة المؤسسية</w:t>
      </w:r>
      <w:r w:rsidRPr="008D71C2">
        <w:rPr>
          <w:rFonts w:ascii="Traditional Arabic" w:hAnsi="Traditional Arabic" w:cs="Traditional Arabic"/>
          <w:b/>
          <w:bCs/>
        </w:rPr>
        <w:t xml:space="preserve"> </w:t>
      </w:r>
      <w:r w:rsidRPr="008D71C2">
        <w:rPr>
          <w:rFonts w:ascii="Traditional Arabic" w:hAnsi="Traditional Arabic" w:cs="Traditional Arabic"/>
          <w:b/>
          <w:bCs/>
          <w:sz w:val="22"/>
          <w:szCs w:val="22"/>
        </w:rPr>
        <w:t>(Organizational Sustainability)</w:t>
      </w:r>
    </w:p>
    <w:p w14:paraId="2DAEC3C3" w14:textId="0C877C61" w:rsidR="008D71C2" w:rsidRPr="008D71C2" w:rsidRDefault="008D71C2" w:rsidP="008D71C2">
      <w:pPr>
        <w:tabs>
          <w:tab w:val="left" w:pos="1368"/>
        </w:tabs>
        <w:bidi/>
        <w:spacing w:line="276" w:lineRule="auto"/>
        <w:jc w:val="both"/>
        <w:rPr>
          <w:rFonts w:ascii="Traditional Arabic" w:hAnsi="Traditional Arabic" w:cs="Traditional Arabic"/>
          <w:b/>
          <w:bCs/>
        </w:rPr>
      </w:pPr>
      <w:r w:rsidRPr="008D71C2">
        <w:rPr>
          <w:rFonts w:ascii="Traditional Arabic" w:hAnsi="Traditional Arabic" w:cs="Traditional Arabic"/>
          <w:b/>
          <w:bCs/>
          <w:rtl/>
        </w:rPr>
        <w:t>مفهوم الاستدامة المؤسسية</w:t>
      </w:r>
    </w:p>
    <w:p w14:paraId="2498D47A" w14:textId="295BECF2" w:rsidR="008D71C2" w:rsidRPr="008D71C2" w:rsidRDefault="008D71C2" w:rsidP="008D71C2">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Pr="008D71C2">
        <w:rPr>
          <w:rFonts w:ascii="Traditional Arabic" w:hAnsi="Traditional Arabic" w:cs="Traditional Arabic"/>
          <w:rtl/>
        </w:rPr>
        <w:t>يُعد مفهوم الاستدامة المؤسسية من المفاهيم الحديثة التي حظيت باهتمام متزايد في الأدبيات الإدارية خلال العقود الأخيرة، وذلك في ظل التحديات المتزايدة التي تواجه المؤسسات في بيئات العمل المعاصرة. فقد أصبحت المؤسسات مطالبة بتحقيق التوازن بين تحقيق أهدافها الاقتصادية والمحافظة على الموارد البيئية وتعزيز المسؤولية الاجتماعية، بما يضمن استمرارية أدائها وقدرتها على تحقيق القيمة المستدامة لأصحاب المصلحة</w:t>
      </w:r>
      <w:r w:rsidRPr="008D71C2">
        <w:rPr>
          <w:rFonts w:ascii="Traditional Arabic" w:hAnsi="Traditional Arabic" w:cs="Traditional Arabic"/>
        </w:rPr>
        <w:t>.</w:t>
      </w:r>
    </w:p>
    <w:p w14:paraId="161C0E7C" w14:textId="77777777" w:rsidR="008D71C2" w:rsidRPr="008D71C2" w:rsidRDefault="008D71C2" w:rsidP="008D71C2">
      <w:pPr>
        <w:tabs>
          <w:tab w:val="left" w:pos="1368"/>
        </w:tabs>
        <w:bidi/>
        <w:spacing w:line="276" w:lineRule="auto"/>
        <w:jc w:val="both"/>
        <w:rPr>
          <w:rFonts w:ascii="Traditional Arabic" w:hAnsi="Traditional Arabic" w:cs="Traditional Arabic"/>
        </w:rPr>
      </w:pPr>
      <w:r w:rsidRPr="008D71C2">
        <w:rPr>
          <w:rFonts w:ascii="Traditional Arabic" w:hAnsi="Traditional Arabic" w:cs="Traditional Arabic"/>
          <w:rtl/>
        </w:rPr>
        <w:t>وتشير الاستدامة المؤسسية بشكل عام إلى قدرة المنظمة على تحقيق الاستمرارية في أدائها وتحقيق أهدافها على المدى الطويل من خلال الإدارة الفعالة لمواردها الاقتصادية والاجتماعية والبيئية. ويعكس هذا المفهوم توجه المؤسسات نحو تبني ممارسات تنظيمية مسؤولة تسهم في تحقيق التنمية المستدامة وتعزيز قدرتها على التكيف مع التغيرات البيئية والاقتصادية</w:t>
      </w:r>
      <w:r w:rsidRPr="008D71C2">
        <w:rPr>
          <w:rFonts w:ascii="Traditional Arabic" w:hAnsi="Traditional Arabic" w:cs="Traditional Arabic"/>
          <w:sz w:val="22"/>
          <w:szCs w:val="22"/>
        </w:rPr>
        <w:t xml:space="preserve"> (Lozano, 2022).</w:t>
      </w:r>
    </w:p>
    <w:p w14:paraId="4D646D6F" w14:textId="748C86D3" w:rsidR="008D71C2" w:rsidRPr="008D71C2" w:rsidRDefault="008D71C2" w:rsidP="008D71C2">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Pr="008D71C2">
        <w:rPr>
          <w:rFonts w:ascii="Traditional Arabic" w:hAnsi="Traditional Arabic" w:cs="Traditional Arabic"/>
          <w:rtl/>
        </w:rPr>
        <w:t>كما تُعرف الاستدامة المؤسسية بأنها قدرة المؤسسة على تحقيق التوازن بين الأبعاد الاقتصادية والاجتماعية والبيئية لأنشطتها التنظيمية، بحيث تتمكن من تحقيق الأداء المتفوق في الحاضر دون التأثير سلبًا على قدرتها على تحقيق الأداء في المستقبل</w:t>
      </w:r>
      <w:r w:rsidRPr="008D71C2">
        <w:rPr>
          <w:rFonts w:ascii="Traditional Arabic" w:hAnsi="Traditional Arabic" w:cs="Traditional Arabic"/>
        </w:rPr>
        <w:t xml:space="preserve"> </w:t>
      </w:r>
      <w:r w:rsidRPr="008D71C2">
        <w:rPr>
          <w:rFonts w:ascii="Traditional Arabic" w:hAnsi="Traditional Arabic" w:cs="Traditional Arabic"/>
          <w:sz w:val="22"/>
          <w:szCs w:val="22"/>
        </w:rPr>
        <w:t>(Bansal &amp; Song, 2017).</w:t>
      </w:r>
    </w:p>
    <w:p w14:paraId="20C7129E" w14:textId="77777777" w:rsidR="008D71C2" w:rsidRPr="008D71C2" w:rsidRDefault="008D71C2" w:rsidP="008D71C2">
      <w:pPr>
        <w:tabs>
          <w:tab w:val="left" w:pos="1368"/>
        </w:tabs>
        <w:bidi/>
        <w:spacing w:line="276" w:lineRule="auto"/>
        <w:jc w:val="both"/>
        <w:rPr>
          <w:rFonts w:ascii="Traditional Arabic" w:hAnsi="Traditional Arabic" w:cs="Traditional Arabic"/>
        </w:rPr>
      </w:pPr>
      <w:r w:rsidRPr="008D71C2">
        <w:rPr>
          <w:rFonts w:ascii="Traditional Arabic" w:hAnsi="Traditional Arabic" w:cs="Traditional Arabic"/>
          <w:rtl/>
        </w:rPr>
        <w:t>وفي إطار الإدارة الحديثة، يُنظر إلى الاستدامة المؤسسية بوصفها نهجًا استراتيجيًا يهدف إلى دمج مبادئ الاستدامة في مختلف جوانب العمل التنظيمي، بما يشمل التخطيط الاستراتيجي وإدارة الموارد البشرية وإدارة العمليات التنظيمية، إضافة إلى تعزيز الابتكار المؤسسي بما يسهم في تحقيق الأداء المستدام للمؤسسات</w:t>
      </w:r>
      <w:r w:rsidRPr="008D71C2">
        <w:rPr>
          <w:rFonts w:ascii="Traditional Arabic" w:hAnsi="Traditional Arabic" w:cs="Traditional Arabic"/>
        </w:rPr>
        <w:t xml:space="preserve"> </w:t>
      </w:r>
      <w:r w:rsidRPr="008D71C2">
        <w:rPr>
          <w:rFonts w:ascii="Traditional Arabic" w:hAnsi="Traditional Arabic" w:cs="Traditional Arabic"/>
          <w:sz w:val="22"/>
          <w:szCs w:val="22"/>
        </w:rPr>
        <w:t>(Lozano, 2022).</w:t>
      </w:r>
    </w:p>
    <w:p w14:paraId="10220254" w14:textId="725B71E6" w:rsidR="008D71C2" w:rsidRPr="008D71C2" w:rsidRDefault="008D71C2" w:rsidP="008D71C2">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Pr="008D71C2">
        <w:rPr>
          <w:rFonts w:ascii="Traditional Arabic" w:hAnsi="Traditional Arabic" w:cs="Traditional Arabic"/>
          <w:rtl/>
        </w:rPr>
        <w:t>كما تؤكد بعض الدراسات أن المؤسسات التي تتبنى ممارسات الاستدامة المؤسسية تكون أكثر قدرة على تعزيز سمعتها التنظيمية وتحقيق رضا أصحاب المصلحة، إضافة إلى قدرتها على تحقيق التوازن بين تحقيق الأرباح والحفاظ على الموارد البيئية وتعزيز المسؤولية الاجتماعية</w:t>
      </w:r>
      <w:r w:rsidRPr="008D71C2">
        <w:rPr>
          <w:rFonts w:ascii="Traditional Arabic" w:hAnsi="Traditional Arabic" w:cs="Traditional Arabic"/>
        </w:rPr>
        <w:t xml:space="preserve"> </w:t>
      </w:r>
      <w:r w:rsidRPr="008D71C2">
        <w:rPr>
          <w:rFonts w:ascii="Traditional Arabic" w:hAnsi="Traditional Arabic" w:cs="Traditional Arabic"/>
          <w:sz w:val="22"/>
          <w:szCs w:val="22"/>
        </w:rPr>
        <w:t>(Bansal &amp; Song, 2017).</w:t>
      </w:r>
    </w:p>
    <w:p w14:paraId="03C01C92" w14:textId="0E2D4474" w:rsidR="008D71C2" w:rsidRPr="008D71C2" w:rsidRDefault="008D71C2" w:rsidP="008D71C2">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Pr="008D71C2">
        <w:rPr>
          <w:rFonts w:ascii="Traditional Arabic" w:hAnsi="Traditional Arabic" w:cs="Traditional Arabic"/>
          <w:rtl/>
        </w:rPr>
        <w:t>وفي سياق المؤسسات الحكومية، تكتسب الاستدامة المؤسسية أهمية متزايدة نظرًا لدورها في تعزيز كفاءة الأداء الحكومي وتحسين جودة الخدمات العامة. حيث تسعى المؤسسات الحكومية إلى تبني ممارسات إدارية مستدامة تساعدها على تحقيق الاستخدام الأمثل للموارد العامة وتحقيق التنمية المستدامة للمجتمع</w:t>
      </w:r>
      <w:r w:rsidRPr="008D71C2">
        <w:rPr>
          <w:rFonts w:ascii="Traditional Arabic" w:hAnsi="Traditional Arabic" w:cs="Traditional Arabic"/>
        </w:rPr>
        <w:t>.</w:t>
      </w:r>
    </w:p>
    <w:p w14:paraId="7C14CE86" w14:textId="6D6D3A79" w:rsidR="008D71C2" w:rsidRPr="008D71C2" w:rsidRDefault="008D71C2" w:rsidP="008D71C2">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Pr="008D71C2">
        <w:rPr>
          <w:rFonts w:ascii="Traditional Arabic" w:hAnsi="Traditional Arabic" w:cs="Traditional Arabic"/>
          <w:rtl/>
        </w:rPr>
        <w:t>وفي المملكة العربية السعودية، يحظى مفهوم الاستدامة المؤسسية باهتمام كبير في إطار رؤية المملكة 2030 التي تهدف إلى تحقيق التنمية المستدامة وتعزيز كفاءة الأداء الحكومي. حيث تسعى الجهات الحكومية إلى تبني سياسات وممارسات تنظيمية تسهم في تحقيق الاستدامة المؤسسية وتعزيز قدرتها على تحقيق أهداف التنمية الوطنية</w:t>
      </w:r>
      <w:r w:rsidRPr="008D71C2">
        <w:rPr>
          <w:rFonts w:ascii="Traditional Arabic" w:hAnsi="Traditional Arabic" w:cs="Traditional Arabic"/>
        </w:rPr>
        <w:t>.</w:t>
      </w:r>
    </w:p>
    <w:p w14:paraId="4543E171" w14:textId="5AA747E2" w:rsidR="008D71C2" w:rsidRPr="008D71C2" w:rsidRDefault="008D71C2" w:rsidP="008D71C2">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Pr="008D71C2">
        <w:rPr>
          <w:rFonts w:ascii="Traditional Arabic" w:hAnsi="Traditional Arabic" w:cs="Traditional Arabic"/>
          <w:rtl/>
        </w:rPr>
        <w:t>وبناءً على ما سبق، يمكن تعريف الاستدامة المؤسسية إجرائيًا في إطار هذه الدراسة بأنها</w:t>
      </w:r>
      <w:r w:rsidRPr="008D71C2">
        <w:rPr>
          <w:rFonts w:ascii="Traditional Arabic" w:hAnsi="Traditional Arabic" w:cs="Traditional Arabic"/>
        </w:rPr>
        <w:t>:</w:t>
      </w:r>
      <w:r w:rsidRPr="008D71C2">
        <w:rPr>
          <w:rFonts w:ascii="Traditional Arabic" w:hAnsi="Traditional Arabic" w:cs="Traditional Arabic" w:hint="cs"/>
          <w:rtl/>
        </w:rPr>
        <w:t xml:space="preserve"> </w:t>
      </w:r>
      <w:r w:rsidRPr="008D71C2">
        <w:rPr>
          <w:rFonts w:ascii="Traditional Arabic" w:hAnsi="Traditional Arabic" w:cs="Traditional Arabic"/>
          <w:rtl/>
        </w:rPr>
        <w:t>قدرة المؤسسات الحكومية على تحقيق الاستمرارية في أدائها التنظيمي من خلال الإدارة الفعالة لمواردها الاقتصادية والاجتماعية والبيئية بما يسهم في تحقيق التنمية المستدامة وتحقيق التميز المؤسسي على المدى الطويل</w:t>
      </w:r>
      <w:r w:rsidRPr="008D71C2">
        <w:rPr>
          <w:rFonts w:ascii="Traditional Arabic" w:hAnsi="Traditional Arabic" w:cs="Traditional Arabic"/>
        </w:rPr>
        <w:t>.</w:t>
      </w:r>
    </w:p>
    <w:p w14:paraId="412E9C4A" w14:textId="44BB4904" w:rsidR="004E3654" w:rsidRPr="004E3654" w:rsidRDefault="004E3654" w:rsidP="004E3654">
      <w:pPr>
        <w:tabs>
          <w:tab w:val="left" w:pos="1368"/>
        </w:tabs>
        <w:bidi/>
        <w:spacing w:line="276" w:lineRule="auto"/>
        <w:jc w:val="both"/>
        <w:rPr>
          <w:rFonts w:ascii="Traditional Arabic" w:hAnsi="Traditional Arabic" w:cs="Traditional Arabic"/>
          <w:b/>
          <w:bCs/>
        </w:rPr>
      </w:pPr>
      <w:r w:rsidRPr="004E3654">
        <w:rPr>
          <w:rFonts w:ascii="Traditional Arabic" w:hAnsi="Traditional Arabic" w:cs="Traditional Arabic"/>
          <w:b/>
          <w:bCs/>
          <w:rtl/>
        </w:rPr>
        <w:t>نشأة وتطور مفهوم الاستدامة المؤسسية</w:t>
      </w:r>
    </w:p>
    <w:p w14:paraId="342E92E8" w14:textId="52934AA4" w:rsidR="004E3654" w:rsidRPr="004E3654" w:rsidRDefault="004E3654" w:rsidP="004E3654">
      <w:pPr>
        <w:tabs>
          <w:tab w:val="left" w:pos="1368"/>
        </w:tabs>
        <w:bidi/>
        <w:spacing w:line="276" w:lineRule="auto"/>
        <w:jc w:val="both"/>
        <w:rPr>
          <w:rFonts w:ascii="Traditional Arabic" w:hAnsi="Traditional Arabic" w:cs="Traditional Arabic"/>
        </w:rPr>
      </w:pPr>
      <w:r w:rsidRPr="004E3654">
        <w:rPr>
          <w:rFonts w:ascii="Traditional Arabic" w:hAnsi="Traditional Arabic" w:cs="Traditional Arabic" w:hint="cs"/>
          <w:rtl/>
        </w:rPr>
        <w:lastRenderedPageBreak/>
        <w:t xml:space="preserve">     </w:t>
      </w:r>
      <w:r w:rsidRPr="004E3654">
        <w:rPr>
          <w:rFonts w:ascii="Traditional Arabic" w:hAnsi="Traditional Arabic" w:cs="Traditional Arabic"/>
          <w:rtl/>
        </w:rPr>
        <w:t>شهد مفهوم الاستدامة المؤسسية تطورًا ملحوظًا في الأدبيات الإدارية خلال العقود الماضية، حيث ارتبط ظهوره بالاهتمام العالمي بقضايا التنمية المستدامة والحفاظ على الموارد الطبيعية وتحقيق التوازن بين الأبعاد الاقتصادية والاجتماعية والبيئية للتنمية. وقد بدأ الاهتمام بهذا المفهوم يتزايد منذ أواخر القرن العشرين نتيجة التحديات البيئية والاقتصادية والاجتماعية التي واجهت المجتمعات والمؤسسات على حد سواء</w:t>
      </w:r>
      <w:r w:rsidRPr="004E3654">
        <w:rPr>
          <w:rFonts w:ascii="Traditional Arabic" w:hAnsi="Traditional Arabic" w:cs="Traditional Arabic"/>
        </w:rPr>
        <w:t>.</w:t>
      </w:r>
    </w:p>
    <w:p w14:paraId="79C6A7D1" w14:textId="297ED848" w:rsidR="004E3654" w:rsidRPr="004E3654" w:rsidRDefault="004E3654" w:rsidP="004E3654">
      <w:pPr>
        <w:tabs>
          <w:tab w:val="left" w:pos="1368"/>
        </w:tabs>
        <w:bidi/>
        <w:spacing w:line="276" w:lineRule="auto"/>
        <w:jc w:val="both"/>
        <w:rPr>
          <w:rFonts w:ascii="Traditional Arabic" w:hAnsi="Traditional Arabic" w:cs="Traditional Arabic"/>
        </w:rPr>
      </w:pPr>
      <w:r w:rsidRPr="004E3654">
        <w:rPr>
          <w:rFonts w:ascii="Traditional Arabic" w:hAnsi="Traditional Arabic" w:cs="Traditional Arabic" w:hint="cs"/>
          <w:rtl/>
        </w:rPr>
        <w:t xml:space="preserve">     </w:t>
      </w:r>
      <w:r w:rsidRPr="004E3654">
        <w:rPr>
          <w:rFonts w:ascii="Traditional Arabic" w:hAnsi="Traditional Arabic" w:cs="Traditional Arabic"/>
          <w:rtl/>
        </w:rPr>
        <w:t>وتعود الجذور الأولى لمفهوم الاستدامة إلى التقارير الدولية التي ركزت على مفهوم التنمية المستدامة، والتي عرفت بأنها التنمية التي تلبي احتياجات الحاضر دون المساس بقدرة الأجيال القادمة على تلبية احتياجاتها. وقد أسهم هذا المفهوم في توجيه اهتمام المؤسسات نحو تبني ممارسات تنظيمية مسؤولة تسهم في تحقيق التوازن بين النمو الاقتصادي والحفاظ على الموارد الطبيعية وتعزيز المسؤولية الاجتماعية</w:t>
      </w:r>
      <w:r w:rsidRPr="004E3654">
        <w:rPr>
          <w:rFonts w:ascii="Traditional Arabic" w:hAnsi="Traditional Arabic" w:cs="Traditional Arabic"/>
        </w:rPr>
        <w:t xml:space="preserve"> </w:t>
      </w:r>
      <w:r w:rsidRPr="004E3654">
        <w:rPr>
          <w:rFonts w:ascii="Traditional Arabic" w:hAnsi="Traditional Arabic" w:cs="Traditional Arabic"/>
          <w:sz w:val="22"/>
          <w:szCs w:val="22"/>
        </w:rPr>
        <w:t>(Lozano, 2022).</w:t>
      </w:r>
    </w:p>
    <w:p w14:paraId="5520FF73" w14:textId="4019091C" w:rsidR="004E3654" w:rsidRPr="004E3654" w:rsidRDefault="004E3654" w:rsidP="004E3654">
      <w:pPr>
        <w:tabs>
          <w:tab w:val="left" w:pos="1368"/>
        </w:tabs>
        <w:bidi/>
        <w:spacing w:line="276" w:lineRule="auto"/>
        <w:jc w:val="both"/>
        <w:rPr>
          <w:rFonts w:ascii="Traditional Arabic" w:hAnsi="Traditional Arabic" w:cs="Traditional Arabic"/>
        </w:rPr>
      </w:pPr>
      <w:r w:rsidRPr="004E3654">
        <w:rPr>
          <w:rFonts w:ascii="Traditional Arabic" w:hAnsi="Traditional Arabic" w:cs="Traditional Arabic" w:hint="cs"/>
          <w:rtl/>
        </w:rPr>
        <w:t xml:space="preserve">     </w:t>
      </w:r>
      <w:r w:rsidRPr="004E3654">
        <w:rPr>
          <w:rFonts w:ascii="Traditional Arabic" w:hAnsi="Traditional Arabic" w:cs="Traditional Arabic"/>
          <w:rtl/>
        </w:rPr>
        <w:t>ومع تطور الفكر الإداري، بدأ مفهوم الاستدامة ينتقل من المجال البيئي إلى المجال التنظيمي، حيث أصبح يُنظر إلى الاستدامة المؤسسية بوصفها قدرة المؤسسات على تحقيق الاستمرارية في أدائها التنظيمي من خلال الإدارة الفعالة لمواردها الاقتصادية والاجتماعية والبيئية. وقد ساعد هذا التحول في توسيع نطاق مفهوم الاستدامة ليشمل مختلف الجوانب التنظيمية المتعلقة بإدارة الموارد البشرية وإدارة العمليات التنظيمية والتخطيط الاستراتيجي</w:t>
      </w:r>
      <w:r w:rsidRPr="004E3654">
        <w:rPr>
          <w:rFonts w:ascii="Traditional Arabic" w:hAnsi="Traditional Arabic" w:cs="Traditional Arabic"/>
        </w:rPr>
        <w:t xml:space="preserve"> </w:t>
      </w:r>
      <w:r w:rsidRPr="004E3654">
        <w:rPr>
          <w:rFonts w:ascii="Traditional Arabic" w:hAnsi="Traditional Arabic" w:cs="Traditional Arabic"/>
          <w:sz w:val="22"/>
          <w:szCs w:val="22"/>
        </w:rPr>
        <w:t>(Bansal &amp; Song, 2017).</w:t>
      </w:r>
    </w:p>
    <w:p w14:paraId="6DF4C8CC" w14:textId="31A4644D" w:rsidR="004E3654" w:rsidRPr="004E3654" w:rsidRDefault="004E3654" w:rsidP="004E3654">
      <w:pPr>
        <w:tabs>
          <w:tab w:val="left" w:pos="1368"/>
        </w:tabs>
        <w:bidi/>
        <w:spacing w:line="276" w:lineRule="auto"/>
        <w:jc w:val="both"/>
        <w:rPr>
          <w:rFonts w:ascii="Traditional Arabic" w:hAnsi="Traditional Arabic" w:cs="Traditional Arabic"/>
        </w:rPr>
      </w:pPr>
      <w:r w:rsidRPr="004E3654">
        <w:rPr>
          <w:rFonts w:ascii="Traditional Arabic" w:hAnsi="Traditional Arabic" w:cs="Traditional Arabic" w:hint="cs"/>
          <w:rtl/>
        </w:rPr>
        <w:t xml:space="preserve">     </w:t>
      </w:r>
      <w:r w:rsidRPr="004E3654">
        <w:rPr>
          <w:rFonts w:ascii="Traditional Arabic" w:hAnsi="Traditional Arabic" w:cs="Traditional Arabic"/>
          <w:rtl/>
        </w:rPr>
        <w:t>وفي مرحلة لاحقة، بدأت المؤسسات في تبني مفهوم الاستدامة المؤسسية كأحد المداخل الاستراتيجية التي تساعدها على تحقيق الأداء المتفوق والاستجابة للتغيرات البيئية والاقتصادية المتسارعة. حيث أصبحت الاستدامة المؤسسية تمثل نهجًا إداريًا يركز على تحقيق التوازن بين تحقيق الأرباح الاقتصادية والمحافظة على البيئة وتعزيز المسؤولية الاجتماعية، وهو ما يعرف في الأدبيات الإدارية بمفهوم الأبعاد الثلاثية للاستدامة</w:t>
      </w:r>
      <w:r w:rsidRPr="004E3654">
        <w:rPr>
          <w:rFonts w:ascii="Traditional Arabic" w:hAnsi="Traditional Arabic" w:cs="Traditional Arabic"/>
        </w:rPr>
        <w:t xml:space="preserve"> </w:t>
      </w:r>
      <w:r w:rsidRPr="004E3654">
        <w:rPr>
          <w:rFonts w:ascii="Traditional Arabic" w:hAnsi="Traditional Arabic" w:cs="Traditional Arabic"/>
          <w:sz w:val="22"/>
          <w:szCs w:val="22"/>
        </w:rPr>
        <w:t>(Triple Bottom Line).</w:t>
      </w:r>
    </w:p>
    <w:p w14:paraId="62C83B22" w14:textId="4A1146E4" w:rsidR="004E3654" w:rsidRPr="004E3654" w:rsidRDefault="004E3654" w:rsidP="004E3654">
      <w:pPr>
        <w:tabs>
          <w:tab w:val="left" w:pos="1368"/>
        </w:tabs>
        <w:bidi/>
        <w:spacing w:line="276" w:lineRule="auto"/>
        <w:jc w:val="both"/>
        <w:rPr>
          <w:rFonts w:ascii="Traditional Arabic" w:hAnsi="Traditional Arabic" w:cs="Traditional Arabic"/>
        </w:rPr>
      </w:pPr>
      <w:r w:rsidRPr="004E3654">
        <w:rPr>
          <w:rFonts w:ascii="Traditional Arabic" w:hAnsi="Traditional Arabic" w:cs="Traditional Arabic" w:hint="cs"/>
          <w:rtl/>
        </w:rPr>
        <w:t xml:space="preserve">     </w:t>
      </w:r>
      <w:r w:rsidRPr="004E3654">
        <w:rPr>
          <w:rFonts w:ascii="Traditional Arabic" w:hAnsi="Traditional Arabic" w:cs="Traditional Arabic"/>
          <w:rtl/>
        </w:rPr>
        <w:t>كما أسهمت العديد من الدراسات في تطوير مفهوم الاستدامة المؤسسية من خلال ربطه بمفاهيم إدارية حديثة مثل المسؤولية الاجتماعية للمؤسسات والحوكمة المؤسسية والابتكار المستدام، حيث تشير هذه الدراسات إلى أن المؤسسات التي تتبنى ممارسات الاستدامة المؤسسية تكون أكثر قدرة على تحقيق الأداء المستدام وتعزيز قدرتها التنافسية في بيئات العمل المعاصرة</w:t>
      </w:r>
      <w:r w:rsidRPr="004E3654">
        <w:rPr>
          <w:rFonts w:ascii="Traditional Arabic" w:hAnsi="Traditional Arabic" w:cs="Traditional Arabic"/>
          <w:sz w:val="22"/>
          <w:szCs w:val="22"/>
        </w:rPr>
        <w:t xml:space="preserve"> (Lozano, 2022)</w:t>
      </w:r>
      <w:r w:rsidRPr="004E3654">
        <w:rPr>
          <w:rFonts w:ascii="Traditional Arabic" w:hAnsi="Traditional Arabic" w:cs="Traditional Arabic"/>
        </w:rPr>
        <w:t>.</w:t>
      </w:r>
    </w:p>
    <w:p w14:paraId="36917F76" w14:textId="6ED7B52C" w:rsidR="004E3654" w:rsidRPr="004E3654" w:rsidRDefault="004E3654" w:rsidP="004E3654">
      <w:pPr>
        <w:tabs>
          <w:tab w:val="left" w:pos="1368"/>
        </w:tabs>
        <w:bidi/>
        <w:spacing w:line="276" w:lineRule="auto"/>
        <w:jc w:val="both"/>
        <w:rPr>
          <w:rFonts w:ascii="Traditional Arabic" w:hAnsi="Traditional Arabic" w:cs="Traditional Arabic"/>
        </w:rPr>
      </w:pPr>
      <w:r w:rsidRPr="004E3654">
        <w:rPr>
          <w:rFonts w:ascii="Traditional Arabic" w:hAnsi="Traditional Arabic" w:cs="Traditional Arabic" w:hint="cs"/>
          <w:rtl/>
        </w:rPr>
        <w:t xml:space="preserve">     </w:t>
      </w:r>
      <w:r w:rsidRPr="004E3654">
        <w:rPr>
          <w:rFonts w:ascii="Traditional Arabic" w:hAnsi="Traditional Arabic" w:cs="Traditional Arabic"/>
          <w:rtl/>
        </w:rPr>
        <w:t xml:space="preserve">وفي الأدبيات العربية، أشار عدد من الباحثين إلى أن الاستدامة المؤسسية تمثل أحد المداخل الحديثة في الإدارة المعاصرة التي تسعى إلى تحقيق التوازن بين الأبعاد الاقتصادية والاجتماعية والبيئية لأنشطة المؤسسات، بما يسهم في تحقيق التنمية المستدامة وتعزيز قدرة المؤسسات على الاستمرار في أداء دورها التنموي في المجتمع </w:t>
      </w:r>
      <w:r w:rsidRPr="004E3654">
        <w:rPr>
          <w:rFonts w:ascii="Traditional Arabic" w:hAnsi="Traditional Arabic" w:cs="Traditional Arabic"/>
          <w:sz w:val="22"/>
          <w:szCs w:val="22"/>
          <w:rtl/>
        </w:rPr>
        <w:t>(الحمادي، 2021)</w:t>
      </w:r>
      <w:r w:rsidRPr="004E3654">
        <w:rPr>
          <w:rFonts w:ascii="Traditional Arabic" w:hAnsi="Traditional Arabic" w:cs="Traditional Arabic"/>
          <w:sz w:val="22"/>
          <w:szCs w:val="22"/>
        </w:rPr>
        <w:t>.</w:t>
      </w:r>
    </w:p>
    <w:p w14:paraId="06D3B23B" w14:textId="5602AD1E" w:rsidR="004E3654" w:rsidRPr="004E3654" w:rsidRDefault="004E3654" w:rsidP="004E3654">
      <w:pPr>
        <w:tabs>
          <w:tab w:val="left" w:pos="1368"/>
        </w:tabs>
        <w:bidi/>
        <w:spacing w:line="276" w:lineRule="auto"/>
        <w:jc w:val="both"/>
        <w:rPr>
          <w:rFonts w:ascii="Traditional Arabic" w:hAnsi="Traditional Arabic" w:cs="Traditional Arabic"/>
        </w:rPr>
      </w:pPr>
      <w:r w:rsidRPr="004E3654">
        <w:rPr>
          <w:rFonts w:ascii="Traditional Arabic" w:hAnsi="Traditional Arabic" w:cs="Traditional Arabic" w:hint="cs"/>
          <w:rtl/>
        </w:rPr>
        <w:t xml:space="preserve">     </w:t>
      </w:r>
      <w:r w:rsidRPr="004E3654">
        <w:rPr>
          <w:rFonts w:ascii="Traditional Arabic" w:hAnsi="Traditional Arabic" w:cs="Traditional Arabic"/>
          <w:rtl/>
        </w:rPr>
        <w:t xml:space="preserve">كما يرى بعض الباحثين أن تبني ممارسات الاستدامة المؤسسية يساعد المؤسسات على تحسين كفاءة استخدام الموارد وتعزيز الشفافية والمسؤولية الاجتماعية، الأمر الذي يسهم في تحقيق الاستقرار التنظيمي وتعزيز ثقة المجتمع في المؤسسات </w:t>
      </w:r>
      <w:r w:rsidRPr="004E3654">
        <w:rPr>
          <w:rFonts w:ascii="Traditional Arabic" w:hAnsi="Traditional Arabic" w:cs="Traditional Arabic"/>
          <w:sz w:val="22"/>
          <w:szCs w:val="22"/>
          <w:rtl/>
        </w:rPr>
        <w:t>(العتيبي، 2022)</w:t>
      </w:r>
      <w:r w:rsidRPr="004E3654">
        <w:rPr>
          <w:rFonts w:ascii="Traditional Arabic" w:hAnsi="Traditional Arabic" w:cs="Traditional Arabic"/>
          <w:sz w:val="22"/>
          <w:szCs w:val="22"/>
        </w:rPr>
        <w:t>.</w:t>
      </w:r>
    </w:p>
    <w:p w14:paraId="0269252E" w14:textId="5B9064CE" w:rsidR="004E3654" w:rsidRPr="004E3654" w:rsidRDefault="004E3654" w:rsidP="004E3654">
      <w:pPr>
        <w:tabs>
          <w:tab w:val="left" w:pos="1368"/>
        </w:tabs>
        <w:bidi/>
        <w:spacing w:line="276" w:lineRule="auto"/>
        <w:jc w:val="both"/>
        <w:rPr>
          <w:rFonts w:ascii="Traditional Arabic" w:hAnsi="Traditional Arabic" w:cs="Traditional Arabic"/>
        </w:rPr>
      </w:pPr>
      <w:r w:rsidRPr="004E3654">
        <w:rPr>
          <w:rFonts w:ascii="Traditional Arabic" w:hAnsi="Traditional Arabic" w:cs="Traditional Arabic" w:hint="cs"/>
          <w:rtl/>
        </w:rPr>
        <w:t xml:space="preserve">     </w:t>
      </w:r>
      <w:r w:rsidRPr="004E3654">
        <w:rPr>
          <w:rFonts w:ascii="Traditional Arabic" w:hAnsi="Traditional Arabic" w:cs="Traditional Arabic"/>
          <w:rtl/>
        </w:rPr>
        <w:t>وفي سياق المؤسسات الحكومية، أصبح مفهوم الاستدامة المؤسسية أحد المفاهيم المهمة التي تعتمد عليها الحكومات الحديثة في تطوير الإدارة العامة وتحقيق التنمية المستدامة. حيث تسعى المؤسسات الحكومية إلى تبني سياسات وممارسات تنظيمية تساعدها على تحقيق الاستخدام الأمثل للموارد العامة وتحسين جودة الخدمات المقدمة للمجتمع</w:t>
      </w:r>
      <w:r w:rsidRPr="004E3654">
        <w:rPr>
          <w:rFonts w:ascii="Traditional Arabic" w:hAnsi="Traditional Arabic" w:cs="Traditional Arabic"/>
        </w:rPr>
        <w:t>.</w:t>
      </w:r>
    </w:p>
    <w:p w14:paraId="16C3FB7A" w14:textId="6B1656E0" w:rsidR="004E3654" w:rsidRPr="004E3654" w:rsidRDefault="004E3654" w:rsidP="004E3654">
      <w:pPr>
        <w:tabs>
          <w:tab w:val="left" w:pos="1368"/>
        </w:tabs>
        <w:bidi/>
        <w:spacing w:line="276" w:lineRule="auto"/>
        <w:jc w:val="both"/>
        <w:rPr>
          <w:rFonts w:ascii="Traditional Arabic" w:hAnsi="Traditional Arabic" w:cs="Traditional Arabic"/>
        </w:rPr>
      </w:pPr>
      <w:r w:rsidRPr="004E3654">
        <w:rPr>
          <w:rFonts w:ascii="Traditional Arabic" w:hAnsi="Traditional Arabic" w:cs="Traditional Arabic" w:hint="cs"/>
          <w:rtl/>
        </w:rPr>
        <w:t xml:space="preserve">     </w:t>
      </w:r>
      <w:r w:rsidRPr="004E3654">
        <w:rPr>
          <w:rFonts w:ascii="Traditional Arabic" w:hAnsi="Traditional Arabic" w:cs="Traditional Arabic"/>
          <w:rtl/>
        </w:rPr>
        <w:t>وفي المملكة العربية السعودية، حظي مفهوم الاستدامة المؤسسية باهتمام متزايد في إطار الجهود الرامية إلى تحقيق التنمية المستدامة وتعزيز كفاءة الأداء الحكومي بما يتوافق مع رؤية المملكة 2030، حيث تسعى الجهات الحكومية إلى تبني ممارسات إدارية مستدامة تساعدها على تحقيق الاستدامة في الأداء المؤسسي وتعزيز قدرتها على تحقيق أهداف التنمية الوطنية</w:t>
      </w:r>
      <w:r w:rsidRPr="004E3654">
        <w:rPr>
          <w:rFonts w:ascii="Traditional Arabic" w:hAnsi="Traditional Arabic" w:cs="Traditional Arabic"/>
        </w:rPr>
        <w:t>.</w:t>
      </w:r>
    </w:p>
    <w:p w14:paraId="77933FC6" w14:textId="678C03F2" w:rsidR="004E3654" w:rsidRDefault="004E3654" w:rsidP="004E3654">
      <w:pPr>
        <w:tabs>
          <w:tab w:val="left" w:pos="1368"/>
        </w:tabs>
        <w:bidi/>
        <w:spacing w:line="276" w:lineRule="auto"/>
        <w:jc w:val="both"/>
        <w:rPr>
          <w:rFonts w:ascii="Traditional Arabic" w:hAnsi="Traditional Arabic" w:cs="Traditional Arabic"/>
          <w:rtl/>
        </w:rPr>
      </w:pPr>
      <w:r w:rsidRPr="004E3654">
        <w:rPr>
          <w:rFonts w:ascii="Traditional Arabic" w:hAnsi="Traditional Arabic" w:cs="Traditional Arabic" w:hint="cs"/>
          <w:rtl/>
        </w:rPr>
        <w:lastRenderedPageBreak/>
        <w:t xml:space="preserve">     </w:t>
      </w:r>
      <w:r w:rsidRPr="004E3654">
        <w:rPr>
          <w:rFonts w:ascii="Traditional Arabic" w:hAnsi="Traditional Arabic" w:cs="Traditional Arabic"/>
          <w:rtl/>
        </w:rPr>
        <w:t>وبناءً على ما سبق، يمكن القول إن مفهوم الاستدامة المؤسسية قد تطور من كونه مرتبطًا بالممارسات البيئية إلى إطار إداري واستراتيجي متكامل يهدف إلى تحقيق التوازن بين الأبعاد الاقتصادية والاجتماعية والبيئية لأنشطة المؤسسات، بما يسهم في تحقيق الأداء المستدام وتعزيز قدرة المؤسسات على الاستمرار في بيئات العمل المتغيرة</w:t>
      </w:r>
      <w:r w:rsidRPr="004E3654">
        <w:rPr>
          <w:rFonts w:ascii="Traditional Arabic" w:hAnsi="Traditional Arabic" w:cs="Traditional Arabic"/>
        </w:rPr>
        <w:t>.</w:t>
      </w:r>
    </w:p>
    <w:p w14:paraId="25602B0E" w14:textId="1E32671F" w:rsidR="009E095C" w:rsidRPr="009E095C" w:rsidRDefault="009E095C" w:rsidP="009E095C">
      <w:pPr>
        <w:tabs>
          <w:tab w:val="left" w:pos="1368"/>
        </w:tabs>
        <w:bidi/>
        <w:spacing w:line="276" w:lineRule="auto"/>
        <w:jc w:val="both"/>
        <w:rPr>
          <w:rFonts w:ascii="Traditional Arabic" w:hAnsi="Traditional Arabic" w:cs="Traditional Arabic"/>
          <w:b/>
          <w:bCs/>
        </w:rPr>
      </w:pPr>
      <w:r w:rsidRPr="009E095C">
        <w:rPr>
          <w:rFonts w:ascii="Traditional Arabic" w:hAnsi="Traditional Arabic" w:cs="Traditional Arabic"/>
          <w:b/>
          <w:bCs/>
          <w:rtl/>
        </w:rPr>
        <w:t>أهمية الاستدامة المؤسسية</w:t>
      </w:r>
    </w:p>
    <w:p w14:paraId="75607AB2" w14:textId="7EF6C7FF" w:rsidR="009E095C" w:rsidRPr="009E095C" w:rsidRDefault="00D30747" w:rsidP="009E095C">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9E095C" w:rsidRPr="009E095C">
        <w:rPr>
          <w:rFonts w:ascii="Traditional Arabic" w:hAnsi="Traditional Arabic" w:cs="Traditional Arabic"/>
          <w:rtl/>
        </w:rPr>
        <w:t>تزايد الاهتمام بمفهوم الاستدامة المؤسسية في الأدبيات الإدارية المعاصرة نظرًا للدور المهم الذي تلعبه في تعزيز قدرة المؤسسات على تحقيق الاستمرارية في أدائها التنظيمي ومواجهة التحديات المتزايدة في بيئات العمل الحديثة. فقد أصبحت المؤسسات تعمل في بيئات تتسم بدرجة عالية من التغير والتنافسية، الأمر الذي يتطلب تبني ممارسات تنظيمية تساعدها على تحقيق التوازن بين تحقيق أهدافها الاقتصادية والحفاظ على الموارد البيئية وتعزيز مسؤوليتها الاجتماعية</w:t>
      </w:r>
      <w:r w:rsidR="009E095C" w:rsidRPr="009E095C">
        <w:rPr>
          <w:rFonts w:ascii="Traditional Arabic" w:hAnsi="Traditional Arabic" w:cs="Traditional Arabic"/>
        </w:rPr>
        <w:t>.</w:t>
      </w:r>
    </w:p>
    <w:p w14:paraId="114FEADD" w14:textId="3CF68163" w:rsidR="009E095C" w:rsidRPr="009E095C" w:rsidRDefault="00D30747" w:rsidP="009E095C">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9E095C" w:rsidRPr="009E095C">
        <w:rPr>
          <w:rFonts w:ascii="Traditional Arabic" w:hAnsi="Traditional Arabic" w:cs="Traditional Arabic"/>
          <w:rtl/>
        </w:rPr>
        <w:t>وتكمن أهمية الاستدامة المؤسسية في كونها تمثل إطارًا استراتيجيًا يساعد المؤسسات على تحقيق الأداء المستدام من خلال الإدارة الفعالة للموارد التنظيمية وتطوير قدراتها المؤسسية بما يضمن استمرارية أدائها على المدى الطويل. حيث تسهم الاستدامة المؤسسية في تعزيز قدرة المؤسسات على التكيف مع التغيرات البيئية والاقتصادية والاجتماعية التي تواجهها في بيئات العمل المعاصرة</w:t>
      </w:r>
      <w:r w:rsidR="009E095C" w:rsidRPr="009E095C">
        <w:rPr>
          <w:rFonts w:ascii="Traditional Arabic" w:hAnsi="Traditional Arabic" w:cs="Traditional Arabic"/>
        </w:rPr>
        <w:t xml:space="preserve"> </w:t>
      </w:r>
      <w:r w:rsidR="009E095C" w:rsidRPr="009E095C">
        <w:rPr>
          <w:rFonts w:ascii="Traditional Arabic" w:hAnsi="Traditional Arabic" w:cs="Traditional Arabic"/>
          <w:sz w:val="22"/>
          <w:szCs w:val="22"/>
        </w:rPr>
        <w:t>(Lozano, 2022).</w:t>
      </w:r>
    </w:p>
    <w:p w14:paraId="41F1DEDA" w14:textId="4D9F7266" w:rsidR="009E095C" w:rsidRPr="009E095C" w:rsidRDefault="00D30747" w:rsidP="009E095C">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9E095C" w:rsidRPr="009E095C">
        <w:rPr>
          <w:rFonts w:ascii="Traditional Arabic" w:hAnsi="Traditional Arabic" w:cs="Traditional Arabic"/>
          <w:rtl/>
        </w:rPr>
        <w:t>كما تسهم الاستدامة المؤسسية في تحسين كفاءة استخدام الموارد داخل المؤسسات، حيث تعتمد المؤسسات المستدامة على تبني ممارسات تنظيمية تهدف إلى تحقيق الاستخدام الأمثل للموارد البشرية والمالية والطبيعية. ويساعد ذلك المؤسسات على تحقيق التوازن بين تحقيق النمو الاقتصادي والمحافظة على الموارد المتاحة للأجيال القادمة</w:t>
      </w:r>
      <w:r w:rsidR="009E095C" w:rsidRPr="009E095C">
        <w:rPr>
          <w:rFonts w:ascii="Traditional Arabic" w:hAnsi="Traditional Arabic" w:cs="Traditional Arabic"/>
        </w:rPr>
        <w:t xml:space="preserve"> </w:t>
      </w:r>
      <w:r w:rsidR="009E095C" w:rsidRPr="009E095C">
        <w:rPr>
          <w:rFonts w:ascii="Traditional Arabic" w:hAnsi="Traditional Arabic" w:cs="Traditional Arabic"/>
          <w:sz w:val="22"/>
          <w:szCs w:val="22"/>
        </w:rPr>
        <w:t>(Bansal &amp; Song, 2017).</w:t>
      </w:r>
    </w:p>
    <w:p w14:paraId="76FF1E5E" w14:textId="59E3B52F" w:rsidR="009E095C" w:rsidRPr="009E095C" w:rsidRDefault="00D30747" w:rsidP="009E095C">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9E095C" w:rsidRPr="009E095C">
        <w:rPr>
          <w:rFonts w:ascii="Traditional Arabic" w:hAnsi="Traditional Arabic" w:cs="Traditional Arabic"/>
          <w:rtl/>
        </w:rPr>
        <w:t xml:space="preserve">ومن ناحية أخرى، تلعب الاستدامة المؤسسية دورًا مهمًا في تعزيز المسؤولية الاجتماعية للمؤسسات، حيث تسعى المؤسسات التي تتبنى ممارسات الاستدامة إلى تحقيق التوازن بين تحقيق أهدافها التنظيمية وتلبية احتياجات المجتمع الذي تعمل فيه. ويسهم ذلك في تعزيز الثقة بين المؤسسات وأصحاب المصلحة، إضافة إلى تحسين سمعة المؤسسات وتعزيز مكانتها في المجتمع </w:t>
      </w:r>
      <w:r w:rsidR="009E095C" w:rsidRPr="009E095C">
        <w:rPr>
          <w:rFonts w:ascii="Traditional Arabic" w:hAnsi="Traditional Arabic" w:cs="Traditional Arabic"/>
          <w:sz w:val="22"/>
          <w:szCs w:val="22"/>
          <w:rtl/>
        </w:rPr>
        <w:t>(الحمادي، 2021)</w:t>
      </w:r>
      <w:r w:rsidR="009E095C" w:rsidRPr="009E095C">
        <w:rPr>
          <w:rFonts w:ascii="Traditional Arabic" w:hAnsi="Traditional Arabic" w:cs="Traditional Arabic"/>
          <w:sz w:val="22"/>
          <w:szCs w:val="22"/>
        </w:rPr>
        <w:t>.</w:t>
      </w:r>
    </w:p>
    <w:p w14:paraId="343CFFCC" w14:textId="4D5CA071" w:rsidR="009E095C" w:rsidRPr="009E095C" w:rsidRDefault="00D30747" w:rsidP="009E095C">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9E095C" w:rsidRPr="009E095C">
        <w:rPr>
          <w:rFonts w:ascii="Traditional Arabic" w:hAnsi="Traditional Arabic" w:cs="Traditional Arabic"/>
          <w:rtl/>
        </w:rPr>
        <w:t>كما تسهم الاستدامة المؤسسية في دعم الابتكار المؤسسي، حيث تشجع المؤسسات على تطوير حلول مبتكرة تساعدها على مواجهة التحديات البيئية والاقتصادية والاجتماعية. ويساعد الابتكار المستدام المؤسسات على تطوير منتجات وخدمات جديدة تتوافق مع متطلبات التنمية المستدامة وتسهم في تحقيق القيمة طويلة المدى للمؤسسات وأصحاب المصلحة</w:t>
      </w:r>
      <w:r w:rsidR="009E095C" w:rsidRPr="009E095C">
        <w:rPr>
          <w:rFonts w:ascii="Traditional Arabic" w:hAnsi="Traditional Arabic" w:cs="Traditional Arabic"/>
        </w:rPr>
        <w:t>.</w:t>
      </w:r>
    </w:p>
    <w:p w14:paraId="232E147F" w14:textId="33F5CADE" w:rsidR="009E095C" w:rsidRPr="009E095C" w:rsidRDefault="00D30747" w:rsidP="009E095C">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9E095C" w:rsidRPr="009E095C">
        <w:rPr>
          <w:rFonts w:ascii="Traditional Arabic" w:hAnsi="Traditional Arabic" w:cs="Traditional Arabic"/>
          <w:rtl/>
        </w:rPr>
        <w:t>وفي سياق المؤسسات الحكومية، تكتسب الاستدامة المؤسسية أهمية خاصة نظرًا لدورها في تعزيز كفاءة الأداء الحكومي وتحقيق الاستخدام الأمثل للموارد العامة. حيث تساعد ممارسات الاستدامة المؤسسات الحكومية على تحسين جودة الخدمات العامة وتعزيز قدرتها على تحقيق التنمية المستدامة للمجتمع</w:t>
      </w:r>
      <w:r w:rsidR="009E095C" w:rsidRPr="009E095C">
        <w:rPr>
          <w:rFonts w:ascii="Traditional Arabic" w:hAnsi="Traditional Arabic" w:cs="Traditional Arabic"/>
        </w:rPr>
        <w:t>.</w:t>
      </w:r>
    </w:p>
    <w:p w14:paraId="39D50861" w14:textId="0E2E974D" w:rsidR="009E095C" w:rsidRPr="009E095C" w:rsidRDefault="009E095C" w:rsidP="009E095C">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Pr="009E095C">
        <w:rPr>
          <w:rFonts w:ascii="Traditional Arabic" w:hAnsi="Traditional Arabic" w:cs="Traditional Arabic"/>
          <w:rtl/>
        </w:rPr>
        <w:t>كما تسهم الاستدامة المؤسسية في دعم جهود الإصلاح الإداري والتحول المؤسسي داخل المؤسسات الحكومية، حيث تساعد على تطوير أساليب العمل الحكومي وتعزيز القدرة المؤسسية على تحقيق نتائج مستدامة. وقد أصبحت العديد من الحكومات تعتمد على مبادئ الاستدامة المؤسسية كأحد المداخل الحديثة لتطوير الإدارة العامة وتحقيق التنمية المستدامة</w:t>
      </w:r>
      <w:r w:rsidRPr="009E095C">
        <w:rPr>
          <w:rFonts w:ascii="Traditional Arabic" w:hAnsi="Traditional Arabic" w:cs="Traditional Arabic"/>
        </w:rPr>
        <w:t>.</w:t>
      </w:r>
    </w:p>
    <w:p w14:paraId="3CAF4C94" w14:textId="2329EFA9" w:rsidR="009E095C" w:rsidRPr="009E095C" w:rsidRDefault="009E095C" w:rsidP="009E095C">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Pr="009E095C">
        <w:rPr>
          <w:rFonts w:ascii="Traditional Arabic" w:hAnsi="Traditional Arabic" w:cs="Traditional Arabic"/>
          <w:rtl/>
        </w:rPr>
        <w:t>وفي المملكة العربية السعودية، تكتسب الاستدامة المؤسسية أهمية متزايدة في إطار الجهود الرامية إلى تحقيق أهداف رؤية المملكة 2030 التي تسعى إلى تحقيق التنمية المستدامة وتعزيز كفاءة الأداء الحكومي. حيث تسعى الجهات الحكومية إلى تبني سياسات وممارسات تنظيمية تسهم في تحقيق الاستدامة في الأداء المؤسسي وتعزيز قدرتها على تحقيق أهداف التنمية الوطنية</w:t>
      </w:r>
      <w:r w:rsidRPr="009E095C">
        <w:rPr>
          <w:rFonts w:ascii="Traditional Arabic" w:hAnsi="Traditional Arabic" w:cs="Traditional Arabic"/>
        </w:rPr>
        <w:t>.</w:t>
      </w:r>
    </w:p>
    <w:p w14:paraId="2C198D5A" w14:textId="520F252D" w:rsidR="009E095C" w:rsidRPr="009E095C" w:rsidRDefault="009E095C" w:rsidP="009E095C">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lastRenderedPageBreak/>
        <w:t xml:space="preserve">     </w:t>
      </w:r>
      <w:r w:rsidRPr="009E095C">
        <w:rPr>
          <w:rFonts w:ascii="Traditional Arabic" w:hAnsi="Traditional Arabic" w:cs="Traditional Arabic"/>
          <w:rtl/>
        </w:rPr>
        <w:t>وبناءً على ما سبق، يمكن القول إن الاستدامة المؤسسية تمثل أحد الركائز الأساسية التي تساعد المؤسسات على تحقيق الاستمرارية في أدائها التنظيمي وتعزيز قدرتها على تحقيق التميز المؤسسي والتنمية المستدامة في بيئات العمل المتغيرة</w:t>
      </w:r>
      <w:r w:rsidRPr="009E095C">
        <w:rPr>
          <w:rFonts w:ascii="Traditional Arabic" w:hAnsi="Traditional Arabic" w:cs="Traditional Arabic"/>
        </w:rPr>
        <w:t>.</w:t>
      </w:r>
    </w:p>
    <w:p w14:paraId="344C63AB" w14:textId="4C5FAA93" w:rsidR="0011038C" w:rsidRPr="0011038C" w:rsidRDefault="0011038C" w:rsidP="0011038C">
      <w:pPr>
        <w:tabs>
          <w:tab w:val="left" w:pos="1368"/>
        </w:tabs>
        <w:bidi/>
        <w:spacing w:line="276" w:lineRule="auto"/>
        <w:jc w:val="both"/>
        <w:rPr>
          <w:rFonts w:ascii="Traditional Arabic" w:hAnsi="Traditional Arabic" w:cs="Traditional Arabic"/>
          <w:b/>
          <w:bCs/>
        </w:rPr>
      </w:pPr>
      <w:r w:rsidRPr="0011038C">
        <w:rPr>
          <w:rFonts w:ascii="Traditional Arabic" w:hAnsi="Traditional Arabic" w:cs="Traditional Arabic"/>
          <w:b/>
          <w:bCs/>
          <w:rtl/>
        </w:rPr>
        <w:t>أبعاد الاستدامة المؤسسية</w:t>
      </w:r>
    </w:p>
    <w:p w14:paraId="7198790D" w14:textId="751F8616" w:rsidR="0011038C" w:rsidRPr="0011038C" w:rsidRDefault="00EB7819" w:rsidP="0011038C">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11038C" w:rsidRPr="0011038C">
        <w:rPr>
          <w:rFonts w:ascii="Traditional Arabic" w:hAnsi="Traditional Arabic" w:cs="Traditional Arabic"/>
          <w:rtl/>
        </w:rPr>
        <w:t>تشير الأدبيات الإدارية إلى أن الاستدامة المؤسسية تقوم على مجموعة من الأبعاد التي تعكس قدرة المؤسسات على تحقيق التوازن بين مختلف الجوانب الاقتصادية والاجتماعية والبيئية لأنشطتها التنظيمية. ويستند هذا المفهوم إلى ما يُعرف في الأدبيات الإدارية بمفهوم الأبعاد الثلاثية للاستدامة</w:t>
      </w:r>
      <w:r w:rsidR="0011038C" w:rsidRPr="0011038C">
        <w:rPr>
          <w:rFonts w:ascii="Traditional Arabic" w:hAnsi="Traditional Arabic" w:cs="Traditional Arabic"/>
          <w:sz w:val="22"/>
          <w:szCs w:val="22"/>
        </w:rPr>
        <w:t xml:space="preserve"> (Triple Bottom Line)</w:t>
      </w:r>
      <w:r w:rsidR="0011038C" w:rsidRPr="0011038C">
        <w:rPr>
          <w:rFonts w:ascii="Traditional Arabic" w:hAnsi="Traditional Arabic" w:cs="Traditional Arabic"/>
          <w:sz w:val="22"/>
          <w:szCs w:val="22"/>
          <w:rtl/>
        </w:rPr>
        <w:t xml:space="preserve">، </w:t>
      </w:r>
      <w:r w:rsidR="0011038C" w:rsidRPr="0011038C">
        <w:rPr>
          <w:rFonts w:ascii="Traditional Arabic" w:hAnsi="Traditional Arabic" w:cs="Traditional Arabic"/>
          <w:rtl/>
        </w:rPr>
        <w:t>الذي يركز على تحقيق التوازن بين الأداء الاقتصادي والمسؤولية الاجتماعية والحفاظ على البيئة. وقد أصبح هذا الإطار أحد المداخل الرئيسة التي تعتمد عليها المؤسسات لتحقيق الاستدامة المؤسسية في بيئات العمل المعاصرة</w:t>
      </w:r>
      <w:r w:rsidR="0011038C" w:rsidRPr="0011038C">
        <w:rPr>
          <w:rFonts w:ascii="Traditional Arabic" w:hAnsi="Traditional Arabic" w:cs="Traditional Arabic"/>
        </w:rPr>
        <w:t xml:space="preserve"> </w:t>
      </w:r>
      <w:r w:rsidR="0011038C" w:rsidRPr="0011038C">
        <w:rPr>
          <w:rFonts w:ascii="Traditional Arabic" w:hAnsi="Traditional Arabic" w:cs="Traditional Arabic"/>
          <w:sz w:val="22"/>
          <w:szCs w:val="22"/>
        </w:rPr>
        <w:t>(Lozano, 2022).</w:t>
      </w:r>
    </w:p>
    <w:p w14:paraId="2D29885D" w14:textId="74668776" w:rsidR="0011038C" w:rsidRPr="0011038C" w:rsidRDefault="0011038C" w:rsidP="00EB7819">
      <w:pPr>
        <w:tabs>
          <w:tab w:val="left" w:pos="1368"/>
        </w:tabs>
        <w:bidi/>
        <w:spacing w:line="276" w:lineRule="auto"/>
        <w:jc w:val="both"/>
        <w:rPr>
          <w:rFonts w:ascii="Traditional Arabic" w:hAnsi="Traditional Arabic" w:cs="Traditional Arabic"/>
        </w:rPr>
      </w:pPr>
      <w:r w:rsidRPr="0011038C">
        <w:rPr>
          <w:rFonts w:ascii="Traditional Arabic" w:hAnsi="Traditional Arabic" w:cs="Traditional Arabic"/>
          <w:rtl/>
        </w:rPr>
        <w:t>وعليه، يمكن تحليل الاستدامة المؤسسية من خلال ثلاثة أبعاد رئيسة تتمثل في الاستدامة الاقتصادية، والاستدامة الاجتماعية، والاستدامة البيئية</w:t>
      </w:r>
      <w:r w:rsidRPr="0011038C">
        <w:rPr>
          <w:rFonts w:ascii="Traditional Arabic" w:hAnsi="Traditional Arabic" w:cs="Traditional Arabic"/>
        </w:rPr>
        <w:t>.</w:t>
      </w:r>
    </w:p>
    <w:p w14:paraId="2D61360C" w14:textId="3DCC3310" w:rsidR="0011038C" w:rsidRPr="0011038C" w:rsidRDefault="00EB7819" w:rsidP="0011038C">
      <w:pPr>
        <w:tabs>
          <w:tab w:val="left" w:pos="1368"/>
        </w:tabs>
        <w:bidi/>
        <w:spacing w:line="276" w:lineRule="auto"/>
        <w:jc w:val="both"/>
        <w:rPr>
          <w:rFonts w:ascii="Traditional Arabic" w:hAnsi="Traditional Arabic" w:cs="Traditional Arabic"/>
          <w:b/>
          <w:bCs/>
        </w:rPr>
      </w:pPr>
      <w:r>
        <w:rPr>
          <w:rFonts w:ascii="Traditional Arabic" w:hAnsi="Traditional Arabic" w:cs="Traditional Arabic" w:hint="cs"/>
          <w:b/>
          <w:bCs/>
          <w:rtl/>
        </w:rPr>
        <w:t>1.</w:t>
      </w:r>
      <w:r w:rsidR="0011038C" w:rsidRPr="0011038C">
        <w:rPr>
          <w:rFonts w:ascii="Traditional Arabic" w:hAnsi="Traditional Arabic" w:cs="Traditional Arabic"/>
          <w:b/>
          <w:bCs/>
        </w:rPr>
        <w:t xml:space="preserve"> </w:t>
      </w:r>
      <w:r w:rsidR="0011038C" w:rsidRPr="0011038C">
        <w:rPr>
          <w:rFonts w:ascii="Traditional Arabic" w:hAnsi="Traditional Arabic" w:cs="Traditional Arabic"/>
          <w:b/>
          <w:bCs/>
          <w:rtl/>
        </w:rPr>
        <w:t>الاستدامة الاقتصادية</w:t>
      </w:r>
    </w:p>
    <w:p w14:paraId="05633CAC" w14:textId="520AF7D0" w:rsidR="0011038C" w:rsidRPr="0011038C" w:rsidRDefault="00EB7819" w:rsidP="0011038C">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11038C" w:rsidRPr="0011038C">
        <w:rPr>
          <w:rFonts w:ascii="Traditional Arabic" w:hAnsi="Traditional Arabic" w:cs="Traditional Arabic"/>
          <w:rtl/>
        </w:rPr>
        <w:t>تشير الاستدامة الاقتصادية إلى قدرة المؤسسة على تحقيق الاستقرار المالي والنمو الاقتصادي على المدى الطويل من خلال الاستخدام الكفء لمواردها المالية والتنظيمية. ويعكس هذا البعد قدرة المؤسسات على تحقيق التوازن بين تحقيق الأرباح أو الكفاءة الاقتصادية من جهة، وضمان استمرارية الأداء التنظيمي من جهة أخرى</w:t>
      </w:r>
      <w:r w:rsidR="0011038C" w:rsidRPr="0011038C">
        <w:rPr>
          <w:rFonts w:ascii="Traditional Arabic" w:hAnsi="Traditional Arabic" w:cs="Traditional Arabic"/>
        </w:rPr>
        <w:t>.</w:t>
      </w:r>
    </w:p>
    <w:p w14:paraId="4B1B4732" w14:textId="7E96D260" w:rsidR="0011038C" w:rsidRPr="0011038C" w:rsidRDefault="00EB7819" w:rsidP="0011038C">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11038C" w:rsidRPr="0011038C">
        <w:rPr>
          <w:rFonts w:ascii="Traditional Arabic" w:hAnsi="Traditional Arabic" w:cs="Traditional Arabic"/>
          <w:rtl/>
        </w:rPr>
        <w:t>وتسهم الاستدامة الاقتصادية في تعزيز قدرة المؤسسات على تحقيق الأداء المستدام من خلال تبني استراتيجيات تنظيمية تهدف إلى تحسين كفاءة استخدام الموارد وتعزيز الإنتاجية وتحقيق القيمة الاقتصادية طويلة المدى. كما تساعد المؤسسات على تعزيز قدرتها التنافسية في بيئات العمل المعاصرة من خلال تطوير استراتيجيات اقتصادية مستدامة تعتمد على الابتكار وتحسين الأداء التنظيمي</w:t>
      </w:r>
      <w:r w:rsidR="0011038C" w:rsidRPr="0011038C">
        <w:rPr>
          <w:rFonts w:ascii="Traditional Arabic" w:hAnsi="Traditional Arabic" w:cs="Traditional Arabic"/>
        </w:rPr>
        <w:t xml:space="preserve"> </w:t>
      </w:r>
      <w:r w:rsidR="0011038C" w:rsidRPr="0011038C">
        <w:rPr>
          <w:rFonts w:ascii="Traditional Arabic" w:hAnsi="Traditional Arabic" w:cs="Traditional Arabic"/>
          <w:sz w:val="22"/>
          <w:szCs w:val="22"/>
        </w:rPr>
        <w:t>(Bansal &amp; Song, 2017).</w:t>
      </w:r>
    </w:p>
    <w:p w14:paraId="0CF8EC42" w14:textId="64967426" w:rsidR="0011038C" w:rsidRPr="0011038C" w:rsidRDefault="00EB7819" w:rsidP="00EB7819">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11038C" w:rsidRPr="0011038C">
        <w:rPr>
          <w:rFonts w:ascii="Traditional Arabic" w:hAnsi="Traditional Arabic" w:cs="Traditional Arabic"/>
          <w:rtl/>
        </w:rPr>
        <w:t xml:space="preserve">كما أشار بعض الباحثين إلى أن الاستدامة الاقتصادية تساعد المؤسسات على تحقيق الاستقرار التنظيمي من خلال تطوير أنظمة مالية وإدارية تسهم في تحسين كفاءة إدارة الموارد وتحقيق الاستخدام الأمثل للإمكانات المتاحة </w:t>
      </w:r>
      <w:r w:rsidR="0011038C" w:rsidRPr="0011038C">
        <w:rPr>
          <w:rFonts w:ascii="Traditional Arabic" w:hAnsi="Traditional Arabic" w:cs="Traditional Arabic"/>
          <w:sz w:val="22"/>
          <w:szCs w:val="22"/>
          <w:rtl/>
        </w:rPr>
        <w:t>(العتيبي، 2022)</w:t>
      </w:r>
      <w:r w:rsidR="0011038C" w:rsidRPr="0011038C">
        <w:rPr>
          <w:rFonts w:ascii="Traditional Arabic" w:hAnsi="Traditional Arabic" w:cs="Traditional Arabic"/>
          <w:sz w:val="22"/>
          <w:szCs w:val="22"/>
        </w:rPr>
        <w:t>.</w:t>
      </w:r>
    </w:p>
    <w:p w14:paraId="448C64D6" w14:textId="600810C9" w:rsidR="0011038C" w:rsidRPr="0011038C" w:rsidRDefault="00EB7819" w:rsidP="0011038C">
      <w:pPr>
        <w:tabs>
          <w:tab w:val="left" w:pos="1368"/>
        </w:tabs>
        <w:bidi/>
        <w:spacing w:line="276" w:lineRule="auto"/>
        <w:jc w:val="both"/>
        <w:rPr>
          <w:rFonts w:ascii="Traditional Arabic" w:hAnsi="Traditional Arabic" w:cs="Traditional Arabic"/>
          <w:b/>
          <w:bCs/>
        </w:rPr>
      </w:pPr>
      <w:r>
        <w:rPr>
          <w:rFonts w:ascii="Traditional Arabic" w:hAnsi="Traditional Arabic" w:cs="Traditional Arabic" w:hint="cs"/>
          <w:b/>
          <w:bCs/>
          <w:rtl/>
        </w:rPr>
        <w:t>2.</w:t>
      </w:r>
      <w:r w:rsidR="0011038C" w:rsidRPr="0011038C">
        <w:rPr>
          <w:rFonts w:ascii="Traditional Arabic" w:hAnsi="Traditional Arabic" w:cs="Traditional Arabic"/>
          <w:b/>
          <w:bCs/>
          <w:rtl/>
        </w:rPr>
        <w:t>الاستدامة الاجتماعية</w:t>
      </w:r>
    </w:p>
    <w:p w14:paraId="59053CCF" w14:textId="31592C08" w:rsidR="0011038C" w:rsidRPr="0011038C" w:rsidRDefault="00EB7819" w:rsidP="0011038C">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11038C" w:rsidRPr="0011038C">
        <w:rPr>
          <w:rFonts w:ascii="Traditional Arabic" w:hAnsi="Traditional Arabic" w:cs="Traditional Arabic"/>
          <w:rtl/>
        </w:rPr>
        <w:t>تشير الاستدامة الاجتماعية إلى التزام المؤسسة بتحقيق المسؤولية الاجتماعية تجاه العاملين والمجتمع الذي تعمل فيه، وذلك من خلال تبني ممارسات تنظيمية تهدف إلى تحسين رفاهية العاملين وتعزيز العدالة التنظيمية ودعم التنمية الاجتماعية</w:t>
      </w:r>
      <w:r w:rsidR="0011038C" w:rsidRPr="0011038C">
        <w:rPr>
          <w:rFonts w:ascii="Traditional Arabic" w:hAnsi="Traditional Arabic" w:cs="Traditional Arabic"/>
        </w:rPr>
        <w:t>.</w:t>
      </w:r>
    </w:p>
    <w:p w14:paraId="38FAAD96" w14:textId="35586BD2" w:rsidR="0011038C" w:rsidRPr="0011038C" w:rsidRDefault="00EB7819" w:rsidP="0011038C">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11038C" w:rsidRPr="0011038C">
        <w:rPr>
          <w:rFonts w:ascii="Traditional Arabic" w:hAnsi="Traditional Arabic" w:cs="Traditional Arabic"/>
          <w:rtl/>
        </w:rPr>
        <w:t>ويتضمن هذا البعد مجموعة من الممارسات التنظيمية التي تهدف إلى تطوير الموارد البشرية وتحسين بيئة العمل وتعزيز مشاركة العاملين في اتخاذ القرار، إضافة إلى دعم المبادرات المجتمعية التي تسهم في تحقيق التنمية الاجتماعية المستدامة</w:t>
      </w:r>
      <w:r w:rsidR="0011038C" w:rsidRPr="0011038C">
        <w:rPr>
          <w:rFonts w:ascii="Traditional Arabic" w:hAnsi="Traditional Arabic" w:cs="Traditional Arabic"/>
        </w:rPr>
        <w:t>.</w:t>
      </w:r>
    </w:p>
    <w:p w14:paraId="03E22BE9" w14:textId="6C989577" w:rsidR="0011038C" w:rsidRPr="0011038C" w:rsidRDefault="00EB7819" w:rsidP="0011038C">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11038C" w:rsidRPr="0011038C">
        <w:rPr>
          <w:rFonts w:ascii="Traditional Arabic" w:hAnsi="Traditional Arabic" w:cs="Traditional Arabic"/>
          <w:rtl/>
        </w:rPr>
        <w:t xml:space="preserve">كما تسهم الاستدامة الاجتماعية في تعزيز ثقة المجتمع بالمؤسسات وتحسين سمعتها التنظيمية، حيث تسعى المؤسسات المستدامة إلى تحقيق التوازن بين تحقيق أهدافها التنظيمية وتلبية احتياجات المجتمع الذي تعمل فيه </w:t>
      </w:r>
      <w:r w:rsidR="0011038C" w:rsidRPr="0011038C">
        <w:rPr>
          <w:rFonts w:ascii="Traditional Arabic" w:hAnsi="Traditional Arabic" w:cs="Traditional Arabic"/>
          <w:sz w:val="22"/>
          <w:szCs w:val="22"/>
          <w:rtl/>
        </w:rPr>
        <w:t>(الحمادي، 2021)</w:t>
      </w:r>
      <w:r w:rsidR="0011038C" w:rsidRPr="0011038C">
        <w:rPr>
          <w:rFonts w:ascii="Traditional Arabic" w:hAnsi="Traditional Arabic" w:cs="Traditional Arabic"/>
          <w:sz w:val="22"/>
          <w:szCs w:val="22"/>
        </w:rPr>
        <w:t>.</w:t>
      </w:r>
    </w:p>
    <w:p w14:paraId="2A1309B1" w14:textId="7154195B" w:rsidR="0011038C" w:rsidRPr="0011038C" w:rsidRDefault="00EB7819" w:rsidP="00EB7819">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11038C" w:rsidRPr="0011038C">
        <w:rPr>
          <w:rFonts w:ascii="Traditional Arabic" w:hAnsi="Traditional Arabic" w:cs="Traditional Arabic"/>
          <w:rtl/>
        </w:rPr>
        <w:t>ومن ناحية أخرى، تساعد الاستدامة الاجتماعية المؤسسات على بناء علاقات إيجابية مع أصحاب المصلحة، الأمر الذي يسهم في تعزيز الاستقرار التنظيمي وتحقيق التنمية المستدامة للمجتمع</w:t>
      </w:r>
      <w:r w:rsidR="0011038C" w:rsidRPr="0011038C">
        <w:rPr>
          <w:rFonts w:ascii="Traditional Arabic" w:hAnsi="Traditional Arabic" w:cs="Traditional Arabic"/>
        </w:rPr>
        <w:t>.</w:t>
      </w:r>
    </w:p>
    <w:p w14:paraId="37679269" w14:textId="197E56FB" w:rsidR="0011038C" w:rsidRPr="0011038C" w:rsidRDefault="00EB7819" w:rsidP="0011038C">
      <w:pPr>
        <w:tabs>
          <w:tab w:val="left" w:pos="1368"/>
        </w:tabs>
        <w:bidi/>
        <w:spacing w:line="276" w:lineRule="auto"/>
        <w:jc w:val="both"/>
        <w:rPr>
          <w:rFonts w:ascii="Traditional Arabic" w:hAnsi="Traditional Arabic" w:cs="Traditional Arabic"/>
          <w:b/>
          <w:bCs/>
        </w:rPr>
      </w:pPr>
      <w:r>
        <w:rPr>
          <w:rFonts w:ascii="Traditional Arabic" w:hAnsi="Traditional Arabic" w:cs="Traditional Arabic" w:hint="cs"/>
          <w:b/>
          <w:bCs/>
          <w:rtl/>
        </w:rPr>
        <w:lastRenderedPageBreak/>
        <w:t>3.</w:t>
      </w:r>
      <w:r w:rsidR="0011038C" w:rsidRPr="0011038C">
        <w:rPr>
          <w:rFonts w:ascii="Traditional Arabic" w:hAnsi="Traditional Arabic" w:cs="Traditional Arabic"/>
          <w:b/>
          <w:bCs/>
        </w:rPr>
        <w:t xml:space="preserve"> </w:t>
      </w:r>
      <w:r w:rsidR="0011038C" w:rsidRPr="0011038C">
        <w:rPr>
          <w:rFonts w:ascii="Traditional Arabic" w:hAnsi="Traditional Arabic" w:cs="Traditional Arabic"/>
          <w:b/>
          <w:bCs/>
          <w:rtl/>
        </w:rPr>
        <w:t>الاستدامة البيئية</w:t>
      </w:r>
    </w:p>
    <w:p w14:paraId="1B688816" w14:textId="3E13EC12" w:rsidR="0011038C" w:rsidRPr="0011038C" w:rsidRDefault="00EB7819" w:rsidP="0011038C">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11038C" w:rsidRPr="0011038C">
        <w:rPr>
          <w:rFonts w:ascii="Traditional Arabic" w:hAnsi="Traditional Arabic" w:cs="Traditional Arabic"/>
          <w:rtl/>
        </w:rPr>
        <w:t>تشير الاستدامة البيئية إلى التزام المؤسسة بالحفاظ على البيئة وتقليل الآثار البيئية الناتجة عن أنشطتها التنظيمية. ويتضمن هذا البعد مجموعة من الممارسات التي تهدف إلى تحسين كفاءة استخدام الموارد الطبيعية وتقليل التلوث البيئي وتعزيز استخدام التقنيات الصديقة للبيئة</w:t>
      </w:r>
      <w:r w:rsidR="0011038C" w:rsidRPr="0011038C">
        <w:rPr>
          <w:rFonts w:ascii="Traditional Arabic" w:hAnsi="Traditional Arabic" w:cs="Traditional Arabic"/>
        </w:rPr>
        <w:t>.</w:t>
      </w:r>
    </w:p>
    <w:p w14:paraId="1439617A" w14:textId="2BCC9D41" w:rsidR="0011038C" w:rsidRPr="0011038C" w:rsidRDefault="00EB7819" w:rsidP="0011038C">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11038C" w:rsidRPr="0011038C">
        <w:rPr>
          <w:rFonts w:ascii="Traditional Arabic" w:hAnsi="Traditional Arabic" w:cs="Traditional Arabic"/>
          <w:rtl/>
        </w:rPr>
        <w:t>وقد أصبح هذا البعد من الأبعاد المهمة في الإدارة الحديثة نتيجة التحديات البيئية المتزايدة التي تواجه المجتمعات والمؤسسات، حيث تسعى المؤسسات إلى تبني سياسات بيئية مسؤولة تسهم في حماية الموارد الطبيعية وتحقيق التنمية المستدامة</w:t>
      </w:r>
      <w:r w:rsidR="0011038C" w:rsidRPr="0011038C">
        <w:rPr>
          <w:rFonts w:ascii="Traditional Arabic" w:hAnsi="Traditional Arabic" w:cs="Traditional Arabic"/>
        </w:rPr>
        <w:t>.</w:t>
      </w:r>
    </w:p>
    <w:p w14:paraId="2CD14AD7" w14:textId="0671BF06" w:rsidR="0011038C" w:rsidRPr="0011038C" w:rsidRDefault="00EB7819" w:rsidP="00EB7819">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11038C" w:rsidRPr="0011038C">
        <w:rPr>
          <w:rFonts w:ascii="Traditional Arabic" w:hAnsi="Traditional Arabic" w:cs="Traditional Arabic"/>
          <w:rtl/>
        </w:rPr>
        <w:t>كما تساعد الاستدامة البيئية المؤسسات على تحسين كفاءة استخدام الموارد وتقليل التكاليف التشغيلية المرتبطة باستهلاك الطاقة والموارد الطبيعية، إضافة إلى تعزيز سمعة المؤسسات وتعزيز ثقة المجتمع بها</w:t>
      </w:r>
      <w:r w:rsidR="0011038C" w:rsidRPr="0011038C">
        <w:rPr>
          <w:rFonts w:ascii="Traditional Arabic" w:hAnsi="Traditional Arabic" w:cs="Traditional Arabic"/>
        </w:rPr>
        <w:t xml:space="preserve"> </w:t>
      </w:r>
      <w:r w:rsidR="0011038C" w:rsidRPr="0011038C">
        <w:rPr>
          <w:rFonts w:ascii="Traditional Arabic" w:hAnsi="Traditional Arabic" w:cs="Traditional Arabic"/>
          <w:sz w:val="22"/>
          <w:szCs w:val="22"/>
        </w:rPr>
        <w:t>(Lozano, 2022).</w:t>
      </w:r>
    </w:p>
    <w:p w14:paraId="48D17919" w14:textId="56E7BAD2" w:rsidR="00565054" w:rsidRDefault="00EB7819" w:rsidP="00D4175D">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0011038C" w:rsidRPr="0011038C">
        <w:rPr>
          <w:rFonts w:ascii="Traditional Arabic" w:hAnsi="Traditional Arabic" w:cs="Traditional Arabic"/>
          <w:rtl/>
        </w:rPr>
        <w:t>وبناءً على ما سبق، يمكن القول إن تحقيق الاستدامة المؤسسية يتطلب تكامل الأبعاد الثلاثة للاستدامة، حيث تسهم الاستدامة الاقتصادية في تحقيق الاستقرار المالي للمؤسسة، بينما تعزز الاستدامة الاجتماعية مسؤولية المؤسسة تجاه المجتمع والعاملين، في حين تعمل الاستدامة البيئية على الحفاظ على الموارد الطبيعية. ويؤدي التكامل بين هذه الأبعاد إلى تعزيز قدرة المؤسسات على تحقيق الأداء المستدام والاستمرار في أداء دورها التنموي في المجتمع</w:t>
      </w:r>
      <w:r w:rsidR="0011038C" w:rsidRPr="0011038C">
        <w:rPr>
          <w:rFonts w:ascii="Traditional Arabic" w:hAnsi="Traditional Arabic" w:cs="Traditional Arabic"/>
        </w:rPr>
        <w:t>.</w:t>
      </w:r>
    </w:p>
    <w:p w14:paraId="43390491" w14:textId="77777777" w:rsidR="00B57322" w:rsidRDefault="00B57322" w:rsidP="00DA0D2F">
      <w:pPr>
        <w:tabs>
          <w:tab w:val="left" w:pos="1368"/>
        </w:tabs>
        <w:bidi/>
        <w:spacing w:line="276" w:lineRule="auto"/>
        <w:jc w:val="both"/>
        <w:rPr>
          <w:rFonts w:ascii="Traditional Arabic" w:hAnsi="Traditional Arabic" w:cs="Traditional Arabic"/>
          <w:b/>
          <w:bCs/>
          <w:rtl/>
        </w:rPr>
      </w:pPr>
    </w:p>
    <w:p w14:paraId="7704033B" w14:textId="77777777" w:rsidR="00B57322" w:rsidRDefault="00B57322" w:rsidP="00B57322">
      <w:pPr>
        <w:tabs>
          <w:tab w:val="left" w:pos="1368"/>
        </w:tabs>
        <w:bidi/>
        <w:spacing w:line="276" w:lineRule="auto"/>
        <w:jc w:val="both"/>
        <w:rPr>
          <w:rFonts w:ascii="Traditional Arabic" w:hAnsi="Traditional Arabic" w:cs="Traditional Arabic"/>
          <w:b/>
          <w:bCs/>
          <w:rtl/>
        </w:rPr>
      </w:pPr>
    </w:p>
    <w:p w14:paraId="53E605C6" w14:textId="77777777" w:rsidR="00B57322" w:rsidRDefault="00B57322" w:rsidP="00B57322">
      <w:pPr>
        <w:tabs>
          <w:tab w:val="left" w:pos="1368"/>
        </w:tabs>
        <w:bidi/>
        <w:spacing w:line="276" w:lineRule="auto"/>
        <w:jc w:val="both"/>
        <w:rPr>
          <w:rFonts w:ascii="Traditional Arabic" w:hAnsi="Traditional Arabic" w:cs="Traditional Arabic"/>
          <w:b/>
          <w:bCs/>
          <w:rtl/>
        </w:rPr>
      </w:pPr>
    </w:p>
    <w:p w14:paraId="366ECC30" w14:textId="77777777" w:rsidR="00B57322" w:rsidRDefault="00B57322" w:rsidP="00B57322">
      <w:pPr>
        <w:tabs>
          <w:tab w:val="left" w:pos="1368"/>
        </w:tabs>
        <w:bidi/>
        <w:spacing w:line="276" w:lineRule="auto"/>
        <w:jc w:val="both"/>
        <w:rPr>
          <w:rFonts w:ascii="Traditional Arabic" w:hAnsi="Traditional Arabic" w:cs="Traditional Arabic"/>
          <w:b/>
          <w:bCs/>
          <w:rtl/>
        </w:rPr>
      </w:pPr>
    </w:p>
    <w:p w14:paraId="258DC3A5" w14:textId="77777777" w:rsidR="00B57322" w:rsidRDefault="00B57322" w:rsidP="00B57322">
      <w:pPr>
        <w:tabs>
          <w:tab w:val="left" w:pos="1368"/>
        </w:tabs>
        <w:bidi/>
        <w:spacing w:line="276" w:lineRule="auto"/>
        <w:jc w:val="both"/>
        <w:rPr>
          <w:rFonts w:ascii="Traditional Arabic" w:hAnsi="Traditional Arabic" w:cs="Traditional Arabic"/>
          <w:b/>
          <w:bCs/>
          <w:rtl/>
        </w:rPr>
      </w:pPr>
    </w:p>
    <w:p w14:paraId="295940D6" w14:textId="77777777" w:rsidR="00B57322" w:rsidRDefault="00B57322" w:rsidP="00B57322">
      <w:pPr>
        <w:tabs>
          <w:tab w:val="left" w:pos="1368"/>
        </w:tabs>
        <w:bidi/>
        <w:spacing w:line="276" w:lineRule="auto"/>
        <w:jc w:val="both"/>
        <w:rPr>
          <w:rFonts w:ascii="Traditional Arabic" w:hAnsi="Traditional Arabic" w:cs="Traditional Arabic"/>
          <w:b/>
          <w:bCs/>
          <w:rtl/>
        </w:rPr>
      </w:pPr>
    </w:p>
    <w:p w14:paraId="3E5F5F2F" w14:textId="77777777" w:rsidR="00B57322" w:rsidRDefault="00B57322" w:rsidP="00B57322">
      <w:pPr>
        <w:tabs>
          <w:tab w:val="left" w:pos="1368"/>
        </w:tabs>
        <w:bidi/>
        <w:spacing w:line="276" w:lineRule="auto"/>
        <w:jc w:val="both"/>
        <w:rPr>
          <w:rFonts w:ascii="Traditional Arabic" w:hAnsi="Traditional Arabic" w:cs="Traditional Arabic"/>
          <w:b/>
          <w:bCs/>
          <w:rtl/>
        </w:rPr>
      </w:pPr>
    </w:p>
    <w:p w14:paraId="27B69426" w14:textId="77777777" w:rsidR="00B57322" w:rsidRDefault="00B57322" w:rsidP="00B57322">
      <w:pPr>
        <w:tabs>
          <w:tab w:val="left" w:pos="1368"/>
        </w:tabs>
        <w:bidi/>
        <w:spacing w:line="276" w:lineRule="auto"/>
        <w:jc w:val="both"/>
        <w:rPr>
          <w:rFonts w:ascii="Traditional Arabic" w:hAnsi="Traditional Arabic" w:cs="Traditional Arabic"/>
          <w:b/>
          <w:bCs/>
          <w:rtl/>
        </w:rPr>
      </w:pPr>
    </w:p>
    <w:p w14:paraId="13736909" w14:textId="77777777" w:rsidR="00B57322" w:rsidRDefault="00B57322" w:rsidP="00B57322">
      <w:pPr>
        <w:tabs>
          <w:tab w:val="left" w:pos="1368"/>
        </w:tabs>
        <w:bidi/>
        <w:spacing w:line="276" w:lineRule="auto"/>
        <w:jc w:val="both"/>
        <w:rPr>
          <w:rFonts w:ascii="Traditional Arabic" w:hAnsi="Traditional Arabic" w:cs="Traditional Arabic"/>
          <w:b/>
          <w:bCs/>
          <w:rtl/>
        </w:rPr>
      </w:pPr>
    </w:p>
    <w:p w14:paraId="5775EF50" w14:textId="77777777" w:rsidR="00B57322" w:rsidRDefault="00B57322" w:rsidP="00B57322">
      <w:pPr>
        <w:tabs>
          <w:tab w:val="left" w:pos="1368"/>
        </w:tabs>
        <w:bidi/>
        <w:spacing w:line="276" w:lineRule="auto"/>
        <w:jc w:val="both"/>
        <w:rPr>
          <w:rFonts w:ascii="Traditional Arabic" w:hAnsi="Traditional Arabic" w:cs="Traditional Arabic"/>
          <w:b/>
          <w:bCs/>
          <w:rtl/>
        </w:rPr>
      </w:pPr>
    </w:p>
    <w:p w14:paraId="35492372" w14:textId="77777777" w:rsidR="00B57322" w:rsidRDefault="00B57322" w:rsidP="00B57322">
      <w:pPr>
        <w:tabs>
          <w:tab w:val="left" w:pos="1368"/>
        </w:tabs>
        <w:bidi/>
        <w:spacing w:line="276" w:lineRule="auto"/>
        <w:jc w:val="both"/>
        <w:rPr>
          <w:rFonts w:ascii="Traditional Arabic" w:hAnsi="Traditional Arabic" w:cs="Traditional Arabic"/>
          <w:b/>
          <w:bCs/>
          <w:rtl/>
        </w:rPr>
      </w:pPr>
    </w:p>
    <w:p w14:paraId="59AB1229" w14:textId="77777777" w:rsidR="00B57322" w:rsidRDefault="00B57322" w:rsidP="00B57322">
      <w:pPr>
        <w:tabs>
          <w:tab w:val="left" w:pos="1368"/>
        </w:tabs>
        <w:bidi/>
        <w:spacing w:line="276" w:lineRule="auto"/>
        <w:jc w:val="both"/>
        <w:rPr>
          <w:rFonts w:ascii="Traditional Arabic" w:hAnsi="Traditional Arabic" w:cs="Traditional Arabic"/>
          <w:b/>
          <w:bCs/>
          <w:rtl/>
        </w:rPr>
      </w:pPr>
    </w:p>
    <w:p w14:paraId="35D27B98" w14:textId="77777777" w:rsidR="00B57322" w:rsidRDefault="00B57322" w:rsidP="00B57322">
      <w:pPr>
        <w:tabs>
          <w:tab w:val="left" w:pos="1368"/>
        </w:tabs>
        <w:bidi/>
        <w:spacing w:line="276" w:lineRule="auto"/>
        <w:jc w:val="both"/>
        <w:rPr>
          <w:rFonts w:ascii="Traditional Arabic" w:hAnsi="Traditional Arabic" w:cs="Traditional Arabic"/>
          <w:b/>
          <w:bCs/>
          <w:rtl/>
        </w:rPr>
      </w:pPr>
    </w:p>
    <w:p w14:paraId="7FA6C621" w14:textId="77777777" w:rsidR="00347BCF" w:rsidRDefault="00347BCF" w:rsidP="00347BCF">
      <w:pPr>
        <w:tabs>
          <w:tab w:val="left" w:pos="1368"/>
        </w:tabs>
        <w:bidi/>
        <w:spacing w:line="276" w:lineRule="auto"/>
        <w:jc w:val="both"/>
        <w:rPr>
          <w:rFonts w:ascii="Traditional Arabic" w:hAnsi="Traditional Arabic" w:cs="Traditional Arabic"/>
          <w:b/>
          <w:bCs/>
          <w:rtl/>
        </w:rPr>
      </w:pPr>
    </w:p>
    <w:p w14:paraId="2E368274" w14:textId="056098B3" w:rsidR="00DA0D2F" w:rsidRPr="00DA0D2F" w:rsidRDefault="00DA0D2F" w:rsidP="00B57322">
      <w:pPr>
        <w:tabs>
          <w:tab w:val="left" w:pos="1368"/>
        </w:tabs>
        <w:bidi/>
        <w:spacing w:line="276" w:lineRule="auto"/>
        <w:jc w:val="both"/>
        <w:rPr>
          <w:rFonts w:ascii="Traditional Arabic" w:hAnsi="Traditional Arabic" w:cs="Traditional Arabic"/>
          <w:b/>
          <w:bCs/>
        </w:rPr>
      </w:pPr>
      <w:r w:rsidRPr="00DA0D2F">
        <w:rPr>
          <w:rFonts w:ascii="Traditional Arabic" w:hAnsi="Traditional Arabic" w:cs="Traditional Arabic"/>
          <w:b/>
          <w:bCs/>
          <w:rtl/>
        </w:rPr>
        <w:lastRenderedPageBreak/>
        <w:t>الدراسات السابقة</w:t>
      </w:r>
    </w:p>
    <w:p w14:paraId="7C377441" w14:textId="629EC08F" w:rsidR="00DA0D2F" w:rsidRPr="00DA0D2F" w:rsidRDefault="00870ACC" w:rsidP="00DA0D2F">
      <w:pPr>
        <w:tabs>
          <w:tab w:val="left" w:pos="1368"/>
        </w:tabs>
        <w:bidi/>
        <w:spacing w:line="276" w:lineRule="auto"/>
        <w:jc w:val="both"/>
        <w:rPr>
          <w:rFonts w:ascii="Traditional Arabic" w:hAnsi="Traditional Arabic" w:cs="Traditional Arabic"/>
        </w:rPr>
      </w:pPr>
      <w:r w:rsidRPr="00870ACC">
        <w:rPr>
          <w:rFonts w:ascii="Traditional Arabic" w:hAnsi="Traditional Arabic" w:cs="Traditional Arabic" w:hint="cs"/>
          <w:rtl/>
        </w:rPr>
        <w:t xml:space="preserve">     </w:t>
      </w:r>
      <w:r w:rsidR="00DA0D2F" w:rsidRPr="00DA0D2F">
        <w:rPr>
          <w:rFonts w:ascii="Traditional Arabic" w:hAnsi="Traditional Arabic" w:cs="Traditional Arabic"/>
          <w:rtl/>
        </w:rPr>
        <w:t>حظيت موضوعات البراعة التنظيمية والتميز المؤسسي والاستدامة المؤسسية باهتمام متزايد في الأدبيات الإدارية المعاصرة، نظرًا لدورها في تعزيز قدرة المؤسسات على التكيف مع التغيرات البيئية وتحقيق الأداء المتفوق والاستدامة التنظيمية. وقد سعت العديد من الدراسات إلى تحليل هذه المفاهيم من زوايا مختلفة، سواء من حيث الأبعاد النظرية أو التطبيقات العملية في المؤسسات الحكومية والخاصة</w:t>
      </w:r>
      <w:r w:rsidR="00DA0D2F" w:rsidRPr="00DA0D2F">
        <w:rPr>
          <w:rFonts w:ascii="Traditional Arabic" w:hAnsi="Traditional Arabic" w:cs="Traditional Arabic"/>
        </w:rPr>
        <w:t>.</w:t>
      </w:r>
    </w:p>
    <w:p w14:paraId="7673D2D4" w14:textId="77777777" w:rsidR="00DA0D2F" w:rsidRPr="00DA0D2F" w:rsidRDefault="00DA0D2F" w:rsidP="00DA0D2F">
      <w:pPr>
        <w:tabs>
          <w:tab w:val="left" w:pos="1368"/>
        </w:tabs>
        <w:bidi/>
        <w:spacing w:line="276" w:lineRule="auto"/>
        <w:jc w:val="both"/>
        <w:rPr>
          <w:rFonts w:ascii="Traditional Arabic" w:hAnsi="Traditional Arabic" w:cs="Traditional Arabic"/>
        </w:rPr>
      </w:pPr>
      <w:r w:rsidRPr="00DA0D2F">
        <w:rPr>
          <w:rFonts w:ascii="Traditional Arabic" w:hAnsi="Traditional Arabic" w:cs="Traditional Arabic"/>
          <w:rtl/>
        </w:rPr>
        <w:t>وتسهم مراجعة الدراسات السابقة في تكوين تصور علمي واضح حول الجهود البحثية التي تناولت موضوع الدراسة، كما تساعد في تحديد الفجوة البحثية التي تسعى الدراسة الحالية إلى معالجتها. وفي ضوء متغيرات الدراسة، سيتم عرض الدراسات السابقة وفق أربعة محاور رئيسة هي</w:t>
      </w:r>
      <w:r w:rsidRPr="00DA0D2F">
        <w:rPr>
          <w:rFonts w:ascii="Traditional Arabic" w:hAnsi="Traditional Arabic" w:cs="Traditional Arabic"/>
        </w:rPr>
        <w:t>:</w:t>
      </w:r>
    </w:p>
    <w:p w14:paraId="546BFA89" w14:textId="77777777" w:rsidR="00DA0D2F" w:rsidRPr="00DA0D2F" w:rsidRDefault="00DA0D2F" w:rsidP="00DA0D2F">
      <w:pPr>
        <w:numPr>
          <w:ilvl w:val="0"/>
          <w:numId w:val="66"/>
        </w:numPr>
        <w:tabs>
          <w:tab w:val="left" w:pos="1368"/>
        </w:tabs>
        <w:bidi/>
        <w:spacing w:line="276" w:lineRule="auto"/>
        <w:jc w:val="both"/>
        <w:rPr>
          <w:rFonts w:ascii="Traditional Arabic" w:hAnsi="Traditional Arabic" w:cs="Traditional Arabic"/>
        </w:rPr>
      </w:pPr>
      <w:r w:rsidRPr="00DA0D2F">
        <w:rPr>
          <w:rFonts w:ascii="Traditional Arabic" w:hAnsi="Traditional Arabic" w:cs="Traditional Arabic"/>
          <w:rtl/>
        </w:rPr>
        <w:t>الدراسات المتعلقة بالبراعة التنظيمية</w:t>
      </w:r>
    </w:p>
    <w:p w14:paraId="4D774CC9" w14:textId="77777777" w:rsidR="00DA0D2F" w:rsidRPr="00DA0D2F" w:rsidRDefault="00DA0D2F" w:rsidP="00DA0D2F">
      <w:pPr>
        <w:numPr>
          <w:ilvl w:val="0"/>
          <w:numId w:val="66"/>
        </w:numPr>
        <w:tabs>
          <w:tab w:val="left" w:pos="1368"/>
        </w:tabs>
        <w:bidi/>
        <w:spacing w:line="276" w:lineRule="auto"/>
        <w:jc w:val="both"/>
        <w:rPr>
          <w:rFonts w:ascii="Traditional Arabic" w:hAnsi="Traditional Arabic" w:cs="Traditional Arabic"/>
        </w:rPr>
      </w:pPr>
      <w:r w:rsidRPr="00DA0D2F">
        <w:rPr>
          <w:rFonts w:ascii="Traditional Arabic" w:hAnsi="Traditional Arabic" w:cs="Traditional Arabic"/>
          <w:rtl/>
        </w:rPr>
        <w:t>الدراسات المتعلقة بالتميز المؤسسي</w:t>
      </w:r>
    </w:p>
    <w:p w14:paraId="74C98DE3" w14:textId="77777777" w:rsidR="00DA0D2F" w:rsidRPr="00DA0D2F" w:rsidRDefault="00DA0D2F" w:rsidP="00DA0D2F">
      <w:pPr>
        <w:numPr>
          <w:ilvl w:val="0"/>
          <w:numId w:val="66"/>
        </w:numPr>
        <w:tabs>
          <w:tab w:val="left" w:pos="1368"/>
        </w:tabs>
        <w:bidi/>
        <w:spacing w:line="276" w:lineRule="auto"/>
        <w:jc w:val="both"/>
        <w:rPr>
          <w:rFonts w:ascii="Traditional Arabic" w:hAnsi="Traditional Arabic" w:cs="Traditional Arabic"/>
        </w:rPr>
      </w:pPr>
      <w:r w:rsidRPr="00DA0D2F">
        <w:rPr>
          <w:rFonts w:ascii="Traditional Arabic" w:hAnsi="Traditional Arabic" w:cs="Traditional Arabic"/>
          <w:rtl/>
        </w:rPr>
        <w:t>الدراسات المتعلقة بالاستدامة المؤسسية</w:t>
      </w:r>
    </w:p>
    <w:p w14:paraId="279061DA" w14:textId="139BFB2A" w:rsidR="00DA0D2F" w:rsidRPr="00DA0D2F" w:rsidRDefault="00DA0D2F" w:rsidP="00870ACC">
      <w:pPr>
        <w:numPr>
          <w:ilvl w:val="0"/>
          <w:numId w:val="66"/>
        </w:numPr>
        <w:tabs>
          <w:tab w:val="left" w:pos="1368"/>
        </w:tabs>
        <w:bidi/>
        <w:spacing w:line="276" w:lineRule="auto"/>
        <w:jc w:val="both"/>
        <w:rPr>
          <w:rFonts w:ascii="Traditional Arabic" w:hAnsi="Traditional Arabic" w:cs="Traditional Arabic"/>
        </w:rPr>
      </w:pPr>
      <w:r w:rsidRPr="00DA0D2F">
        <w:rPr>
          <w:rFonts w:ascii="Traditional Arabic" w:hAnsi="Traditional Arabic" w:cs="Traditional Arabic"/>
          <w:rtl/>
        </w:rPr>
        <w:t>الدراسات التي تناولت العلاقة بين متغيرات الدراسة</w:t>
      </w:r>
    </w:p>
    <w:p w14:paraId="6906C0FC" w14:textId="77777777" w:rsidR="00DA0D2F" w:rsidRPr="00DA0D2F" w:rsidRDefault="00DA0D2F" w:rsidP="00DA0D2F">
      <w:pPr>
        <w:tabs>
          <w:tab w:val="left" w:pos="1368"/>
        </w:tabs>
        <w:bidi/>
        <w:spacing w:line="276" w:lineRule="auto"/>
        <w:jc w:val="both"/>
        <w:rPr>
          <w:rFonts w:ascii="Traditional Arabic" w:hAnsi="Traditional Arabic" w:cs="Traditional Arabic"/>
          <w:b/>
          <w:bCs/>
        </w:rPr>
      </w:pPr>
      <w:r w:rsidRPr="00DA0D2F">
        <w:rPr>
          <w:rFonts w:ascii="Traditional Arabic" w:hAnsi="Traditional Arabic" w:cs="Traditional Arabic"/>
          <w:b/>
          <w:bCs/>
          <w:rtl/>
        </w:rPr>
        <w:t>أولاً: الدراسات السابقة المتعلقة بالبراعة التنظيمية</w:t>
      </w:r>
    </w:p>
    <w:p w14:paraId="432666C1" w14:textId="77777777" w:rsidR="00DA0D2F" w:rsidRPr="00DA0D2F" w:rsidRDefault="00DA0D2F" w:rsidP="00DA0D2F">
      <w:pPr>
        <w:tabs>
          <w:tab w:val="left" w:pos="1368"/>
        </w:tabs>
        <w:bidi/>
        <w:spacing w:line="276" w:lineRule="auto"/>
        <w:jc w:val="both"/>
        <w:rPr>
          <w:rFonts w:ascii="Traditional Arabic" w:hAnsi="Traditional Arabic" w:cs="Traditional Arabic"/>
          <w:b/>
          <w:bCs/>
        </w:rPr>
      </w:pPr>
      <w:r w:rsidRPr="00DA0D2F">
        <w:rPr>
          <w:rFonts w:ascii="Traditional Arabic" w:hAnsi="Traditional Arabic" w:cs="Traditional Arabic"/>
          <w:b/>
          <w:bCs/>
          <w:rtl/>
        </w:rPr>
        <w:t>دراسة</w:t>
      </w:r>
      <w:r w:rsidRPr="00DA0D2F">
        <w:rPr>
          <w:rFonts w:ascii="Traditional Arabic" w:hAnsi="Traditional Arabic" w:cs="Traditional Arabic"/>
          <w:b/>
          <w:bCs/>
        </w:rPr>
        <w:t xml:space="preserve"> O’Reilly &amp; Tushman (2021)</w:t>
      </w:r>
    </w:p>
    <w:p w14:paraId="3340C079" w14:textId="358BFCCB" w:rsidR="00DA0D2F" w:rsidRPr="00DA0D2F" w:rsidRDefault="00870ACC" w:rsidP="00DA0D2F">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DA0D2F" w:rsidRPr="00DA0D2F">
        <w:rPr>
          <w:rFonts w:ascii="Traditional Arabic" w:hAnsi="Traditional Arabic" w:cs="Traditional Arabic"/>
          <w:rtl/>
        </w:rPr>
        <w:t>هدفت هذه الدراسة إلى تحليل دور البراعة التنظيمية في تمكين المؤسسات من تحقيق التوازن بين الابتكار والكفاءة التشغيلية. واعتمدت الدراسة على المنهج التحليلي من خلال دراسة عدد من الحالات التنظيمية في المؤسسات المختلفة. وتوصلت نتائج الدراسة إلى أن المؤسسات التي تتمكن من تحقيق التوازن بين أنشطة الاستكشاف والاستغلال تكون أكثر قدرة على تحقيق الأداء المتفوق وتعزيز الابتكار المؤسسي</w:t>
      </w:r>
      <w:r w:rsidR="00DA0D2F" w:rsidRPr="00DA0D2F">
        <w:rPr>
          <w:rFonts w:ascii="Traditional Arabic" w:hAnsi="Traditional Arabic" w:cs="Traditional Arabic"/>
        </w:rPr>
        <w:t>.</w:t>
      </w:r>
    </w:p>
    <w:p w14:paraId="57BE8FE1" w14:textId="2C5E506D" w:rsidR="00DA0D2F" w:rsidRPr="00DA0D2F" w:rsidRDefault="00DA0D2F" w:rsidP="00870ACC">
      <w:pPr>
        <w:tabs>
          <w:tab w:val="left" w:pos="1368"/>
        </w:tabs>
        <w:bidi/>
        <w:spacing w:line="276" w:lineRule="auto"/>
        <w:jc w:val="both"/>
        <w:rPr>
          <w:rFonts w:ascii="Traditional Arabic" w:hAnsi="Traditional Arabic" w:cs="Traditional Arabic"/>
        </w:rPr>
      </w:pPr>
      <w:r w:rsidRPr="00DA0D2F">
        <w:rPr>
          <w:rFonts w:ascii="Traditional Arabic" w:hAnsi="Traditional Arabic" w:cs="Traditional Arabic"/>
          <w:b/>
          <w:bCs/>
          <w:rtl/>
        </w:rPr>
        <w:t>ارتباط الدراسة بالدراسة الحالية</w:t>
      </w:r>
      <w:r w:rsidRPr="00DA0D2F">
        <w:rPr>
          <w:rFonts w:ascii="Traditional Arabic" w:hAnsi="Traditional Arabic" w:cs="Traditional Arabic"/>
          <w:b/>
          <w:bCs/>
        </w:rPr>
        <w:t>:</w:t>
      </w:r>
      <w:r w:rsidR="00870ACC">
        <w:rPr>
          <w:rFonts w:ascii="Traditional Arabic" w:hAnsi="Traditional Arabic" w:cs="Traditional Arabic" w:hint="cs"/>
          <w:rtl/>
        </w:rPr>
        <w:t xml:space="preserve"> </w:t>
      </w:r>
      <w:r w:rsidRPr="00DA0D2F">
        <w:rPr>
          <w:rFonts w:ascii="Traditional Arabic" w:hAnsi="Traditional Arabic" w:cs="Traditional Arabic"/>
          <w:rtl/>
        </w:rPr>
        <w:t>تتفق هذه الدراسة مع الدراسة الحالية في تأكيد أهمية البراعة التنظيمية في تعزيز الأداء المؤسسي. وتختلف عنها في تركيزها على المؤسسات الخاصة بشكل أكبر، بينما تسعى الدراسة الحالية إلى تحليل دور البراعة التنظيمية في تحقيق التميز المؤسسي والاستدامة المؤسسية في هيئات القطاع العام السعودي</w:t>
      </w:r>
      <w:r w:rsidRPr="00DA0D2F">
        <w:rPr>
          <w:rFonts w:ascii="Traditional Arabic" w:hAnsi="Traditional Arabic" w:cs="Traditional Arabic"/>
        </w:rPr>
        <w:t>.</w:t>
      </w:r>
    </w:p>
    <w:p w14:paraId="44A28AA6" w14:textId="77777777" w:rsidR="00DA0D2F" w:rsidRPr="00DA0D2F" w:rsidRDefault="00DA0D2F" w:rsidP="00DA0D2F">
      <w:pPr>
        <w:tabs>
          <w:tab w:val="left" w:pos="1368"/>
        </w:tabs>
        <w:bidi/>
        <w:spacing w:line="276" w:lineRule="auto"/>
        <w:jc w:val="both"/>
        <w:rPr>
          <w:rFonts w:ascii="Traditional Arabic" w:hAnsi="Traditional Arabic" w:cs="Traditional Arabic"/>
          <w:b/>
          <w:bCs/>
        </w:rPr>
      </w:pPr>
      <w:r w:rsidRPr="00DA0D2F">
        <w:rPr>
          <w:rFonts w:ascii="Traditional Arabic" w:hAnsi="Traditional Arabic" w:cs="Traditional Arabic"/>
          <w:b/>
          <w:bCs/>
          <w:rtl/>
        </w:rPr>
        <w:t>دراسة</w:t>
      </w:r>
      <w:r w:rsidRPr="00DA0D2F">
        <w:rPr>
          <w:rFonts w:ascii="Traditional Arabic" w:hAnsi="Traditional Arabic" w:cs="Traditional Arabic"/>
          <w:b/>
          <w:bCs/>
        </w:rPr>
        <w:t xml:space="preserve"> Gibson &amp; Birkinshaw (2022)</w:t>
      </w:r>
    </w:p>
    <w:p w14:paraId="2AADC8F7" w14:textId="29E5C3AB" w:rsidR="00DA0D2F" w:rsidRPr="00DA0D2F" w:rsidRDefault="00870ACC" w:rsidP="00DA0D2F">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DA0D2F" w:rsidRPr="00DA0D2F">
        <w:rPr>
          <w:rFonts w:ascii="Traditional Arabic" w:hAnsi="Traditional Arabic" w:cs="Traditional Arabic"/>
          <w:rtl/>
        </w:rPr>
        <w:t>هدفت هذه الدراسة إلى تحليل دور الثقافة التنظيمية في تعزيز البراعة التنظيمية داخل المؤسسات، وذلك من خلال تمكين الأفراد من تحقيق التوازن بين أنشطة الاستكشاف والاستغلال. واعتمدت الدراسة على المنهج التحليلي لمراجعة الأدبيات والدراسات السابقة المتعلقة بالبراعة التنظيمية. وأظهرت النتائج أن الثقافة التنظيمية الداعمة للابتكار تسهم في تعزيز قدرة المؤسسات على تحقيق البراعة التنظيمية</w:t>
      </w:r>
      <w:r w:rsidR="00DA0D2F" w:rsidRPr="00DA0D2F">
        <w:rPr>
          <w:rFonts w:ascii="Traditional Arabic" w:hAnsi="Traditional Arabic" w:cs="Traditional Arabic"/>
        </w:rPr>
        <w:t>.</w:t>
      </w:r>
    </w:p>
    <w:p w14:paraId="68036A38" w14:textId="2D90AC4E" w:rsidR="00DA0D2F" w:rsidRPr="00DA0D2F" w:rsidRDefault="00DA0D2F" w:rsidP="00DA0D2F">
      <w:pPr>
        <w:tabs>
          <w:tab w:val="left" w:pos="1368"/>
        </w:tabs>
        <w:bidi/>
        <w:spacing w:line="276" w:lineRule="auto"/>
        <w:jc w:val="both"/>
        <w:rPr>
          <w:rFonts w:ascii="Traditional Arabic" w:hAnsi="Traditional Arabic" w:cs="Traditional Arabic"/>
        </w:rPr>
      </w:pPr>
      <w:r w:rsidRPr="00DA0D2F">
        <w:rPr>
          <w:rFonts w:ascii="Traditional Arabic" w:hAnsi="Traditional Arabic" w:cs="Traditional Arabic"/>
          <w:b/>
          <w:bCs/>
          <w:rtl/>
        </w:rPr>
        <w:t>ارتباط الدراسة بالدراسة الحالية</w:t>
      </w:r>
      <w:r w:rsidRPr="00DA0D2F">
        <w:rPr>
          <w:rFonts w:ascii="Traditional Arabic" w:hAnsi="Traditional Arabic" w:cs="Traditional Arabic"/>
          <w:b/>
          <w:bCs/>
        </w:rPr>
        <w:t>:</w:t>
      </w:r>
      <w:r w:rsidR="00870ACC">
        <w:rPr>
          <w:rFonts w:ascii="Traditional Arabic" w:hAnsi="Traditional Arabic" w:cs="Traditional Arabic" w:hint="cs"/>
          <w:rtl/>
        </w:rPr>
        <w:t xml:space="preserve"> </w:t>
      </w:r>
      <w:r w:rsidRPr="00DA0D2F">
        <w:rPr>
          <w:rFonts w:ascii="Traditional Arabic" w:hAnsi="Traditional Arabic" w:cs="Traditional Arabic"/>
          <w:rtl/>
        </w:rPr>
        <w:t>تتفق هذه الدراسة مع الدراسة الحالية في إبراز أهمية البراعة التنظيمية في تطوير الأداء التنظيمي. إلا أنها ركزت على الجانب الثقافي للبراعة التنظيمية، بينما تسعى الدراسة الحالية إلى تحليل البراعة التنظيمية بأبعادها المختلفة وعلاقتها بالتميز المؤسسي والاستدامة المؤسسية</w:t>
      </w:r>
      <w:r w:rsidRPr="00DA0D2F">
        <w:rPr>
          <w:rFonts w:ascii="Traditional Arabic" w:hAnsi="Traditional Arabic" w:cs="Traditional Arabic"/>
        </w:rPr>
        <w:t>.</w:t>
      </w:r>
    </w:p>
    <w:p w14:paraId="660ED2EA" w14:textId="222EF64B" w:rsidR="00DA0D2F" w:rsidRPr="00DA0D2F" w:rsidRDefault="00DA0D2F" w:rsidP="00DA0D2F">
      <w:pPr>
        <w:tabs>
          <w:tab w:val="left" w:pos="1368"/>
        </w:tabs>
        <w:bidi/>
        <w:spacing w:line="276" w:lineRule="auto"/>
        <w:jc w:val="both"/>
        <w:rPr>
          <w:rFonts w:ascii="Traditional Arabic" w:hAnsi="Traditional Arabic" w:cs="Traditional Arabic"/>
        </w:rPr>
      </w:pPr>
    </w:p>
    <w:p w14:paraId="61BE3C6A" w14:textId="77777777" w:rsidR="00DA0D2F" w:rsidRPr="00DA0D2F" w:rsidRDefault="00DA0D2F" w:rsidP="00DA0D2F">
      <w:pPr>
        <w:tabs>
          <w:tab w:val="left" w:pos="1368"/>
        </w:tabs>
        <w:bidi/>
        <w:spacing w:line="276" w:lineRule="auto"/>
        <w:jc w:val="both"/>
        <w:rPr>
          <w:rFonts w:ascii="Traditional Arabic" w:hAnsi="Traditional Arabic" w:cs="Traditional Arabic"/>
          <w:b/>
          <w:bCs/>
        </w:rPr>
      </w:pPr>
      <w:r w:rsidRPr="00DA0D2F">
        <w:rPr>
          <w:rFonts w:ascii="Traditional Arabic" w:hAnsi="Traditional Arabic" w:cs="Traditional Arabic"/>
          <w:b/>
          <w:bCs/>
          <w:rtl/>
        </w:rPr>
        <w:lastRenderedPageBreak/>
        <w:t>دراسة</w:t>
      </w:r>
      <w:r w:rsidRPr="00DA0D2F">
        <w:rPr>
          <w:rFonts w:ascii="Traditional Arabic" w:hAnsi="Traditional Arabic" w:cs="Traditional Arabic"/>
          <w:b/>
          <w:bCs/>
        </w:rPr>
        <w:t xml:space="preserve"> Yoon &amp; Lim (2022)</w:t>
      </w:r>
    </w:p>
    <w:p w14:paraId="5A208D71" w14:textId="53D935C4" w:rsidR="00DA0D2F" w:rsidRPr="00DA0D2F" w:rsidRDefault="00870ACC" w:rsidP="00DA0D2F">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DA0D2F" w:rsidRPr="00DA0D2F">
        <w:rPr>
          <w:rFonts w:ascii="Traditional Arabic" w:hAnsi="Traditional Arabic" w:cs="Traditional Arabic"/>
          <w:rtl/>
        </w:rPr>
        <w:t>هدفت هذه الدراسة إلى تحليل دور القيادة المزدوجة في تعزيز الابتكار في القطاع العام. واعتمدت الدراسة على المنهج الكمي باستخدام الاستبيانات وتحليل البيانات الإحصائية. وأظهرت النتائج أن القيادة التي تحقق التوازن بين الكفاءة التشغيلية والابتكار تسهم في تعزيز الابتكار المؤسسي وتحسين جودة الخدمات الحكومية</w:t>
      </w:r>
      <w:r w:rsidR="00DA0D2F" w:rsidRPr="00DA0D2F">
        <w:rPr>
          <w:rFonts w:ascii="Traditional Arabic" w:hAnsi="Traditional Arabic" w:cs="Traditional Arabic"/>
        </w:rPr>
        <w:t>.</w:t>
      </w:r>
    </w:p>
    <w:p w14:paraId="60247051" w14:textId="6783CD8A" w:rsidR="00DA0D2F" w:rsidRPr="00DA0D2F" w:rsidRDefault="00DA0D2F" w:rsidP="00870ACC">
      <w:pPr>
        <w:tabs>
          <w:tab w:val="left" w:pos="1368"/>
        </w:tabs>
        <w:bidi/>
        <w:spacing w:line="276" w:lineRule="auto"/>
        <w:jc w:val="both"/>
        <w:rPr>
          <w:rFonts w:ascii="Traditional Arabic" w:hAnsi="Traditional Arabic" w:cs="Traditional Arabic"/>
        </w:rPr>
      </w:pPr>
      <w:r w:rsidRPr="00DA0D2F">
        <w:rPr>
          <w:rFonts w:ascii="Traditional Arabic" w:hAnsi="Traditional Arabic" w:cs="Traditional Arabic"/>
          <w:b/>
          <w:bCs/>
          <w:rtl/>
        </w:rPr>
        <w:t>ارتباط الدراسة بالدراسة الحالية</w:t>
      </w:r>
      <w:r w:rsidRPr="00DA0D2F">
        <w:rPr>
          <w:rFonts w:ascii="Traditional Arabic" w:hAnsi="Traditional Arabic" w:cs="Traditional Arabic"/>
          <w:b/>
          <w:bCs/>
        </w:rPr>
        <w:t>:</w:t>
      </w:r>
      <w:r w:rsidR="00870ACC">
        <w:rPr>
          <w:rFonts w:ascii="Traditional Arabic" w:hAnsi="Traditional Arabic" w:cs="Traditional Arabic" w:hint="cs"/>
          <w:rtl/>
        </w:rPr>
        <w:t xml:space="preserve"> </w:t>
      </w:r>
      <w:r w:rsidRPr="00DA0D2F">
        <w:rPr>
          <w:rFonts w:ascii="Traditional Arabic" w:hAnsi="Traditional Arabic" w:cs="Traditional Arabic"/>
          <w:rtl/>
        </w:rPr>
        <w:t>تتفق هذه الدراسة مع الدراسة الحالية في تأكيد دور القيادة في تعزيز البراعة التنظيمية داخل المؤسسات الحكومية. إلا أنها ركزت على البراعة القيادية فقط، بينما تسعى الدراسة الحالية إلى دراسة البراعة التنظيمية بأبعادها المختلفة وتأثيرها في التميز المؤسسي والاستدامة المؤسسية</w:t>
      </w:r>
      <w:r w:rsidRPr="00DA0D2F">
        <w:rPr>
          <w:rFonts w:ascii="Traditional Arabic" w:hAnsi="Traditional Arabic" w:cs="Traditional Arabic"/>
        </w:rPr>
        <w:t>.</w:t>
      </w:r>
    </w:p>
    <w:p w14:paraId="70F5BB20" w14:textId="77777777" w:rsidR="00DA0D2F" w:rsidRPr="00DA0D2F" w:rsidRDefault="00DA0D2F" w:rsidP="00DA0D2F">
      <w:pPr>
        <w:tabs>
          <w:tab w:val="left" w:pos="1368"/>
        </w:tabs>
        <w:bidi/>
        <w:spacing w:line="276" w:lineRule="auto"/>
        <w:jc w:val="both"/>
        <w:rPr>
          <w:rFonts w:ascii="Traditional Arabic" w:hAnsi="Traditional Arabic" w:cs="Traditional Arabic"/>
          <w:b/>
          <w:bCs/>
        </w:rPr>
      </w:pPr>
      <w:r w:rsidRPr="00DA0D2F">
        <w:rPr>
          <w:rFonts w:ascii="Traditional Arabic" w:hAnsi="Traditional Arabic" w:cs="Traditional Arabic"/>
          <w:b/>
          <w:bCs/>
          <w:rtl/>
        </w:rPr>
        <w:t>دراسة</w:t>
      </w:r>
      <w:r w:rsidRPr="00DA0D2F">
        <w:rPr>
          <w:rFonts w:ascii="Traditional Arabic" w:hAnsi="Traditional Arabic" w:cs="Traditional Arabic"/>
          <w:b/>
          <w:bCs/>
        </w:rPr>
        <w:t xml:space="preserve"> Zhang &amp; Chen (2023)</w:t>
      </w:r>
    </w:p>
    <w:p w14:paraId="1E18A374" w14:textId="65F931C9" w:rsidR="00DA0D2F" w:rsidRPr="00DA0D2F" w:rsidRDefault="00870ACC" w:rsidP="00DA0D2F">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DA0D2F" w:rsidRPr="00DA0D2F">
        <w:rPr>
          <w:rFonts w:ascii="Traditional Arabic" w:hAnsi="Traditional Arabic" w:cs="Traditional Arabic"/>
          <w:rtl/>
        </w:rPr>
        <w:t>هدفت هذه الدراسة إلى تحليل دور البراعة التنظيمية في دعم التحول الرقمي في المؤسسات الحكومية. واعتمدت الدراسة على المنهج التحليلي لدراسة كيفية تحقيق التوازن بين استغلال التقنيات الرقمية الحالية واستكشاف تقنيات جديدة. وأظهرت النتائج أن المؤسسات التي تطبق ممارسات البراعة التنظيمية تكون أكثر قدرة على تحقيق التحول الرقمي وتحسين الأداء المؤسسي</w:t>
      </w:r>
      <w:r w:rsidR="00DA0D2F" w:rsidRPr="00DA0D2F">
        <w:rPr>
          <w:rFonts w:ascii="Traditional Arabic" w:hAnsi="Traditional Arabic" w:cs="Traditional Arabic"/>
        </w:rPr>
        <w:t>.</w:t>
      </w:r>
    </w:p>
    <w:p w14:paraId="5B8B934F" w14:textId="6BCDCEB7" w:rsidR="00DA0D2F" w:rsidRPr="00DA0D2F" w:rsidRDefault="00DA0D2F" w:rsidP="00870ACC">
      <w:pPr>
        <w:tabs>
          <w:tab w:val="left" w:pos="1368"/>
        </w:tabs>
        <w:bidi/>
        <w:spacing w:line="276" w:lineRule="auto"/>
        <w:jc w:val="both"/>
        <w:rPr>
          <w:rFonts w:ascii="Traditional Arabic" w:hAnsi="Traditional Arabic" w:cs="Traditional Arabic"/>
        </w:rPr>
      </w:pPr>
      <w:r w:rsidRPr="00DA0D2F">
        <w:rPr>
          <w:rFonts w:ascii="Traditional Arabic" w:hAnsi="Traditional Arabic" w:cs="Traditional Arabic"/>
          <w:b/>
          <w:bCs/>
          <w:rtl/>
        </w:rPr>
        <w:t>ارتباط الدراسة بالدراسة الحالية</w:t>
      </w:r>
      <w:r w:rsidRPr="00DA0D2F">
        <w:rPr>
          <w:rFonts w:ascii="Traditional Arabic" w:hAnsi="Traditional Arabic" w:cs="Traditional Arabic"/>
          <w:b/>
          <w:bCs/>
        </w:rPr>
        <w:t>:</w:t>
      </w:r>
      <w:r w:rsidR="00870ACC">
        <w:rPr>
          <w:rFonts w:ascii="Traditional Arabic" w:hAnsi="Traditional Arabic" w:cs="Traditional Arabic" w:hint="cs"/>
          <w:rtl/>
        </w:rPr>
        <w:t xml:space="preserve"> </w:t>
      </w:r>
      <w:r w:rsidRPr="00DA0D2F">
        <w:rPr>
          <w:rFonts w:ascii="Traditional Arabic" w:hAnsi="Traditional Arabic" w:cs="Traditional Arabic"/>
          <w:rtl/>
        </w:rPr>
        <w:t>تتفق هذه الدراسة مع الدراسة الحالية في إبراز أهمية البراعة التنظيمية في تطوير المؤسسات الحكومية. إلا أنها ركزت على التحول الرقمي، بينما تسعى الدراسة الحالية إلى تحليل دور البراعة التنظيمية في تحقيق التميز المؤسسي والاستدامة المؤسسية</w:t>
      </w:r>
      <w:r w:rsidRPr="00DA0D2F">
        <w:rPr>
          <w:rFonts w:ascii="Traditional Arabic" w:hAnsi="Traditional Arabic" w:cs="Traditional Arabic"/>
        </w:rPr>
        <w:t>.</w:t>
      </w:r>
    </w:p>
    <w:p w14:paraId="149F2C5F" w14:textId="77777777" w:rsidR="00DA0D2F" w:rsidRPr="00DA0D2F" w:rsidRDefault="00DA0D2F" w:rsidP="00DA0D2F">
      <w:pPr>
        <w:tabs>
          <w:tab w:val="left" w:pos="1368"/>
        </w:tabs>
        <w:bidi/>
        <w:spacing w:line="276" w:lineRule="auto"/>
        <w:jc w:val="both"/>
        <w:rPr>
          <w:rFonts w:ascii="Traditional Arabic" w:hAnsi="Traditional Arabic" w:cs="Traditional Arabic"/>
          <w:b/>
          <w:bCs/>
        </w:rPr>
      </w:pPr>
      <w:r w:rsidRPr="00DA0D2F">
        <w:rPr>
          <w:rFonts w:ascii="Traditional Arabic" w:hAnsi="Traditional Arabic" w:cs="Traditional Arabic"/>
          <w:b/>
          <w:bCs/>
          <w:rtl/>
        </w:rPr>
        <w:t>ثانياً: الدراسات السابقة المتعلقة بالتميز المؤسسي</w:t>
      </w:r>
    </w:p>
    <w:p w14:paraId="3975F6DA" w14:textId="77777777" w:rsidR="00DA0D2F" w:rsidRPr="00DA0D2F" w:rsidRDefault="00DA0D2F" w:rsidP="00DA0D2F">
      <w:pPr>
        <w:tabs>
          <w:tab w:val="left" w:pos="1368"/>
        </w:tabs>
        <w:bidi/>
        <w:spacing w:line="276" w:lineRule="auto"/>
        <w:jc w:val="both"/>
        <w:rPr>
          <w:rFonts w:ascii="Traditional Arabic" w:hAnsi="Traditional Arabic" w:cs="Traditional Arabic"/>
          <w:b/>
          <w:bCs/>
        </w:rPr>
      </w:pPr>
      <w:r w:rsidRPr="00DA0D2F">
        <w:rPr>
          <w:rFonts w:ascii="Traditional Arabic" w:hAnsi="Traditional Arabic" w:cs="Traditional Arabic"/>
          <w:b/>
          <w:bCs/>
          <w:rtl/>
        </w:rPr>
        <w:t>دراسة الشمري</w:t>
      </w:r>
      <w:r w:rsidRPr="00DA0D2F">
        <w:rPr>
          <w:rFonts w:ascii="Traditional Arabic" w:hAnsi="Traditional Arabic" w:cs="Traditional Arabic"/>
          <w:b/>
          <w:bCs/>
        </w:rPr>
        <w:t xml:space="preserve"> (2021)</w:t>
      </w:r>
    </w:p>
    <w:p w14:paraId="7D8BE7D4" w14:textId="79A02FCE" w:rsidR="00DA0D2F" w:rsidRPr="00DA0D2F" w:rsidRDefault="00870ACC" w:rsidP="00DA0D2F">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DA0D2F" w:rsidRPr="00DA0D2F">
        <w:rPr>
          <w:rFonts w:ascii="Traditional Arabic" w:hAnsi="Traditional Arabic" w:cs="Traditional Arabic"/>
          <w:rtl/>
        </w:rPr>
        <w:t>هدفت هذه الدراسة إلى تقييم مستوى تطبيق ممارسات التميز المؤسسي في المؤسسات الحكومية السعودية بالاعتماد على نموذج التميز الأوروبي</w:t>
      </w:r>
      <w:r w:rsidR="00DA0D2F" w:rsidRPr="00DA0D2F">
        <w:rPr>
          <w:rFonts w:ascii="Traditional Arabic" w:hAnsi="Traditional Arabic" w:cs="Traditional Arabic"/>
        </w:rPr>
        <w:t xml:space="preserve"> EFQM. </w:t>
      </w:r>
      <w:r w:rsidR="00DA0D2F" w:rsidRPr="00DA0D2F">
        <w:rPr>
          <w:rFonts w:ascii="Traditional Arabic" w:hAnsi="Traditional Arabic" w:cs="Traditional Arabic"/>
          <w:rtl/>
        </w:rPr>
        <w:t>واعتمدت الدراسة على المنهج الوصفي التحليلي من خلال تحليل بيانات عدد من الجهات الحكومية. وأظهرت النتائج وجود تفاوت في مستوى تطبيق معايير التميز المؤسسي بين المؤسسات الحكومية</w:t>
      </w:r>
      <w:r w:rsidR="00DA0D2F" w:rsidRPr="00DA0D2F">
        <w:rPr>
          <w:rFonts w:ascii="Traditional Arabic" w:hAnsi="Traditional Arabic" w:cs="Traditional Arabic"/>
        </w:rPr>
        <w:t>.</w:t>
      </w:r>
    </w:p>
    <w:p w14:paraId="5198ED17" w14:textId="7E8E8C75" w:rsidR="00DA0D2F" w:rsidRPr="00DA0D2F" w:rsidRDefault="00DA0D2F" w:rsidP="00870ACC">
      <w:pPr>
        <w:tabs>
          <w:tab w:val="left" w:pos="1368"/>
        </w:tabs>
        <w:bidi/>
        <w:spacing w:line="276" w:lineRule="auto"/>
        <w:jc w:val="both"/>
        <w:rPr>
          <w:rFonts w:ascii="Traditional Arabic" w:hAnsi="Traditional Arabic" w:cs="Traditional Arabic"/>
        </w:rPr>
      </w:pPr>
      <w:r w:rsidRPr="00DA0D2F">
        <w:rPr>
          <w:rFonts w:ascii="Traditional Arabic" w:hAnsi="Traditional Arabic" w:cs="Traditional Arabic"/>
          <w:b/>
          <w:bCs/>
          <w:rtl/>
        </w:rPr>
        <w:t>ارتباط الدراسة بالدراسة الحالية</w:t>
      </w:r>
      <w:r w:rsidRPr="00DA0D2F">
        <w:rPr>
          <w:rFonts w:ascii="Traditional Arabic" w:hAnsi="Traditional Arabic" w:cs="Traditional Arabic"/>
          <w:b/>
          <w:bCs/>
        </w:rPr>
        <w:t>:</w:t>
      </w:r>
      <w:r w:rsidR="00870ACC">
        <w:rPr>
          <w:rFonts w:ascii="Traditional Arabic" w:hAnsi="Traditional Arabic" w:cs="Traditional Arabic" w:hint="cs"/>
          <w:rtl/>
        </w:rPr>
        <w:t xml:space="preserve"> </w:t>
      </w:r>
      <w:r w:rsidRPr="00DA0D2F">
        <w:rPr>
          <w:rFonts w:ascii="Traditional Arabic" w:hAnsi="Traditional Arabic" w:cs="Traditional Arabic"/>
          <w:rtl/>
        </w:rPr>
        <w:t>تتفق هذه الدراسة مع الدراسة الحالية في تناولها لمفهوم التميز المؤسسي في القطاع الحكومي السعودي. إلا أنها ركزت على تقييم مستوى تطبيق معايير التميز فقط، بينما تسعى الدراسة الحالية إلى تحليل دور البراعة التنظيمية في تحقيق التميز المؤسسي</w:t>
      </w:r>
      <w:r w:rsidRPr="00DA0D2F">
        <w:rPr>
          <w:rFonts w:ascii="Traditional Arabic" w:hAnsi="Traditional Arabic" w:cs="Traditional Arabic"/>
        </w:rPr>
        <w:t>.</w:t>
      </w:r>
    </w:p>
    <w:p w14:paraId="72CC7F91" w14:textId="77777777" w:rsidR="00DA0D2F" w:rsidRPr="00DA0D2F" w:rsidRDefault="00DA0D2F" w:rsidP="00DA0D2F">
      <w:pPr>
        <w:tabs>
          <w:tab w:val="left" w:pos="1368"/>
        </w:tabs>
        <w:bidi/>
        <w:spacing w:line="276" w:lineRule="auto"/>
        <w:jc w:val="both"/>
        <w:rPr>
          <w:rFonts w:ascii="Traditional Arabic" w:hAnsi="Traditional Arabic" w:cs="Traditional Arabic"/>
          <w:b/>
          <w:bCs/>
        </w:rPr>
      </w:pPr>
      <w:r w:rsidRPr="00DA0D2F">
        <w:rPr>
          <w:rFonts w:ascii="Traditional Arabic" w:hAnsi="Traditional Arabic" w:cs="Traditional Arabic"/>
          <w:b/>
          <w:bCs/>
          <w:rtl/>
        </w:rPr>
        <w:t>دراسة</w:t>
      </w:r>
      <w:r w:rsidRPr="00DA0D2F">
        <w:rPr>
          <w:rFonts w:ascii="Traditional Arabic" w:hAnsi="Traditional Arabic" w:cs="Traditional Arabic"/>
          <w:b/>
          <w:bCs/>
        </w:rPr>
        <w:t xml:space="preserve"> Alshammari (2021)</w:t>
      </w:r>
    </w:p>
    <w:p w14:paraId="2A46D351" w14:textId="75AD1151" w:rsidR="00DA0D2F" w:rsidRPr="00DA0D2F" w:rsidRDefault="00870ACC" w:rsidP="00DA0D2F">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DA0D2F" w:rsidRPr="00DA0D2F">
        <w:rPr>
          <w:rFonts w:ascii="Traditional Arabic" w:hAnsi="Traditional Arabic" w:cs="Traditional Arabic"/>
          <w:rtl/>
        </w:rPr>
        <w:t>هدفت هذه الدراسة إلى تحليل العلاقة بين المرونة الاستراتيجية وتحقيق التميز المؤسسي في المؤسسات الحكومية السعودية. واعتمدت الدراسة على المنهج الكمي باستخدام الاستبيانات وتحليل البيانات الإحصائية. وأظهرت النتائج وجود علاقة إيجابية بين المرونة الاستراتيجية وتحقيق التميز المؤسسي</w:t>
      </w:r>
      <w:r w:rsidR="00DA0D2F" w:rsidRPr="00DA0D2F">
        <w:rPr>
          <w:rFonts w:ascii="Traditional Arabic" w:hAnsi="Traditional Arabic" w:cs="Traditional Arabic"/>
        </w:rPr>
        <w:t>.</w:t>
      </w:r>
    </w:p>
    <w:p w14:paraId="0C644CB2" w14:textId="29DAB131" w:rsidR="00DA0D2F" w:rsidRPr="00DA0D2F" w:rsidRDefault="00DA0D2F" w:rsidP="00870ACC">
      <w:pPr>
        <w:tabs>
          <w:tab w:val="left" w:pos="1368"/>
        </w:tabs>
        <w:bidi/>
        <w:spacing w:line="276" w:lineRule="auto"/>
        <w:jc w:val="both"/>
        <w:rPr>
          <w:rFonts w:ascii="Traditional Arabic" w:hAnsi="Traditional Arabic" w:cs="Traditional Arabic"/>
        </w:rPr>
      </w:pPr>
      <w:r w:rsidRPr="00DA0D2F">
        <w:rPr>
          <w:rFonts w:ascii="Traditional Arabic" w:hAnsi="Traditional Arabic" w:cs="Traditional Arabic"/>
          <w:b/>
          <w:bCs/>
          <w:rtl/>
        </w:rPr>
        <w:t>ارتباط الدراسة بالدراسة الحالية</w:t>
      </w:r>
      <w:r w:rsidRPr="00DA0D2F">
        <w:rPr>
          <w:rFonts w:ascii="Traditional Arabic" w:hAnsi="Traditional Arabic" w:cs="Traditional Arabic"/>
          <w:b/>
          <w:bCs/>
        </w:rPr>
        <w:t>:</w:t>
      </w:r>
      <w:r w:rsidR="00870ACC">
        <w:rPr>
          <w:rFonts w:ascii="Traditional Arabic" w:hAnsi="Traditional Arabic" w:cs="Traditional Arabic" w:hint="cs"/>
          <w:rtl/>
        </w:rPr>
        <w:t xml:space="preserve"> </w:t>
      </w:r>
      <w:r w:rsidRPr="00DA0D2F">
        <w:rPr>
          <w:rFonts w:ascii="Traditional Arabic" w:hAnsi="Traditional Arabic" w:cs="Traditional Arabic"/>
          <w:rtl/>
        </w:rPr>
        <w:t>تتفق هذه الدراسة مع الدراسة الحالية في تناولها للعوامل التنظيمية المؤثرة في تحقيق التميز المؤسسي. إلا أنها ركزت على المرونة الاستراتيجية، بينما تسعى الدراسة الحالية إلى دراسة تأثير البراعة التنظيمية في تحقيق التميز المؤسسي والاستدامة المؤسسية</w:t>
      </w:r>
      <w:r w:rsidRPr="00DA0D2F">
        <w:rPr>
          <w:rFonts w:ascii="Traditional Arabic" w:hAnsi="Traditional Arabic" w:cs="Traditional Arabic"/>
        </w:rPr>
        <w:t>.</w:t>
      </w:r>
    </w:p>
    <w:p w14:paraId="7EDF0055" w14:textId="77777777" w:rsidR="00DA0D2F" w:rsidRPr="00DA0D2F" w:rsidRDefault="00DA0D2F" w:rsidP="00DA0D2F">
      <w:pPr>
        <w:tabs>
          <w:tab w:val="left" w:pos="1368"/>
        </w:tabs>
        <w:bidi/>
        <w:spacing w:line="276" w:lineRule="auto"/>
        <w:jc w:val="both"/>
        <w:rPr>
          <w:rFonts w:ascii="Traditional Arabic" w:hAnsi="Traditional Arabic" w:cs="Traditional Arabic"/>
          <w:b/>
          <w:bCs/>
        </w:rPr>
      </w:pPr>
      <w:r w:rsidRPr="00DA0D2F">
        <w:rPr>
          <w:rFonts w:ascii="Traditional Arabic" w:hAnsi="Traditional Arabic" w:cs="Traditional Arabic"/>
          <w:b/>
          <w:bCs/>
          <w:rtl/>
        </w:rPr>
        <w:t>ثالثاً: الدراسات السابقة المتعلقة بالاستدامة المؤسسية</w:t>
      </w:r>
    </w:p>
    <w:p w14:paraId="4C1CBB82" w14:textId="77777777" w:rsidR="00DA0D2F" w:rsidRPr="00DA0D2F" w:rsidRDefault="00DA0D2F" w:rsidP="00DA0D2F">
      <w:pPr>
        <w:tabs>
          <w:tab w:val="left" w:pos="1368"/>
        </w:tabs>
        <w:bidi/>
        <w:spacing w:line="276" w:lineRule="auto"/>
        <w:jc w:val="both"/>
        <w:rPr>
          <w:rFonts w:ascii="Traditional Arabic" w:hAnsi="Traditional Arabic" w:cs="Traditional Arabic"/>
          <w:b/>
          <w:bCs/>
        </w:rPr>
      </w:pPr>
      <w:r w:rsidRPr="00DA0D2F">
        <w:rPr>
          <w:rFonts w:ascii="Traditional Arabic" w:hAnsi="Traditional Arabic" w:cs="Traditional Arabic"/>
          <w:b/>
          <w:bCs/>
          <w:rtl/>
        </w:rPr>
        <w:lastRenderedPageBreak/>
        <w:t>دراسة</w:t>
      </w:r>
      <w:r w:rsidRPr="00DA0D2F">
        <w:rPr>
          <w:rFonts w:ascii="Traditional Arabic" w:hAnsi="Traditional Arabic" w:cs="Traditional Arabic"/>
          <w:b/>
          <w:bCs/>
        </w:rPr>
        <w:t xml:space="preserve"> Al-Harbi (2023)</w:t>
      </w:r>
    </w:p>
    <w:p w14:paraId="0552432C" w14:textId="3F7FA0E9" w:rsidR="00DA0D2F" w:rsidRPr="00DA0D2F" w:rsidRDefault="00870ACC" w:rsidP="00DA0D2F">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DA0D2F" w:rsidRPr="00DA0D2F">
        <w:rPr>
          <w:rFonts w:ascii="Traditional Arabic" w:hAnsi="Traditional Arabic" w:cs="Traditional Arabic"/>
          <w:rtl/>
        </w:rPr>
        <w:t>هدفت هذه الدراسة إلى تحليل دور البراعة التنظيمية في تحقيق الاستدامة المؤسسية في المؤسسات الحكومية السعودية. واعتمدت الدراسة على المنهج الكمي باستخدام الاستبيانات وتحليل البيانات الإحصائية. وأظهرت النتائج وجود علاقة إيجابية بين البراعة التنظيمية والاستدامة المؤسسية</w:t>
      </w:r>
      <w:r w:rsidR="00DA0D2F" w:rsidRPr="00DA0D2F">
        <w:rPr>
          <w:rFonts w:ascii="Traditional Arabic" w:hAnsi="Traditional Arabic" w:cs="Traditional Arabic"/>
        </w:rPr>
        <w:t>.</w:t>
      </w:r>
    </w:p>
    <w:p w14:paraId="320E9489" w14:textId="4609CC58" w:rsidR="00DA0D2F" w:rsidRPr="00DA0D2F" w:rsidRDefault="00DA0D2F" w:rsidP="00870ACC">
      <w:pPr>
        <w:tabs>
          <w:tab w:val="left" w:pos="1368"/>
        </w:tabs>
        <w:bidi/>
        <w:spacing w:line="276" w:lineRule="auto"/>
        <w:jc w:val="both"/>
        <w:rPr>
          <w:rFonts w:ascii="Traditional Arabic" w:hAnsi="Traditional Arabic" w:cs="Traditional Arabic"/>
        </w:rPr>
      </w:pPr>
      <w:r w:rsidRPr="00DA0D2F">
        <w:rPr>
          <w:rFonts w:ascii="Traditional Arabic" w:hAnsi="Traditional Arabic" w:cs="Traditional Arabic"/>
          <w:b/>
          <w:bCs/>
          <w:rtl/>
        </w:rPr>
        <w:t>ارتباط الدراسة بالدراسة الحالية</w:t>
      </w:r>
      <w:r w:rsidRPr="00DA0D2F">
        <w:rPr>
          <w:rFonts w:ascii="Traditional Arabic" w:hAnsi="Traditional Arabic" w:cs="Traditional Arabic"/>
          <w:b/>
          <w:bCs/>
        </w:rPr>
        <w:t>:</w:t>
      </w:r>
      <w:r w:rsidR="00870ACC">
        <w:rPr>
          <w:rFonts w:ascii="Traditional Arabic" w:hAnsi="Traditional Arabic" w:cs="Traditional Arabic" w:hint="cs"/>
          <w:rtl/>
        </w:rPr>
        <w:t xml:space="preserve"> </w:t>
      </w:r>
      <w:r w:rsidRPr="00DA0D2F">
        <w:rPr>
          <w:rFonts w:ascii="Traditional Arabic" w:hAnsi="Traditional Arabic" w:cs="Traditional Arabic"/>
          <w:rtl/>
        </w:rPr>
        <w:t>تتفق هذه الدراسة مع الدراسة الحالية في تناول العلاقة بين البراعة التنظيمية والاستدامة المؤسسية في القطاع الحكومي السعودي. إلا أنها ركزت على العلاقة المباشرة بين المتغيرين، بينما تسعى الدراسة الحالية إلى دراسة العلاقة بين البراعة التنظيمية والتميز المؤسسي والاستدامة المؤسسية ضمن نموذج متكامل</w:t>
      </w:r>
      <w:r w:rsidRPr="00DA0D2F">
        <w:rPr>
          <w:rFonts w:ascii="Traditional Arabic" w:hAnsi="Traditional Arabic" w:cs="Traditional Arabic"/>
        </w:rPr>
        <w:t>.</w:t>
      </w:r>
    </w:p>
    <w:p w14:paraId="7465157F" w14:textId="77777777" w:rsidR="00DA0D2F" w:rsidRPr="00DA0D2F" w:rsidRDefault="00DA0D2F" w:rsidP="00DA0D2F">
      <w:pPr>
        <w:tabs>
          <w:tab w:val="left" w:pos="1368"/>
        </w:tabs>
        <w:bidi/>
        <w:spacing w:line="276" w:lineRule="auto"/>
        <w:jc w:val="both"/>
        <w:rPr>
          <w:rFonts w:ascii="Traditional Arabic" w:hAnsi="Traditional Arabic" w:cs="Traditional Arabic"/>
          <w:b/>
          <w:bCs/>
        </w:rPr>
      </w:pPr>
      <w:r w:rsidRPr="00DA0D2F">
        <w:rPr>
          <w:rFonts w:ascii="Traditional Arabic" w:hAnsi="Traditional Arabic" w:cs="Traditional Arabic"/>
          <w:b/>
          <w:bCs/>
          <w:rtl/>
        </w:rPr>
        <w:t>دراسة</w:t>
      </w:r>
      <w:r w:rsidRPr="00DA0D2F">
        <w:rPr>
          <w:rFonts w:ascii="Traditional Arabic" w:hAnsi="Traditional Arabic" w:cs="Traditional Arabic"/>
          <w:b/>
          <w:bCs/>
        </w:rPr>
        <w:t xml:space="preserve"> Elbanna (2019)</w:t>
      </w:r>
    </w:p>
    <w:p w14:paraId="64F69F26" w14:textId="27D9C049" w:rsidR="00DA0D2F" w:rsidRPr="00DA0D2F" w:rsidRDefault="00870ACC" w:rsidP="00DA0D2F">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DA0D2F" w:rsidRPr="00DA0D2F">
        <w:rPr>
          <w:rFonts w:ascii="Traditional Arabic" w:hAnsi="Traditional Arabic" w:cs="Traditional Arabic"/>
          <w:rtl/>
        </w:rPr>
        <w:t>هدفت هذه الدراسة إلى تحليل العوامل التنظيمية المؤثرة في الأداء الاستراتيجي للمؤسسات الحكومية في دول الخليج. واعتمدت الدراسة على المنهج التحليلي لدراسة العلاقة بين الهيكل التنظيمي والأداء المؤسسي. وأظهرت النتائج أن الجمود التنظيمي يمثل أحد التحديات الرئيسة التي تواجه المؤسسات الحكومية في تحقيق الأداء المستدام</w:t>
      </w:r>
      <w:r w:rsidR="00DA0D2F" w:rsidRPr="00DA0D2F">
        <w:rPr>
          <w:rFonts w:ascii="Traditional Arabic" w:hAnsi="Traditional Arabic" w:cs="Traditional Arabic"/>
        </w:rPr>
        <w:t>.</w:t>
      </w:r>
    </w:p>
    <w:p w14:paraId="2C085BED" w14:textId="5B91CB9C" w:rsidR="00DA0D2F" w:rsidRPr="00DA0D2F" w:rsidRDefault="00DA0D2F" w:rsidP="00870ACC">
      <w:pPr>
        <w:tabs>
          <w:tab w:val="left" w:pos="1368"/>
        </w:tabs>
        <w:bidi/>
        <w:spacing w:line="276" w:lineRule="auto"/>
        <w:jc w:val="both"/>
        <w:rPr>
          <w:rFonts w:ascii="Traditional Arabic" w:hAnsi="Traditional Arabic" w:cs="Traditional Arabic"/>
        </w:rPr>
      </w:pPr>
      <w:r w:rsidRPr="00DA0D2F">
        <w:rPr>
          <w:rFonts w:ascii="Traditional Arabic" w:hAnsi="Traditional Arabic" w:cs="Traditional Arabic"/>
          <w:b/>
          <w:bCs/>
          <w:rtl/>
        </w:rPr>
        <w:t>ارتباط الدراسة بالدراسة الحالية</w:t>
      </w:r>
      <w:r w:rsidRPr="00DA0D2F">
        <w:rPr>
          <w:rFonts w:ascii="Traditional Arabic" w:hAnsi="Traditional Arabic" w:cs="Traditional Arabic"/>
          <w:b/>
          <w:bCs/>
        </w:rPr>
        <w:t>:</w:t>
      </w:r>
      <w:r w:rsidR="00870ACC">
        <w:rPr>
          <w:rFonts w:ascii="Traditional Arabic" w:hAnsi="Traditional Arabic" w:cs="Traditional Arabic" w:hint="cs"/>
          <w:rtl/>
        </w:rPr>
        <w:t xml:space="preserve"> </w:t>
      </w:r>
      <w:r w:rsidRPr="00DA0D2F">
        <w:rPr>
          <w:rFonts w:ascii="Traditional Arabic" w:hAnsi="Traditional Arabic" w:cs="Traditional Arabic"/>
          <w:rtl/>
        </w:rPr>
        <w:t>تتفق هذه الدراسة مع الدراسة الحالية في إبراز أهمية تطوير القدرات التنظيمية لتحقيق الأداء المستدام. إلا أنها ركزت على الأداء الاستراتيجي بشكل عام، بينما تسعى الدراسة الحالية إلى تحليل الاستدامة المؤسسية في إطار العلاقة مع البراعة التنظيمية والتميز المؤسسي</w:t>
      </w:r>
      <w:r w:rsidRPr="00DA0D2F">
        <w:rPr>
          <w:rFonts w:ascii="Traditional Arabic" w:hAnsi="Traditional Arabic" w:cs="Traditional Arabic"/>
        </w:rPr>
        <w:t>.</w:t>
      </w:r>
    </w:p>
    <w:p w14:paraId="57BB509D" w14:textId="77777777" w:rsidR="00DA0D2F" w:rsidRPr="00DA0D2F" w:rsidRDefault="00DA0D2F" w:rsidP="00DA0D2F">
      <w:pPr>
        <w:tabs>
          <w:tab w:val="left" w:pos="1368"/>
        </w:tabs>
        <w:bidi/>
        <w:spacing w:line="276" w:lineRule="auto"/>
        <w:jc w:val="both"/>
        <w:rPr>
          <w:rFonts w:ascii="Traditional Arabic" w:hAnsi="Traditional Arabic" w:cs="Traditional Arabic"/>
          <w:b/>
          <w:bCs/>
        </w:rPr>
      </w:pPr>
      <w:r w:rsidRPr="00DA0D2F">
        <w:rPr>
          <w:rFonts w:ascii="Traditional Arabic" w:hAnsi="Traditional Arabic" w:cs="Traditional Arabic"/>
          <w:b/>
          <w:bCs/>
          <w:rtl/>
        </w:rPr>
        <w:t>رابعاً: الدراسات التي تناولت العلاقة بين متغيرات الدراسة</w:t>
      </w:r>
    </w:p>
    <w:p w14:paraId="481075BF" w14:textId="77777777" w:rsidR="00DA0D2F" w:rsidRPr="00DA0D2F" w:rsidRDefault="00DA0D2F" w:rsidP="00DA0D2F">
      <w:pPr>
        <w:tabs>
          <w:tab w:val="left" w:pos="1368"/>
        </w:tabs>
        <w:bidi/>
        <w:spacing w:line="276" w:lineRule="auto"/>
        <w:jc w:val="both"/>
        <w:rPr>
          <w:rFonts w:ascii="Traditional Arabic" w:hAnsi="Traditional Arabic" w:cs="Traditional Arabic"/>
          <w:b/>
          <w:bCs/>
        </w:rPr>
      </w:pPr>
      <w:r w:rsidRPr="00DA0D2F">
        <w:rPr>
          <w:rFonts w:ascii="Traditional Arabic" w:hAnsi="Traditional Arabic" w:cs="Traditional Arabic"/>
          <w:b/>
          <w:bCs/>
          <w:rtl/>
        </w:rPr>
        <w:t>دراسة</w:t>
      </w:r>
      <w:r w:rsidRPr="00DA0D2F">
        <w:rPr>
          <w:rFonts w:ascii="Traditional Arabic" w:hAnsi="Traditional Arabic" w:cs="Traditional Arabic"/>
          <w:b/>
          <w:bCs/>
        </w:rPr>
        <w:t xml:space="preserve"> Raisch &amp; Birkinshaw (2023)</w:t>
      </w:r>
    </w:p>
    <w:p w14:paraId="3A81EAA4" w14:textId="58E104CE" w:rsidR="00DA0D2F" w:rsidRPr="00DA0D2F" w:rsidRDefault="00870ACC" w:rsidP="00DA0D2F">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DA0D2F" w:rsidRPr="00DA0D2F">
        <w:rPr>
          <w:rFonts w:ascii="Traditional Arabic" w:hAnsi="Traditional Arabic" w:cs="Traditional Arabic"/>
          <w:rtl/>
        </w:rPr>
        <w:t>هدفت هذه الدراسة إلى تحليل العوامل المؤثرة في تحقيق البراعة التنظيمية وتأثيرها في الأداء التنظيمي للمؤسسات. واعتمدت الدراسة على المنهج التحليلي لمراجعة الأدبيات المتعلقة بالبراعة التنظيمية. وأظهرت النتائج أن المؤسسات التي تحقق مستويات مرتفعة من البراعة التنظيمية تكون أكثر قدرة على تحقيق الابتكار المؤسسي وتحسين الأداء التنظيمي</w:t>
      </w:r>
      <w:r w:rsidR="00DA0D2F" w:rsidRPr="00DA0D2F">
        <w:rPr>
          <w:rFonts w:ascii="Traditional Arabic" w:hAnsi="Traditional Arabic" w:cs="Traditional Arabic"/>
        </w:rPr>
        <w:t>.</w:t>
      </w:r>
    </w:p>
    <w:p w14:paraId="25136FA5" w14:textId="5B57C1C3" w:rsidR="00DA0D2F" w:rsidRPr="00DA0D2F" w:rsidRDefault="00DA0D2F" w:rsidP="00DA0D2F">
      <w:pPr>
        <w:tabs>
          <w:tab w:val="left" w:pos="1368"/>
        </w:tabs>
        <w:bidi/>
        <w:spacing w:line="276" w:lineRule="auto"/>
        <w:jc w:val="both"/>
        <w:rPr>
          <w:rFonts w:ascii="Traditional Arabic" w:hAnsi="Traditional Arabic" w:cs="Traditional Arabic"/>
        </w:rPr>
      </w:pPr>
      <w:r w:rsidRPr="00DA0D2F">
        <w:rPr>
          <w:rFonts w:ascii="Traditional Arabic" w:hAnsi="Traditional Arabic" w:cs="Traditional Arabic"/>
          <w:b/>
          <w:bCs/>
          <w:rtl/>
        </w:rPr>
        <w:t>ارتباط الدراسة بالدراسة الحالية</w:t>
      </w:r>
      <w:r w:rsidRPr="00DA0D2F">
        <w:rPr>
          <w:rFonts w:ascii="Traditional Arabic" w:hAnsi="Traditional Arabic" w:cs="Traditional Arabic"/>
          <w:b/>
          <w:bCs/>
        </w:rPr>
        <w:t>:</w:t>
      </w:r>
      <w:r w:rsidR="00870ACC">
        <w:rPr>
          <w:rFonts w:ascii="Traditional Arabic" w:hAnsi="Traditional Arabic" w:cs="Traditional Arabic" w:hint="cs"/>
          <w:rtl/>
        </w:rPr>
        <w:t xml:space="preserve"> </w:t>
      </w:r>
      <w:r w:rsidRPr="00DA0D2F">
        <w:rPr>
          <w:rFonts w:ascii="Traditional Arabic" w:hAnsi="Traditional Arabic" w:cs="Traditional Arabic"/>
          <w:rtl/>
        </w:rPr>
        <w:t>تتفق هذه الدراسة مع الدراسة الحالية في تأكيد أهمية البراعة التنظيمية في تحسين الأداء المؤسسي. إلا أنها ركزت على الأداء التنظيمي بشكل عام، بينما تسعى الدراسة الحالية إلى تحليل دور البراعة التنظيمية في تحقيق التميز المؤسسي وتعزيز الاستدامة المؤسسية</w:t>
      </w:r>
      <w:r w:rsidRPr="00DA0D2F">
        <w:rPr>
          <w:rFonts w:ascii="Traditional Arabic" w:hAnsi="Traditional Arabic" w:cs="Traditional Arabic"/>
        </w:rPr>
        <w:t>.</w:t>
      </w:r>
    </w:p>
    <w:p w14:paraId="6360B82E" w14:textId="77777777" w:rsidR="004D65D6" w:rsidRPr="004D65D6" w:rsidRDefault="004D65D6" w:rsidP="004D65D6">
      <w:pPr>
        <w:tabs>
          <w:tab w:val="left" w:pos="1368"/>
        </w:tabs>
        <w:bidi/>
        <w:spacing w:line="276" w:lineRule="auto"/>
        <w:jc w:val="both"/>
        <w:rPr>
          <w:rFonts w:ascii="Traditional Arabic" w:hAnsi="Traditional Arabic" w:cs="Traditional Arabic"/>
          <w:b/>
          <w:bCs/>
        </w:rPr>
      </w:pPr>
      <w:r w:rsidRPr="004D65D6">
        <w:rPr>
          <w:rFonts w:ascii="Traditional Arabic" w:hAnsi="Traditional Arabic" w:cs="Traditional Arabic"/>
          <w:b/>
          <w:bCs/>
          <w:rtl/>
        </w:rPr>
        <w:t>التعليق على الدراسات السابقة</w:t>
      </w:r>
    </w:p>
    <w:p w14:paraId="10869B20" w14:textId="7B222F77" w:rsidR="004D65D6" w:rsidRPr="004D65D6" w:rsidRDefault="00763575" w:rsidP="004D65D6">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4D65D6" w:rsidRPr="004D65D6">
        <w:rPr>
          <w:rFonts w:ascii="Traditional Arabic" w:hAnsi="Traditional Arabic" w:cs="Traditional Arabic"/>
          <w:rtl/>
        </w:rPr>
        <w:t>من خلال استعراض وتحليل الدراسات السابقة التي تناولت مفاهيم البراعة التنظيمية والتميز المؤسسي والاستدامة المؤسسية، يتضح أن هذه الدراسات أسهمت بشكل كبير في تطوير الفهم النظري والتطبيقي لهذه المفاهيم في مجالات الإدارة والتنظيم. وقد تنوعت هذه الدراسات من حيث أهدافها ومنهجياتها وسياقاتها التطبيقية، حيث تناول بعضها مفهوم البراعة التنظيمية وأبعاده المختلفة، بينما ركزت دراسات أخرى على التميز المؤسسي أو الاستدامة المؤسسية، في حين حاولت بعض الدراسات الربط بين هذه المفاهيم وتحليل تأثيرها في الأداء التنظيمي للمؤسسات</w:t>
      </w:r>
      <w:r w:rsidR="004D65D6" w:rsidRPr="004D65D6">
        <w:rPr>
          <w:rFonts w:ascii="Traditional Arabic" w:hAnsi="Traditional Arabic" w:cs="Traditional Arabic"/>
        </w:rPr>
        <w:t>.</w:t>
      </w:r>
    </w:p>
    <w:p w14:paraId="16F9C902" w14:textId="516C38F7" w:rsidR="004D65D6" w:rsidRPr="004D65D6" w:rsidRDefault="00763575" w:rsidP="004D65D6">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4D65D6" w:rsidRPr="004D65D6">
        <w:rPr>
          <w:rFonts w:ascii="Traditional Arabic" w:hAnsi="Traditional Arabic" w:cs="Traditional Arabic"/>
          <w:rtl/>
        </w:rPr>
        <w:t xml:space="preserve">وفيما يتعلق </w:t>
      </w:r>
      <w:r w:rsidR="004D65D6" w:rsidRPr="004D65D6">
        <w:rPr>
          <w:rFonts w:ascii="Traditional Arabic" w:hAnsi="Traditional Arabic" w:cs="Traditional Arabic"/>
          <w:b/>
          <w:bCs/>
          <w:rtl/>
        </w:rPr>
        <w:t>بالبراعة التنظيمية</w:t>
      </w:r>
      <w:r w:rsidR="004D65D6" w:rsidRPr="004D65D6">
        <w:rPr>
          <w:rFonts w:ascii="Traditional Arabic" w:hAnsi="Traditional Arabic" w:cs="Traditional Arabic"/>
          <w:rtl/>
        </w:rPr>
        <w:t>، أظهرت العديد من الدراسات الأجنبية أهمية هذا المفهوم في تمكين المؤسسات من تحقيق التوازن بين الكفاءة التشغيلية والابتكار المؤسسي، وهو التوازن الذي يُعد أحد المتطلبات الأساسية لنجاح المؤسسات في البيئات التنظيمية المعاصرة. فقد أكدت دراسات</w:t>
      </w:r>
      <w:r w:rsidR="004D65D6" w:rsidRPr="004D65D6">
        <w:rPr>
          <w:rFonts w:ascii="Traditional Arabic" w:hAnsi="Traditional Arabic" w:cs="Traditional Arabic"/>
          <w:sz w:val="22"/>
          <w:szCs w:val="22"/>
        </w:rPr>
        <w:t xml:space="preserve"> (O’Reilly </w:t>
      </w:r>
      <w:r w:rsidR="004D65D6" w:rsidRPr="004D65D6">
        <w:rPr>
          <w:rFonts w:ascii="Traditional Arabic" w:hAnsi="Traditional Arabic" w:cs="Traditional Arabic"/>
          <w:sz w:val="22"/>
          <w:szCs w:val="22"/>
        </w:rPr>
        <w:lastRenderedPageBreak/>
        <w:t xml:space="preserve">&amp; Tushman, 2021) </w:t>
      </w:r>
      <w:r w:rsidR="004D65D6" w:rsidRPr="004D65D6">
        <w:rPr>
          <w:rFonts w:ascii="Traditional Arabic" w:hAnsi="Traditional Arabic" w:cs="Traditional Arabic"/>
          <w:sz w:val="22"/>
          <w:szCs w:val="22"/>
          <w:rtl/>
        </w:rPr>
        <w:t>و</w:t>
      </w:r>
      <w:r w:rsidR="004D65D6" w:rsidRPr="004D65D6">
        <w:rPr>
          <w:rFonts w:ascii="Traditional Arabic" w:hAnsi="Traditional Arabic" w:cs="Traditional Arabic"/>
          <w:sz w:val="22"/>
          <w:szCs w:val="22"/>
        </w:rPr>
        <w:t>(Gibson &amp; Birkinshaw, 2022)</w:t>
      </w:r>
      <w:r w:rsidR="004D65D6" w:rsidRPr="004D65D6">
        <w:rPr>
          <w:rFonts w:ascii="Traditional Arabic" w:hAnsi="Traditional Arabic" w:cs="Traditional Arabic"/>
        </w:rPr>
        <w:t xml:space="preserve"> </w:t>
      </w:r>
      <w:r w:rsidR="004D65D6" w:rsidRPr="004D65D6">
        <w:rPr>
          <w:rFonts w:ascii="Traditional Arabic" w:hAnsi="Traditional Arabic" w:cs="Traditional Arabic"/>
          <w:rtl/>
        </w:rPr>
        <w:t>أن المؤسسات التي تتمكن من تحقيق التوازن بين أنشطة الاستغلال والاستكشاف تكون أكثر قدرة على التكيف مع التغيرات البيئية وتحقيق الأداء المتفوق على المدى الطويل. كما أبرزت دراسة</w:t>
      </w:r>
      <w:r w:rsidR="004D65D6" w:rsidRPr="004D65D6">
        <w:rPr>
          <w:rFonts w:ascii="Traditional Arabic" w:hAnsi="Traditional Arabic" w:cs="Traditional Arabic"/>
        </w:rPr>
        <w:t xml:space="preserve"> </w:t>
      </w:r>
      <w:r w:rsidR="004D65D6" w:rsidRPr="004D65D6">
        <w:rPr>
          <w:rFonts w:ascii="Traditional Arabic" w:hAnsi="Traditional Arabic" w:cs="Traditional Arabic"/>
          <w:sz w:val="22"/>
          <w:szCs w:val="22"/>
        </w:rPr>
        <w:t xml:space="preserve">(Yoon &amp; Lim, 2022) </w:t>
      </w:r>
      <w:r w:rsidR="004D65D6" w:rsidRPr="004D65D6">
        <w:rPr>
          <w:rFonts w:ascii="Traditional Arabic" w:hAnsi="Traditional Arabic" w:cs="Traditional Arabic"/>
          <w:rtl/>
        </w:rPr>
        <w:t>الدور المهم الذي تلعبه القيادة التنظيمية في تعزيز البراعة التنظيمية داخل المؤسسات، حيث يسهم القادة في خلق بيئة تنظيمية تسمح بالجمع بين الكفاءة التشغيلية والابتكار المؤسسي</w:t>
      </w:r>
      <w:r w:rsidR="004D65D6" w:rsidRPr="004D65D6">
        <w:rPr>
          <w:rFonts w:ascii="Traditional Arabic" w:hAnsi="Traditional Arabic" w:cs="Traditional Arabic"/>
        </w:rPr>
        <w:t>.</w:t>
      </w:r>
    </w:p>
    <w:p w14:paraId="07A115EA" w14:textId="77777777" w:rsidR="004D65D6" w:rsidRPr="004D65D6" w:rsidRDefault="004D65D6" w:rsidP="004D65D6">
      <w:pPr>
        <w:tabs>
          <w:tab w:val="left" w:pos="1368"/>
        </w:tabs>
        <w:bidi/>
        <w:spacing w:line="276" w:lineRule="auto"/>
        <w:jc w:val="both"/>
        <w:rPr>
          <w:rFonts w:ascii="Traditional Arabic" w:hAnsi="Traditional Arabic" w:cs="Traditional Arabic"/>
        </w:rPr>
      </w:pPr>
      <w:r w:rsidRPr="004D65D6">
        <w:rPr>
          <w:rFonts w:ascii="Traditional Arabic" w:hAnsi="Traditional Arabic" w:cs="Traditional Arabic"/>
          <w:rtl/>
        </w:rPr>
        <w:t>ومن ناحية أخرى، ركزت بعض الدراسات على تطبيق مفهوم البراعة التنظيمية في القطاع الحكومي، حيث أشارت دراسة</w:t>
      </w:r>
      <w:r w:rsidRPr="004D65D6">
        <w:rPr>
          <w:rFonts w:ascii="Traditional Arabic" w:hAnsi="Traditional Arabic" w:cs="Traditional Arabic"/>
        </w:rPr>
        <w:t xml:space="preserve"> </w:t>
      </w:r>
      <w:r w:rsidRPr="004D65D6">
        <w:rPr>
          <w:rFonts w:ascii="Traditional Arabic" w:hAnsi="Traditional Arabic" w:cs="Traditional Arabic"/>
          <w:sz w:val="22"/>
          <w:szCs w:val="22"/>
        </w:rPr>
        <w:t>(Zhang &amp; Chen, 2023)</w:t>
      </w:r>
      <w:r w:rsidRPr="004D65D6">
        <w:rPr>
          <w:rFonts w:ascii="Traditional Arabic" w:hAnsi="Traditional Arabic" w:cs="Traditional Arabic"/>
        </w:rPr>
        <w:t xml:space="preserve"> </w:t>
      </w:r>
      <w:r w:rsidRPr="004D65D6">
        <w:rPr>
          <w:rFonts w:ascii="Traditional Arabic" w:hAnsi="Traditional Arabic" w:cs="Traditional Arabic"/>
          <w:rtl/>
        </w:rPr>
        <w:t>إلى أن المؤسسات الحكومية التي تتبنى ممارسات البراعة التنظيمية تكون أكثر قدرة على تحقيق التحول الرقمي وتحسين جودة الخدمات الحكومية. كما أكدت دراسة</w:t>
      </w:r>
      <w:r w:rsidRPr="004D65D6">
        <w:rPr>
          <w:rFonts w:ascii="Traditional Arabic" w:hAnsi="Traditional Arabic" w:cs="Traditional Arabic"/>
        </w:rPr>
        <w:t xml:space="preserve"> </w:t>
      </w:r>
      <w:r w:rsidRPr="004D65D6">
        <w:rPr>
          <w:rFonts w:ascii="Traditional Arabic" w:hAnsi="Traditional Arabic" w:cs="Traditional Arabic"/>
          <w:sz w:val="22"/>
          <w:szCs w:val="22"/>
        </w:rPr>
        <w:t xml:space="preserve">(Al-Harbi, 2023) </w:t>
      </w:r>
      <w:r w:rsidRPr="004D65D6">
        <w:rPr>
          <w:rFonts w:ascii="Traditional Arabic" w:hAnsi="Traditional Arabic" w:cs="Traditional Arabic"/>
          <w:rtl/>
        </w:rPr>
        <w:t>وجود علاقة إيجابية بين البراعة التنظيمية والاستدامة المؤسسية في المؤسسات الحكومية السعودية، مما يعكس أهمية هذا المفهوم في تعزيز قدرة المؤسسات العامة على تحقيق الاستمرارية في الأداء المؤسسي</w:t>
      </w:r>
      <w:r w:rsidRPr="004D65D6">
        <w:rPr>
          <w:rFonts w:ascii="Traditional Arabic" w:hAnsi="Traditional Arabic" w:cs="Traditional Arabic"/>
        </w:rPr>
        <w:t>.</w:t>
      </w:r>
    </w:p>
    <w:p w14:paraId="49D270B9" w14:textId="597D2ADA" w:rsidR="004D65D6" w:rsidRPr="004D65D6" w:rsidRDefault="00763575" w:rsidP="004D65D6">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4D65D6" w:rsidRPr="004D65D6">
        <w:rPr>
          <w:rFonts w:ascii="Traditional Arabic" w:hAnsi="Traditional Arabic" w:cs="Traditional Arabic"/>
          <w:rtl/>
        </w:rPr>
        <w:t xml:space="preserve">وفيما يتعلق </w:t>
      </w:r>
      <w:r w:rsidR="004D65D6" w:rsidRPr="004D65D6">
        <w:rPr>
          <w:rFonts w:ascii="Traditional Arabic" w:hAnsi="Traditional Arabic" w:cs="Traditional Arabic"/>
          <w:b/>
          <w:bCs/>
          <w:rtl/>
        </w:rPr>
        <w:t>بالتميز المؤسسي</w:t>
      </w:r>
      <w:r w:rsidR="004D65D6" w:rsidRPr="004D65D6">
        <w:rPr>
          <w:rFonts w:ascii="Traditional Arabic" w:hAnsi="Traditional Arabic" w:cs="Traditional Arabic"/>
          <w:rtl/>
        </w:rPr>
        <w:t xml:space="preserve">، فقد أظهرت الدراسات أن تطبيق نماذج التميز المؤسسي يسهم في تحسين الأداء التنظيمي وتعزيز قدرة المؤسسات على تحقيق النتائج المؤسسية المتفوقة. فقد أشارت دراسة </w:t>
      </w:r>
      <w:r w:rsidR="004D65D6" w:rsidRPr="004D65D6">
        <w:rPr>
          <w:rFonts w:ascii="Traditional Arabic" w:hAnsi="Traditional Arabic" w:cs="Traditional Arabic"/>
          <w:sz w:val="22"/>
          <w:szCs w:val="22"/>
          <w:rtl/>
        </w:rPr>
        <w:t xml:space="preserve">(الشمري، 2021) </w:t>
      </w:r>
      <w:r w:rsidR="004D65D6" w:rsidRPr="004D65D6">
        <w:rPr>
          <w:rFonts w:ascii="Traditional Arabic" w:hAnsi="Traditional Arabic" w:cs="Traditional Arabic"/>
          <w:rtl/>
        </w:rPr>
        <w:t>إلى وجود تفاوت في مستوى تطبيق ممارسات التميز المؤسسي في المؤسسات الحكومية السعودية، الأمر الذي يعكس الحاجة إلى تطوير الممارسات التنظيمية داخل هذه المؤسسات بما يسهم في تعزيز مستوى التميز المؤسسي وتحسين جودة الأداء الحكومي. كما أكدت دراسة</w:t>
      </w:r>
      <w:r w:rsidR="004D65D6" w:rsidRPr="004D65D6">
        <w:rPr>
          <w:rFonts w:ascii="Traditional Arabic" w:hAnsi="Traditional Arabic" w:cs="Traditional Arabic"/>
        </w:rPr>
        <w:t xml:space="preserve"> </w:t>
      </w:r>
      <w:r w:rsidR="004D65D6" w:rsidRPr="004D65D6">
        <w:rPr>
          <w:rFonts w:ascii="Traditional Arabic" w:hAnsi="Traditional Arabic" w:cs="Traditional Arabic"/>
          <w:sz w:val="22"/>
          <w:szCs w:val="22"/>
        </w:rPr>
        <w:t>(Alshammari, 2021)</w:t>
      </w:r>
      <w:r w:rsidR="004D65D6" w:rsidRPr="004D65D6">
        <w:rPr>
          <w:rFonts w:ascii="Traditional Arabic" w:hAnsi="Traditional Arabic" w:cs="Traditional Arabic"/>
        </w:rPr>
        <w:t xml:space="preserve"> </w:t>
      </w:r>
      <w:r w:rsidR="004D65D6" w:rsidRPr="004D65D6">
        <w:rPr>
          <w:rFonts w:ascii="Traditional Arabic" w:hAnsi="Traditional Arabic" w:cs="Traditional Arabic"/>
          <w:rtl/>
        </w:rPr>
        <w:t>أن المرونة الاستراتيجية تسهم بشكل إيجابي في تعزيز قدرة المؤسسات الحكومية على تحقيق التميز المؤسسي، حيث تساعد هذه المرونة المؤسسات على التكيف مع التغيرات البيئية وتحسين أدائها التنظيمي</w:t>
      </w:r>
      <w:r w:rsidR="004D65D6" w:rsidRPr="004D65D6">
        <w:rPr>
          <w:rFonts w:ascii="Traditional Arabic" w:hAnsi="Traditional Arabic" w:cs="Traditional Arabic"/>
        </w:rPr>
        <w:t>.</w:t>
      </w:r>
    </w:p>
    <w:p w14:paraId="293B4452" w14:textId="30A4D5BD" w:rsidR="004D65D6" w:rsidRPr="004D65D6" w:rsidRDefault="00763575" w:rsidP="004D65D6">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4D65D6" w:rsidRPr="004D65D6">
        <w:rPr>
          <w:rFonts w:ascii="Traditional Arabic" w:hAnsi="Traditional Arabic" w:cs="Traditional Arabic"/>
          <w:rtl/>
        </w:rPr>
        <w:t xml:space="preserve">أما فيما يتعلق </w:t>
      </w:r>
      <w:r w:rsidR="004D65D6" w:rsidRPr="004D65D6">
        <w:rPr>
          <w:rFonts w:ascii="Traditional Arabic" w:hAnsi="Traditional Arabic" w:cs="Traditional Arabic"/>
          <w:b/>
          <w:bCs/>
          <w:rtl/>
        </w:rPr>
        <w:t>بالاستدامة المؤسسية</w:t>
      </w:r>
      <w:r w:rsidR="004D65D6" w:rsidRPr="004D65D6">
        <w:rPr>
          <w:rFonts w:ascii="Traditional Arabic" w:hAnsi="Traditional Arabic" w:cs="Traditional Arabic"/>
          <w:rtl/>
        </w:rPr>
        <w:t>، فقد أشارت الدراسات إلى أن تحقيق الاستدامة المؤسسية يتطلب تطوير القدرات التنظيمية للمؤسسات وتعزيز قدرتها على التكيف مع التغيرات البيئية والاقتصادية. فقد أظهرت دراسة</w:t>
      </w:r>
      <w:r w:rsidR="004D65D6" w:rsidRPr="004D65D6">
        <w:rPr>
          <w:rFonts w:ascii="Traditional Arabic" w:hAnsi="Traditional Arabic" w:cs="Traditional Arabic"/>
        </w:rPr>
        <w:t xml:space="preserve"> </w:t>
      </w:r>
      <w:r w:rsidR="004D65D6" w:rsidRPr="004D65D6">
        <w:rPr>
          <w:rFonts w:ascii="Traditional Arabic" w:hAnsi="Traditional Arabic" w:cs="Traditional Arabic"/>
          <w:sz w:val="22"/>
          <w:szCs w:val="22"/>
        </w:rPr>
        <w:t xml:space="preserve">(Elbanna, 2019) </w:t>
      </w:r>
      <w:r w:rsidR="004D65D6" w:rsidRPr="004D65D6">
        <w:rPr>
          <w:rFonts w:ascii="Traditional Arabic" w:hAnsi="Traditional Arabic" w:cs="Traditional Arabic"/>
          <w:rtl/>
        </w:rPr>
        <w:t>أن الجمود التنظيمي يمثل أحد التحديات الرئيسة التي تواجه المؤسسات الحكومية في تحقيق الأداء المستدام، الأمر الذي يستدعي تطوير نماذج تنظيمية أكثر مرونة تساعد المؤسسات على مواجهة هذه التحديات</w:t>
      </w:r>
      <w:r w:rsidR="004D65D6" w:rsidRPr="004D65D6">
        <w:rPr>
          <w:rFonts w:ascii="Traditional Arabic" w:hAnsi="Traditional Arabic" w:cs="Traditional Arabic"/>
        </w:rPr>
        <w:t>.</w:t>
      </w:r>
    </w:p>
    <w:p w14:paraId="61B8D2D5" w14:textId="5342D8D3" w:rsidR="004D65D6" w:rsidRPr="004D65D6" w:rsidRDefault="00763575" w:rsidP="004D65D6">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4D65D6" w:rsidRPr="004D65D6">
        <w:rPr>
          <w:rFonts w:ascii="Traditional Arabic" w:hAnsi="Traditional Arabic" w:cs="Traditional Arabic"/>
          <w:rtl/>
        </w:rPr>
        <w:t xml:space="preserve">وعلى الرغم من الأهمية العلمية التي قدمتها الدراسات السابقة في مجال البراعة التنظيمية والتميز المؤسسي والاستدامة المؤسسية، إلا أن تحليل هذه الدراسات يكشف عن عدد من </w:t>
      </w:r>
      <w:r w:rsidR="004D65D6" w:rsidRPr="004D65D6">
        <w:rPr>
          <w:rFonts w:ascii="Traditional Arabic" w:hAnsi="Traditional Arabic" w:cs="Traditional Arabic"/>
          <w:b/>
          <w:bCs/>
          <w:rtl/>
        </w:rPr>
        <w:t>الفجوات البحثية</w:t>
      </w:r>
      <w:r w:rsidR="004D65D6" w:rsidRPr="004D65D6">
        <w:rPr>
          <w:rFonts w:ascii="Traditional Arabic" w:hAnsi="Traditional Arabic" w:cs="Traditional Arabic"/>
          <w:rtl/>
        </w:rPr>
        <w:t xml:space="preserve"> التي ما تزال بحاجة إلى مزيد من الدراسة، خاصة في سياق المؤسسات الحكومية في المملكة العربية السعودية. فقد ركزت العديد من الدراسات على تحليل كل مفهوم من هذه المفاهيم بشكل منفصل، حيث تناولت بعض الدراسات البراعة التنظيمية دون ربطها بشكل مباشر بمفهومي التميز المؤسسي والاستدامة المؤسسية، في حين ركزت دراسات أخرى على التميز المؤسسي أو الاستدامة المؤسسية دون تحليل دور البراعة التنظيمية في تحقيقهما</w:t>
      </w:r>
      <w:r w:rsidR="004D65D6" w:rsidRPr="004D65D6">
        <w:rPr>
          <w:rFonts w:ascii="Traditional Arabic" w:hAnsi="Traditional Arabic" w:cs="Traditional Arabic"/>
        </w:rPr>
        <w:t>.</w:t>
      </w:r>
    </w:p>
    <w:p w14:paraId="0A7D1571" w14:textId="28C87342" w:rsidR="004D65D6" w:rsidRPr="004D65D6" w:rsidRDefault="00763575" w:rsidP="004D65D6">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4D65D6" w:rsidRPr="004D65D6">
        <w:rPr>
          <w:rFonts w:ascii="Traditional Arabic" w:hAnsi="Traditional Arabic" w:cs="Traditional Arabic"/>
          <w:rtl/>
        </w:rPr>
        <w:t>كما يُلاحظ أن معظم الدراسات الأجنبية تناولت مفهوم البراعة التنظيمية في سياق المؤسسات الخاصة أو في بيئات تنظيمية مختلفة عن البيئة الحكومية في المملكة العربية السعودية، وهو ما يحد من إمكانية تعميم نتائجها على السياق التنظيمي المحلي. إضافة إلى ذلك، فإن الدراسات العربية التي تناولت هذا الموضوع لا تزال محدودة نسبيًا، خاصة فيما يتعلق بتحليل العلاقة التكاملية بين البراعة التنظيمية والتميز المؤسسي والاستدامة المؤسسية في المؤسسات الحكومية</w:t>
      </w:r>
      <w:r w:rsidR="004D65D6" w:rsidRPr="004D65D6">
        <w:rPr>
          <w:rFonts w:ascii="Traditional Arabic" w:hAnsi="Traditional Arabic" w:cs="Traditional Arabic"/>
        </w:rPr>
        <w:t>.</w:t>
      </w:r>
    </w:p>
    <w:p w14:paraId="7BAC3E47" w14:textId="252518B6" w:rsidR="004D65D6" w:rsidRPr="004D65D6" w:rsidRDefault="00763575" w:rsidP="004D65D6">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4D65D6" w:rsidRPr="004D65D6">
        <w:rPr>
          <w:rFonts w:ascii="Traditional Arabic" w:hAnsi="Traditional Arabic" w:cs="Traditional Arabic"/>
          <w:rtl/>
        </w:rPr>
        <w:t>كما أن بعض الدراسات ركزت على أحد أبعاد البراعة التنظيمية دون تناول الأبعاد الأخرى بشكل متكامل، حيث ركزت بعض الدراسات على البراعة القيادية أو السياقية دون تحليل دور البراعة الهيكلية في تحقيق التوازن بين الاستغلال والاستكشاف داخل المؤسسات</w:t>
      </w:r>
      <w:r w:rsidR="004D65D6" w:rsidRPr="004D65D6">
        <w:rPr>
          <w:rFonts w:ascii="Traditional Arabic" w:hAnsi="Traditional Arabic" w:cs="Traditional Arabic"/>
        </w:rPr>
        <w:t>.</w:t>
      </w:r>
    </w:p>
    <w:p w14:paraId="19DE2CC5" w14:textId="6E4A300D" w:rsidR="004D65D6" w:rsidRPr="004D65D6" w:rsidRDefault="00763575" w:rsidP="004D65D6">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4D65D6" w:rsidRPr="004D65D6">
        <w:rPr>
          <w:rFonts w:ascii="Traditional Arabic" w:hAnsi="Traditional Arabic" w:cs="Traditional Arabic"/>
          <w:rtl/>
        </w:rPr>
        <w:t xml:space="preserve">وبناءً على ما سبق، تسعى الدراسة الحالية إلى الإسهام في معالجة هذه الفجوة البحثية من خلال تقديم نموذج استراتيجي متكامل يوضح دور البراعة التنظيمية بأبعادها الثلاثة (الهيكلية، السياقية، القيادية) في تحقيق التميز المؤسسي وتعزيز الاستدامة المؤسسية في هيئات القطاع العام في المملكة العربية السعودية. </w:t>
      </w:r>
      <w:r w:rsidR="004D65D6" w:rsidRPr="004D65D6">
        <w:rPr>
          <w:rFonts w:ascii="Traditional Arabic" w:hAnsi="Traditional Arabic" w:cs="Traditional Arabic"/>
          <w:rtl/>
        </w:rPr>
        <w:lastRenderedPageBreak/>
        <w:t>كما تهدف الدراسة إلى اختبار العلاقات بين هذه المتغيرات في السياق التنظيمي الحكومي السعودي، بما يسهم في تقديم إطار علمي وتطبيقي يمكن أن يساعد المؤسسات الحكومية على تحسين أدائها وتعزيز قدرتها على تحقيق التميز والاستدامة في بيئة العمل المعاصرة</w:t>
      </w:r>
      <w:r w:rsidR="004D65D6" w:rsidRPr="004D65D6">
        <w:rPr>
          <w:rFonts w:ascii="Traditional Arabic" w:hAnsi="Traditional Arabic" w:cs="Traditional Arabic"/>
        </w:rPr>
        <w:t>.</w:t>
      </w:r>
    </w:p>
    <w:p w14:paraId="400873E7" w14:textId="77777777" w:rsidR="00551EC1" w:rsidRPr="00551EC1" w:rsidRDefault="00551EC1" w:rsidP="00551EC1">
      <w:pPr>
        <w:tabs>
          <w:tab w:val="left" w:pos="1368"/>
        </w:tabs>
        <w:bidi/>
        <w:spacing w:line="276" w:lineRule="auto"/>
        <w:jc w:val="both"/>
        <w:rPr>
          <w:rFonts w:ascii="Traditional Arabic" w:hAnsi="Traditional Arabic" w:cs="Traditional Arabic"/>
          <w:b/>
          <w:bCs/>
        </w:rPr>
      </w:pPr>
      <w:r w:rsidRPr="00551EC1">
        <w:rPr>
          <w:rFonts w:ascii="Traditional Arabic" w:hAnsi="Traditional Arabic" w:cs="Traditional Arabic"/>
          <w:b/>
          <w:bCs/>
          <w:rtl/>
        </w:rPr>
        <w:t>الفجوة البحثية</w:t>
      </w:r>
    </w:p>
    <w:p w14:paraId="7B8C16B2" w14:textId="2EBA3FD2" w:rsidR="00F27899" w:rsidRPr="00F27899" w:rsidRDefault="00F27899" w:rsidP="00F27899">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b/>
          <w:bCs/>
          <w:rtl/>
        </w:rPr>
        <w:t xml:space="preserve">     </w:t>
      </w:r>
      <w:r w:rsidRPr="00F27899">
        <w:rPr>
          <w:rFonts w:ascii="Traditional Arabic" w:hAnsi="Traditional Arabic" w:cs="Traditional Arabic"/>
          <w:rtl/>
        </w:rPr>
        <w:t>على الرغم من الإسهامات العلمية التي قدمتها الدراسات السابقة في مجال البراعة التنظيمية والتميز المؤسسي والاستدامة المؤسسية، إلا أن مراجعة الأدبيات تكشف عن وجود عدد من الفجوات البحثية التي ما تزال بحاجة إلى مزيد من الدراسة والتحليل، خاصة في سياق المؤسسات الحكومية في المملكة العربية السعودية</w:t>
      </w:r>
      <w:r w:rsidRPr="00F27899">
        <w:rPr>
          <w:rFonts w:ascii="Traditional Arabic" w:hAnsi="Traditional Arabic" w:cs="Traditional Arabic"/>
        </w:rPr>
        <w:t>.</w:t>
      </w:r>
    </w:p>
    <w:p w14:paraId="484FAA1E" w14:textId="21F028C2" w:rsidR="00F27899" w:rsidRPr="00F27899" w:rsidRDefault="00F27899" w:rsidP="00F27899">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Pr="00F27899">
        <w:rPr>
          <w:rFonts w:ascii="Traditional Arabic" w:hAnsi="Traditional Arabic" w:cs="Traditional Arabic"/>
          <w:rtl/>
        </w:rPr>
        <w:t>فقد ركزت العديد من الدراسات على تحليل مفهوم البراعة التنظيمية بوصفه أحد المداخل الإدارية الحديثة التي تساعد المؤسسات على تحقيق التوازن بين أنشطة الاستغلال التي تهدف إلى تحسين الكفاءة التشغيلية، وأنشطة الاستكشاف التي تسعى إلى تعزيز الابتكار والتطوير المؤسسي. وقد أكدت العديد من الدراسات الأجنبية، مثل دراسات</w:t>
      </w:r>
      <w:r w:rsidRPr="00F27899">
        <w:rPr>
          <w:rFonts w:ascii="Traditional Arabic" w:hAnsi="Traditional Arabic" w:cs="Traditional Arabic"/>
        </w:rPr>
        <w:t xml:space="preserve"> </w:t>
      </w:r>
      <w:r w:rsidRPr="00F27899">
        <w:rPr>
          <w:rFonts w:ascii="Traditional Arabic" w:hAnsi="Traditional Arabic" w:cs="Traditional Arabic"/>
          <w:sz w:val="22"/>
          <w:szCs w:val="22"/>
        </w:rPr>
        <w:t xml:space="preserve">(O’Reilly &amp; Tushman, 2021) </w:t>
      </w:r>
      <w:r w:rsidRPr="00F27899">
        <w:rPr>
          <w:rFonts w:ascii="Traditional Arabic" w:hAnsi="Traditional Arabic" w:cs="Traditional Arabic"/>
          <w:sz w:val="22"/>
          <w:szCs w:val="22"/>
          <w:rtl/>
        </w:rPr>
        <w:t>و</w:t>
      </w:r>
      <w:r w:rsidRPr="00F27899">
        <w:rPr>
          <w:rFonts w:ascii="Traditional Arabic" w:hAnsi="Traditional Arabic" w:cs="Traditional Arabic"/>
          <w:sz w:val="22"/>
          <w:szCs w:val="22"/>
        </w:rPr>
        <w:t>(Gibson &amp; Birkinshaw, 2022)</w:t>
      </w:r>
      <w:r w:rsidRPr="00F27899">
        <w:rPr>
          <w:rFonts w:ascii="Traditional Arabic" w:hAnsi="Traditional Arabic" w:cs="Traditional Arabic"/>
          <w:rtl/>
        </w:rPr>
        <w:t>، أهمية هذا المفهوم في تعزيز قدرة المؤسسات على التكيف مع التغيرات البيئية وتحقيق الأداء المتفوق. إلا أن معظم هذه الدراسات أجريت في المؤسسات الخاصة أو في بيئات تنظيمية مختلفة عن البيئة الحكومية، الأمر الذي يحد من إمكانية تعميم نتائجها على المؤسسات الحكومية في المملكة العربية السعودية</w:t>
      </w:r>
      <w:r w:rsidRPr="00F27899">
        <w:rPr>
          <w:rFonts w:ascii="Traditional Arabic" w:hAnsi="Traditional Arabic" w:cs="Traditional Arabic"/>
        </w:rPr>
        <w:t>.</w:t>
      </w:r>
    </w:p>
    <w:p w14:paraId="333E19B1" w14:textId="06899E84" w:rsidR="00F27899" w:rsidRPr="00F27899" w:rsidRDefault="00F27899" w:rsidP="00F27899">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Pr="00F27899">
        <w:rPr>
          <w:rFonts w:ascii="Traditional Arabic" w:hAnsi="Traditional Arabic" w:cs="Traditional Arabic"/>
          <w:rtl/>
        </w:rPr>
        <w:t>وعلى الرغم من تعدد الدراسات التي تناولت البراعة التنظيمية أو التميز المؤسسي أو الاستدامة المؤسسية بشكل منفصل، إلا أن هناك ندرة في الدراسات التي تناولت العلاقة التكاملية بين هذه المتغيرات الثلاثة في سياق المؤسسات الحكومية، وهو ما تسعى الدراسة الحالية إلى معالجته</w:t>
      </w:r>
      <w:r w:rsidRPr="00F27899">
        <w:rPr>
          <w:rFonts w:ascii="Traditional Arabic" w:hAnsi="Traditional Arabic" w:cs="Traditional Arabic"/>
        </w:rPr>
        <w:t>.</w:t>
      </w:r>
    </w:p>
    <w:p w14:paraId="706C5824" w14:textId="5DC0F003" w:rsidR="00F27899" w:rsidRPr="00F27899" w:rsidRDefault="00F27899" w:rsidP="00F27899">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Pr="00F27899">
        <w:rPr>
          <w:rFonts w:ascii="Traditional Arabic" w:hAnsi="Traditional Arabic" w:cs="Traditional Arabic"/>
          <w:rtl/>
        </w:rPr>
        <w:t xml:space="preserve">ومن ناحية أخرى، تناولت بعض الدراسات مفهوم التميز المؤسسي ودوره في تحسين الأداء التنظيمي للمؤسسات الحكومية، كما في دراسة </w:t>
      </w:r>
      <w:r w:rsidRPr="00F27899">
        <w:rPr>
          <w:rFonts w:ascii="Traditional Arabic" w:hAnsi="Traditional Arabic" w:cs="Traditional Arabic"/>
          <w:sz w:val="22"/>
          <w:szCs w:val="22"/>
          <w:rtl/>
        </w:rPr>
        <w:t xml:space="preserve">(الشمري، 2021) </w:t>
      </w:r>
      <w:r w:rsidRPr="00F27899">
        <w:rPr>
          <w:rFonts w:ascii="Traditional Arabic" w:hAnsi="Traditional Arabic" w:cs="Traditional Arabic"/>
          <w:rtl/>
        </w:rPr>
        <w:t>ودراسة</w:t>
      </w:r>
      <w:r w:rsidRPr="00F27899">
        <w:rPr>
          <w:rFonts w:ascii="Traditional Arabic" w:hAnsi="Traditional Arabic" w:cs="Traditional Arabic"/>
          <w:sz w:val="22"/>
          <w:szCs w:val="22"/>
        </w:rPr>
        <w:t xml:space="preserve"> (Alshammari, 2021)</w:t>
      </w:r>
      <w:r w:rsidRPr="00F27899">
        <w:rPr>
          <w:rFonts w:ascii="Traditional Arabic" w:hAnsi="Traditional Arabic" w:cs="Traditional Arabic"/>
          <w:sz w:val="22"/>
          <w:szCs w:val="22"/>
          <w:rtl/>
        </w:rPr>
        <w:t xml:space="preserve">، </w:t>
      </w:r>
      <w:r w:rsidRPr="00F27899">
        <w:rPr>
          <w:rFonts w:ascii="Traditional Arabic" w:hAnsi="Traditional Arabic" w:cs="Traditional Arabic"/>
          <w:rtl/>
        </w:rPr>
        <w:t>إلا أن هذه الدراسات ركزت بصورة رئيسة على تقييم مستوى تطبيق ممارسات التميز المؤسسي داخل المؤسسات الحكومية، دون التطرق بشكل كافٍ إلى العوامل التنظيمية التي يمكن أن تسهم في تعزيز تحقيق هذا التميز، ومن أبرزها البراعة التنظيمية</w:t>
      </w:r>
      <w:r w:rsidRPr="00F27899">
        <w:rPr>
          <w:rFonts w:ascii="Traditional Arabic" w:hAnsi="Traditional Arabic" w:cs="Traditional Arabic"/>
        </w:rPr>
        <w:t>.</w:t>
      </w:r>
    </w:p>
    <w:p w14:paraId="077E49CE" w14:textId="499BFB8D" w:rsidR="00F27899" w:rsidRPr="00F27899" w:rsidRDefault="00F27899" w:rsidP="00F27899">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Pr="00F27899">
        <w:rPr>
          <w:rFonts w:ascii="Traditional Arabic" w:hAnsi="Traditional Arabic" w:cs="Traditional Arabic"/>
          <w:rtl/>
        </w:rPr>
        <w:t>كما تناولت بعض الدراسات العلاقة بين البراعة التنظيمية والاستدامة المؤسسية، مثل دراسة</w:t>
      </w:r>
      <w:r w:rsidRPr="00F27899">
        <w:rPr>
          <w:rFonts w:ascii="Traditional Arabic" w:hAnsi="Traditional Arabic" w:cs="Traditional Arabic"/>
        </w:rPr>
        <w:t xml:space="preserve"> </w:t>
      </w:r>
      <w:r w:rsidRPr="00F27899">
        <w:rPr>
          <w:rFonts w:ascii="Traditional Arabic" w:hAnsi="Traditional Arabic" w:cs="Traditional Arabic"/>
          <w:sz w:val="22"/>
          <w:szCs w:val="22"/>
        </w:rPr>
        <w:t>(Al-Harbi, 2023)</w:t>
      </w:r>
      <w:r w:rsidRPr="00F27899">
        <w:rPr>
          <w:rFonts w:ascii="Traditional Arabic" w:hAnsi="Traditional Arabic" w:cs="Traditional Arabic"/>
          <w:rtl/>
        </w:rPr>
        <w:t>، والتي أشارت إلى وجود علاقة إيجابية بين ممارسات البراعة التنظيمية والاستدامة المؤسسية في المؤسسات الحكومية السعودية. إلا أن هذه الدراسات لم تتناول العلاقة التكاملية بين البراعة التنظيمية والتميز المؤسسي والاستدامة المؤسسية ضمن نموذج تحليلي متكامل يوضح طبيعة التأثيرات المباشرة وغير المباشرة بين هذه المتغيرات</w:t>
      </w:r>
      <w:r w:rsidRPr="00F27899">
        <w:rPr>
          <w:rFonts w:ascii="Traditional Arabic" w:hAnsi="Traditional Arabic" w:cs="Traditional Arabic"/>
        </w:rPr>
        <w:t>.</w:t>
      </w:r>
    </w:p>
    <w:p w14:paraId="12E20688" w14:textId="56C1526A" w:rsidR="00F27899" w:rsidRPr="00F27899" w:rsidRDefault="00F27899" w:rsidP="00F27899">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Pr="00F27899">
        <w:rPr>
          <w:rFonts w:ascii="Traditional Arabic" w:hAnsi="Traditional Arabic" w:cs="Traditional Arabic"/>
          <w:rtl/>
        </w:rPr>
        <w:t>إضافة إلى ذلك، يلاحظ أن العديد من الدراسات السابقة ركزت على أحد أبعاد البراعة التنظيمية دون تناول الأبعاد الأخرى بشكل متكامل، حيث ركزت بعض الدراسات على البراعة القيادية أو السياقية دون تحليل دور البراعة الهيكلية في تحقيق التوازن التنظيمي بين الاستغلال والاستكشاف داخل المؤسسات</w:t>
      </w:r>
      <w:r w:rsidRPr="00F27899">
        <w:rPr>
          <w:rFonts w:ascii="Traditional Arabic" w:hAnsi="Traditional Arabic" w:cs="Traditional Arabic"/>
        </w:rPr>
        <w:t>.</w:t>
      </w:r>
    </w:p>
    <w:p w14:paraId="042146B5" w14:textId="0DF96B64" w:rsidR="00F27899" w:rsidRPr="00F27899" w:rsidRDefault="00F27899" w:rsidP="00F27899">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Pr="00F27899">
        <w:rPr>
          <w:rFonts w:ascii="Traditional Arabic" w:hAnsi="Traditional Arabic" w:cs="Traditional Arabic"/>
          <w:rtl/>
        </w:rPr>
        <w:t>كما أن الدراسات العربية التي تناولت موضوع البراعة التنظيمية في السياق الحكومي ما تزال محدودة نسبيًا، خاصة فيما يتعلق بتحليل دور البراعة التنظيمية في تحقيق التميز المؤسسي وتعزيز الاستدامة المؤسسية في المؤسسات الحكومية في المملكة العربية السعودية، الأمر الذي يعكس الحاجة إلى إجراء دراسات تطبيقية تسعى إلى تحليل هذه العلاقة في البيئة التنظيمية المحلية</w:t>
      </w:r>
      <w:r w:rsidRPr="00F27899">
        <w:rPr>
          <w:rFonts w:ascii="Traditional Arabic" w:hAnsi="Traditional Arabic" w:cs="Traditional Arabic"/>
        </w:rPr>
        <w:t>.</w:t>
      </w:r>
    </w:p>
    <w:p w14:paraId="196BB443" w14:textId="71DB9689" w:rsidR="004A6C10" w:rsidRPr="00932BCC" w:rsidRDefault="00F27899" w:rsidP="00F27899">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Pr="00F27899">
        <w:rPr>
          <w:rFonts w:ascii="Traditional Arabic" w:hAnsi="Traditional Arabic" w:cs="Traditional Arabic"/>
          <w:rtl/>
        </w:rPr>
        <w:t>وبناءً على ما سبق، تتحدد الفجوة البحثية في الحاجة إلى دراسة العلاقة التكاملية بين البراعة التنظيمية بأبعادها الثلاثة (الهيكلية، السياقية، القيادية) وبين التميز المؤسسي والاستدامة المؤسسية في هيئات القطاع العام في المملكة العربية السعودية، وذلك من خلال تطوير نموذج استراتيجي متكامل يوضح طبيعة هذه العلاقة ويسهم في تعزيز قدرة المؤسسات الحكومية على تحقيق التميز المؤسسي وضمان استدامة الأداء في بيئات العمل المعاصرة</w:t>
      </w:r>
      <w:r w:rsidRPr="00F27899">
        <w:rPr>
          <w:rFonts w:ascii="Traditional Arabic" w:hAnsi="Traditional Arabic" w:cs="Traditional Arabic"/>
        </w:rPr>
        <w:t>.</w:t>
      </w:r>
    </w:p>
    <w:p w14:paraId="26B82603" w14:textId="20C4F6E7" w:rsidR="00932BCC" w:rsidRPr="001B7C42" w:rsidRDefault="001B7C42" w:rsidP="00932BCC">
      <w:pPr>
        <w:tabs>
          <w:tab w:val="left" w:pos="1368"/>
        </w:tabs>
        <w:bidi/>
        <w:spacing w:line="276" w:lineRule="auto"/>
        <w:jc w:val="both"/>
        <w:rPr>
          <w:rFonts w:ascii="Traditional Arabic" w:hAnsi="Traditional Arabic" w:cs="Traditional Arabic"/>
          <w:b/>
          <w:bCs/>
          <w:rtl/>
        </w:rPr>
      </w:pPr>
      <w:r w:rsidRPr="001B7C42">
        <w:rPr>
          <w:rFonts w:ascii="Traditional Arabic" w:hAnsi="Traditional Arabic" w:cs="Traditional Arabic" w:hint="cs"/>
          <w:b/>
          <w:bCs/>
          <w:rtl/>
        </w:rPr>
        <w:lastRenderedPageBreak/>
        <w:t xml:space="preserve">الربط بالدراسة الحالية (مبررات الدراسة): </w:t>
      </w:r>
    </w:p>
    <w:p w14:paraId="313EF439" w14:textId="1605D1A7" w:rsidR="001B7C42" w:rsidRDefault="001B7C42" w:rsidP="001B7C42">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Pr="001B7C42">
        <w:rPr>
          <w:rFonts w:ascii="Traditional Arabic" w:hAnsi="Traditional Arabic" w:cs="Traditional Arabic"/>
          <w:rtl/>
        </w:rPr>
        <w:t>وفي ضوء ما أظهرته الدراسات السابقة من محدودية في تناول العلاقة التكاملية بين البراعة التنظيمية والتميز المؤسسي والاستدامة المؤسسية في سياق المؤسسات الحكومية، تسعى الدراسة الحالية إلى تحليل دور البراعة التنظيمية بأبعادها المختلفة في تحقيق التميز المؤسسي وتعزيز الاستدامة المؤسسية في هيئات القطاع العام في المملكة العربية السعودية. كما تهدف الدراسة إلى تقديم نموذج استراتيجي يوضح طبيعة العلاقات بين هذه المتغيرات، بما يسهم في دعم جهود تطوير الأداء المؤسسي وتحقيق الاستدامة التنظيمية في القطاع الحكومي</w:t>
      </w:r>
      <w:r w:rsidRPr="001B7C42">
        <w:rPr>
          <w:rFonts w:ascii="Traditional Arabic" w:hAnsi="Traditional Arabic" w:cs="Traditional Arabic"/>
        </w:rPr>
        <w:t>.</w:t>
      </w:r>
    </w:p>
    <w:p w14:paraId="06ADAD82" w14:textId="77777777" w:rsidR="003637AE" w:rsidRDefault="003637AE" w:rsidP="007952EF">
      <w:pPr>
        <w:tabs>
          <w:tab w:val="left" w:pos="1368"/>
        </w:tabs>
        <w:bidi/>
        <w:spacing w:line="276" w:lineRule="auto"/>
        <w:jc w:val="both"/>
        <w:rPr>
          <w:rFonts w:ascii="Traditional Arabic" w:hAnsi="Traditional Arabic" w:cs="Traditional Arabic"/>
          <w:b/>
          <w:bCs/>
          <w:rtl/>
        </w:rPr>
      </w:pPr>
    </w:p>
    <w:p w14:paraId="449A6EE5" w14:textId="77777777" w:rsidR="003637AE" w:rsidRDefault="003637AE" w:rsidP="003637AE">
      <w:pPr>
        <w:tabs>
          <w:tab w:val="left" w:pos="1368"/>
        </w:tabs>
        <w:bidi/>
        <w:spacing w:line="276" w:lineRule="auto"/>
        <w:jc w:val="both"/>
        <w:rPr>
          <w:rFonts w:ascii="Traditional Arabic" w:hAnsi="Traditional Arabic" w:cs="Traditional Arabic"/>
          <w:b/>
          <w:bCs/>
          <w:rtl/>
        </w:rPr>
      </w:pPr>
    </w:p>
    <w:p w14:paraId="6BCFDB2F" w14:textId="77777777" w:rsidR="003637AE" w:rsidRDefault="003637AE" w:rsidP="003637AE">
      <w:pPr>
        <w:tabs>
          <w:tab w:val="left" w:pos="1368"/>
        </w:tabs>
        <w:bidi/>
        <w:spacing w:line="276" w:lineRule="auto"/>
        <w:jc w:val="both"/>
        <w:rPr>
          <w:rFonts w:ascii="Traditional Arabic" w:hAnsi="Traditional Arabic" w:cs="Traditional Arabic"/>
          <w:b/>
          <w:bCs/>
          <w:rtl/>
        </w:rPr>
      </w:pPr>
    </w:p>
    <w:p w14:paraId="669F18AE" w14:textId="77777777" w:rsidR="003637AE" w:rsidRDefault="003637AE" w:rsidP="003637AE">
      <w:pPr>
        <w:tabs>
          <w:tab w:val="left" w:pos="1368"/>
        </w:tabs>
        <w:bidi/>
        <w:spacing w:line="276" w:lineRule="auto"/>
        <w:jc w:val="both"/>
        <w:rPr>
          <w:rFonts w:ascii="Traditional Arabic" w:hAnsi="Traditional Arabic" w:cs="Traditional Arabic"/>
          <w:b/>
          <w:bCs/>
          <w:rtl/>
        </w:rPr>
      </w:pPr>
    </w:p>
    <w:p w14:paraId="34B413D4" w14:textId="77777777" w:rsidR="003637AE" w:rsidRDefault="003637AE" w:rsidP="003637AE">
      <w:pPr>
        <w:tabs>
          <w:tab w:val="left" w:pos="1368"/>
        </w:tabs>
        <w:bidi/>
        <w:spacing w:line="276" w:lineRule="auto"/>
        <w:jc w:val="both"/>
        <w:rPr>
          <w:rFonts w:ascii="Traditional Arabic" w:hAnsi="Traditional Arabic" w:cs="Traditional Arabic"/>
          <w:b/>
          <w:bCs/>
          <w:rtl/>
        </w:rPr>
      </w:pPr>
    </w:p>
    <w:p w14:paraId="17867F29" w14:textId="77777777" w:rsidR="003637AE" w:rsidRDefault="003637AE" w:rsidP="003637AE">
      <w:pPr>
        <w:tabs>
          <w:tab w:val="left" w:pos="1368"/>
        </w:tabs>
        <w:bidi/>
        <w:spacing w:line="276" w:lineRule="auto"/>
        <w:jc w:val="both"/>
        <w:rPr>
          <w:rFonts w:ascii="Traditional Arabic" w:hAnsi="Traditional Arabic" w:cs="Traditional Arabic"/>
          <w:b/>
          <w:bCs/>
          <w:rtl/>
        </w:rPr>
      </w:pPr>
    </w:p>
    <w:p w14:paraId="451D9DA1" w14:textId="77777777" w:rsidR="003637AE" w:rsidRDefault="003637AE" w:rsidP="003637AE">
      <w:pPr>
        <w:tabs>
          <w:tab w:val="left" w:pos="1368"/>
        </w:tabs>
        <w:bidi/>
        <w:spacing w:line="276" w:lineRule="auto"/>
        <w:jc w:val="both"/>
        <w:rPr>
          <w:rFonts w:ascii="Traditional Arabic" w:hAnsi="Traditional Arabic" w:cs="Traditional Arabic"/>
          <w:b/>
          <w:bCs/>
          <w:rtl/>
        </w:rPr>
      </w:pPr>
    </w:p>
    <w:p w14:paraId="3785CDEE" w14:textId="77777777" w:rsidR="003637AE" w:rsidRDefault="003637AE" w:rsidP="003637AE">
      <w:pPr>
        <w:tabs>
          <w:tab w:val="left" w:pos="1368"/>
        </w:tabs>
        <w:bidi/>
        <w:spacing w:line="276" w:lineRule="auto"/>
        <w:jc w:val="both"/>
        <w:rPr>
          <w:rFonts w:ascii="Traditional Arabic" w:hAnsi="Traditional Arabic" w:cs="Traditional Arabic"/>
          <w:b/>
          <w:bCs/>
          <w:rtl/>
        </w:rPr>
      </w:pPr>
    </w:p>
    <w:p w14:paraId="04103521" w14:textId="77777777" w:rsidR="003637AE" w:rsidRDefault="003637AE" w:rsidP="003637AE">
      <w:pPr>
        <w:tabs>
          <w:tab w:val="left" w:pos="1368"/>
        </w:tabs>
        <w:bidi/>
        <w:spacing w:line="276" w:lineRule="auto"/>
        <w:jc w:val="both"/>
        <w:rPr>
          <w:rFonts w:ascii="Traditional Arabic" w:hAnsi="Traditional Arabic" w:cs="Traditional Arabic"/>
          <w:b/>
          <w:bCs/>
          <w:rtl/>
        </w:rPr>
      </w:pPr>
    </w:p>
    <w:p w14:paraId="426FEE70" w14:textId="77777777" w:rsidR="003637AE" w:rsidRDefault="003637AE" w:rsidP="003637AE">
      <w:pPr>
        <w:tabs>
          <w:tab w:val="left" w:pos="1368"/>
        </w:tabs>
        <w:bidi/>
        <w:spacing w:line="276" w:lineRule="auto"/>
        <w:jc w:val="both"/>
        <w:rPr>
          <w:rFonts w:ascii="Traditional Arabic" w:hAnsi="Traditional Arabic" w:cs="Traditional Arabic"/>
          <w:b/>
          <w:bCs/>
          <w:rtl/>
        </w:rPr>
      </w:pPr>
    </w:p>
    <w:p w14:paraId="37555E10" w14:textId="77777777" w:rsidR="003637AE" w:rsidRDefault="003637AE" w:rsidP="003637AE">
      <w:pPr>
        <w:tabs>
          <w:tab w:val="left" w:pos="1368"/>
        </w:tabs>
        <w:bidi/>
        <w:spacing w:line="276" w:lineRule="auto"/>
        <w:jc w:val="both"/>
        <w:rPr>
          <w:rFonts w:ascii="Traditional Arabic" w:hAnsi="Traditional Arabic" w:cs="Traditional Arabic"/>
          <w:b/>
          <w:bCs/>
          <w:rtl/>
        </w:rPr>
      </w:pPr>
    </w:p>
    <w:p w14:paraId="4DB5C67E" w14:textId="77777777" w:rsidR="003637AE" w:rsidRDefault="003637AE" w:rsidP="003637AE">
      <w:pPr>
        <w:tabs>
          <w:tab w:val="left" w:pos="1368"/>
        </w:tabs>
        <w:bidi/>
        <w:spacing w:line="276" w:lineRule="auto"/>
        <w:jc w:val="both"/>
        <w:rPr>
          <w:rFonts w:ascii="Traditional Arabic" w:hAnsi="Traditional Arabic" w:cs="Traditional Arabic"/>
          <w:b/>
          <w:bCs/>
          <w:rtl/>
        </w:rPr>
      </w:pPr>
    </w:p>
    <w:p w14:paraId="1FEB9453" w14:textId="77777777" w:rsidR="003637AE" w:rsidRDefault="003637AE" w:rsidP="003637AE">
      <w:pPr>
        <w:tabs>
          <w:tab w:val="left" w:pos="1368"/>
        </w:tabs>
        <w:bidi/>
        <w:spacing w:line="276" w:lineRule="auto"/>
        <w:jc w:val="both"/>
        <w:rPr>
          <w:rFonts w:ascii="Traditional Arabic" w:hAnsi="Traditional Arabic" w:cs="Traditional Arabic"/>
          <w:b/>
          <w:bCs/>
          <w:rtl/>
        </w:rPr>
      </w:pPr>
    </w:p>
    <w:p w14:paraId="1A3A748E" w14:textId="77777777" w:rsidR="003637AE" w:rsidRDefault="003637AE" w:rsidP="003637AE">
      <w:pPr>
        <w:tabs>
          <w:tab w:val="left" w:pos="1368"/>
        </w:tabs>
        <w:bidi/>
        <w:spacing w:line="276" w:lineRule="auto"/>
        <w:jc w:val="both"/>
        <w:rPr>
          <w:rFonts w:ascii="Traditional Arabic" w:hAnsi="Traditional Arabic" w:cs="Traditional Arabic"/>
          <w:b/>
          <w:bCs/>
          <w:rtl/>
        </w:rPr>
      </w:pPr>
    </w:p>
    <w:p w14:paraId="4EADE96A" w14:textId="77777777" w:rsidR="003637AE" w:rsidRDefault="003637AE" w:rsidP="003637AE">
      <w:pPr>
        <w:tabs>
          <w:tab w:val="left" w:pos="1368"/>
        </w:tabs>
        <w:bidi/>
        <w:spacing w:line="276" w:lineRule="auto"/>
        <w:jc w:val="both"/>
        <w:rPr>
          <w:rFonts w:ascii="Traditional Arabic" w:hAnsi="Traditional Arabic" w:cs="Traditional Arabic"/>
          <w:b/>
          <w:bCs/>
          <w:rtl/>
        </w:rPr>
      </w:pPr>
    </w:p>
    <w:p w14:paraId="39E9B1AE" w14:textId="77777777" w:rsidR="003637AE" w:rsidRDefault="003637AE" w:rsidP="003637AE">
      <w:pPr>
        <w:tabs>
          <w:tab w:val="left" w:pos="1368"/>
        </w:tabs>
        <w:bidi/>
        <w:spacing w:line="276" w:lineRule="auto"/>
        <w:jc w:val="both"/>
        <w:rPr>
          <w:rFonts w:ascii="Traditional Arabic" w:hAnsi="Traditional Arabic" w:cs="Traditional Arabic"/>
          <w:b/>
          <w:bCs/>
          <w:rtl/>
        </w:rPr>
      </w:pPr>
    </w:p>
    <w:p w14:paraId="4BC101EE" w14:textId="77777777" w:rsidR="003637AE" w:rsidRDefault="003637AE" w:rsidP="003637AE">
      <w:pPr>
        <w:tabs>
          <w:tab w:val="left" w:pos="1368"/>
        </w:tabs>
        <w:bidi/>
        <w:spacing w:line="276" w:lineRule="auto"/>
        <w:jc w:val="both"/>
        <w:rPr>
          <w:rFonts w:ascii="Traditional Arabic" w:hAnsi="Traditional Arabic" w:cs="Traditional Arabic"/>
          <w:b/>
          <w:bCs/>
          <w:rtl/>
        </w:rPr>
      </w:pPr>
    </w:p>
    <w:p w14:paraId="2D50462D" w14:textId="77777777" w:rsidR="003637AE" w:rsidRDefault="003637AE" w:rsidP="003637AE">
      <w:pPr>
        <w:tabs>
          <w:tab w:val="left" w:pos="1368"/>
        </w:tabs>
        <w:bidi/>
        <w:spacing w:line="276" w:lineRule="auto"/>
        <w:jc w:val="both"/>
        <w:rPr>
          <w:rFonts w:ascii="Traditional Arabic" w:hAnsi="Traditional Arabic" w:cs="Traditional Arabic"/>
          <w:b/>
          <w:bCs/>
          <w:rtl/>
        </w:rPr>
      </w:pPr>
    </w:p>
    <w:p w14:paraId="7569132E" w14:textId="5DCA19E5" w:rsidR="00C21372" w:rsidRPr="007952EF" w:rsidRDefault="00C21372" w:rsidP="003637AE">
      <w:pPr>
        <w:tabs>
          <w:tab w:val="left" w:pos="1368"/>
        </w:tabs>
        <w:bidi/>
        <w:spacing w:line="276" w:lineRule="auto"/>
        <w:jc w:val="both"/>
        <w:rPr>
          <w:rFonts w:ascii="Traditional Arabic" w:hAnsi="Traditional Arabic" w:cs="Traditional Arabic"/>
          <w:b/>
          <w:bCs/>
          <w:rtl/>
        </w:rPr>
      </w:pPr>
      <w:r w:rsidRPr="007952EF">
        <w:rPr>
          <w:rFonts w:ascii="Traditional Arabic" w:hAnsi="Traditional Arabic" w:cs="Traditional Arabic" w:hint="cs"/>
          <w:b/>
          <w:bCs/>
          <w:rtl/>
        </w:rPr>
        <w:lastRenderedPageBreak/>
        <w:t>قائمة</w:t>
      </w:r>
      <w:r w:rsidRPr="007952EF">
        <w:rPr>
          <w:rFonts w:ascii="Traditional Arabic" w:hAnsi="Traditional Arabic" w:cs="Traditional Arabic"/>
          <w:b/>
          <w:bCs/>
          <w:rtl/>
        </w:rPr>
        <w:t xml:space="preserve"> </w:t>
      </w:r>
      <w:r w:rsidRPr="007952EF">
        <w:rPr>
          <w:rFonts w:ascii="Traditional Arabic" w:hAnsi="Traditional Arabic" w:cs="Traditional Arabic" w:hint="cs"/>
          <w:b/>
          <w:bCs/>
          <w:rtl/>
        </w:rPr>
        <w:t>المراجع</w:t>
      </w:r>
    </w:p>
    <w:p w14:paraId="51E8C2DC" w14:textId="1B7AF889" w:rsidR="00C21372" w:rsidRPr="005F58B9" w:rsidRDefault="00C21372" w:rsidP="005F58B9">
      <w:pPr>
        <w:tabs>
          <w:tab w:val="left" w:pos="1368"/>
        </w:tabs>
        <w:bidi/>
        <w:spacing w:line="276" w:lineRule="auto"/>
        <w:jc w:val="both"/>
        <w:rPr>
          <w:rFonts w:ascii="Traditional Arabic" w:hAnsi="Traditional Arabic" w:cs="Traditional Arabic"/>
          <w:b/>
          <w:bCs/>
        </w:rPr>
      </w:pPr>
      <w:r w:rsidRPr="005F58B9">
        <w:rPr>
          <w:rFonts w:ascii="Traditional Arabic" w:hAnsi="Traditional Arabic" w:cs="Traditional Arabic" w:hint="cs"/>
          <w:b/>
          <w:bCs/>
          <w:rtl/>
        </w:rPr>
        <w:t>أولاً</w:t>
      </w:r>
      <w:r w:rsidRPr="005F58B9">
        <w:rPr>
          <w:rFonts w:ascii="Traditional Arabic" w:hAnsi="Traditional Arabic" w:cs="Traditional Arabic"/>
          <w:b/>
          <w:bCs/>
          <w:rtl/>
        </w:rPr>
        <w:t xml:space="preserve">: </w:t>
      </w:r>
      <w:r w:rsidRPr="005F58B9">
        <w:rPr>
          <w:rFonts w:ascii="Traditional Arabic" w:hAnsi="Traditional Arabic" w:cs="Traditional Arabic" w:hint="cs"/>
          <w:b/>
          <w:bCs/>
          <w:rtl/>
        </w:rPr>
        <w:t>المراجع</w:t>
      </w:r>
      <w:r w:rsidRPr="005F58B9">
        <w:rPr>
          <w:rFonts w:ascii="Traditional Arabic" w:hAnsi="Traditional Arabic" w:cs="Traditional Arabic"/>
          <w:b/>
          <w:bCs/>
          <w:rtl/>
        </w:rPr>
        <w:t xml:space="preserve"> </w:t>
      </w:r>
      <w:r w:rsidRPr="005F58B9">
        <w:rPr>
          <w:rFonts w:ascii="Traditional Arabic" w:hAnsi="Traditional Arabic" w:cs="Traditional Arabic" w:hint="cs"/>
          <w:b/>
          <w:bCs/>
          <w:rtl/>
        </w:rPr>
        <w:t>العربية</w:t>
      </w:r>
    </w:p>
    <w:p w14:paraId="30A93D27" w14:textId="0F88470A" w:rsidR="00C21372" w:rsidRPr="005F58B9" w:rsidRDefault="00C21372" w:rsidP="005F58B9">
      <w:pPr>
        <w:pStyle w:val="ListParagraph"/>
        <w:numPr>
          <w:ilvl w:val="0"/>
          <w:numId w:val="67"/>
        </w:numPr>
        <w:tabs>
          <w:tab w:val="left" w:pos="1368"/>
        </w:tabs>
        <w:bidi/>
        <w:spacing w:line="276" w:lineRule="auto"/>
        <w:rPr>
          <w:rFonts w:ascii="Traditional Arabic" w:hAnsi="Traditional Arabic" w:cs="Traditional Arabic"/>
        </w:rPr>
      </w:pPr>
      <w:r w:rsidRPr="005F58B9">
        <w:rPr>
          <w:rFonts w:ascii="Traditional Arabic" w:hAnsi="Traditional Arabic" w:cs="Traditional Arabic" w:hint="cs"/>
          <w:rtl/>
        </w:rPr>
        <w:t>الشمري،</w:t>
      </w:r>
      <w:r w:rsidRPr="005F58B9">
        <w:rPr>
          <w:rFonts w:ascii="Traditional Arabic" w:hAnsi="Traditional Arabic" w:cs="Traditional Arabic"/>
          <w:rtl/>
        </w:rPr>
        <w:t xml:space="preserve"> </w:t>
      </w:r>
      <w:r w:rsidRPr="005F58B9">
        <w:rPr>
          <w:rFonts w:ascii="Traditional Arabic" w:hAnsi="Traditional Arabic" w:cs="Traditional Arabic" w:hint="cs"/>
          <w:rtl/>
        </w:rPr>
        <w:t>محمد</w:t>
      </w:r>
      <w:r w:rsidRPr="005F58B9">
        <w:rPr>
          <w:rFonts w:ascii="Traditional Arabic" w:hAnsi="Traditional Arabic" w:cs="Traditional Arabic"/>
          <w:rtl/>
        </w:rPr>
        <w:t xml:space="preserve"> </w:t>
      </w:r>
      <w:r w:rsidRPr="005F58B9">
        <w:rPr>
          <w:rFonts w:ascii="Traditional Arabic" w:hAnsi="Traditional Arabic" w:cs="Traditional Arabic" w:hint="cs"/>
          <w:rtl/>
        </w:rPr>
        <w:t>بن</w:t>
      </w:r>
      <w:r w:rsidRPr="005F58B9">
        <w:rPr>
          <w:rFonts w:ascii="Traditional Arabic" w:hAnsi="Traditional Arabic" w:cs="Traditional Arabic"/>
          <w:rtl/>
        </w:rPr>
        <w:t xml:space="preserve"> </w:t>
      </w:r>
      <w:r w:rsidRPr="005F58B9">
        <w:rPr>
          <w:rFonts w:ascii="Traditional Arabic" w:hAnsi="Traditional Arabic" w:cs="Traditional Arabic" w:hint="cs"/>
          <w:rtl/>
        </w:rPr>
        <w:t>عبد</w:t>
      </w:r>
      <w:r w:rsidRPr="005F58B9">
        <w:rPr>
          <w:rFonts w:ascii="Traditional Arabic" w:hAnsi="Traditional Arabic" w:cs="Traditional Arabic"/>
          <w:rtl/>
        </w:rPr>
        <w:t xml:space="preserve"> </w:t>
      </w:r>
      <w:r w:rsidRPr="005F58B9">
        <w:rPr>
          <w:rFonts w:ascii="Traditional Arabic" w:hAnsi="Traditional Arabic" w:cs="Traditional Arabic" w:hint="cs"/>
          <w:rtl/>
        </w:rPr>
        <w:t>الله</w:t>
      </w:r>
      <w:r w:rsidRPr="005F58B9">
        <w:rPr>
          <w:rFonts w:ascii="Traditional Arabic" w:hAnsi="Traditional Arabic" w:cs="Traditional Arabic"/>
          <w:rtl/>
        </w:rPr>
        <w:t xml:space="preserve">. (2021). </w:t>
      </w:r>
      <w:r w:rsidRPr="005F58B9">
        <w:rPr>
          <w:rFonts w:ascii="Traditional Arabic" w:hAnsi="Traditional Arabic" w:cs="Traditional Arabic" w:hint="cs"/>
          <w:rtl/>
        </w:rPr>
        <w:t>التميز</w:t>
      </w:r>
      <w:r w:rsidRPr="005F58B9">
        <w:rPr>
          <w:rFonts w:ascii="Traditional Arabic" w:hAnsi="Traditional Arabic" w:cs="Traditional Arabic"/>
          <w:rtl/>
        </w:rPr>
        <w:t xml:space="preserve"> </w:t>
      </w:r>
      <w:r w:rsidRPr="005F58B9">
        <w:rPr>
          <w:rFonts w:ascii="Traditional Arabic" w:hAnsi="Traditional Arabic" w:cs="Traditional Arabic" w:hint="cs"/>
          <w:rtl/>
        </w:rPr>
        <w:t>المؤسسي</w:t>
      </w:r>
      <w:r w:rsidRPr="005F58B9">
        <w:rPr>
          <w:rFonts w:ascii="Traditional Arabic" w:hAnsi="Traditional Arabic" w:cs="Traditional Arabic"/>
          <w:rtl/>
        </w:rPr>
        <w:t xml:space="preserve"> </w:t>
      </w:r>
      <w:r w:rsidRPr="005F58B9">
        <w:rPr>
          <w:rFonts w:ascii="Traditional Arabic" w:hAnsi="Traditional Arabic" w:cs="Traditional Arabic" w:hint="cs"/>
          <w:rtl/>
        </w:rPr>
        <w:t>في</w:t>
      </w:r>
      <w:r w:rsidRPr="005F58B9">
        <w:rPr>
          <w:rFonts w:ascii="Traditional Arabic" w:hAnsi="Traditional Arabic" w:cs="Traditional Arabic"/>
          <w:rtl/>
        </w:rPr>
        <w:t xml:space="preserve"> </w:t>
      </w:r>
      <w:r w:rsidRPr="005F58B9">
        <w:rPr>
          <w:rFonts w:ascii="Traditional Arabic" w:hAnsi="Traditional Arabic" w:cs="Traditional Arabic" w:hint="cs"/>
          <w:rtl/>
        </w:rPr>
        <w:t>الأجهزة</w:t>
      </w:r>
      <w:r w:rsidRPr="005F58B9">
        <w:rPr>
          <w:rFonts w:ascii="Traditional Arabic" w:hAnsi="Traditional Arabic" w:cs="Traditional Arabic"/>
          <w:rtl/>
        </w:rPr>
        <w:t xml:space="preserve"> </w:t>
      </w:r>
      <w:r w:rsidRPr="005F58B9">
        <w:rPr>
          <w:rFonts w:ascii="Traditional Arabic" w:hAnsi="Traditional Arabic" w:cs="Traditional Arabic" w:hint="cs"/>
          <w:rtl/>
        </w:rPr>
        <w:t>الحكومية</w:t>
      </w:r>
      <w:r w:rsidRPr="005F58B9">
        <w:rPr>
          <w:rFonts w:ascii="Traditional Arabic" w:hAnsi="Traditional Arabic" w:cs="Traditional Arabic"/>
          <w:rtl/>
        </w:rPr>
        <w:t xml:space="preserve">. </w:t>
      </w:r>
      <w:r w:rsidRPr="005F58B9">
        <w:rPr>
          <w:rFonts w:ascii="Traditional Arabic" w:hAnsi="Traditional Arabic" w:cs="Traditional Arabic" w:hint="cs"/>
          <w:rtl/>
        </w:rPr>
        <w:t>مجلة</w:t>
      </w:r>
      <w:r w:rsidRPr="005F58B9">
        <w:rPr>
          <w:rFonts w:ascii="Traditional Arabic" w:hAnsi="Traditional Arabic" w:cs="Traditional Arabic"/>
          <w:rtl/>
        </w:rPr>
        <w:t xml:space="preserve"> </w:t>
      </w:r>
      <w:r w:rsidRPr="005F58B9">
        <w:rPr>
          <w:rFonts w:ascii="Traditional Arabic" w:hAnsi="Traditional Arabic" w:cs="Traditional Arabic" w:hint="cs"/>
          <w:rtl/>
        </w:rPr>
        <w:t>الإدارة</w:t>
      </w:r>
      <w:r w:rsidRPr="005F58B9">
        <w:rPr>
          <w:rFonts w:ascii="Traditional Arabic" w:hAnsi="Traditional Arabic" w:cs="Traditional Arabic"/>
          <w:rtl/>
        </w:rPr>
        <w:t xml:space="preserve"> </w:t>
      </w:r>
      <w:r w:rsidRPr="005F58B9">
        <w:rPr>
          <w:rFonts w:ascii="Traditional Arabic" w:hAnsi="Traditional Arabic" w:cs="Traditional Arabic" w:hint="cs"/>
          <w:rtl/>
        </w:rPr>
        <w:t>العامة،</w:t>
      </w:r>
      <w:r w:rsidRPr="005F58B9">
        <w:rPr>
          <w:rFonts w:ascii="Traditional Arabic" w:hAnsi="Traditional Arabic" w:cs="Traditional Arabic"/>
          <w:rtl/>
        </w:rPr>
        <w:t xml:space="preserve"> 61(2)</w:t>
      </w:r>
      <w:r w:rsidRPr="005F58B9">
        <w:rPr>
          <w:rFonts w:ascii="Traditional Arabic" w:hAnsi="Traditional Arabic" w:cs="Traditional Arabic" w:hint="cs"/>
          <w:rtl/>
        </w:rPr>
        <w:t>،</w:t>
      </w:r>
      <w:r w:rsidRPr="005F58B9">
        <w:rPr>
          <w:rFonts w:ascii="Traditional Arabic" w:hAnsi="Traditional Arabic" w:cs="Traditional Arabic"/>
          <w:rtl/>
        </w:rPr>
        <w:t xml:space="preserve"> 55–90</w:t>
      </w:r>
      <w:r w:rsidRPr="005F58B9">
        <w:rPr>
          <w:rFonts w:ascii="Traditional Arabic" w:hAnsi="Traditional Arabic" w:cs="Traditional Arabic"/>
        </w:rPr>
        <w:t>.</w:t>
      </w:r>
    </w:p>
    <w:p w14:paraId="61FF83F5" w14:textId="62045554" w:rsidR="00C21372" w:rsidRPr="005F58B9" w:rsidRDefault="00C21372" w:rsidP="005F58B9">
      <w:pPr>
        <w:pStyle w:val="ListParagraph"/>
        <w:numPr>
          <w:ilvl w:val="0"/>
          <w:numId w:val="67"/>
        </w:numPr>
        <w:tabs>
          <w:tab w:val="left" w:pos="1368"/>
        </w:tabs>
        <w:bidi/>
        <w:spacing w:line="276" w:lineRule="auto"/>
        <w:rPr>
          <w:rFonts w:ascii="Traditional Arabic" w:hAnsi="Traditional Arabic" w:cs="Traditional Arabic"/>
        </w:rPr>
      </w:pPr>
      <w:r w:rsidRPr="005F58B9">
        <w:rPr>
          <w:rFonts w:ascii="Traditional Arabic" w:hAnsi="Traditional Arabic" w:cs="Traditional Arabic" w:hint="cs"/>
          <w:rtl/>
        </w:rPr>
        <w:t>الهاجري،</w:t>
      </w:r>
      <w:r w:rsidRPr="005F58B9">
        <w:rPr>
          <w:rFonts w:ascii="Traditional Arabic" w:hAnsi="Traditional Arabic" w:cs="Traditional Arabic"/>
          <w:rtl/>
        </w:rPr>
        <w:t xml:space="preserve"> </w:t>
      </w:r>
      <w:r w:rsidRPr="005F58B9">
        <w:rPr>
          <w:rFonts w:ascii="Traditional Arabic" w:hAnsi="Traditional Arabic" w:cs="Traditional Arabic" w:hint="cs"/>
          <w:rtl/>
        </w:rPr>
        <w:t>عبد</w:t>
      </w:r>
      <w:r w:rsidRPr="005F58B9">
        <w:rPr>
          <w:rFonts w:ascii="Traditional Arabic" w:hAnsi="Traditional Arabic" w:cs="Traditional Arabic"/>
          <w:rtl/>
        </w:rPr>
        <w:t xml:space="preserve"> </w:t>
      </w:r>
      <w:r w:rsidRPr="005F58B9">
        <w:rPr>
          <w:rFonts w:ascii="Traditional Arabic" w:hAnsi="Traditional Arabic" w:cs="Traditional Arabic" w:hint="cs"/>
          <w:rtl/>
        </w:rPr>
        <w:t>الله</w:t>
      </w:r>
      <w:r w:rsidRPr="005F58B9">
        <w:rPr>
          <w:rFonts w:ascii="Traditional Arabic" w:hAnsi="Traditional Arabic" w:cs="Traditional Arabic"/>
          <w:rtl/>
        </w:rPr>
        <w:t xml:space="preserve"> </w:t>
      </w:r>
      <w:r w:rsidRPr="005F58B9">
        <w:rPr>
          <w:rFonts w:ascii="Traditional Arabic" w:hAnsi="Traditional Arabic" w:cs="Traditional Arabic" w:hint="cs"/>
          <w:rtl/>
        </w:rPr>
        <w:t>بن</w:t>
      </w:r>
      <w:r w:rsidRPr="005F58B9">
        <w:rPr>
          <w:rFonts w:ascii="Traditional Arabic" w:hAnsi="Traditional Arabic" w:cs="Traditional Arabic"/>
          <w:rtl/>
        </w:rPr>
        <w:t xml:space="preserve"> </w:t>
      </w:r>
      <w:r w:rsidRPr="005F58B9">
        <w:rPr>
          <w:rFonts w:ascii="Traditional Arabic" w:hAnsi="Traditional Arabic" w:cs="Traditional Arabic" w:hint="cs"/>
          <w:rtl/>
        </w:rPr>
        <w:t>محمد</w:t>
      </w:r>
      <w:r w:rsidRPr="005F58B9">
        <w:rPr>
          <w:rFonts w:ascii="Traditional Arabic" w:hAnsi="Traditional Arabic" w:cs="Traditional Arabic"/>
          <w:rtl/>
        </w:rPr>
        <w:t xml:space="preserve">. (2022). </w:t>
      </w:r>
      <w:r w:rsidRPr="005F58B9">
        <w:rPr>
          <w:rFonts w:ascii="Traditional Arabic" w:hAnsi="Traditional Arabic" w:cs="Traditional Arabic" w:hint="cs"/>
          <w:rtl/>
        </w:rPr>
        <w:t>إدارة</w:t>
      </w:r>
      <w:r w:rsidRPr="005F58B9">
        <w:rPr>
          <w:rFonts w:ascii="Traditional Arabic" w:hAnsi="Traditional Arabic" w:cs="Traditional Arabic"/>
          <w:rtl/>
        </w:rPr>
        <w:t xml:space="preserve"> </w:t>
      </w:r>
      <w:r w:rsidRPr="005F58B9">
        <w:rPr>
          <w:rFonts w:ascii="Traditional Arabic" w:hAnsi="Traditional Arabic" w:cs="Traditional Arabic" w:hint="cs"/>
          <w:rtl/>
        </w:rPr>
        <w:t>الابتكار</w:t>
      </w:r>
      <w:r w:rsidRPr="005F58B9">
        <w:rPr>
          <w:rFonts w:ascii="Traditional Arabic" w:hAnsi="Traditional Arabic" w:cs="Traditional Arabic"/>
          <w:rtl/>
        </w:rPr>
        <w:t xml:space="preserve"> </w:t>
      </w:r>
      <w:r w:rsidRPr="005F58B9">
        <w:rPr>
          <w:rFonts w:ascii="Traditional Arabic" w:hAnsi="Traditional Arabic" w:cs="Traditional Arabic" w:hint="cs"/>
          <w:rtl/>
        </w:rPr>
        <w:t>في</w:t>
      </w:r>
      <w:r w:rsidRPr="005F58B9">
        <w:rPr>
          <w:rFonts w:ascii="Traditional Arabic" w:hAnsi="Traditional Arabic" w:cs="Traditional Arabic"/>
          <w:rtl/>
        </w:rPr>
        <w:t xml:space="preserve"> </w:t>
      </w:r>
      <w:r w:rsidRPr="005F58B9">
        <w:rPr>
          <w:rFonts w:ascii="Traditional Arabic" w:hAnsi="Traditional Arabic" w:cs="Traditional Arabic" w:hint="cs"/>
          <w:rtl/>
        </w:rPr>
        <w:t>المؤسسات</w:t>
      </w:r>
      <w:r w:rsidRPr="005F58B9">
        <w:rPr>
          <w:rFonts w:ascii="Traditional Arabic" w:hAnsi="Traditional Arabic" w:cs="Traditional Arabic"/>
          <w:rtl/>
        </w:rPr>
        <w:t xml:space="preserve"> </w:t>
      </w:r>
      <w:r w:rsidRPr="005F58B9">
        <w:rPr>
          <w:rFonts w:ascii="Traditional Arabic" w:hAnsi="Traditional Arabic" w:cs="Traditional Arabic" w:hint="cs"/>
          <w:rtl/>
        </w:rPr>
        <w:t>الحكومية</w:t>
      </w:r>
      <w:r w:rsidRPr="005F58B9">
        <w:rPr>
          <w:rFonts w:ascii="Traditional Arabic" w:hAnsi="Traditional Arabic" w:cs="Traditional Arabic"/>
          <w:rtl/>
        </w:rPr>
        <w:t xml:space="preserve">. </w:t>
      </w:r>
      <w:r w:rsidRPr="005F58B9">
        <w:rPr>
          <w:rFonts w:ascii="Traditional Arabic" w:hAnsi="Traditional Arabic" w:cs="Traditional Arabic" w:hint="cs"/>
          <w:rtl/>
        </w:rPr>
        <w:t>المجلة</w:t>
      </w:r>
      <w:r w:rsidRPr="005F58B9">
        <w:rPr>
          <w:rFonts w:ascii="Traditional Arabic" w:hAnsi="Traditional Arabic" w:cs="Traditional Arabic"/>
          <w:rtl/>
        </w:rPr>
        <w:t xml:space="preserve"> </w:t>
      </w:r>
      <w:r w:rsidRPr="005F58B9">
        <w:rPr>
          <w:rFonts w:ascii="Traditional Arabic" w:hAnsi="Traditional Arabic" w:cs="Traditional Arabic" w:hint="cs"/>
          <w:rtl/>
        </w:rPr>
        <w:t>العربية</w:t>
      </w:r>
      <w:r w:rsidRPr="005F58B9">
        <w:rPr>
          <w:rFonts w:ascii="Traditional Arabic" w:hAnsi="Traditional Arabic" w:cs="Traditional Arabic"/>
          <w:rtl/>
        </w:rPr>
        <w:t xml:space="preserve"> </w:t>
      </w:r>
      <w:r w:rsidRPr="005F58B9">
        <w:rPr>
          <w:rFonts w:ascii="Traditional Arabic" w:hAnsi="Traditional Arabic" w:cs="Traditional Arabic" w:hint="cs"/>
          <w:rtl/>
        </w:rPr>
        <w:t>للإدارة</w:t>
      </w:r>
      <w:r w:rsidRPr="005F58B9">
        <w:rPr>
          <w:rFonts w:ascii="Traditional Arabic" w:hAnsi="Traditional Arabic" w:cs="Traditional Arabic"/>
        </w:rPr>
        <w:t>.</w:t>
      </w:r>
    </w:p>
    <w:p w14:paraId="2ABAF171" w14:textId="5CAD2911" w:rsidR="00C21372" w:rsidRPr="005F58B9" w:rsidRDefault="00C21372" w:rsidP="005F58B9">
      <w:pPr>
        <w:pStyle w:val="ListParagraph"/>
        <w:numPr>
          <w:ilvl w:val="0"/>
          <w:numId w:val="67"/>
        </w:numPr>
        <w:tabs>
          <w:tab w:val="left" w:pos="1368"/>
        </w:tabs>
        <w:bidi/>
        <w:spacing w:line="276" w:lineRule="auto"/>
        <w:rPr>
          <w:rFonts w:ascii="Traditional Arabic" w:hAnsi="Traditional Arabic" w:cs="Traditional Arabic"/>
        </w:rPr>
      </w:pPr>
      <w:r w:rsidRPr="005F58B9">
        <w:rPr>
          <w:rFonts w:ascii="Traditional Arabic" w:hAnsi="Traditional Arabic" w:cs="Traditional Arabic" w:hint="cs"/>
          <w:rtl/>
        </w:rPr>
        <w:t>الحمادي،</w:t>
      </w:r>
      <w:r w:rsidRPr="005F58B9">
        <w:rPr>
          <w:rFonts w:ascii="Traditional Arabic" w:hAnsi="Traditional Arabic" w:cs="Traditional Arabic"/>
          <w:rtl/>
        </w:rPr>
        <w:t xml:space="preserve"> </w:t>
      </w:r>
      <w:r w:rsidRPr="005F58B9">
        <w:rPr>
          <w:rFonts w:ascii="Traditional Arabic" w:hAnsi="Traditional Arabic" w:cs="Traditional Arabic" w:hint="cs"/>
          <w:rtl/>
        </w:rPr>
        <w:t>عبد</w:t>
      </w:r>
      <w:r w:rsidRPr="005F58B9">
        <w:rPr>
          <w:rFonts w:ascii="Traditional Arabic" w:hAnsi="Traditional Arabic" w:cs="Traditional Arabic"/>
          <w:rtl/>
        </w:rPr>
        <w:t xml:space="preserve"> </w:t>
      </w:r>
      <w:r w:rsidRPr="005F58B9">
        <w:rPr>
          <w:rFonts w:ascii="Traditional Arabic" w:hAnsi="Traditional Arabic" w:cs="Traditional Arabic" w:hint="cs"/>
          <w:rtl/>
        </w:rPr>
        <w:t>الله</w:t>
      </w:r>
      <w:r w:rsidRPr="005F58B9">
        <w:rPr>
          <w:rFonts w:ascii="Traditional Arabic" w:hAnsi="Traditional Arabic" w:cs="Traditional Arabic"/>
          <w:rtl/>
        </w:rPr>
        <w:t xml:space="preserve"> </w:t>
      </w:r>
      <w:r w:rsidRPr="005F58B9">
        <w:rPr>
          <w:rFonts w:ascii="Traditional Arabic" w:hAnsi="Traditional Arabic" w:cs="Traditional Arabic" w:hint="cs"/>
          <w:rtl/>
        </w:rPr>
        <w:t>بن</w:t>
      </w:r>
      <w:r w:rsidRPr="005F58B9">
        <w:rPr>
          <w:rFonts w:ascii="Traditional Arabic" w:hAnsi="Traditional Arabic" w:cs="Traditional Arabic"/>
          <w:rtl/>
        </w:rPr>
        <w:t xml:space="preserve"> </w:t>
      </w:r>
      <w:r w:rsidRPr="005F58B9">
        <w:rPr>
          <w:rFonts w:ascii="Traditional Arabic" w:hAnsi="Traditional Arabic" w:cs="Traditional Arabic" w:hint="cs"/>
          <w:rtl/>
        </w:rPr>
        <w:t>محمد</w:t>
      </w:r>
      <w:r w:rsidRPr="005F58B9">
        <w:rPr>
          <w:rFonts w:ascii="Traditional Arabic" w:hAnsi="Traditional Arabic" w:cs="Traditional Arabic"/>
          <w:rtl/>
        </w:rPr>
        <w:t xml:space="preserve">. (2021). </w:t>
      </w:r>
      <w:r w:rsidRPr="005F58B9">
        <w:rPr>
          <w:rFonts w:ascii="Traditional Arabic" w:hAnsi="Traditional Arabic" w:cs="Traditional Arabic" w:hint="cs"/>
          <w:rtl/>
        </w:rPr>
        <w:t>إدارة</w:t>
      </w:r>
      <w:r w:rsidRPr="005F58B9">
        <w:rPr>
          <w:rFonts w:ascii="Traditional Arabic" w:hAnsi="Traditional Arabic" w:cs="Traditional Arabic"/>
          <w:rtl/>
        </w:rPr>
        <w:t xml:space="preserve"> </w:t>
      </w:r>
      <w:r w:rsidRPr="005F58B9">
        <w:rPr>
          <w:rFonts w:ascii="Traditional Arabic" w:hAnsi="Traditional Arabic" w:cs="Traditional Arabic" w:hint="cs"/>
          <w:rtl/>
        </w:rPr>
        <w:t>الاستدامة</w:t>
      </w:r>
      <w:r w:rsidRPr="005F58B9">
        <w:rPr>
          <w:rFonts w:ascii="Traditional Arabic" w:hAnsi="Traditional Arabic" w:cs="Traditional Arabic"/>
          <w:rtl/>
        </w:rPr>
        <w:t xml:space="preserve"> </w:t>
      </w:r>
      <w:r w:rsidRPr="005F58B9">
        <w:rPr>
          <w:rFonts w:ascii="Traditional Arabic" w:hAnsi="Traditional Arabic" w:cs="Traditional Arabic" w:hint="cs"/>
          <w:rtl/>
        </w:rPr>
        <w:t>المؤسسية</w:t>
      </w:r>
      <w:r w:rsidRPr="005F58B9">
        <w:rPr>
          <w:rFonts w:ascii="Traditional Arabic" w:hAnsi="Traditional Arabic" w:cs="Traditional Arabic"/>
          <w:rtl/>
        </w:rPr>
        <w:t xml:space="preserve"> </w:t>
      </w:r>
      <w:r w:rsidRPr="005F58B9">
        <w:rPr>
          <w:rFonts w:ascii="Traditional Arabic" w:hAnsi="Traditional Arabic" w:cs="Traditional Arabic" w:hint="cs"/>
          <w:rtl/>
        </w:rPr>
        <w:t>ودورها</w:t>
      </w:r>
      <w:r w:rsidRPr="005F58B9">
        <w:rPr>
          <w:rFonts w:ascii="Traditional Arabic" w:hAnsi="Traditional Arabic" w:cs="Traditional Arabic"/>
          <w:rtl/>
        </w:rPr>
        <w:t xml:space="preserve"> </w:t>
      </w:r>
      <w:r w:rsidRPr="005F58B9">
        <w:rPr>
          <w:rFonts w:ascii="Traditional Arabic" w:hAnsi="Traditional Arabic" w:cs="Traditional Arabic" w:hint="cs"/>
          <w:rtl/>
        </w:rPr>
        <w:t>في</w:t>
      </w:r>
      <w:r w:rsidRPr="005F58B9">
        <w:rPr>
          <w:rFonts w:ascii="Traditional Arabic" w:hAnsi="Traditional Arabic" w:cs="Traditional Arabic"/>
          <w:rtl/>
        </w:rPr>
        <w:t xml:space="preserve"> </w:t>
      </w:r>
      <w:r w:rsidRPr="005F58B9">
        <w:rPr>
          <w:rFonts w:ascii="Traditional Arabic" w:hAnsi="Traditional Arabic" w:cs="Traditional Arabic" w:hint="cs"/>
          <w:rtl/>
        </w:rPr>
        <w:t>تحقيق</w:t>
      </w:r>
      <w:r w:rsidRPr="005F58B9">
        <w:rPr>
          <w:rFonts w:ascii="Traditional Arabic" w:hAnsi="Traditional Arabic" w:cs="Traditional Arabic"/>
          <w:rtl/>
        </w:rPr>
        <w:t xml:space="preserve"> </w:t>
      </w:r>
      <w:r w:rsidRPr="005F58B9">
        <w:rPr>
          <w:rFonts w:ascii="Traditional Arabic" w:hAnsi="Traditional Arabic" w:cs="Traditional Arabic" w:hint="cs"/>
          <w:rtl/>
        </w:rPr>
        <w:t>التنمية</w:t>
      </w:r>
      <w:r w:rsidRPr="005F58B9">
        <w:rPr>
          <w:rFonts w:ascii="Traditional Arabic" w:hAnsi="Traditional Arabic" w:cs="Traditional Arabic"/>
          <w:rtl/>
        </w:rPr>
        <w:t xml:space="preserve"> </w:t>
      </w:r>
      <w:r w:rsidRPr="005F58B9">
        <w:rPr>
          <w:rFonts w:ascii="Traditional Arabic" w:hAnsi="Traditional Arabic" w:cs="Traditional Arabic" w:hint="cs"/>
          <w:rtl/>
        </w:rPr>
        <w:t>المستدامة</w:t>
      </w:r>
      <w:r w:rsidRPr="005F58B9">
        <w:rPr>
          <w:rFonts w:ascii="Traditional Arabic" w:hAnsi="Traditional Arabic" w:cs="Traditional Arabic"/>
          <w:rtl/>
        </w:rPr>
        <w:t xml:space="preserve">. </w:t>
      </w:r>
      <w:r w:rsidRPr="005F58B9">
        <w:rPr>
          <w:rFonts w:ascii="Traditional Arabic" w:hAnsi="Traditional Arabic" w:cs="Traditional Arabic" w:hint="cs"/>
          <w:rtl/>
        </w:rPr>
        <w:t>مجلة</w:t>
      </w:r>
      <w:r w:rsidRPr="005F58B9">
        <w:rPr>
          <w:rFonts w:ascii="Traditional Arabic" w:hAnsi="Traditional Arabic" w:cs="Traditional Arabic"/>
          <w:rtl/>
        </w:rPr>
        <w:t xml:space="preserve"> </w:t>
      </w:r>
      <w:r w:rsidRPr="005F58B9">
        <w:rPr>
          <w:rFonts w:ascii="Traditional Arabic" w:hAnsi="Traditional Arabic" w:cs="Traditional Arabic" w:hint="cs"/>
          <w:rtl/>
        </w:rPr>
        <w:t>العلوم</w:t>
      </w:r>
      <w:r w:rsidRPr="005F58B9">
        <w:rPr>
          <w:rFonts w:ascii="Traditional Arabic" w:hAnsi="Traditional Arabic" w:cs="Traditional Arabic"/>
          <w:rtl/>
        </w:rPr>
        <w:t xml:space="preserve"> </w:t>
      </w:r>
      <w:r w:rsidRPr="005F58B9">
        <w:rPr>
          <w:rFonts w:ascii="Traditional Arabic" w:hAnsi="Traditional Arabic" w:cs="Traditional Arabic" w:hint="cs"/>
          <w:rtl/>
        </w:rPr>
        <w:t>الإدارية،</w:t>
      </w:r>
      <w:r w:rsidRPr="005F58B9">
        <w:rPr>
          <w:rFonts w:ascii="Traditional Arabic" w:hAnsi="Traditional Arabic" w:cs="Traditional Arabic"/>
          <w:rtl/>
        </w:rPr>
        <w:t xml:space="preserve"> 13(2)</w:t>
      </w:r>
      <w:r w:rsidRPr="005F58B9">
        <w:rPr>
          <w:rFonts w:ascii="Traditional Arabic" w:hAnsi="Traditional Arabic" w:cs="Traditional Arabic" w:hint="cs"/>
          <w:rtl/>
        </w:rPr>
        <w:t>،</w:t>
      </w:r>
      <w:r w:rsidRPr="005F58B9">
        <w:rPr>
          <w:rFonts w:ascii="Traditional Arabic" w:hAnsi="Traditional Arabic" w:cs="Traditional Arabic"/>
          <w:rtl/>
        </w:rPr>
        <w:t xml:space="preserve"> 45–68</w:t>
      </w:r>
      <w:r w:rsidRPr="005F58B9">
        <w:rPr>
          <w:rFonts w:ascii="Traditional Arabic" w:hAnsi="Traditional Arabic" w:cs="Traditional Arabic"/>
        </w:rPr>
        <w:t>.</w:t>
      </w:r>
    </w:p>
    <w:p w14:paraId="40004207" w14:textId="300879CA" w:rsidR="00C21372" w:rsidRPr="005F58B9" w:rsidRDefault="00C21372" w:rsidP="005F58B9">
      <w:pPr>
        <w:pStyle w:val="ListParagraph"/>
        <w:numPr>
          <w:ilvl w:val="0"/>
          <w:numId w:val="67"/>
        </w:numPr>
        <w:tabs>
          <w:tab w:val="left" w:pos="1368"/>
        </w:tabs>
        <w:bidi/>
        <w:spacing w:line="276" w:lineRule="auto"/>
        <w:rPr>
          <w:rFonts w:ascii="Traditional Arabic" w:hAnsi="Traditional Arabic" w:cs="Traditional Arabic"/>
        </w:rPr>
      </w:pPr>
      <w:r w:rsidRPr="005F58B9">
        <w:rPr>
          <w:rFonts w:ascii="Traditional Arabic" w:hAnsi="Traditional Arabic" w:cs="Traditional Arabic" w:hint="cs"/>
          <w:rtl/>
        </w:rPr>
        <w:t>العتيبي،</w:t>
      </w:r>
      <w:r w:rsidRPr="005F58B9">
        <w:rPr>
          <w:rFonts w:ascii="Traditional Arabic" w:hAnsi="Traditional Arabic" w:cs="Traditional Arabic"/>
          <w:rtl/>
        </w:rPr>
        <w:t xml:space="preserve"> </w:t>
      </w:r>
      <w:r w:rsidRPr="005F58B9">
        <w:rPr>
          <w:rFonts w:ascii="Traditional Arabic" w:hAnsi="Traditional Arabic" w:cs="Traditional Arabic" w:hint="cs"/>
          <w:rtl/>
        </w:rPr>
        <w:t>محمد</w:t>
      </w:r>
      <w:r w:rsidRPr="005F58B9">
        <w:rPr>
          <w:rFonts w:ascii="Traditional Arabic" w:hAnsi="Traditional Arabic" w:cs="Traditional Arabic"/>
          <w:rtl/>
        </w:rPr>
        <w:t xml:space="preserve"> </w:t>
      </w:r>
      <w:r w:rsidRPr="005F58B9">
        <w:rPr>
          <w:rFonts w:ascii="Traditional Arabic" w:hAnsi="Traditional Arabic" w:cs="Traditional Arabic" w:hint="cs"/>
          <w:rtl/>
        </w:rPr>
        <w:t>بن</w:t>
      </w:r>
      <w:r w:rsidRPr="005F58B9">
        <w:rPr>
          <w:rFonts w:ascii="Traditional Arabic" w:hAnsi="Traditional Arabic" w:cs="Traditional Arabic"/>
          <w:rtl/>
        </w:rPr>
        <w:t xml:space="preserve"> </w:t>
      </w:r>
      <w:r w:rsidRPr="005F58B9">
        <w:rPr>
          <w:rFonts w:ascii="Traditional Arabic" w:hAnsi="Traditional Arabic" w:cs="Traditional Arabic" w:hint="cs"/>
          <w:rtl/>
        </w:rPr>
        <w:t>سعد</w:t>
      </w:r>
      <w:r w:rsidRPr="005F58B9">
        <w:rPr>
          <w:rFonts w:ascii="Traditional Arabic" w:hAnsi="Traditional Arabic" w:cs="Traditional Arabic"/>
          <w:rtl/>
        </w:rPr>
        <w:t xml:space="preserve">. (2022). </w:t>
      </w:r>
      <w:r w:rsidRPr="005F58B9">
        <w:rPr>
          <w:rFonts w:ascii="Traditional Arabic" w:hAnsi="Traditional Arabic" w:cs="Traditional Arabic" w:hint="cs"/>
          <w:rtl/>
        </w:rPr>
        <w:t>الاستدامة</w:t>
      </w:r>
      <w:r w:rsidRPr="005F58B9">
        <w:rPr>
          <w:rFonts w:ascii="Traditional Arabic" w:hAnsi="Traditional Arabic" w:cs="Traditional Arabic"/>
          <w:rtl/>
        </w:rPr>
        <w:t xml:space="preserve"> </w:t>
      </w:r>
      <w:r w:rsidRPr="005F58B9">
        <w:rPr>
          <w:rFonts w:ascii="Traditional Arabic" w:hAnsi="Traditional Arabic" w:cs="Traditional Arabic" w:hint="cs"/>
          <w:rtl/>
        </w:rPr>
        <w:t>المؤسسية</w:t>
      </w:r>
      <w:r w:rsidRPr="005F58B9">
        <w:rPr>
          <w:rFonts w:ascii="Traditional Arabic" w:hAnsi="Traditional Arabic" w:cs="Traditional Arabic"/>
          <w:rtl/>
        </w:rPr>
        <w:t xml:space="preserve"> </w:t>
      </w:r>
      <w:r w:rsidRPr="005F58B9">
        <w:rPr>
          <w:rFonts w:ascii="Traditional Arabic" w:hAnsi="Traditional Arabic" w:cs="Traditional Arabic" w:hint="cs"/>
          <w:rtl/>
        </w:rPr>
        <w:t>كمدخل</w:t>
      </w:r>
      <w:r w:rsidRPr="005F58B9">
        <w:rPr>
          <w:rFonts w:ascii="Traditional Arabic" w:hAnsi="Traditional Arabic" w:cs="Traditional Arabic"/>
          <w:rtl/>
        </w:rPr>
        <w:t xml:space="preserve"> </w:t>
      </w:r>
      <w:r w:rsidRPr="005F58B9">
        <w:rPr>
          <w:rFonts w:ascii="Traditional Arabic" w:hAnsi="Traditional Arabic" w:cs="Traditional Arabic" w:hint="cs"/>
          <w:rtl/>
        </w:rPr>
        <w:t>لتحسين</w:t>
      </w:r>
      <w:r w:rsidRPr="005F58B9">
        <w:rPr>
          <w:rFonts w:ascii="Traditional Arabic" w:hAnsi="Traditional Arabic" w:cs="Traditional Arabic"/>
          <w:rtl/>
        </w:rPr>
        <w:t xml:space="preserve"> </w:t>
      </w:r>
      <w:r w:rsidRPr="005F58B9">
        <w:rPr>
          <w:rFonts w:ascii="Traditional Arabic" w:hAnsi="Traditional Arabic" w:cs="Traditional Arabic" w:hint="cs"/>
          <w:rtl/>
        </w:rPr>
        <w:t>الأداء</w:t>
      </w:r>
      <w:r w:rsidRPr="005F58B9">
        <w:rPr>
          <w:rFonts w:ascii="Traditional Arabic" w:hAnsi="Traditional Arabic" w:cs="Traditional Arabic"/>
          <w:rtl/>
        </w:rPr>
        <w:t xml:space="preserve"> </w:t>
      </w:r>
      <w:r w:rsidRPr="005F58B9">
        <w:rPr>
          <w:rFonts w:ascii="Traditional Arabic" w:hAnsi="Traditional Arabic" w:cs="Traditional Arabic" w:hint="cs"/>
          <w:rtl/>
        </w:rPr>
        <w:t>التنظيمي</w:t>
      </w:r>
      <w:r w:rsidRPr="005F58B9">
        <w:rPr>
          <w:rFonts w:ascii="Traditional Arabic" w:hAnsi="Traditional Arabic" w:cs="Traditional Arabic"/>
          <w:rtl/>
        </w:rPr>
        <w:t xml:space="preserve"> </w:t>
      </w:r>
      <w:r w:rsidRPr="005F58B9">
        <w:rPr>
          <w:rFonts w:ascii="Traditional Arabic" w:hAnsi="Traditional Arabic" w:cs="Traditional Arabic" w:hint="cs"/>
          <w:rtl/>
        </w:rPr>
        <w:t>في</w:t>
      </w:r>
      <w:r w:rsidRPr="005F58B9">
        <w:rPr>
          <w:rFonts w:ascii="Traditional Arabic" w:hAnsi="Traditional Arabic" w:cs="Traditional Arabic"/>
          <w:rtl/>
        </w:rPr>
        <w:t xml:space="preserve"> </w:t>
      </w:r>
      <w:r w:rsidRPr="005F58B9">
        <w:rPr>
          <w:rFonts w:ascii="Traditional Arabic" w:hAnsi="Traditional Arabic" w:cs="Traditional Arabic" w:hint="cs"/>
          <w:rtl/>
        </w:rPr>
        <w:t>المؤسسات</w:t>
      </w:r>
      <w:r w:rsidRPr="005F58B9">
        <w:rPr>
          <w:rFonts w:ascii="Traditional Arabic" w:hAnsi="Traditional Arabic" w:cs="Traditional Arabic"/>
          <w:rtl/>
        </w:rPr>
        <w:t xml:space="preserve"> </w:t>
      </w:r>
      <w:r w:rsidRPr="005F58B9">
        <w:rPr>
          <w:rFonts w:ascii="Traditional Arabic" w:hAnsi="Traditional Arabic" w:cs="Traditional Arabic" w:hint="cs"/>
          <w:rtl/>
        </w:rPr>
        <w:t>الحكومية</w:t>
      </w:r>
      <w:r w:rsidRPr="005F58B9">
        <w:rPr>
          <w:rFonts w:ascii="Traditional Arabic" w:hAnsi="Traditional Arabic" w:cs="Traditional Arabic"/>
          <w:rtl/>
        </w:rPr>
        <w:t xml:space="preserve">. </w:t>
      </w:r>
      <w:r w:rsidRPr="005F58B9">
        <w:rPr>
          <w:rFonts w:ascii="Traditional Arabic" w:hAnsi="Traditional Arabic" w:cs="Traditional Arabic" w:hint="cs"/>
          <w:rtl/>
        </w:rPr>
        <w:t>المجلة</w:t>
      </w:r>
      <w:r w:rsidRPr="005F58B9">
        <w:rPr>
          <w:rFonts w:ascii="Traditional Arabic" w:hAnsi="Traditional Arabic" w:cs="Traditional Arabic"/>
          <w:rtl/>
        </w:rPr>
        <w:t xml:space="preserve"> </w:t>
      </w:r>
      <w:r w:rsidRPr="005F58B9">
        <w:rPr>
          <w:rFonts w:ascii="Traditional Arabic" w:hAnsi="Traditional Arabic" w:cs="Traditional Arabic" w:hint="cs"/>
          <w:rtl/>
        </w:rPr>
        <w:t>العربية</w:t>
      </w:r>
      <w:r w:rsidRPr="005F58B9">
        <w:rPr>
          <w:rFonts w:ascii="Traditional Arabic" w:hAnsi="Traditional Arabic" w:cs="Traditional Arabic"/>
          <w:rtl/>
        </w:rPr>
        <w:t xml:space="preserve"> </w:t>
      </w:r>
      <w:r w:rsidRPr="005F58B9">
        <w:rPr>
          <w:rFonts w:ascii="Traditional Arabic" w:hAnsi="Traditional Arabic" w:cs="Traditional Arabic" w:hint="cs"/>
          <w:rtl/>
        </w:rPr>
        <w:t>للإدارة،</w:t>
      </w:r>
      <w:r w:rsidRPr="005F58B9">
        <w:rPr>
          <w:rFonts w:ascii="Traditional Arabic" w:hAnsi="Traditional Arabic" w:cs="Traditional Arabic"/>
          <w:rtl/>
        </w:rPr>
        <w:t xml:space="preserve"> 42(1)</w:t>
      </w:r>
      <w:r w:rsidRPr="005F58B9">
        <w:rPr>
          <w:rFonts w:ascii="Traditional Arabic" w:hAnsi="Traditional Arabic" w:cs="Traditional Arabic" w:hint="cs"/>
          <w:rtl/>
        </w:rPr>
        <w:t>،</w:t>
      </w:r>
      <w:r w:rsidRPr="005F58B9">
        <w:rPr>
          <w:rFonts w:ascii="Traditional Arabic" w:hAnsi="Traditional Arabic" w:cs="Traditional Arabic"/>
          <w:rtl/>
        </w:rPr>
        <w:t xml:space="preserve"> 89–110</w:t>
      </w:r>
      <w:r w:rsidRPr="005F58B9">
        <w:rPr>
          <w:rFonts w:ascii="Traditional Arabic" w:hAnsi="Traditional Arabic" w:cs="Traditional Arabic"/>
        </w:rPr>
        <w:t>.</w:t>
      </w:r>
    </w:p>
    <w:p w14:paraId="0BA569B0" w14:textId="64F1D6B7" w:rsidR="00C21372" w:rsidRPr="005F58B9" w:rsidRDefault="00C21372" w:rsidP="005F58B9">
      <w:pPr>
        <w:pStyle w:val="ListParagraph"/>
        <w:numPr>
          <w:ilvl w:val="0"/>
          <w:numId w:val="67"/>
        </w:numPr>
        <w:tabs>
          <w:tab w:val="left" w:pos="1368"/>
        </w:tabs>
        <w:bidi/>
        <w:spacing w:line="276" w:lineRule="auto"/>
        <w:jc w:val="both"/>
        <w:rPr>
          <w:rFonts w:ascii="Traditional Arabic" w:hAnsi="Traditional Arabic" w:cs="Traditional Arabic"/>
        </w:rPr>
      </w:pPr>
      <w:r w:rsidRPr="005F58B9">
        <w:rPr>
          <w:rFonts w:ascii="Traditional Arabic" w:hAnsi="Traditional Arabic" w:cs="Traditional Arabic" w:hint="cs"/>
          <w:rtl/>
        </w:rPr>
        <w:t>وزارة</w:t>
      </w:r>
      <w:r w:rsidRPr="005F58B9">
        <w:rPr>
          <w:rFonts w:ascii="Traditional Arabic" w:hAnsi="Traditional Arabic" w:cs="Traditional Arabic"/>
          <w:rtl/>
        </w:rPr>
        <w:t xml:space="preserve"> </w:t>
      </w:r>
      <w:r w:rsidRPr="005F58B9">
        <w:rPr>
          <w:rFonts w:ascii="Traditional Arabic" w:hAnsi="Traditional Arabic" w:cs="Traditional Arabic" w:hint="cs"/>
          <w:rtl/>
        </w:rPr>
        <w:t>الموارد</w:t>
      </w:r>
      <w:r w:rsidRPr="005F58B9">
        <w:rPr>
          <w:rFonts w:ascii="Traditional Arabic" w:hAnsi="Traditional Arabic" w:cs="Traditional Arabic"/>
          <w:rtl/>
        </w:rPr>
        <w:t xml:space="preserve"> </w:t>
      </w:r>
      <w:r w:rsidRPr="005F58B9">
        <w:rPr>
          <w:rFonts w:ascii="Traditional Arabic" w:hAnsi="Traditional Arabic" w:cs="Traditional Arabic" w:hint="cs"/>
          <w:rtl/>
        </w:rPr>
        <w:t>البشرية</w:t>
      </w:r>
      <w:r w:rsidRPr="005F58B9">
        <w:rPr>
          <w:rFonts w:ascii="Traditional Arabic" w:hAnsi="Traditional Arabic" w:cs="Traditional Arabic"/>
          <w:rtl/>
        </w:rPr>
        <w:t xml:space="preserve"> </w:t>
      </w:r>
      <w:r w:rsidRPr="005F58B9">
        <w:rPr>
          <w:rFonts w:ascii="Traditional Arabic" w:hAnsi="Traditional Arabic" w:cs="Traditional Arabic" w:hint="cs"/>
          <w:rtl/>
        </w:rPr>
        <w:t>والتنمية</w:t>
      </w:r>
      <w:r w:rsidRPr="005F58B9">
        <w:rPr>
          <w:rFonts w:ascii="Traditional Arabic" w:hAnsi="Traditional Arabic" w:cs="Traditional Arabic"/>
          <w:rtl/>
        </w:rPr>
        <w:t xml:space="preserve"> </w:t>
      </w:r>
      <w:r w:rsidRPr="005F58B9">
        <w:rPr>
          <w:rFonts w:ascii="Traditional Arabic" w:hAnsi="Traditional Arabic" w:cs="Traditional Arabic" w:hint="cs"/>
          <w:rtl/>
        </w:rPr>
        <w:t>الاجتماعية</w:t>
      </w:r>
      <w:r w:rsidRPr="005F58B9">
        <w:rPr>
          <w:rFonts w:ascii="Traditional Arabic" w:hAnsi="Traditional Arabic" w:cs="Traditional Arabic"/>
          <w:rtl/>
        </w:rPr>
        <w:t xml:space="preserve">. (2023). </w:t>
      </w:r>
      <w:r w:rsidRPr="005F58B9">
        <w:rPr>
          <w:rFonts w:ascii="Traditional Arabic" w:hAnsi="Traditional Arabic" w:cs="Traditional Arabic" w:hint="cs"/>
          <w:rtl/>
        </w:rPr>
        <w:t>دليل</w:t>
      </w:r>
      <w:r w:rsidRPr="005F58B9">
        <w:rPr>
          <w:rFonts w:ascii="Traditional Arabic" w:hAnsi="Traditional Arabic" w:cs="Traditional Arabic"/>
          <w:rtl/>
        </w:rPr>
        <w:t xml:space="preserve"> </w:t>
      </w:r>
      <w:r w:rsidRPr="005F58B9">
        <w:rPr>
          <w:rFonts w:ascii="Traditional Arabic" w:hAnsi="Traditional Arabic" w:cs="Traditional Arabic" w:hint="cs"/>
          <w:rtl/>
        </w:rPr>
        <w:t>التميز</w:t>
      </w:r>
      <w:r w:rsidRPr="005F58B9">
        <w:rPr>
          <w:rFonts w:ascii="Traditional Arabic" w:hAnsi="Traditional Arabic" w:cs="Traditional Arabic"/>
          <w:rtl/>
        </w:rPr>
        <w:t xml:space="preserve"> </w:t>
      </w:r>
      <w:r w:rsidRPr="005F58B9">
        <w:rPr>
          <w:rFonts w:ascii="Traditional Arabic" w:hAnsi="Traditional Arabic" w:cs="Traditional Arabic" w:hint="cs"/>
          <w:rtl/>
        </w:rPr>
        <w:t>المؤسسي</w:t>
      </w:r>
      <w:r w:rsidRPr="005F58B9">
        <w:rPr>
          <w:rFonts w:ascii="Traditional Arabic" w:hAnsi="Traditional Arabic" w:cs="Traditional Arabic"/>
          <w:rtl/>
        </w:rPr>
        <w:t xml:space="preserve"> </w:t>
      </w:r>
      <w:r w:rsidRPr="005F58B9">
        <w:rPr>
          <w:rFonts w:ascii="Traditional Arabic" w:hAnsi="Traditional Arabic" w:cs="Traditional Arabic" w:hint="cs"/>
          <w:rtl/>
        </w:rPr>
        <w:t>في</w:t>
      </w:r>
      <w:r w:rsidRPr="005F58B9">
        <w:rPr>
          <w:rFonts w:ascii="Traditional Arabic" w:hAnsi="Traditional Arabic" w:cs="Traditional Arabic"/>
          <w:rtl/>
        </w:rPr>
        <w:t xml:space="preserve"> </w:t>
      </w:r>
      <w:r w:rsidRPr="005F58B9">
        <w:rPr>
          <w:rFonts w:ascii="Traditional Arabic" w:hAnsi="Traditional Arabic" w:cs="Traditional Arabic" w:hint="cs"/>
          <w:rtl/>
        </w:rPr>
        <w:t>القطاع</w:t>
      </w:r>
      <w:r w:rsidRPr="005F58B9">
        <w:rPr>
          <w:rFonts w:ascii="Traditional Arabic" w:hAnsi="Traditional Arabic" w:cs="Traditional Arabic"/>
          <w:rtl/>
        </w:rPr>
        <w:t xml:space="preserve"> </w:t>
      </w:r>
      <w:r w:rsidRPr="005F58B9">
        <w:rPr>
          <w:rFonts w:ascii="Traditional Arabic" w:hAnsi="Traditional Arabic" w:cs="Traditional Arabic" w:hint="cs"/>
          <w:rtl/>
        </w:rPr>
        <w:t>الحكومي</w:t>
      </w:r>
      <w:r w:rsidRPr="005F58B9">
        <w:rPr>
          <w:rFonts w:ascii="Traditional Arabic" w:hAnsi="Traditional Arabic" w:cs="Traditional Arabic"/>
          <w:rtl/>
        </w:rPr>
        <w:t xml:space="preserve">. </w:t>
      </w:r>
      <w:r w:rsidRPr="005F58B9">
        <w:rPr>
          <w:rFonts w:ascii="Traditional Arabic" w:hAnsi="Traditional Arabic" w:cs="Traditional Arabic" w:hint="cs"/>
          <w:rtl/>
        </w:rPr>
        <w:t>الرياض</w:t>
      </w:r>
      <w:r w:rsidRPr="005F58B9">
        <w:rPr>
          <w:rFonts w:ascii="Traditional Arabic" w:hAnsi="Traditional Arabic" w:cs="Traditional Arabic"/>
          <w:rtl/>
        </w:rPr>
        <w:t xml:space="preserve">: </w:t>
      </w:r>
      <w:r w:rsidRPr="005F58B9">
        <w:rPr>
          <w:rFonts w:ascii="Traditional Arabic" w:hAnsi="Traditional Arabic" w:cs="Traditional Arabic" w:hint="cs"/>
          <w:rtl/>
        </w:rPr>
        <w:t>وزارة</w:t>
      </w:r>
      <w:r w:rsidRPr="005F58B9">
        <w:rPr>
          <w:rFonts w:ascii="Traditional Arabic" w:hAnsi="Traditional Arabic" w:cs="Traditional Arabic"/>
          <w:rtl/>
        </w:rPr>
        <w:t xml:space="preserve"> </w:t>
      </w:r>
      <w:r w:rsidRPr="005F58B9">
        <w:rPr>
          <w:rFonts w:ascii="Traditional Arabic" w:hAnsi="Traditional Arabic" w:cs="Traditional Arabic" w:hint="cs"/>
          <w:rtl/>
        </w:rPr>
        <w:t>الموارد</w:t>
      </w:r>
      <w:r w:rsidRPr="005F58B9">
        <w:rPr>
          <w:rFonts w:ascii="Traditional Arabic" w:hAnsi="Traditional Arabic" w:cs="Traditional Arabic"/>
          <w:rtl/>
        </w:rPr>
        <w:t xml:space="preserve"> </w:t>
      </w:r>
      <w:r w:rsidRPr="005F58B9">
        <w:rPr>
          <w:rFonts w:ascii="Traditional Arabic" w:hAnsi="Traditional Arabic" w:cs="Traditional Arabic" w:hint="cs"/>
          <w:rtl/>
        </w:rPr>
        <w:t>البشرية</w:t>
      </w:r>
      <w:r w:rsidRPr="005F58B9">
        <w:rPr>
          <w:rFonts w:ascii="Traditional Arabic" w:hAnsi="Traditional Arabic" w:cs="Traditional Arabic"/>
          <w:rtl/>
        </w:rPr>
        <w:t xml:space="preserve"> </w:t>
      </w:r>
      <w:r w:rsidRPr="005F58B9">
        <w:rPr>
          <w:rFonts w:ascii="Traditional Arabic" w:hAnsi="Traditional Arabic" w:cs="Traditional Arabic" w:hint="cs"/>
          <w:rtl/>
        </w:rPr>
        <w:t>والتنمية</w:t>
      </w:r>
      <w:r w:rsidRPr="005F58B9">
        <w:rPr>
          <w:rFonts w:ascii="Traditional Arabic" w:hAnsi="Traditional Arabic" w:cs="Traditional Arabic"/>
          <w:rtl/>
        </w:rPr>
        <w:t xml:space="preserve"> </w:t>
      </w:r>
      <w:r w:rsidRPr="005F58B9">
        <w:rPr>
          <w:rFonts w:ascii="Traditional Arabic" w:hAnsi="Traditional Arabic" w:cs="Traditional Arabic" w:hint="cs"/>
          <w:rtl/>
        </w:rPr>
        <w:t>الاجتماعية</w:t>
      </w:r>
      <w:r w:rsidRPr="005F58B9">
        <w:rPr>
          <w:rFonts w:ascii="Traditional Arabic" w:hAnsi="Traditional Arabic" w:cs="Traditional Arabic"/>
          <w:rtl/>
        </w:rPr>
        <w:t>.</w:t>
      </w:r>
    </w:p>
    <w:p w14:paraId="586853B6" w14:textId="41386115" w:rsidR="005F58B9" w:rsidRPr="007952EF" w:rsidRDefault="005F58B9" w:rsidP="007952EF">
      <w:pPr>
        <w:pStyle w:val="ListParagraph"/>
        <w:numPr>
          <w:ilvl w:val="0"/>
          <w:numId w:val="68"/>
        </w:numPr>
        <w:tabs>
          <w:tab w:val="left" w:pos="1368"/>
        </w:tabs>
        <w:bidi/>
        <w:spacing w:line="276" w:lineRule="auto"/>
        <w:jc w:val="both"/>
        <w:rPr>
          <w:rFonts w:ascii="Traditional Arabic" w:hAnsi="Traditional Arabic" w:cs="Traditional Arabic"/>
          <w:b/>
          <w:bCs/>
        </w:rPr>
      </w:pPr>
      <w:r w:rsidRPr="007952EF">
        <w:rPr>
          <w:rFonts w:ascii="Traditional Arabic" w:hAnsi="Traditional Arabic" w:cs="Traditional Arabic" w:hint="cs"/>
          <w:b/>
          <w:bCs/>
          <w:rtl/>
        </w:rPr>
        <w:t>ثانياً</w:t>
      </w:r>
      <w:r w:rsidRPr="007952EF">
        <w:rPr>
          <w:rFonts w:ascii="Traditional Arabic" w:hAnsi="Traditional Arabic" w:cs="Traditional Arabic"/>
          <w:b/>
          <w:bCs/>
          <w:rtl/>
        </w:rPr>
        <w:t xml:space="preserve">: </w:t>
      </w:r>
      <w:r w:rsidRPr="007952EF">
        <w:rPr>
          <w:rFonts w:ascii="Traditional Arabic" w:hAnsi="Traditional Arabic" w:cs="Traditional Arabic" w:hint="cs"/>
          <w:b/>
          <w:bCs/>
          <w:rtl/>
        </w:rPr>
        <w:t>المراجع</w:t>
      </w:r>
      <w:r w:rsidRPr="007952EF">
        <w:rPr>
          <w:rFonts w:ascii="Traditional Arabic" w:hAnsi="Traditional Arabic" w:cs="Traditional Arabic"/>
          <w:b/>
          <w:bCs/>
          <w:rtl/>
        </w:rPr>
        <w:t xml:space="preserve"> </w:t>
      </w:r>
      <w:r w:rsidRPr="007952EF">
        <w:rPr>
          <w:rFonts w:ascii="Traditional Arabic" w:hAnsi="Traditional Arabic" w:cs="Traditional Arabic" w:hint="cs"/>
          <w:b/>
          <w:bCs/>
          <w:rtl/>
        </w:rPr>
        <w:t>الأجنبية</w:t>
      </w:r>
    </w:p>
    <w:p w14:paraId="49B17520" w14:textId="4877C550" w:rsidR="005F58B9" w:rsidRPr="007952EF" w:rsidRDefault="005F58B9" w:rsidP="007952EF">
      <w:pPr>
        <w:pStyle w:val="ListParagraph"/>
        <w:numPr>
          <w:ilvl w:val="0"/>
          <w:numId w:val="68"/>
        </w:numPr>
        <w:tabs>
          <w:tab w:val="left" w:pos="1368"/>
        </w:tabs>
        <w:spacing w:line="276" w:lineRule="auto"/>
        <w:jc w:val="both"/>
        <w:rPr>
          <w:rFonts w:ascii="Traditional Arabic" w:hAnsi="Traditional Arabic" w:cs="Traditional Arabic"/>
          <w:sz w:val="22"/>
          <w:szCs w:val="22"/>
          <w:rtl/>
        </w:rPr>
      </w:pPr>
      <w:r w:rsidRPr="007952EF">
        <w:rPr>
          <w:rFonts w:ascii="Traditional Arabic" w:hAnsi="Traditional Arabic" w:cs="Traditional Arabic"/>
          <w:sz w:val="22"/>
          <w:szCs w:val="22"/>
        </w:rPr>
        <w:t>Al-Harbi, A. (2023). Organizational ambidexterity in Saudi public organizations: A pathway to sustainability. International Journal of Public Sector Management, 36(1), 102–120.</w:t>
      </w:r>
    </w:p>
    <w:p w14:paraId="3800C8D2" w14:textId="3D5B44B2" w:rsidR="005F58B9" w:rsidRPr="007952EF" w:rsidRDefault="005F58B9" w:rsidP="007952EF">
      <w:pPr>
        <w:pStyle w:val="ListParagraph"/>
        <w:numPr>
          <w:ilvl w:val="0"/>
          <w:numId w:val="68"/>
        </w:numPr>
        <w:tabs>
          <w:tab w:val="left" w:pos="1368"/>
        </w:tabs>
        <w:spacing w:line="276" w:lineRule="auto"/>
        <w:jc w:val="both"/>
        <w:rPr>
          <w:rFonts w:ascii="Traditional Arabic" w:hAnsi="Traditional Arabic" w:cs="Traditional Arabic"/>
          <w:sz w:val="22"/>
          <w:szCs w:val="22"/>
          <w:rtl/>
        </w:rPr>
      </w:pPr>
      <w:r w:rsidRPr="007952EF">
        <w:rPr>
          <w:rFonts w:ascii="Traditional Arabic" w:hAnsi="Traditional Arabic" w:cs="Traditional Arabic"/>
          <w:sz w:val="22"/>
          <w:szCs w:val="22"/>
        </w:rPr>
        <w:t>Alshammari, M. (2021). Strategic agility and organizational excellence in Saudi ministries. Journal of Strategic Management Studies, 8(2), 75–98.</w:t>
      </w:r>
    </w:p>
    <w:p w14:paraId="4FEAB4B3" w14:textId="52EC324F" w:rsidR="005F58B9" w:rsidRPr="007952EF" w:rsidRDefault="005F58B9" w:rsidP="007952EF">
      <w:pPr>
        <w:pStyle w:val="ListParagraph"/>
        <w:numPr>
          <w:ilvl w:val="0"/>
          <w:numId w:val="68"/>
        </w:numPr>
        <w:tabs>
          <w:tab w:val="left" w:pos="1368"/>
        </w:tabs>
        <w:spacing w:line="276" w:lineRule="auto"/>
        <w:jc w:val="both"/>
        <w:rPr>
          <w:rFonts w:ascii="Traditional Arabic" w:hAnsi="Traditional Arabic" w:cs="Traditional Arabic"/>
          <w:sz w:val="22"/>
          <w:szCs w:val="22"/>
          <w:rtl/>
        </w:rPr>
      </w:pPr>
      <w:r w:rsidRPr="007952EF">
        <w:rPr>
          <w:rFonts w:ascii="Traditional Arabic" w:hAnsi="Traditional Arabic" w:cs="Traditional Arabic"/>
          <w:sz w:val="22"/>
          <w:szCs w:val="22"/>
        </w:rPr>
        <w:t>Bansal, P., &amp; Song, H. C. (2017). Similarities and differences of corporate sustainability frameworks. Academy of Management Annals, 11(1), 105–149.</w:t>
      </w:r>
    </w:p>
    <w:p w14:paraId="2CF7B595" w14:textId="4DBB34D9" w:rsidR="005F58B9" w:rsidRPr="007952EF" w:rsidRDefault="005F58B9" w:rsidP="007952EF">
      <w:pPr>
        <w:pStyle w:val="ListParagraph"/>
        <w:numPr>
          <w:ilvl w:val="0"/>
          <w:numId w:val="68"/>
        </w:numPr>
        <w:tabs>
          <w:tab w:val="left" w:pos="1368"/>
        </w:tabs>
        <w:spacing w:line="276" w:lineRule="auto"/>
        <w:jc w:val="both"/>
        <w:rPr>
          <w:rFonts w:ascii="Traditional Arabic" w:hAnsi="Traditional Arabic" w:cs="Traditional Arabic"/>
          <w:sz w:val="22"/>
          <w:szCs w:val="22"/>
          <w:rtl/>
        </w:rPr>
      </w:pPr>
      <w:r w:rsidRPr="007952EF">
        <w:rPr>
          <w:rFonts w:ascii="Traditional Arabic" w:hAnsi="Traditional Arabic" w:cs="Traditional Arabic"/>
          <w:sz w:val="22"/>
          <w:szCs w:val="22"/>
        </w:rPr>
        <w:t>Birkinshaw, J., &amp; Gibson, C. B. (2022). Organizational ambidexterity: Reconceptualization. Academy of Management Review, 47(3), 495–510.</w:t>
      </w:r>
    </w:p>
    <w:p w14:paraId="67D70802" w14:textId="5C8F5AEC" w:rsidR="005F58B9" w:rsidRPr="007952EF" w:rsidRDefault="005F58B9" w:rsidP="007952EF">
      <w:pPr>
        <w:pStyle w:val="ListParagraph"/>
        <w:numPr>
          <w:ilvl w:val="0"/>
          <w:numId w:val="68"/>
        </w:numPr>
        <w:tabs>
          <w:tab w:val="left" w:pos="1368"/>
        </w:tabs>
        <w:spacing w:line="276" w:lineRule="auto"/>
        <w:jc w:val="both"/>
        <w:rPr>
          <w:rFonts w:ascii="Traditional Arabic" w:hAnsi="Traditional Arabic" w:cs="Traditional Arabic"/>
          <w:sz w:val="22"/>
          <w:szCs w:val="22"/>
          <w:rtl/>
        </w:rPr>
      </w:pPr>
      <w:r w:rsidRPr="007952EF">
        <w:rPr>
          <w:rFonts w:ascii="Traditional Arabic" w:hAnsi="Traditional Arabic" w:cs="Traditional Arabic"/>
          <w:sz w:val="22"/>
          <w:szCs w:val="22"/>
        </w:rPr>
        <w:t>Dahlgaard-Park, S. M. (2021). The evolution of excellence models: A critical review. Total Quality Management &amp; Business Excellence, 32(7–8), 747–763.</w:t>
      </w:r>
    </w:p>
    <w:p w14:paraId="3F5B2066" w14:textId="77777777" w:rsidR="005F58B9" w:rsidRPr="007952EF" w:rsidRDefault="005F58B9" w:rsidP="007952EF">
      <w:pPr>
        <w:pStyle w:val="ListParagraph"/>
        <w:numPr>
          <w:ilvl w:val="0"/>
          <w:numId w:val="68"/>
        </w:numPr>
        <w:tabs>
          <w:tab w:val="left" w:pos="1368"/>
        </w:tabs>
        <w:spacing w:line="276" w:lineRule="auto"/>
        <w:jc w:val="both"/>
        <w:rPr>
          <w:rFonts w:ascii="Traditional Arabic" w:hAnsi="Traditional Arabic" w:cs="Traditional Arabic"/>
          <w:sz w:val="22"/>
          <w:szCs w:val="22"/>
        </w:rPr>
      </w:pPr>
      <w:r w:rsidRPr="007952EF">
        <w:rPr>
          <w:rFonts w:ascii="Traditional Arabic" w:hAnsi="Traditional Arabic" w:cs="Traditional Arabic"/>
          <w:sz w:val="22"/>
          <w:szCs w:val="22"/>
        </w:rPr>
        <w:t>EFQM. (2020). The EFQM model. Brussels: European Foundation for Quality Management.</w:t>
      </w:r>
    </w:p>
    <w:p w14:paraId="25F6C392" w14:textId="77777777" w:rsidR="005F58B9" w:rsidRPr="005F58B9" w:rsidRDefault="005F58B9" w:rsidP="005F58B9">
      <w:pPr>
        <w:tabs>
          <w:tab w:val="left" w:pos="1368"/>
        </w:tabs>
        <w:spacing w:line="276" w:lineRule="auto"/>
        <w:jc w:val="both"/>
        <w:rPr>
          <w:rFonts w:ascii="Traditional Arabic" w:hAnsi="Traditional Arabic" w:cs="Traditional Arabic"/>
          <w:sz w:val="22"/>
          <w:szCs w:val="22"/>
          <w:rtl/>
        </w:rPr>
      </w:pPr>
    </w:p>
    <w:p w14:paraId="14CB5CB2" w14:textId="2BE3B841" w:rsidR="005F58B9" w:rsidRPr="007952EF" w:rsidRDefault="005F58B9" w:rsidP="007952EF">
      <w:pPr>
        <w:pStyle w:val="ListParagraph"/>
        <w:numPr>
          <w:ilvl w:val="0"/>
          <w:numId w:val="68"/>
        </w:numPr>
        <w:tabs>
          <w:tab w:val="left" w:pos="1368"/>
        </w:tabs>
        <w:spacing w:line="276" w:lineRule="auto"/>
        <w:jc w:val="both"/>
        <w:rPr>
          <w:rFonts w:ascii="Traditional Arabic" w:hAnsi="Traditional Arabic" w:cs="Traditional Arabic"/>
          <w:sz w:val="22"/>
          <w:szCs w:val="22"/>
          <w:rtl/>
        </w:rPr>
      </w:pPr>
      <w:r w:rsidRPr="007952EF">
        <w:rPr>
          <w:rFonts w:ascii="Traditional Arabic" w:hAnsi="Traditional Arabic" w:cs="Traditional Arabic"/>
          <w:sz w:val="22"/>
          <w:szCs w:val="22"/>
        </w:rPr>
        <w:t>Elbanna, S. (2019). Public sector strategy and performance in the Gulf: A structural view. International Journal of Public Administration, 42(9), 765–777.</w:t>
      </w:r>
    </w:p>
    <w:p w14:paraId="69FB20F9" w14:textId="38334217" w:rsidR="005F58B9" w:rsidRPr="007952EF" w:rsidRDefault="005F58B9" w:rsidP="007952EF">
      <w:pPr>
        <w:pStyle w:val="ListParagraph"/>
        <w:numPr>
          <w:ilvl w:val="0"/>
          <w:numId w:val="68"/>
        </w:numPr>
        <w:tabs>
          <w:tab w:val="left" w:pos="1368"/>
        </w:tabs>
        <w:spacing w:line="276" w:lineRule="auto"/>
        <w:jc w:val="both"/>
        <w:rPr>
          <w:rFonts w:ascii="Traditional Arabic" w:hAnsi="Traditional Arabic" w:cs="Traditional Arabic"/>
          <w:sz w:val="22"/>
          <w:szCs w:val="22"/>
          <w:rtl/>
        </w:rPr>
      </w:pPr>
      <w:r w:rsidRPr="007952EF">
        <w:rPr>
          <w:rFonts w:ascii="Traditional Arabic" w:hAnsi="Traditional Arabic" w:cs="Traditional Arabic"/>
          <w:sz w:val="22"/>
          <w:szCs w:val="22"/>
        </w:rPr>
        <w:t>ISO. (2019). ISO 22301:2019 security and resilience — Business continuity management systems. International Organization for Standardization.</w:t>
      </w:r>
    </w:p>
    <w:p w14:paraId="6FF9E1FF" w14:textId="094E0ACC" w:rsidR="005F58B9" w:rsidRPr="007952EF" w:rsidRDefault="005F58B9" w:rsidP="007952EF">
      <w:pPr>
        <w:pStyle w:val="ListParagraph"/>
        <w:numPr>
          <w:ilvl w:val="0"/>
          <w:numId w:val="68"/>
        </w:numPr>
        <w:tabs>
          <w:tab w:val="left" w:pos="1368"/>
        </w:tabs>
        <w:spacing w:line="276" w:lineRule="auto"/>
        <w:jc w:val="both"/>
        <w:rPr>
          <w:rFonts w:ascii="Traditional Arabic" w:hAnsi="Traditional Arabic" w:cs="Traditional Arabic"/>
          <w:sz w:val="22"/>
          <w:szCs w:val="22"/>
          <w:rtl/>
        </w:rPr>
      </w:pPr>
      <w:r w:rsidRPr="007952EF">
        <w:rPr>
          <w:rFonts w:ascii="Traditional Arabic" w:hAnsi="Traditional Arabic" w:cs="Traditional Arabic"/>
          <w:sz w:val="22"/>
          <w:szCs w:val="22"/>
        </w:rPr>
        <w:t xml:space="preserve">Lozano, R. (2022). Towards </w:t>
      </w:r>
      <w:proofErr w:type="gramStart"/>
      <w:r w:rsidRPr="007952EF">
        <w:rPr>
          <w:rFonts w:ascii="Traditional Arabic" w:hAnsi="Traditional Arabic" w:cs="Traditional Arabic"/>
          <w:sz w:val="22"/>
          <w:szCs w:val="22"/>
        </w:rPr>
        <w:t>better</w:t>
      </w:r>
      <w:proofErr w:type="gramEnd"/>
      <w:r w:rsidRPr="007952EF">
        <w:rPr>
          <w:rFonts w:ascii="Traditional Arabic" w:hAnsi="Traditional Arabic" w:cs="Traditional Arabic"/>
          <w:sz w:val="22"/>
          <w:szCs w:val="22"/>
        </w:rPr>
        <w:t xml:space="preserve"> embedding sustainability into organizations. Journal of Cleaner Production, 340, 130–147.</w:t>
      </w:r>
    </w:p>
    <w:p w14:paraId="5A8DA2B3" w14:textId="4CC08BE1" w:rsidR="005F58B9" w:rsidRPr="007952EF" w:rsidRDefault="005F58B9" w:rsidP="007952EF">
      <w:pPr>
        <w:pStyle w:val="ListParagraph"/>
        <w:numPr>
          <w:ilvl w:val="0"/>
          <w:numId w:val="68"/>
        </w:numPr>
        <w:tabs>
          <w:tab w:val="left" w:pos="1368"/>
        </w:tabs>
        <w:spacing w:line="276" w:lineRule="auto"/>
        <w:jc w:val="both"/>
        <w:rPr>
          <w:rFonts w:ascii="Traditional Arabic" w:hAnsi="Traditional Arabic" w:cs="Traditional Arabic"/>
          <w:sz w:val="22"/>
          <w:szCs w:val="22"/>
          <w:rtl/>
        </w:rPr>
      </w:pPr>
      <w:r w:rsidRPr="007952EF">
        <w:rPr>
          <w:rFonts w:ascii="Traditional Arabic" w:hAnsi="Traditional Arabic" w:cs="Traditional Arabic"/>
          <w:sz w:val="22"/>
          <w:szCs w:val="22"/>
        </w:rPr>
        <w:t>March, J. G. (1991). Exploration and exploitation in organizational learning. Organization Science, 2(1), 71–87.</w:t>
      </w:r>
    </w:p>
    <w:p w14:paraId="63E524B5" w14:textId="11739D35" w:rsidR="005F58B9" w:rsidRPr="007952EF" w:rsidRDefault="005F58B9" w:rsidP="007952EF">
      <w:pPr>
        <w:pStyle w:val="ListParagraph"/>
        <w:numPr>
          <w:ilvl w:val="0"/>
          <w:numId w:val="68"/>
        </w:numPr>
        <w:tabs>
          <w:tab w:val="left" w:pos="1368"/>
        </w:tabs>
        <w:spacing w:line="276" w:lineRule="auto"/>
        <w:jc w:val="both"/>
        <w:rPr>
          <w:rFonts w:ascii="Traditional Arabic" w:hAnsi="Traditional Arabic" w:cs="Traditional Arabic"/>
          <w:sz w:val="22"/>
          <w:szCs w:val="22"/>
          <w:rtl/>
        </w:rPr>
      </w:pPr>
      <w:r w:rsidRPr="007952EF">
        <w:rPr>
          <w:rFonts w:ascii="Traditional Arabic" w:hAnsi="Traditional Arabic" w:cs="Traditional Arabic"/>
          <w:sz w:val="22"/>
          <w:szCs w:val="22"/>
        </w:rPr>
        <w:t>Nonaka, I. (2018). The knowledge-creating company revisited. Research in Organizational Behavior, 38, 1–17.</w:t>
      </w:r>
    </w:p>
    <w:p w14:paraId="5FE55D53" w14:textId="4479CF49" w:rsidR="005F58B9" w:rsidRPr="007952EF" w:rsidRDefault="005F58B9" w:rsidP="007952EF">
      <w:pPr>
        <w:pStyle w:val="ListParagraph"/>
        <w:numPr>
          <w:ilvl w:val="0"/>
          <w:numId w:val="68"/>
        </w:numPr>
        <w:tabs>
          <w:tab w:val="left" w:pos="1368"/>
        </w:tabs>
        <w:spacing w:line="276" w:lineRule="auto"/>
        <w:jc w:val="both"/>
        <w:rPr>
          <w:rFonts w:ascii="Traditional Arabic" w:hAnsi="Traditional Arabic" w:cs="Traditional Arabic"/>
          <w:sz w:val="22"/>
          <w:szCs w:val="22"/>
          <w:rtl/>
        </w:rPr>
      </w:pPr>
      <w:r w:rsidRPr="007952EF">
        <w:rPr>
          <w:rFonts w:ascii="Traditional Arabic" w:hAnsi="Traditional Arabic" w:cs="Traditional Arabic"/>
          <w:sz w:val="22"/>
          <w:szCs w:val="22"/>
        </w:rPr>
        <w:lastRenderedPageBreak/>
        <w:t>OECD. (2017). Fostering innovation in the public sector. OECD Publishing.</w:t>
      </w:r>
    </w:p>
    <w:p w14:paraId="3D300FCF" w14:textId="3949B2F2" w:rsidR="005F58B9" w:rsidRPr="007952EF" w:rsidRDefault="005F58B9" w:rsidP="007952EF">
      <w:pPr>
        <w:pStyle w:val="ListParagraph"/>
        <w:numPr>
          <w:ilvl w:val="0"/>
          <w:numId w:val="68"/>
        </w:numPr>
        <w:tabs>
          <w:tab w:val="left" w:pos="1368"/>
        </w:tabs>
        <w:spacing w:line="276" w:lineRule="auto"/>
        <w:jc w:val="both"/>
        <w:rPr>
          <w:rFonts w:ascii="Traditional Arabic" w:hAnsi="Traditional Arabic" w:cs="Traditional Arabic"/>
          <w:sz w:val="22"/>
          <w:szCs w:val="22"/>
          <w:rtl/>
        </w:rPr>
      </w:pPr>
      <w:r w:rsidRPr="007952EF">
        <w:rPr>
          <w:rFonts w:ascii="Traditional Arabic" w:hAnsi="Traditional Arabic" w:cs="Traditional Arabic"/>
          <w:sz w:val="22"/>
          <w:szCs w:val="22"/>
        </w:rPr>
        <w:t xml:space="preserve">OECD. (2019). Government </w:t>
      </w:r>
      <w:proofErr w:type="gramStart"/>
      <w:r w:rsidRPr="007952EF">
        <w:rPr>
          <w:rFonts w:ascii="Traditional Arabic" w:hAnsi="Traditional Arabic" w:cs="Traditional Arabic"/>
          <w:sz w:val="22"/>
          <w:szCs w:val="22"/>
        </w:rPr>
        <w:t>at a glance</w:t>
      </w:r>
      <w:proofErr w:type="gramEnd"/>
      <w:r w:rsidRPr="007952EF">
        <w:rPr>
          <w:rFonts w:ascii="Traditional Arabic" w:hAnsi="Traditional Arabic" w:cs="Traditional Arabic"/>
          <w:sz w:val="22"/>
          <w:szCs w:val="22"/>
        </w:rPr>
        <w:t xml:space="preserve"> 2019. OECD Publishing.</w:t>
      </w:r>
    </w:p>
    <w:p w14:paraId="342098B8" w14:textId="7716D395" w:rsidR="005F58B9" w:rsidRPr="007952EF" w:rsidRDefault="005F58B9" w:rsidP="007952EF">
      <w:pPr>
        <w:pStyle w:val="ListParagraph"/>
        <w:numPr>
          <w:ilvl w:val="0"/>
          <w:numId w:val="68"/>
        </w:numPr>
        <w:tabs>
          <w:tab w:val="left" w:pos="1368"/>
        </w:tabs>
        <w:spacing w:line="276" w:lineRule="auto"/>
        <w:jc w:val="both"/>
        <w:rPr>
          <w:rFonts w:ascii="Traditional Arabic" w:hAnsi="Traditional Arabic" w:cs="Traditional Arabic"/>
          <w:sz w:val="22"/>
          <w:szCs w:val="22"/>
          <w:rtl/>
        </w:rPr>
      </w:pPr>
      <w:r w:rsidRPr="007952EF">
        <w:rPr>
          <w:rFonts w:ascii="Traditional Arabic" w:hAnsi="Traditional Arabic" w:cs="Traditional Arabic"/>
          <w:sz w:val="22"/>
          <w:szCs w:val="22"/>
        </w:rPr>
        <w:t>O'Reilly, C. A., &amp; Tushman, M. L. (2016). Ambidextrous leadership. Oxford University Press.</w:t>
      </w:r>
    </w:p>
    <w:p w14:paraId="5DC7A997" w14:textId="483D5E4A" w:rsidR="005F58B9" w:rsidRPr="007952EF" w:rsidRDefault="005F58B9" w:rsidP="007952EF">
      <w:pPr>
        <w:pStyle w:val="ListParagraph"/>
        <w:numPr>
          <w:ilvl w:val="0"/>
          <w:numId w:val="68"/>
        </w:numPr>
        <w:tabs>
          <w:tab w:val="left" w:pos="1368"/>
        </w:tabs>
        <w:spacing w:line="276" w:lineRule="auto"/>
        <w:jc w:val="both"/>
        <w:rPr>
          <w:rFonts w:ascii="Traditional Arabic" w:hAnsi="Traditional Arabic" w:cs="Traditional Arabic"/>
          <w:sz w:val="22"/>
          <w:szCs w:val="22"/>
          <w:rtl/>
        </w:rPr>
      </w:pPr>
      <w:r w:rsidRPr="007952EF">
        <w:rPr>
          <w:rFonts w:ascii="Traditional Arabic" w:hAnsi="Traditional Arabic" w:cs="Traditional Arabic"/>
          <w:sz w:val="22"/>
          <w:szCs w:val="22"/>
        </w:rPr>
        <w:t>O'Reilly, C. A., &amp; Tushman, M. L. (2021). Lead and disrupt: How to solve the innovator’s dilemma (2nd ed.). Stanford University Press.</w:t>
      </w:r>
    </w:p>
    <w:p w14:paraId="5F081ACC" w14:textId="5FE8C616" w:rsidR="005F58B9" w:rsidRPr="007952EF" w:rsidRDefault="005F58B9" w:rsidP="007952EF">
      <w:pPr>
        <w:pStyle w:val="ListParagraph"/>
        <w:numPr>
          <w:ilvl w:val="0"/>
          <w:numId w:val="68"/>
        </w:numPr>
        <w:tabs>
          <w:tab w:val="left" w:pos="1368"/>
        </w:tabs>
        <w:spacing w:line="276" w:lineRule="auto"/>
        <w:jc w:val="both"/>
        <w:rPr>
          <w:rFonts w:ascii="Traditional Arabic" w:hAnsi="Traditional Arabic" w:cs="Traditional Arabic"/>
          <w:sz w:val="22"/>
          <w:szCs w:val="22"/>
          <w:rtl/>
        </w:rPr>
      </w:pPr>
      <w:r w:rsidRPr="007952EF">
        <w:rPr>
          <w:rFonts w:ascii="Traditional Arabic" w:hAnsi="Traditional Arabic" w:cs="Traditional Arabic"/>
          <w:sz w:val="22"/>
          <w:szCs w:val="22"/>
        </w:rPr>
        <w:t>Raisch, S., &amp; Birkinshaw, J. (2023). Organizational ambidexterity: Antecedents, outcomes, and moderators. Journal of Management, 49(2), 377–403.</w:t>
      </w:r>
    </w:p>
    <w:p w14:paraId="6A450680" w14:textId="736EFACB" w:rsidR="005F58B9" w:rsidRPr="007952EF" w:rsidRDefault="005F58B9" w:rsidP="007952EF">
      <w:pPr>
        <w:pStyle w:val="ListParagraph"/>
        <w:numPr>
          <w:ilvl w:val="0"/>
          <w:numId w:val="68"/>
        </w:numPr>
        <w:tabs>
          <w:tab w:val="left" w:pos="1368"/>
        </w:tabs>
        <w:spacing w:line="276" w:lineRule="auto"/>
        <w:jc w:val="both"/>
        <w:rPr>
          <w:rFonts w:ascii="Traditional Arabic" w:hAnsi="Traditional Arabic" w:cs="Traditional Arabic"/>
          <w:sz w:val="22"/>
          <w:szCs w:val="22"/>
          <w:rtl/>
        </w:rPr>
      </w:pPr>
      <w:r w:rsidRPr="007952EF">
        <w:rPr>
          <w:rFonts w:ascii="Traditional Arabic" w:hAnsi="Traditional Arabic" w:cs="Traditional Arabic"/>
          <w:sz w:val="22"/>
          <w:szCs w:val="22"/>
        </w:rPr>
        <w:t xml:space="preserve">Talwar, B. (2020). Excellence models and </w:t>
      </w:r>
      <w:proofErr w:type="gramStart"/>
      <w:r w:rsidRPr="007952EF">
        <w:rPr>
          <w:rFonts w:ascii="Traditional Arabic" w:hAnsi="Traditional Arabic" w:cs="Traditional Arabic"/>
          <w:sz w:val="22"/>
          <w:szCs w:val="22"/>
        </w:rPr>
        <w:t>the quality</w:t>
      </w:r>
      <w:proofErr w:type="gramEnd"/>
      <w:r w:rsidRPr="007952EF">
        <w:rPr>
          <w:rFonts w:ascii="Traditional Arabic" w:hAnsi="Traditional Arabic" w:cs="Traditional Arabic"/>
          <w:sz w:val="22"/>
          <w:szCs w:val="22"/>
        </w:rPr>
        <w:t xml:space="preserve"> movement: A critical analysis. Measuring Business Excellence, 24(1), 29–40.</w:t>
      </w:r>
    </w:p>
    <w:p w14:paraId="1824A6EA" w14:textId="7961ADBF" w:rsidR="005F58B9" w:rsidRPr="007952EF" w:rsidRDefault="005F58B9" w:rsidP="007952EF">
      <w:pPr>
        <w:pStyle w:val="ListParagraph"/>
        <w:numPr>
          <w:ilvl w:val="0"/>
          <w:numId w:val="68"/>
        </w:numPr>
        <w:tabs>
          <w:tab w:val="left" w:pos="1368"/>
        </w:tabs>
        <w:spacing w:line="276" w:lineRule="auto"/>
        <w:jc w:val="both"/>
        <w:rPr>
          <w:rFonts w:ascii="Traditional Arabic" w:hAnsi="Traditional Arabic" w:cs="Traditional Arabic"/>
          <w:sz w:val="22"/>
          <w:szCs w:val="22"/>
          <w:rtl/>
        </w:rPr>
      </w:pPr>
      <w:r w:rsidRPr="007952EF">
        <w:rPr>
          <w:rFonts w:ascii="Traditional Arabic" w:hAnsi="Traditional Arabic" w:cs="Traditional Arabic"/>
          <w:sz w:val="22"/>
          <w:szCs w:val="22"/>
        </w:rPr>
        <w:t>UNDP. (2020). Institutional sustainability framework. United Nations Development Programme.</w:t>
      </w:r>
    </w:p>
    <w:p w14:paraId="741EC017" w14:textId="20831FA5" w:rsidR="005F58B9" w:rsidRPr="007952EF" w:rsidRDefault="005F58B9" w:rsidP="007952EF">
      <w:pPr>
        <w:pStyle w:val="ListParagraph"/>
        <w:numPr>
          <w:ilvl w:val="0"/>
          <w:numId w:val="68"/>
        </w:numPr>
        <w:tabs>
          <w:tab w:val="left" w:pos="1368"/>
        </w:tabs>
        <w:spacing w:line="276" w:lineRule="auto"/>
        <w:jc w:val="both"/>
        <w:rPr>
          <w:rFonts w:ascii="Traditional Arabic" w:hAnsi="Traditional Arabic" w:cs="Traditional Arabic"/>
          <w:sz w:val="22"/>
          <w:szCs w:val="22"/>
          <w:rtl/>
        </w:rPr>
      </w:pPr>
      <w:r w:rsidRPr="007952EF">
        <w:rPr>
          <w:rFonts w:ascii="Traditional Arabic" w:hAnsi="Traditional Arabic" w:cs="Traditional Arabic"/>
          <w:sz w:val="22"/>
          <w:szCs w:val="22"/>
        </w:rPr>
        <w:t>Yoon, S., &amp; Lim, S. (2022). Ambidextrous leadership and public service innovation: Evidence from South Korea. Public Management Review, 24(1), 65–89.</w:t>
      </w:r>
    </w:p>
    <w:p w14:paraId="1E55CBE4" w14:textId="5ABC231F" w:rsidR="00865690" w:rsidRPr="007952EF" w:rsidRDefault="005F58B9" w:rsidP="007952EF">
      <w:pPr>
        <w:pStyle w:val="ListParagraph"/>
        <w:numPr>
          <w:ilvl w:val="0"/>
          <w:numId w:val="68"/>
        </w:numPr>
        <w:tabs>
          <w:tab w:val="left" w:pos="1368"/>
        </w:tabs>
        <w:spacing w:line="276" w:lineRule="auto"/>
        <w:jc w:val="both"/>
        <w:rPr>
          <w:rFonts w:ascii="Traditional Arabic" w:hAnsi="Traditional Arabic" w:cs="Traditional Arabic"/>
          <w:sz w:val="22"/>
          <w:szCs w:val="22"/>
        </w:rPr>
      </w:pPr>
      <w:r w:rsidRPr="007952EF">
        <w:rPr>
          <w:rFonts w:ascii="Traditional Arabic" w:hAnsi="Traditional Arabic" w:cs="Traditional Arabic"/>
          <w:sz w:val="22"/>
          <w:szCs w:val="22"/>
        </w:rPr>
        <w:t>Zhang, Y., &amp; Chen, K. (2023). Balancing exploitation and exploration in government digital transformation. Government Information Quarterly, 40(2), 101743</w:t>
      </w:r>
      <w:r w:rsidRPr="007952EF">
        <w:rPr>
          <w:rFonts w:ascii="Traditional Arabic" w:hAnsi="Traditional Arabic" w:cs="Traditional Arabic"/>
          <w:sz w:val="22"/>
          <w:szCs w:val="22"/>
          <w:rtl/>
        </w:rPr>
        <w:t>.</w:t>
      </w:r>
    </w:p>
    <w:p w14:paraId="0B5AF6E6" w14:textId="77777777" w:rsidR="0057211A" w:rsidRPr="00682381" w:rsidRDefault="0057211A" w:rsidP="0057211A">
      <w:pPr>
        <w:tabs>
          <w:tab w:val="left" w:pos="1368"/>
        </w:tabs>
        <w:bidi/>
        <w:spacing w:line="276" w:lineRule="auto"/>
        <w:jc w:val="center"/>
        <w:rPr>
          <w:rFonts w:ascii="Traditional Arabic" w:hAnsi="Traditional Arabic" w:cs="Traditional Arabic"/>
          <w:b/>
          <w:bCs/>
          <w:sz w:val="28"/>
          <w:szCs w:val="28"/>
        </w:rPr>
      </w:pPr>
    </w:p>
    <w:p w14:paraId="0DFB847F" w14:textId="77777777" w:rsidR="00435C4E" w:rsidRPr="00A97A04" w:rsidRDefault="00435C4E" w:rsidP="00435C4E">
      <w:pPr>
        <w:bidi/>
        <w:spacing w:line="276" w:lineRule="auto"/>
        <w:jc w:val="both"/>
        <w:rPr>
          <w:rFonts w:ascii="Traditional Arabic" w:hAnsi="Traditional Arabic" w:cs="Traditional Arabic"/>
        </w:rPr>
      </w:pPr>
    </w:p>
    <w:p w14:paraId="7FCA313E" w14:textId="77777777" w:rsidR="00477B32" w:rsidRPr="00A97A04" w:rsidRDefault="00477B32" w:rsidP="00A8644B">
      <w:pPr>
        <w:bidi/>
        <w:spacing w:line="276" w:lineRule="auto"/>
        <w:jc w:val="both"/>
        <w:rPr>
          <w:rFonts w:ascii="Traditional Arabic" w:hAnsi="Traditional Arabic" w:cs="Traditional Arabic"/>
        </w:rPr>
      </w:pPr>
    </w:p>
    <w:sectPr w:rsidR="00477B32" w:rsidRPr="00A97A04">
      <w:headerReference w:type="even" r:id="rId8"/>
      <w:headerReference w:type="default" r:id="rId9"/>
      <w:headerReference w:type="firs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4F4F3E" w14:textId="77777777" w:rsidR="009D2B07" w:rsidRDefault="009D2B07" w:rsidP="007D236A">
      <w:pPr>
        <w:spacing w:after="0" w:line="240" w:lineRule="auto"/>
      </w:pPr>
      <w:r>
        <w:separator/>
      </w:r>
    </w:p>
  </w:endnote>
  <w:endnote w:type="continuationSeparator" w:id="0">
    <w:p w14:paraId="6C1D7702" w14:textId="77777777" w:rsidR="009D2B07" w:rsidRDefault="009D2B07" w:rsidP="007D23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raditional Arabic">
    <w:panose1 w:val="02020603050405020304"/>
    <w:charset w:val="00"/>
    <w:family w:val="roman"/>
    <w:pitch w:val="variable"/>
    <w:sig w:usb0="00002003" w:usb1="80000000" w:usb2="00000008" w:usb3="00000000" w:csb0="0000004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45C318" w14:textId="77777777" w:rsidR="009D2B07" w:rsidRDefault="009D2B07" w:rsidP="007D236A">
      <w:pPr>
        <w:spacing w:after="0" w:line="240" w:lineRule="auto"/>
      </w:pPr>
      <w:r>
        <w:separator/>
      </w:r>
    </w:p>
  </w:footnote>
  <w:footnote w:type="continuationSeparator" w:id="0">
    <w:p w14:paraId="09DAEA0A" w14:textId="77777777" w:rsidR="009D2B07" w:rsidRDefault="009D2B07" w:rsidP="007D236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7370AA" w14:textId="12649462" w:rsidR="007D236A" w:rsidRDefault="003E6096">
    <w:pPr>
      <w:pStyle w:val="Header"/>
    </w:pPr>
    <w:r>
      <w:rPr>
        <w:noProof/>
      </w:rPr>
      <mc:AlternateContent>
        <mc:Choice Requires="wps">
          <w:drawing>
            <wp:anchor distT="0" distB="0" distL="0" distR="0" simplePos="0" relativeHeight="251659264" behindDoc="0" locked="0" layoutInCell="1" allowOverlap="1" wp14:anchorId="379D2C19" wp14:editId="40D71033">
              <wp:simplePos x="635" y="635"/>
              <wp:positionH relativeFrom="page">
                <wp:align>left</wp:align>
              </wp:positionH>
              <wp:positionV relativeFrom="page">
                <wp:align>top</wp:align>
              </wp:positionV>
              <wp:extent cx="1771015" cy="370205"/>
              <wp:effectExtent l="0" t="0" r="635" b="10795"/>
              <wp:wrapNone/>
              <wp:docPr id="1418132543" name="Text Box 5" descr="Classification : Confident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771015" cy="370205"/>
                      </a:xfrm>
                      <a:prstGeom prst="rect">
                        <a:avLst/>
                      </a:prstGeom>
                      <a:noFill/>
                      <a:ln>
                        <a:noFill/>
                      </a:ln>
                    </wps:spPr>
                    <wps:txbx>
                      <w:txbxContent>
                        <w:p w14:paraId="6E6BB640" w14:textId="353B9C94" w:rsidR="003E6096" w:rsidRPr="003E6096" w:rsidRDefault="003E6096" w:rsidP="003E6096">
                          <w:pPr>
                            <w:spacing w:after="0"/>
                            <w:rPr>
                              <w:rFonts w:ascii="Aptos" w:eastAsia="Aptos" w:hAnsi="Aptos" w:cs="Aptos"/>
                              <w:noProof/>
                              <w:color w:val="0000FF"/>
                              <w:sz w:val="20"/>
                              <w:szCs w:val="20"/>
                            </w:rPr>
                          </w:pPr>
                          <w:r w:rsidRPr="003E6096">
                            <w:rPr>
                              <w:rFonts w:ascii="Aptos" w:eastAsia="Aptos" w:hAnsi="Aptos" w:cs="Aptos"/>
                              <w:noProof/>
                              <w:color w:val="0000FF"/>
                              <w:sz w:val="20"/>
                              <w:szCs w:val="20"/>
                            </w:rPr>
                            <w:t>Classification : Confidential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379D2C19" id="_x0000_t202" coordsize="21600,21600" o:spt="202" path="m,l,21600r21600,l21600,xe">
              <v:stroke joinstyle="miter"/>
              <v:path gradientshapeok="t" o:connecttype="rect"/>
            </v:shapetype>
            <v:shape id="Text Box 5" o:spid="_x0000_s1026" type="#_x0000_t202" alt="Classification : Confidential" style="position:absolute;margin-left:0;margin-top:0;width:139.45pt;height:29.15pt;z-index:251659264;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" filled="f" stroked="f">
              <v:fill o:detectmouseclick="t"/>
              <v:textbox style="mso-fit-shape-to-text:t" inset="20pt,15pt,0,0">
                <w:txbxContent>
                  <w:p w14:paraId="6E6BB640" w14:textId="353B9C94" w:rsidR="003E6096" w:rsidRPr="003E6096" w:rsidRDefault="003E6096" w:rsidP="003E6096">
                    <w:pPr>
                      <w:spacing w:after="0"/>
                      <w:rPr>
                        <w:rFonts w:ascii="Aptos" w:eastAsia="Aptos" w:hAnsi="Aptos" w:cs="Aptos"/>
                        <w:noProof/>
                        <w:color w:val="0000FF"/>
                        <w:sz w:val="20"/>
                        <w:szCs w:val="20"/>
                      </w:rPr>
                    </w:pPr>
                    <w:r w:rsidRPr="003E6096">
                      <w:rPr>
                        <w:rFonts w:ascii="Aptos" w:eastAsia="Aptos" w:hAnsi="Aptos" w:cs="Aptos"/>
                        <w:noProof/>
                        <w:color w:val="0000FF"/>
                        <w:sz w:val="20"/>
                        <w:szCs w:val="20"/>
                      </w:rPr>
                      <w:t>Classification : Confidential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E2A8AD" w14:textId="1D9B6A6C" w:rsidR="007D236A" w:rsidRDefault="003E6096">
    <w:pPr>
      <w:pStyle w:val="Header"/>
    </w:pPr>
    <w:r>
      <w:rPr>
        <w:noProof/>
      </w:rPr>
      <mc:AlternateContent>
        <mc:Choice Requires="wps">
          <w:drawing>
            <wp:anchor distT="0" distB="0" distL="0" distR="0" simplePos="0" relativeHeight="251660288" behindDoc="0" locked="0" layoutInCell="1" allowOverlap="1" wp14:anchorId="6E4E8647" wp14:editId="4E5BB013">
              <wp:simplePos x="635" y="635"/>
              <wp:positionH relativeFrom="page">
                <wp:align>left</wp:align>
              </wp:positionH>
              <wp:positionV relativeFrom="page">
                <wp:align>top</wp:align>
              </wp:positionV>
              <wp:extent cx="1771015" cy="370205"/>
              <wp:effectExtent l="0" t="0" r="635" b="10795"/>
              <wp:wrapNone/>
              <wp:docPr id="330366838" name="Text Box 6" descr="Classification : Confident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771015" cy="370205"/>
                      </a:xfrm>
                      <a:prstGeom prst="rect">
                        <a:avLst/>
                      </a:prstGeom>
                      <a:noFill/>
                      <a:ln>
                        <a:noFill/>
                      </a:ln>
                    </wps:spPr>
                    <wps:txbx>
                      <w:txbxContent>
                        <w:p w14:paraId="7EBF4CF0" w14:textId="0BF77DBD" w:rsidR="003E6096" w:rsidRPr="003E6096" w:rsidRDefault="003E6096" w:rsidP="003E6096">
                          <w:pPr>
                            <w:spacing w:after="0"/>
                            <w:rPr>
                              <w:rFonts w:ascii="Aptos" w:eastAsia="Aptos" w:hAnsi="Aptos" w:cs="Aptos"/>
                              <w:noProof/>
                              <w:color w:val="0000FF"/>
                              <w:sz w:val="20"/>
                              <w:szCs w:val="20"/>
                            </w:rPr>
                          </w:pPr>
                          <w:r w:rsidRPr="003E6096">
                            <w:rPr>
                              <w:rFonts w:ascii="Aptos" w:eastAsia="Aptos" w:hAnsi="Aptos" w:cs="Aptos"/>
                              <w:noProof/>
                              <w:color w:val="0000FF"/>
                              <w:sz w:val="20"/>
                              <w:szCs w:val="20"/>
                            </w:rPr>
                            <w:t>Classification : Confidential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6E4E8647" id="_x0000_t202" coordsize="21600,21600" o:spt="202" path="m,l,21600r21600,l21600,xe">
              <v:stroke joinstyle="miter"/>
              <v:path gradientshapeok="t" o:connecttype="rect"/>
            </v:shapetype>
            <v:shape id="Text Box 6" o:spid="_x0000_s1027" type="#_x0000_t202" alt="Classification : Confidential" style="position:absolute;margin-left:0;margin-top:0;width:139.45pt;height:29.15pt;z-index:251660288;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" filled="f" stroked="f">
              <v:fill o:detectmouseclick="t"/>
              <v:textbox style="mso-fit-shape-to-text:t" inset="20pt,15pt,0,0">
                <w:txbxContent>
                  <w:p w14:paraId="7EBF4CF0" w14:textId="0BF77DBD" w:rsidR="003E6096" w:rsidRPr="003E6096" w:rsidRDefault="003E6096" w:rsidP="003E6096">
                    <w:pPr>
                      <w:spacing w:after="0"/>
                      <w:rPr>
                        <w:rFonts w:ascii="Aptos" w:eastAsia="Aptos" w:hAnsi="Aptos" w:cs="Aptos"/>
                        <w:noProof/>
                        <w:color w:val="0000FF"/>
                        <w:sz w:val="20"/>
                        <w:szCs w:val="20"/>
                      </w:rPr>
                    </w:pPr>
                    <w:r w:rsidRPr="003E6096">
                      <w:rPr>
                        <w:rFonts w:ascii="Aptos" w:eastAsia="Aptos" w:hAnsi="Aptos" w:cs="Aptos"/>
                        <w:noProof/>
                        <w:color w:val="0000FF"/>
                        <w:sz w:val="20"/>
                        <w:szCs w:val="20"/>
                      </w:rPr>
                      <w:t>Classification : Confidential</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8D9DA0" w14:textId="5C55AEC0" w:rsidR="007D236A" w:rsidRDefault="003E6096">
    <w:pPr>
      <w:pStyle w:val="Header"/>
    </w:pPr>
    <w:r>
      <w:rPr>
        <w:noProof/>
      </w:rPr>
      <mc:AlternateContent>
        <mc:Choice Requires="wps">
          <w:drawing>
            <wp:anchor distT="0" distB="0" distL="0" distR="0" simplePos="0" relativeHeight="251658240" behindDoc="0" locked="0" layoutInCell="1" allowOverlap="1" wp14:anchorId="5E1DF548" wp14:editId="176D2482">
              <wp:simplePos x="635" y="635"/>
              <wp:positionH relativeFrom="page">
                <wp:align>left</wp:align>
              </wp:positionH>
              <wp:positionV relativeFrom="page">
                <wp:align>top</wp:align>
              </wp:positionV>
              <wp:extent cx="1771015" cy="370205"/>
              <wp:effectExtent l="0" t="0" r="635" b="10795"/>
              <wp:wrapNone/>
              <wp:docPr id="820517479" name="Text Box 4" descr="Classification : Confident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771015" cy="370205"/>
                      </a:xfrm>
                      <a:prstGeom prst="rect">
                        <a:avLst/>
                      </a:prstGeom>
                      <a:noFill/>
                      <a:ln>
                        <a:noFill/>
                      </a:ln>
                    </wps:spPr>
                    <wps:txbx>
                      <w:txbxContent>
                        <w:p w14:paraId="46F3B32F" w14:textId="0E2DE553" w:rsidR="003E6096" w:rsidRPr="003E6096" w:rsidRDefault="003E6096" w:rsidP="003E6096">
                          <w:pPr>
                            <w:spacing w:after="0"/>
                            <w:rPr>
                              <w:rFonts w:ascii="Aptos" w:eastAsia="Aptos" w:hAnsi="Aptos" w:cs="Aptos"/>
                              <w:noProof/>
                              <w:color w:val="0000FF"/>
                              <w:sz w:val="20"/>
                              <w:szCs w:val="20"/>
                            </w:rPr>
                          </w:pPr>
                          <w:r w:rsidRPr="003E6096">
                            <w:rPr>
                              <w:rFonts w:ascii="Aptos" w:eastAsia="Aptos" w:hAnsi="Aptos" w:cs="Aptos"/>
                              <w:noProof/>
                              <w:color w:val="0000FF"/>
                              <w:sz w:val="20"/>
                              <w:szCs w:val="20"/>
                            </w:rPr>
                            <w:t>Classification : Confidential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5E1DF548" id="_x0000_t202" coordsize="21600,21600" o:spt="202" path="m,l,21600r21600,l21600,xe">
              <v:stroke joinstyle="miter"/>
              <v:path gradientshapeok="t" o:connecttype="rect"/>
            </v:shapetype>
            <v:shape id="Text Box 4" o:spid="_x0000_s1028" type="#_x0000_t202" alt="Classification : Confidential" style="position:absolute;margin-left:0;margin-top:0;width:139.45pt;height:29.15pt;z-index:251658240;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" filled="f" stroked="f">
              <v:fill o:detectmouseclick="t"/>
              <v:textbox style="mso-fit-shape-to-text:t" inset="20pt,15pt,0,0">
                <w:txbxContent>
                  <w:p w14:paraId="46F3B32F" w14:textId="0E2DE553" w:rsidR="003E6096" w:rsidRPr="003E6096" w:rsidRDefault="003E6096" w:rsidP="003E6096">
                    <w:pPr>
                      <w:spacing w:after="0"/>
                      <w:rPr>
                        <w:rFonts w:ascii="Aptos" w:eastAsia="Aptos" w:hAnsi="Aptos" w:cs="Aptos"/>
                        <w:noProof/>
                        <w:color w:val="0000FF"/>
                        <w:sz w:val="20"/>
                        <w:szCs w:val="20"/>
                      </w:rPr>
                    </w:pPr>
                    <w:r w:rsidRPr="003E6096">
                      <w:rPr>
                        <w:rFonts w:ascii="Aptos" w:eastAsia="Aptos" w:hAnsi="Aptos" w:cs="Aptos"/>
                        <w:noProof/>
                        <w:color w:val="0000FF"/>
                        <w:sz w:val="20"/>
                        <w:szCs w:val="20"/>
                      </w:rPr>
                      <w:t>Classification : Confidential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756AC"/>
    <w:multiLevelType w:val="multilevel"/>
    <w:tmpl w:val="968C1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387623"/>
    <w:multiLevelType w:val="multilevel"/>
    <w:tmpl w:val="F42E4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6A6CE2"/>
    <w:multiLevelType w:val="multilevel"/>
    <w:tmpl w:val="AECC6B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2594EAF"/>
    <w:multiLevelType w:val="multilevel"/>
    <w:tmpl w:val="847AB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4CD6743"/>
    <w:multiLevelType w:val="multilevel"/>
    <w:tmpl w:val="71F41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72B1FD8"/>
    <w:multiLevelType w:val="multilevel"/>
    <w:tmpl w:val="B5086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89857D4"/>
    <w:multiLevelType w:val="hybridMultilevel"/>
    <w:tmpl w:val="497A1EE4"/>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8FD0ECF"/>
    <w:multiLevelType w:val="multilevel"/>
    <w:tmpl w:val="C1820D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92F7F41"/>
    <w:multiLevelType w:val="multilevel"/>
    <w:tmpl w:val="81180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C460BFC"/>
    <w:multiLevelType w:val="multilevel"/>
    <w:tmpl w:val="0E286B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F0977D3"/>
    <w:multiLevelType w:val="hybridMultilevel"/>
    <w:tmpl w:val="75B634DA"/>
    <w:lvl w:ilvl="0" w:tplc="6B74A4E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2753ED7"/>
    <w:multiLevelType w:val="multilevel"/>
    <w:tmpl w:val="0A2A3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4BC3568"/>
    <w:multiLevelType w:val="multilevel"/>
    <w:tmpl w:val="0B004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82F74A8"/>
    <w:multiLevelType w:val="multilevel"/>
    <w:tmpl w:val="4C3C10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A61346D"/>
    <w:multiLevelType w:val="multilevel"/>
    <w:tmpl w:val="EC24B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ACE171A"/>
    <w:multiLevelType w:val="multilevel"/>
    <w:tmpl w:val="F98CF6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D823B31"/>
    <w:multiLevelType w:val="multilevel"/>
    <w:tmpl w:val="221A813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E501265"/>
    <w:multiLevelType w:val="multilevel"/>
    <w:tmpl w:val="A866BB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F164718"/>
    <w:multiLevelType w:val="multilevel"/>
    <w:tmpl w:val="31B8D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12839F0"/>
    <w:multiLevelType w:val="multilevel"/>
    <w:tmpl w:val="E6C484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729093A"/>
    <w:multiLevelType w:val="multilevel"/>
    <w:tmpl w:val="32229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7551D01"/>
    <w:multiLevelType w:val="multilevel"/>
    <w:tmpl w:val="C12E8B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D641E8E"/>
    <w:multiLevelType w:val="multilevel"/>
    <w:tmpl w:val="E34C7C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DEB5D75"/>
    <w:multiLevelType w:val="multilevel"/>
    <w:tmpl w:val="26A4E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0B41415"/>
    <w:multiLevelType w:val="multilevel"/>
    <w:tmpl w:val="47ACE0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0BE33F2"/>
    <w:multiLevelType w:val="multilevel"/>
    <w:tmpl w:val="F78430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0E2780B"/>
    <w:multiLevelType w:val="hybridMultilevel"/>
    <w:tmpl w:val="365CF5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34D589F"/>
    <w:multiLevelType w:val="multilevel"/>
    <w:tmpl w:val="03BC7F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3402626F"/>
    <w:multiLevelType w:val="multilevel"/>
    <w:tmpl w:val="0C8A7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54D116F"/>
    <w:multiLevelType w:val="multilevel"/>
    <w:tmpl w:val="E356FD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35B06E2D"/>
    <w:multiLevelType w:val="multilevel"/>
    <w:tmpl w:val="14A8C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6AA491A"/>
    <w:multiLevelType w:val="multilevel"/>
    <w:tmpl w:val="436876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7520290"/>
    <w:multiLevelType w:val="multilevel"/>
    <w:tmpl w:val="D4FC88D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3AC0077B"/>
    <w:multiLevelType w:val="multilevel"/>
    <w:tmpl w:val="42E4B0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AD110EC"/>
    <w:multiLevelType w:val="multilevel"/>
    <w:tmpl w:val="C0262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BE04239"/>
    <w:multiLevelType w:val="multilevel"/>
    <w:tmpl w:val="A4E6AA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3EB613B3"/>
    <w:multiLevelType w:val="multilevel"/>
    <w:tmpl w:val="B66CF5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EE80FCA"/>
    <w:multiLevelType w:val="multilevel"/>
    <w:tmpl w:val="DBFAB4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F0E2E19"/>
    <w:multiLevelType w:val="multilevel"/>
    <w:tmpl w:val="5672B8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40634F7D"/>
    <w:multiLevelType w:val="multilevel"/>
    <w:tmpl w:val="8A08F02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44EC6209"/>
    <w:multiLevelType w:val="multilevel"/>
    <w:tmpl w:val="5E5C67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4733444D"/>
    <w:multiLevelType w:val="multilevel"/>
    <w:tmpl w:val="F2D098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9546F9E"/>
    <w:multiLevelType w:val="hybridMultilevel"/>
    <w:tmpl w:val="A81006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4AAA2A04"/>
    <w:multiLevelType w:val="multilevel"/>
    <w:tmpl w:val="433E13C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B7513B1"/>
    <w:multiLevelType w:val="multilevel"/>
    <w:tmpl w:val="534E2F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01750E4"/>
    <w:multiLevelType w:val="multilevel"/>
    <w:tmpl w:val="24EE42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40A4F7E"/>
    <w:multiLevelType w:val="multilevel"/>
    <w:tmpl w:val="9A5AE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732503C"/>
    <w:multiLevelType w:val="multilevel"/>
    <w:tmpl w:val="AC26D8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58D82A72"/>
    <w:multiLevelType w:val="multilevel"/>
    <w:tmpl w:val="33F81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B050EC6"/>
    <w:multiLevelType w:val="multilevel"/>
    <w:tmpl w:val="0D943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E220AB1"/>
    <w:multiLevelType w:val="multilevel"/>
    <w:tmpl w:val="A45E5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FFF755F"/>
    <w:multiLevelType w:val="multilevel"/>
    <w:tmpl w:val="3FC25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43A5B73"/>
    <w:multiLevelType w:val="multilevel"/>
    <w:tmpl w:val="2FC85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7EF187B"/>
    <w:multiLevelType w:val="multilevel"/>
    <w:tmpl w:val="A5CAE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683630A2"/>
    <w:multiLevelType w:val="multilevel"/>
    <w:tmpl w:val="E6D4D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692B6CD0"/>
    <w:multiLevelType w:val="multilevel"/>
    <w:tmpl w:val="8DB28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6A1F784C"/>
    <w:multiLevelType w:val="multilevel"/>
    <w:tmpl w:val="A7842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6D412557"/>
    <w:multiLevelType w:val="multilevel"/>
    <w:tmpl w:val="4F40D5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6E8A7733"/>
    <w:multiLevelType w:val="multilevel"/>
    <w:tmpl w:val="7F58C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6F9E3DBC"/>
    <w:multiLevelType w:val="hybridMultilevel"/>
    <w:tmpl w:val="D8721E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72364837"/>
    <w:multiLevelType w:val="multilevel"/>
    <w:tmpl w:val="4DA6371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755F0FB2"/>
    <w:multiLevelType w:val="multilevel"/>
    <w:tmpl w:val="8D0ED5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759C2F13"/>
    <w:multiLevelType w:val="multilevel"/>
    <w:tmpl w:val="53FEA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77C51E39"/>
    <w:multiLevelType w:val="multilevel"/>
    <w:tmpl w:val="2ED898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7A6C46D4"/>
    <w:multiLevelType w:val="multilevel"/>
    <w:tmpl w:val="0690FA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7A8061C8"/>
    <w:multiLevelType w:val="multilevel"/>
    <w:tmpl w:val="F24017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7CD54614"/>
    <w:multiLevelType w:val="multilevel"/>
    <w:tmpl w:val="6B1468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7CE22C2D"/>
    <w:multiLevelType w:val="multilevel"/>
    <w:tmpl w:val="F1888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16651379">
    <w:abstractNumId w:val="27"/>
  </w:num>
  <w:num w:numId="2" w16cid:durableId="986864889">
    <w:abstractNumId w:val="2"/>
  </w:num>
  <w:num w:numId="3" w16cid:durableId="953823862">
    <w:abstractNumId w:val="40"/>
  </w:num>
  <w:num w:numId="4" w16cid:durableId="331880162">
    <w:abstractNumId w:val="4"/>
  </w:num>
  <w:num w:numId="5" w16cid:durableId="1613589853">
    <w:abstractNumId w:val="50"/>
  </w:num>
  <w:num w:numId="6" w16cid:durableId="1410076306">
    <w:abstractNumId w:val="61"/>
  </w:num>
  <w:num w:numId="7" w16cid:durableId="1038773960">
    <w:abstractNumId w:val="15"/>
  </w:num>
  <w:num w:numId="8" w16cid:durableId="170411705">
    <w:abstractNumId w:val="23"/>
  </w:num>
  <w:num w:numId="9" w16cid:durableId="239020249">
    <w:abstractNumId w:val="44"/>
  </w:num>
  <w:num w:numId="10" w16cid:durableId="1832022734">
    <w:abstractNumId w:val="19"/>
  </w:num>
  <w:num w:numId="11" w16cid:durableId="1929121347">
    <w:abstractNumId w:val="57"/>
  </w:num>
  <w:num w:numId="12" w16cid:durableId="420222096">
    <w:abstractNumId w:val="9"/>
  </w:num>
  <w:num w:numId="13" w16cid:durableId="1599024144">
    <w:abstractNumId w:val="47"/>
  </w:num>
  <w:num w:numId="14" w16cid:durableId="209615438">
    <w:abstractNumId w:val="7"/>
  </w:num>
  <w:num w:numId="15" w16cid:durableId="1273711405">
    <w:abstractNumId w:val="67"/>
  </w:num>
  <w:num w:numId="16" w16cid:durableId="1527862945">
    <w:abstractNumId w:val="32"/>
  </w:num>
  <w:num w:numId="17" w16cid:durableId="2121951326">
    <w:abstractNumId w:val="25"/>
  </w:num>
  <w:num w:numId="18" w16cid:durableId="1153832429">
    <w:abstractNumId w:val="16"/>
  </w:num>
  <w:num w:numId="19" w16cid:durableId="1155533341">
    <w:abstractNumId w:val="41"/>
  </w:num>
  <w:num w:numId="20" w16cid:durableId="2048484653">
    <w:abstractNumId w:val="60"/>
  </w:num>
  <w:num w:numId="21" w16cid:durableId="1425416612">
    <w:abstractNumId w:val="22"/>
  </w:num>
  <w:num w:numId="22" w16cid:durableId="1793789145">
    <w:abstractNumId w:val="39"/>
  </w:num>
  <w:num w:numId="23" w16cid:durableId="1697733062">
    <w:abstractNumId w:val="13"/>
  </w:num>
  <w:num w:numId="24" w16cid:durableId="1710952714">
    <w:abstractNumId w:val="36"/>
  </w:num>
  <w:num w:numId="25" w16cid:durableId="1662539810">
    <w:abstractNumId w:val="45"/>
  </w:num>
  <w:num w:numId="26" w16cid:durableId="1279216212">
    <w:abstractNumId w:val="66"/>
  </w:num>
  <w:num w:numId="27" w16cid:durableId="134951634">
    <w:abstractNumId w:val="35"/>
  </w:num>
  <w:num w:numId="28" w16cid:durableId="198785775">
    <w:abstractNumId w:val="49"/>
  </w:num>
  <w:num w:numId="29" w16cid:durableId="1111322226">
    <w:abstractNumId w:val="18"/>
  </w:num>
  <w:num w:numId="30" w16cid:durableId="1848054283">
    <w:abstractNumId w:val="30"/>
  </w:num>
  <w:num w:numId="31" w16cid:durableId="1944721799">
    <w:abstractNumId w:val="53"/>
  </w:num>
  <w:num w:numId="32" w16cid:durableId="60759515">
    <w:abstractNumId w:val="0"/>
  </w:num>
  <w:num w:numId="33" w16cid:durableId="429206406">
    <w:abstractNumId w:val="59"/>
  </w:num>
  <w:num w:numId="34" w16cid:durableId="799881455">
    <w:abstractNumId w:val="5"/>
  </w:num>
  <w:num w:numId="35" w16cid:durableId="1957442076">
    <w:abstractNumId w:val="51"/>
  </w:num>
  <w:num w:numId="36" w16cid:durableId="1820263950">
    <w:abstractNumId w:val="8"/>
  </w:num>
  <w:num w:numId="37" w16cid:durableId="1974169950">
    <w:abstractNumId w:val="63"/>
  </w:num>
  <w:num w:numId="38" w16cid:durableId="693657812">
    <w:abstractNumId w:val="56"/>
  </w:num>
  <w:num w:numId="39" w16cid:durableId="538126782">
    <w:abstractNumId w:val="58"/>
  </w:num>
  <w:num w:numId="40" w16cid:durableId="396326460">
    <w:abstractNumId w:val="21"/>
  </w:num>
  <w:num w:numId="41" w16cid:durableId="78448598">
    <w:abstractNumId w:val="33"/>
  </w:num>
  <w:num w:numId="42" w16cid:durableId="1429229074">
    <w:abstractNumId w:val="48"/>
  </w:num>
  <w:num w:numId="43" w16cid:durableId="935092176">
    <w:abstractNumId w:val="37"/>
  </w:num>
  <w:num w:numId="44" w16cid:durableId="978652747">
    <w:abstractNumId w:val="64"/>
  </w:num>
  <w:num w:numId="45" w16cid:durableId="902060105">
    <w:abstractNumId w:val="3"/>
  </w:num>
  <w:num w:numId="46" w16cid:durableId="1922594465">
    <w:abstractNumId w:val="20"/>
  </w:num>
  <w:num w:numId="47" w16cid:durableId="1544487126">
    <w:abstractNumId w:val="43"/>
  </w:num>
  <w:num w:numId="48" w16cid:durableId="1030109701">
    <w:abstractNumId w:val="34"/>
  </w:num>
  <w:num w:numId="49" w16cid:durableId="1287589092">
    <w:abstractNumId w:val="10"/>
  </w:num>
  <w:num w:numId="50" w16cid:durableId="2020542447">
    <w:abstractNumId w:val="12"/>
  </w:num>
  <w:num w:numId="51" w16cid:durableId="804657845">
    <w:abstractNumId w:val="38"/>
  </w:num>
  <w:num w:numId="52" w16cid:durableId="507524831">
    <w:abstractNumId w:val="54"/>
  </w:num>
  <w:num w:numId="53" w16cid:durableId="227232939">
    <w:abstractNumId w:val="24"/>
  </w:num>
  <w:num w:numId="54" w16cid:durableId="1912346246">
    <w:abstractNumId w:val="52"/>
  </w:num>
  <w:num w:numId="55" w16cid:durableId="572160549">
    <w:abstractNumId w:val="6"/>
  </w:num>
  <w:num w:numId="56" w16cid:durableId="907304644">
    <w:abstractNumId w:val="11"/>
  </w:num>
  <w:num w:numId="57" w16cid:durableId="685206754">
    <w:abstractNumId w:val="14"/>
  </w:num>
  <w:num w:numId="58" w16cid:durableId="1577742868">
    <w:abstractNumId w:val="62"/>
  </w:num>
  <w:num w:numId="59" w16cid:durableId="212153654">
    <w:abstractNumId w:val="1"/>
  </w:num>
  <w:num w:numId="60" w16cid:durableId="2131968593">
    <w:abstractNumId w:val="55"/>
  </w:num>
  <w:num w:numId="61" w16cid:durableId="103810462">
    <w:abstractNumId w:val="31"/>
  </w:num>
  <w:num w:numId="62" w16cid:durableId="1356537789">
    <w:abstractNumId w:val="65"/>
  </w:num>
  <w:num w:numId="63" w16cid:durableId="325329726">
    <w:abstractNumId w:val="46"/>
  </w:num>
  <w:num w:numId="64" w16cid:durableId="1110128575">
    <w:abstractNumId w:val="28"/>
  </w:num>
  <w:num w:numId="65" w16cid:durableId="1024017492">
    <w:abstractNumId w:val="17"/>
  </w:num>
  <w:num w:numId="66" w16cid:durableId="2130929317">
    <w:abstractNumId w:val="29"/>
  </w:num>
  <w:num w:numId="67" w16cid:durableId="716706948">
    <w:abstractNumId w:val="42"/>
  </w:num>
  <w:num w:numId="68" w16cid:durableId="1052198473">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87"/>
  <w:drawingGridVerticalSpacing w:val="187"/>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5E32"/>
    <w:rsid w:val="00000AF4"/>
    <w:rsid w:val="00004913"/>
    <w:rsid w:val="00014CCA"/>
    <w:rsid w:val="00053B6A"/>
    <w:rsid w:val="000562D1"/>
    <w:rsid w:val="000624F4"/>
    <w:rsid w:val="00066BA1"/>
    <w:rsid w:val="00070B46"/>
    <w:rsid w:val="00075D62"/>
    <w:rsid w:val="000911A0"/>
    <w:rsid w:val="00093C46"/>
    <w:rsid w:val="000A61DA"/>
    <w:rsid w:val="000B2A75"/>
    <w:rsid w:val="000B6EA8"/>
    <w:rsid w:val="000C0834"/>
    <w:rsid w:val="000C25E8"/>
    <w:rsid w:val="000C5DED"/>
    <w:rsid w:val="000F0846"/>
    <w:rsid w:val="00106CB0"/>
    <w:rsid w:val="0011038C"/>
    <w:rsid w:val="00166797"/>
    <w:rsid w:val="001722A4"/>
    <w:rsid w:val="001A646F"/>
    <w:rsid w:val="001B7C42"/>
    <w:rsid w:val="001C6F50"/>
    <w:rsid w:val="001D121B"/>
    <w:rsid w:val="00203FF4"/>
    <w:rsid w:val="00207610"/>
    <w:rsid w:val="00210948"/>
    <w:rsid w:val="00210F86"/>
    <w:rsid w:val="00213E3B"/>
    <w:rsid w:val="00226EFD"/>
    <w:rsid w:val="00227EBC"/>
    <w:rsid w:val="0023035F"/>
    <w:rsid w:val="002351CC"/>
    <w:rsid w:val="002447F5"/>
    <w:rsid w:val="00251BCF"/>
    <w:rsid w:val="0028188D"/>
    <w:rsid w:val="002B028D"/>
    <w:rsid w:val="002B6BC2"/>
    <w:rsid w:val="002E2A01"/>
    <w:rsid w:val="003126B7"/>
    <w:rsid w:val="00327111"/>
    <w:rsid w:val="003464C6"/>
    <w:rsid w:val="00346CE4"/>
    <w:rsid w:val="00347A2F"/>
    <w:rsid w:val="00347BCF"/>
    <w:rsid w:val="0036244E"/>
    <w:rsid w:val="00362BC6"/>
    <w:rsid w:val="003637AE"/>
    <w:rsid w:val="00363F25"/>
    <w:rsid w:val="00366B73"/>
    <w:rsid w:val="00393062"/>
    <w:rsid w:val="00397000"/>
    <w:rsid w:val="00397D41"/>
    <w:rsid w:val="003B4F6A"/>
    <w:rsid w:val="003C0EEF"/>
    <w:rsid w:val="003D72F9"/>
    <w:rsid w:val="003E6096"/>
    <w:rsid w:val="003F4102"/>
    <w:rsid w:val="003F53C4"/>
    <w:rsid w:val="00402174"/>
    <w:rsid w:val="004050CB"/>
    <w:rsid w:val="00414AF0"/>
    <w:rsid w:val="004166CC"/>
    <w:rsid w:val="004349F7"/>
    <w:rsid w:val="00435C4E"/>
    <w:rsid w:val="0043747F"/>
    <w:rsid w:val="00437601"/>
    <w:rsid w:val="00442566"/>
    <w:rsid w:val="00443C57"/>
    <w:rsid w:val="00443E34"/>
    <w:rsid w:val="004559D9"/>
    <w:rsid w:val="00477B32"/>
    <w:rsid w:val="00484F3F"/>
    <w:rsid w:val="0049092B"/>
    <w:rsid w:val="004A6C10"/>
    <w:rsid w:val="004B4B7A"/>
    <w:rsid w:val="004B7E26"/>
    <w:rsid w:val="004C238F"/>
    <w:rsid w:val="004C51BA"/>
    <w:rsid w:val="004C52D2"/>
    <w:rsid w:val="004D65D6"/>
    <w:rsid w:val="004E3654"/>
    <w:rsid w:val="00512EDC"/>
    <w:rsid w:val="0052668E"/>
    <w:rsid w:val="005268EF"/>
    <w:rsid w:val="005506C9"/>
    <w:rsid w:val="00551EC1"/>
    <w:rsid w:val="00560968"/>
    <w:rsid w:val="0056272B"/>
    <w:rsid w:val="00565054"/>
    <w:rsid w:val="0057211A"/>
    <w:rsid w:val="00575D94"/>
    <w:rsid w:val="0058423E"/>
    <w:rsid w:val="00590EB6"/>
    <w:rsid w:val="005B1D33"/>
    <w:rsid w:val="005B1DF3"/>
    <w:rsid w:val="005B4ADB"/>
    <w:rsid w:val="005C146C"/>
    <w:rsid w:val="005C5913"/>
    <w:rsid w:val="005C69F7"/>
    <w:rsid w:val="005C7A3E"/>
    <w:rsid w:val="005D0C3D"/>
    <w:rsid w:val="005F58B9"/>
    <w:rsid w:val="0060629A"/>
    <w:rsid w:val="006123C0"/>
    <w:rsid w:val="006309EB"/>
    <w:rsid w:val="00642A8F"/>
    <w:rsid w:val="00646297"/>
    <w:rsid w:val="00661642"/>
    <w:rsid w:val="00663E80"/>
    <w:rsid w:val="0066769A"/>
    <w:rsid w:val="00682381"/>
    <w:rsid w:val="00683348"/>
    <w:rsid w:val="0068538C"/>
    <w:rsid w:val="00696069"/>
    <w:rsid w:val="006E6C98"/>
    <w:rsid w:val="0070263E"/>
    <w:rsid w:val="007129C6"/>
    <w:rsid w:val="00725A10"/>
    <w:rsid w:val="00737A07"/>
    <w:rsid w:val="0074784E"/>
    <w:rsid w:val="00747BBF"/>
    <w:rsid w:val="0075104E"/>
    <w:rsid w:val="00752314"/>
    <w:rsid w:val="00757126"/>
    <w:rsid w:val="00763575"/>
    <w:rsid w:val="00783BBA"/>
    <w:rsid w:val="00791B62"/>
    <w:rsid w:val="007952EF"/>
    <w:rsid w:val="007C5947"/>
    <w:rsid w:val="007C60A0"/>
    <w:rsid w:val="007D236A"/>
    <w:rsid w:val="007D2793"/>
    <w:rsid w:val="007D42A6"/>
    <w:rsid w:val="00801207"/>
    <w:rsid w:val="00813C94"/>
    <w:rsid w:val="008215B8"/>
    <w:rsid w:val="008222CF"/>
    <w:rsid w:val="008432CB"/>
    <w:rsid w:val="008458CE"/>
    <w:rsid w:val="00865690"/>
    <w:rsid w:val="00870ACC"/>
    <w:rsid w:val="00874BBD"/>
    <w:rsid w:val="00876B9A"/>
    <w:rsid w:val="00894322"/>
    <w:rsid w:val="008A0BFC"/>
    <w:rsid w:val="008D503B"/>
    <w:rsid w:val="008D569C"/>
    <w:rsid w:val="008D71C2"/>
    <w:rsid w:val="00910CAC"/>
    <w:rsid w:val="0093211F"/>
    <w:rsid w:val="00932BCB"/>
    <w:rsid w:val="00932BCC"/>
    <w:rsid w:val="009569CA"/>
    <w:rsid w:val="009848E1"/>
    <w:rsid w:val="009A2A3E"/>
    <w:rsid w:val="009A68E4"/>
    <w:rsid w:val="009B6BB6"/>
    <w:rsid w:val="009D08FC"/>
    <w:rsid w:val="009D2B07"/>
    <w:rsid w:val="009E095C"/>
    <w:rsid w:val="00A04F7F"/>
    <w:rsid w:val="00A05931"/>
    <w:rsid w:val="00A3269E"/>
    <w:rsid w:val="00A3445A"/>
    <w:rsid w:val="00A34C77"/>
    <w:rsid w:val="00A57F51"/>
    <w:rsid w:val="00A73313"/>
    <w:rsid w:val="00A73D29"/>
    <w:rsid w:val="00A7499F"/>
    <w:rsid w:val="00A8644B"/>
    <w:rsid w:val="00A93C1B"/>
    <w:rsid w:val="00A97A04"/>
    <w:rsid w:val="00AB02EA"/>
    <w:rsid w:val="00AB50B3"/>
    <w:rsid w:val="00AC1EFC"/>
    <w:rsid w:val="00AD2074"/>
    <w:rsid w:val="00AD5E00"/>
    <w:rsid w:val="00B07BF7"/>
    <w:rsid w:val="00B10EE9"/>
    <w:rsid w:val="00B121D8"/>
    <w:rsid w:val="00B12AA8"/>
    <w:rsid w:val="00B17FC3"/>
    <w:rsid w:val="00B30D6D"/>
    <w:rsid w:val="00B32410"/>
    <w:rsid w:val="00B375C9"/>
    <w:rsid w:val="00B473F9"/>
    <w:rsid w:val="00B473FB"/>
    <w:rsid w:val="00B50F90"/>
    <w:rsid w:val="00B57322"/>
    <w:rsid w:val="00B842D6"/>
    <w:rsid w:val="00B9075D"/>
    <w:rsid w:val="00B950F1"/>
    <w:rsid w:val="00B968E5"/>
    <w:rsid w:val="00BE2521"/>
    <w:rsid w:val="00BF2C1C"/>
    <w:rsid w:val="00BF4F80"/>
    <w:rsid w:val="00BF5384"/>
    <w:rsid w:val="00BF57DB"/>
    <w:rsid w:val="00BF5E6A"/>
    <w:rsid w:val="00BF7FA1"/>
    <w:rsid w:val="00C02612"/>
    <w:rsid w:val="00C21372"/>
    <w:rsid w:val="00C4499A"/>
    <w:rsid w:val="00C642DD"/>
    <w:rsid w:val="00C6496E"/>
    <w:rsid w:val="00C82ADC"/>
    <w:rsid w:val="00C954DE"/>
    <w:rsid w:val="00CA39BD"/>
    <w:rsid w:val="00CB5432"/>
    <w:rsid w:val="00CD41FC"/>
    <w:rsid w:val="00CD46C2"/>
    <w:rsid w:val="00CE3996"/>
    <w:rsid w:val="00CF17F0"/>
    <w:rsid w:val="00CF282E"/>
    <w:rsid w:val="00D0064F"/>
    <w:rsid w:val="00D173AE"/>
    <w:rsid w:val="00D30747"/>
    <w:rsid w:val="00D4175D"/>
    <w:rsid w:val="00D4467C"/>
    <w:rsid w:val="00D777A3"/>
    <w:rsid w:val="00D820D9"/>
    <w:rsid w:val="00DA0D2F"/>
    <w:rsid w:val="00DB5D13"/>
    <w:rsid w:val="00DB6650"/>
    <w:rsid w:val="00DB6E93"/>
    <w:rsid w:val="00DC6D12"/>
    <w:rsid w:val="00DD2025"/>
    <w:rsid w:val="00DD79AC"/>
    <w:rsid w:val="00DE47BC"/>
    <w:rsid w:val="00E02C14"/>
    <w:rsid w:val="00E56DF6"/>
    <w:rsid w:val="00E679F7"/>
    <w:rsid w:val="00E94FF0"/>
    <w:rsid w:val="00EA638F"/>
    <w:rsid w:val="00EB7819"/>
    <w:rsid w:val="00EF1904"/>
    <w:rsid w:val="00F172AD"/>
    <w:rsid w:val="00F27899"/>
    <w:rsid w:val="00F65B78"/>
    <w:rsid w:val="00F661F3"/>
    <w:rsid w:val="00F85E32"/>
    <w:rsid w:val="00F87907"/>
    <w:rsid w:val="00F9321B"/>
    <w:rsid w:val="00FA2C01"/>
    <w:rsid w:val="00FB6DB2"/>
    <w:rsid w:val="00FC2FE1"/>
    <w:rsid w:val="00FC6178"/>
    <w:rsid w:val="00FF2497"/>
    <w:rsid w:val="00FF358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3B5157"/>
  <w15:chartTrackingRefBased/>
  <w15:docId w15:val="{7E321418-5DC1-4A96-AECE-6D06E4AAC5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85E3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85E3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85E3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85E3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85E3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85E3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85E3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85E3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85E3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85E3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85E3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85E3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85E3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85E3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85E3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85E3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85E3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85E32"/>
    <w:rPr>
      <w:rFonts w:eastAsiaTheme="majorEastAsia" w:cstheme="majorBidi"/>
      <w:color w:val="272727" w:themeColor="text1" w:themeTint="D8"/>
    </w:rPr>
  </w:style>
  <w:style w:type="paragraph" w:styleId="Title">
    <w:name w:val="Title"/>
    <w:basedOn w:val="Normal"/>
    <w:next w:val="Normal"/>
    <w:link w:val="TitleChar"/>
    <w:uiPriority w:val="10"/>
    <w:qFormat/>
    <w:rsid w:val="00F85E3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85E3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85E3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85E3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85E32"/>
    <w:pPr>
      <w:spacing w:before="160"/>
      <w:jc w:val="center"/>
    </w:pPr>
    <w:rPr>
      <w:i/>
      <w:iCs/>
      <w:color w:val="404040" w:themeColor="text1" w:themeTint="BF"/>
    </w:rPr>
  </w:style>
  <w:style w:type="character" w:customStyle="1" w:styleId="QuoteChar">
    <w:name w:val="Quote Char"/>
    <w:basedOn w:val="DefaultParagraphFont"/>
    <w:link w:val="Quote"/>
    <w:uiPriority w:val="29"/>
    <w:rsid w:val="00F85E32"/>
    <w:rPr>
      <w:i/>
      <w:iCs/>
      <w:color w:val="404040" w:themeColor="text1" w:themeTint="BF"/>
    </w:rPr>
  </w:style>
  <w:style w:type="paragraph" w:styleId="ListParagraph">
    <w:name w:val="List Paragraph"/>
    <w:basedOn w:val="Normal"/>
    <w:uiPriority w:val="34"/>
    <w:qFormat/>
    <w:rsid w:val="00F85E32"/>
    <w:pPr>
      <w:ind w:left="720"/>
      <w:contextualSpacing/>
    </w:pPr>
  </w:style>
  <w:style w:type="character" w:styleId="IntenseEmphasis">
    <w:name w:val="Intense Emphasis"/>
    <w:basedOn w:val="DefaultParagraphFont"/>
    <w:uiPriority w:val="21"/>
    <w:qFormat/>
    <w:rsid w:val="00F85E32"/>
    <w:rPr>
      <w:i/>
      <w:iCs/>
      <w:color w:val="0F4761" w:themeColor="accent1" w:themeShade="BF"/>
    </w:rPr>
  </w:style>
  <w:style w:type="paragraph" w:styleId="IntenseQuote">
    <w:name w:val="Intense Quote"/>
    <w:basedOn w:val="Normal"/>
    <w:next w:val="Normal"/>
    <w:link w:val="IntenseQuoteChar"/>
    <w:uiPriority w:val="30"/>
    <w:qFormat/>
    <w:rsid w:val="00F85E3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85E32"/>
    <w:rPr>
      <w:i/>
      <w:iCs/>
      <w:color w:val="0F4761" w:themeColor="accent1" w:themeShade="BF"/>
    </w:rPr>
  </w:style>
  <w:style w:type="character" w:styleId="IntenseReference">
    <w:name w:val="Intense Reference"/>
    <w:basedOn w:val="DefaultParagraphFont"/>
    <w:uiPriority w:val="32"/>
    <w:qFormat/>
    <w:rsid w:val="00F85E32"/>
    <w:rPr>
      <w:b/>
      <w:bCs/>
      <w:smallCaps/>
      <w:color w:val="0F4761" w:themeColor="accent1" w:themeShade="BF"/>
      <w:spacing w:val="5"/>
    </w:rPr>
  </w:style>
  <w:style w:type="paragraph" w:styleId="NormalWeb">
    <w:name w:val="Normal (Web)"/>
    <w:basedOn w:val="Normal"/>
    <w:uiPriority w:val="99"/>
    <w:semiHidden/>
    <w:unhideWhenUsed/>
    <w:rsid w:val="001C6F50"/>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Header">
    <w:name w:val="header"/>
    <w:basedOn w:val="Normal"/>
    <w:link w:val="HeaderChar"/>
    <w:uiPriority w:val="99"/>
    <w:unhideWhenUsed/>
    <w:rsid w:val="007D236A"/>
    <w:pPr>
      <w:tabs>
        <w:tab w:val="center" w:pos="4680"/>
        <w:tab w:val="right" w:pos="9360"/>
      </w:tabs>
      <w:spacing w:after="0" w:line="240" w:lineRule="auto"/>
    </w:pPr>
  </w:style>
  <w:style w:type="character" w:customStyle="1" w:styleId="HeaderChar">
    <w:name w:val="Header Char"/>
    <w:basedOn w:val="DefaultParagraphFont"/>
    <w:link w:val="Header"/>
    <w:uiPriority w:val="99"/>
    <w:rsid w:val="007D236A"/>
  </w:style>
  <w:style w:type="table" w:styleId="TableGrid">
    <w:name w:val="Table Grid"/>
    <w:basedOn w:val="TableNormal"/>
    <w:uiPriority w:val="39"/>
    <w:rsid w:val="00DB66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70263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40509">
      <w:bodyDiv w:val="1"/>
      <w:marLeft w:val="0"/>
      <w:marRight w:val="0"/>
      <w:marTop w:val="0"/>
      <w:marBottom w:val="0"/>
      <w:divBdr>
        <w:top w:val="none" w:sz="0" w:space="0" w:color="auto"/>
        <w:left w:val="none" w:sz="0" w:space="0" w:color="auto"/>
        <w:bottom w:val="none" w:sz="0" w:space="0" w:color="auto"/>
        <w:right w:val="none" w:sz="0" w:space="0" w:color="auto"/>
      </w:divBdr>
    </w:div>
    <w:div w:id="21902870">
      <w:bodyDiv w:val="1"/>
      <w:marLeft w:val="0"/>
      <w:marRight w:val="0"/>
      <w:marTop w:val="0"/>
      <w:marBottom w:val="0"/>
      <w:divBdr>
        <w:top w:val="none" w:sz="0" w:space="0" w:color="auto"/>
        <w:left w:val="none" w:sz="0" w:space="0" w:color="auto"/>
        <w:bottom w:val="none" w:sz="0" w:space="0" w:color="auto"/>
        <w:right w:val="none" w:sz="0" w:space="0" w:color="auto"/>
      </w:divBdr>
    </w:div>
    <w:div w:id="89160546">
      <w:bodyDiv w:val="1"/>
      <w:marLeft w:val="0"/>
      <w:marRight w:val="0"/>
      <w:marTop w:val="0"/>
      <w:marBottom w:val="0"/>
      <w:divBdr>
        <w:top w:val="none" w:sz="0" w:space="0" w:color="auto"/>
        <w:left w:val="none" w:sz="0" w:space="0" w:color="auto"/>
        <w:bottom w:val="none" w:sz="0" w:space="0" w:color="auto"/>
        <w:right w:val="none" w:sz="0" w:space="0" w:color="auto"/>
      </w:divBdr>
    </w:div>
    <w:div w:id="148206893">
      <w:bodyDiv w:val="1"/>
      <w:marLeft w:val="0"/>
      <w:marRight w:val="0"/>
      <w:marTop w:val="0"/>
      <w:marBottom w:val="0"/>
      <w:divBdr>
        <w:top w:val="none" w:sz="0" w:space="0" w:color="auto"/>
        <w:left w:val="none" w:sz="0" w:space="0" w:color="auto"/>
        <w:bottom w:val="none" w:sz="0" w:space="0" w:color="auto"/>
        <w:right w:val="none" w:sz="0" w:space="0" w:color="auto"/>
      </w:divBdr>
    </w:div>
    <w:div w:id="162940440">
      <w:bodyDiv w:val="1"/>
      <w:marLeft w:val="0"/>
      <w:marRight w:val="0"/>
      <w:marTop w:val="0"/>
      <w:marBottom w:val="0"/>
      <w:divBdr>
        <w:top w:val="none" w:sz="0" w:space="0" w:color="auto"/>
        <w:left w:val="none" w:sz="0" w:space="0" w:color="auto"/>
        <w:bottom w:val="none" w:sz="0" w:space="0" w:color="auto"/>
        <w:right w:val="none" w:sz="0" w:space="0" w:color="auto"/>
      </w:divBdr>
    </w:div>
    <w:div w:id="173885112">
      <w:bodyDiv w:val="1"/>
      <w:marLeft w:val="0"/>
      <w:marRight w:val="0"/>
      <w:marTop w:val="0"/>
      <w:marBottom w:val="0"/>
      <w:divBdr>
        <w:top w:val="none" w:sz="0" w:space="0" w:color="auto"/>
        <w:left w:val="none" w:sz="0" w:space="0" w:color="auto"/>
        <w:bottom w:val="none" w:sz="0" w:space="0" w:color="auto"/>
        <w:right w:val="none" w:sz="0" w:space="0" w:color="auto"/>
      </w:divBdr>
    </w:div>
    <w:div w:id="181021400">
      <w:bodyDiv w:val="1"/>
      <w:marLeft w:val="0"/>
      <w:marRight w:val="0"/>
      <w:marTop w:val="0"/>
      <w:marBottom w:val="0"/>
      <w:divBdr>
        <w:top w:val="none" w:sz="0" w:space="0" w:color="auto"/>
        <w:left w:val="none" w:sz="0" w:space="0" w:color="auto"/>
        <w:bottom w:val="none" w:sz="0" w:space="0" w:color="auto"/>
        <w:right w:val="none" w:sz="0" w:space="0" w:color="auto"/>
      </w:divBdr>
    </w:div>
    <w:div w:id="187567158">
      <w:bodyDiv w:val="1"/>
      <w:marLeft w:val="0"/>
      <w:marRight w:val="0"/>
      <w:marTop w:val="0"/>
      <w:marBottom w:val="0"/>
      <w:divBdr>
        <w:top w:val="none" w:sz="0" w:space="0" w:color="auto"/>
        <w:left w:val="none" w:sz="0" w:space="0" w:color="auto"/>
        <w:bottom w:val="none" w:sz="0" w:space="0" w:color="auto"/>
        <w:right w:val="none" w:sz="0" w:space="0" w:color="auto"/>
      </w:divBdr>
    </w:div>
    <w:div w:id="201476829">
      <w:bodyDiv w:val="1"/>
      <w:marLeft w:val="0"/>
      <w:marRight w:val="0"/>
      <w:marTop w:val="0"/>
      <w:marBottom w:val="0"/>
      <w:divBdr>
        <w:top w:val="none" w:sz="0" w:space="0" w:color="auto"/>
        <w:left w:val="none" w:sz="0" w:space="0" w:color="auto"/>
        <w:bottom w:val="none" w:sz="0" w:space="0" w:color="auto"/>
        <w:right w:val="none" w:sz="0" w:space="0" w:color="auto"/>
      </w:divBdr>
    </w:div>
    <w:div w:id="217939936">
      <w:bodyDiv w:val="1"/>
      <w:marLeft w:val="0"/>
      <w:marRight w:val="0"/>
      <w:marTop w:val="0"/>
      <w:marBottom w:val="0"/>
      <w:divBdr>
        <w:top w:val="none" w:sz="0" w:space="0" w:color="auto"/>
        <w:left w:val="none" w:sz="0" w:space="0" w:color="auto"/>
        <w:bottom w:val="none" w:sz="0" w:space="0" w:color="auto"/>
        <w:right w:val="none" w:sz="0" w:space="0" w:color="auto"/>
      </w:divBdr>
    </w:div>
    <w:div w:id="233979134">
      <w:bodyDiv w:val="1"/>
      <w:marLeft w:val="0"/>
      <w:marRight w:val="0"/>
      <w:marTop w:val="0"/>
      <w:marBottom w:val="0"/>
      <w:divBdr>
        <w:top w:val="none" w:sz="0" w:space="0" w:color="auto"/>
        <w:left w:val="none" w:sz="0" w:space="0" w:color="auto"/>
        <w:bottom w:val="none" w:sz="0" w:space="0" w:color="auto"/>
        <w:right w:val="none" w:sz="0" w:space="0" w:color="auto"/>
      </w:divBdr>
    </w:div>
    <w:div w:id="325476663">
      <w:bodyDiv w:val="1"/>
      <w:marLeft w:val="0"/>
      <w:marRight w:val="0"/>
      <w:marTop w:val="0"/>
      <w:marBottom w:val="0"/>
      <w:divBdr>
        <w:top w:val="none" w:sz="0" w:space="0" w:color="auto"/>
        <w:left w:val="none" w:sz="0" w:space="0" w:color="auto"/>
        <w:bottom w:val="none" w:sz="0" w:space="0" w:color="auto"/>
        <w:right w:val="none" w:sz="0" w:space="0" w:color="auto"/>
      </w:divBdr>
    </w:div>
    <w:div w:id="381298091">
      <w:bodyDiv w:val="1"/>
      <w:marLeft w:val="0"/>
      <w:marRight w:val="0"/>
      <w:marTop w:val="0"/>
      <w:marBottom w:val="0"/>
      <w:divBdr>
        <w:top w:val="none" w:sz="0" w:space="0" w:color="auto"/>
        <w:left w:val="none" w:sz="0" w:space="0" w:color="auto"/>
        <w:bottom w:val="none" w:sz="0" w:space="0" w:color="auto"/>
        <w:right w:val="none" w:sz="0" w:space="0" w:color="auto"/>
      </w:divBdr>
      <w:divsChild>
        <w:div w:id="126460925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37021376">
      <w:bodyDiv w:val="1"/>
      <w:marLeft w:val="0"/>
      <w:marRight w:val="0"/>
      <w:marTop w:val="0"/>
      <w:marBottom w:val="0"/>
      <w:divBdr>
        <w:top w:val="none" w:sz="0" w:space="0" w:color="auto"/>
        <w:left w:val="none" w:sz="0" w:space="0" w:color="auto"/>
        <w:bottom w:val="none" w:sz="0" w:space="0" w:color="auto"/>
        <w:right w:val="none" w:sz="0" w:space="0" w:color="auto"/>
      </w:divBdr>
    </w:div>
    <w:div w:id="443156939">
      <w:bodyDiv w:val="1"/>
      <w:marLeft w:val="0"/>
      <w:marRight w:val="0"/>
      <w:marTop w:val="0"/>
      <w:marBottom w:val="0"/>
      <w:divBdr>
        <w:top w:val="none" w:sz="0" w:space="0" w:color="auto"/>
        <w:left w:val="none" w:sz="0" w:space="0" w:color="auto"/>
        <w:bottom w:val="none" w:sz="0" w:space="0" w:color="auto"/>
        <w:right w:val="none" w:sz="0" w:space="0" w:color="auto"/>
      </w:divBdr>
    </w:div>
    <w:div w:id="455607467">
      <w:bodyDiv w:val="1"/>
      <w:marLeft w:val="0"/>
      <w:marRight w:val="0"/>
      <w:marTop w:val="0"/>
      <w:marBottom w:val="0"/>
      <w:divBdr>
        <w:top w:val="none" w:sz="0" w:space="0" w:color="auto"/>
        <w:left w:val="none" w:sz="0" w:space="0" w:color="auto"/>
        <w:bottom w:val="none" w:sz="0" w:space="0" w:color="auto"/>
        <w:right w:val="none" w:sz="0" w:space="0" w:color="auto"/>
      </w:divBdr>
    </w:div>
    <w:div w:id="457257710">
      <w:bodyDiv w:val="1"/>
      <w:marLeft w:val="0"/>
      <w:marRight w:val="0"/>
      <w:marTop w:val="0"/>
      <w:marBottom w:val="0"/>
      <w:divBdr>
        <w:top w:val="none" w:sz="0" w:space="0" w:color="auto"/>
        <w:left w:val="none" w:sz="0" w:space="0" w:color="auto"/>
        <w:bottom w:val="none" w:sz="0" w:space="0" w:color="auto"/>
        <w:right w:val="none" w:sz="0" w:space="0" w:color="auto"/>
      </w:divBdr>
    </w:div>
    <w:div w:id="461579144">
      <w:bodyDiv w:val="1"/>
      <w:marLeft w:val="0"/>
      <w:marRight w:val="0"/>
      <w:marTop w:val="0"/>
      <w:marBottom w:val="0"/>
      <w:divBdr>
        <w:top w:val="none" w:sz="0" w:space="0" w:color="auto"/>
        <w:left w:val="none" w:sz="0" w:space="0" w:color="auto"/>
        <w:bottom w:val="none" w:sz="0" w:space="0" w:color="auto"/>
        <w:right w:val="none" w:sz="0" w:space="0" w:color="auto"/>
      </w:divBdr>
    </w:div>
    <w:div w:id="481896936">
      <w:bodyDiv w:val="1"/>
      <w:marLeft w:val="0"/>
      <w:marRight w:val="0"/>
      <w:marTop w:val="0"/>
      <w:marBottom w:val="0"/>
      <w:divBdr>
        <w:top w:val="none" w:sz="0" w:space="0" w:color="auto"/>
        <w:left w:val="none" w:sz="0" w:space="0" w:color="auto"/>
        <w:bottom w:val="none" w:sz="0" w:space="0" w:color="auto"/>
        <w:right w:val="none" w:sz="0" w:space="0" w:color="auto"/>
      </w:divBdr>
    </w:div>
    <w:div w:id="496769538">
      <w:bodyDiv w:val="1"/>
      <w:marLeft w:val="0"/>
      <w:marRight w:val="0"/>
      <w:marTop w:val="0"/>
      <w:marBottom w:val="0"/>
      <w:divBdr>
        <w:top w:val="none" w:sz="0" w:space="0" w:color="auto"/>
        <w:left w:val="none" w:sz="0" w:space="0" w:color="auto"/>
        <w:bottom w:val="none" w:sz="0" w:space="0" w:color="auto"/>
        <w:right w:val="none" w:sz="0" w:space="0" w:color="auto"/>
      </w:divBdr>
    </w:div>
    <w:div w:id="498496676">
      <w:bodyDiv w:val="1"/>
      <w:marLeft w:val="0"/>
      <w:marRight w:val="0"/>
      <w:marTop w:val="0"/>
      <w:marBottom w:val="0"/>
      <w:divBdr>
        <w:top w:val="none" w:sz="0" w:space="0" w:color="auto"/>
        <w:left w:val="none" w:sz="0" w:space="0" w:color="auto"/>
        <w:bottom w:val="none" w:sz="0" w:space="0" w:color="auto"/>
        <w:right w:val="none" w:sz="0" w:space="0" w:color="auto"/>
      </w:divBdr>
    </w:div>
    <w:div w:id="512376580">
      <w:bodyDiv w:val="1"/>
      <w:marLeft w:val="0"/>
      <w:marRight w:val="0"/>
      <w:marTop w:val="0"/>
      <w:marBottom w:val="0"/>
      <w:divBdr>
        <w:top w:val="none" w:sz="0" w:space="0" w:color="auto"/>
        <w:left w:val="none" w:sz="0" w:space="0" w:color="auto"/>
        <w:bottom w:val="none" w:sz="0" w:space="0" w:color="auto"/>
        <w:right w:val="none" w:sz="0" w:space="0" w:color="auto"/>
      </w:divBdr>
    </w:div>
    <w:div w:id="517233138">
      <w:bodyDiv w:val="1"/>
      <w:marLeft w:val="0"/>
      <w:marRight w:val="0"/>
      <w:marTop w:val="0"/>
      <w:marBottom w:val="0"/>
      <w:divBdr>
        <w:top w:val="none" w:sz="0" w:space="0" w:color="auto"/>
        <w:left w:val="none" w:sz="0" w:space="0" w:color="auto"/>
        <w:bottom w:val="none" w:sz="0" w:space="0" w:color="auto"/>
        <w:right w:val="none" w:sz="0" w:space="0" w:color="auto"/>
      </w:divBdr>
    </w:div>
    <w:div w:id="540018189">
      <w:bodyDiv w:val="1"/>
      <w:marLeft w:val="0"/>
      <w:marRight w:val="0"/>
      <w:marTop w:val="0"/>
      <w:marBottom w:val="0"/>
      <w:divBdr>
        <w:top w:val="none" w:sz="0" w:space="0" w:color="auto"/>
        <w:left w:val="none" w:sz="0" w:space="0" w:color="auto"/>
        <w:bottom w:val="none" w:sz="0" w:space="0" w:color="auto"/>
        <w:right w:val="none" w:sz="0" w:space="0" w:color="auto"/>
      </w:divBdr>
    </w:div>
    <w:div w:id="547685592">
      <w:bodyDiv w:val="1"/>
      <w:marLeft w:val="0"/>
      <w:marRight w:val="0"/>
      <w:marTop w:val="0"/>
      <w:marBottom w:val="0"/>
      <w:divBdr>
        <w:top w:val="none" w:sz="0" w:space="0" w:color="auto"/>
        <w:left w:val="none" w:sz="0" w:space="0" w:color="auto"/>
        <w:bottom w:val="none" w:sz="0" w:space="0" w:color="auto"/>
        <w:right w:val="none" w:sz="0" w:space="0" w:color="auto"/>
      </w:divBdr>
    </w:div>
    <w:div w:id="582422203">
      <w:bodyDiv w:val="1"/>
      <w:marLeft w:val="0"/>
      <w:marRight w:val="0"/>
      <w:marTop w:val="0"/>
      <w:marBottom w:val="0"/>
      <w:divBdr>
        <w:top w:val="none" w:sz="0" w:space="0" w:color="auto"/>
        <w:left w:val="none" w:sz="0" w:space="0" w:color="auto"/>
        <w:bottom w:val="none" w:sz="0" w:space="0" w:color="auto"/>
        <w:right w:val="none" w:sz="0" w:space="0" w:color="auto"/>
      </w:divBdr>
    </w:div>
    <w:div w:id="597254442">
      <w:bodyDiv w:val="1"/>
      <w:marLeft w:val="0"/>
      <w:marRight w:val="0"/>
      <w:marTop w:val="0"/>
      <w:marBottom w:val="0"/>
      <w:divBdr>
        <w:top w:val="none" w:sz="0" w:space="0" w:color="auto"/>
        <w:left w:val="none" w:sz="0" w:space="0" w:color="auto"/>
        <w:bottom w:val="none" w:sz="0" w:space="0" w:color="auto"/>
        <w:right w:val="none" w:sz="0" w:space="0" w:color="auto"/>
      </w:divBdr>
    </w:div>
    <w:div w:id="631987396">
      <w:bodyDiv w:val="1"/>
      <w:marLeft w:val="0"/>
      <w:marRight w:val="0"/>
      <w:marTop w:val="0"/>
      <w:marBottom w:val="0"/>
      <w:divBdr>
        <w:top w:val="none" w:sz="0" w:space="0" w:color="auto"/>
        <w:left w:val="none" w:sz="0" w:space="0" w:color="auto"/>
        <w:bottom w:val="none" w:sz="0" w:space="0" w:color="auto"/>
        <w:right w:val="none" w:sz="0" w:space="0" w:color="auto"/>
      </w:divBdr>
    </w:div>
    <w:div w:id="638994961">
      <w:bodyDiv w:val="1"/>
      <w:marLeft w:val="0"/>
      <w:marRight w:val="0"/>
      <w:marTop w:val="0"/>
      <w:marBottom w:val="0"/>
      <w:divBdr>
        <w:top w:val="none" w:sz="0" w:space="0" w:color="auto"/>
        <w:left w:val="none" w:sz="0" w:space="0" w:color="auto"/>
        <w:bottom w:val="none" w:sz="0" w:space="0" w:color="auto"/>
        <w:right w:val="none" w:sz="0" w:space="0" w:color="auto"/>
      </w:divBdr>
    </w:div>
    <w:div w:id="653069666">
      <w:bodyDiv w:val="1"/>
      <w:marLeft w:val="0"/>
      <w:marRight w:val="0"/>
      <w:marTop w:val="0"/>
      <w:marBottom w:val="0"/>
      <w:divBdr>
        <w:top w:val="none" w:sz="0" w:space="0" w:color="auto"/>
        <w:left w:val="none" w:sz="0" w:space="0" w:color="auto"/>
        <w:bottom w:val="none" w:sz="0" w:space="0" w:color="auto"/>
        <w:right w:val="none" w:sz="0" w:space="0" w:color="auto"/>
      </w:divBdr>
    </w:div>
    <w:div w:id="659700406">
      <w:bodyDiv w:val="1"/>
      <w:marLeft w:val="0"/>
      <w:marRight w:val="0"/>
      <w:marTop w:val="0"/>
      <w:marBottom w:val="0"/>
      <w:divBdr>
        <w:top w:val="none" w:sz="0" w:space="0" w:color="auto"/>
        <w:left w:val="none" w:sz="0" w:space="0" w:color="auto"/>
        <w:bottom w:val="none" w:sz="0" w:space="0" w:color="auto"/>
        <w:right w:val="none" w:sz="0" w:space="0" w:color="auto"/>
      </w:divBdr>
    </w:div>
    <w:div w:id="697779512">
      <w:bodyDiv w:val="1"/>
      <w:marLeft w:val="0"/>
      <w:marRight w:val="0"/>
      <w:marTop w:val="0"/>
      <w:marBottom w:val="0"/>
      <w:divBdr>
        <w:top w:val="none" w:sz="0" w:space="0" w:color="auto"/>
        <w:left w:val="none" w:sz="0" w:space="0" w:color="auto"/>
        <w:bottom w:val="none" w:sz="0" w:space="0" w:color="auto"/>
        <w:right w:val="none" w:sz="0" w:space="0" w:color="auto"/>
      </w:divBdr>
    </w:div>
    <w:div w:id="702290519">
      <w:bodyDiv w:val="1"/>
      <w:marLeft w:val="0"/>
      <w:marRight w:val="0"/>
      <w:marTop w:val="0"/>
      <w:marBottom w:val="0"/>
      <w:divBdr>
        <w:top w:val="none" w:sz="0" w:space="0" w:color="auto"/>
        <w:left w:val="none" w:sz="0" w:space="0" w:color="auto"/>
        <w:bottom w:val="none" w:sz="0" w:space="0" w:color="auto"/>
        <w:right w:val="none" w:sz="0" w:space="0" w:color="auto"/>
      </w:divBdr>
    </w:div>
    <w:div w:id="758789810">
      <w:bodyDiv w:val="1"/>
      <w:marLeft w:val="0"/>
      <w:marRight w:val="0"/>
      <w:marTop w:val="0"/>
      <w:marBottom w:val="0"/>
      <w:divBdr>
        <w:top w:val="none" w:sz="0" w:space="0" w:color="auto"/>
        <w:left w:val="none" w:sz="0" w:space="0" w:color="auto"/>
        <w:bottom w:val="none" w:sz="0" w:space="0" w:color="auto"/>
        <w:right w:val="none" w:sz="0" w:space="0" w:color="auto"/>
      </w:divBdr>
    </w:div>
    <w:div w:id="797576046">
      <w:bodyDiv w:val="1"/>
      <w:marLeft w:val="0"/>
      <w:marRight w:val="0"/>
      <w:marTop w:val="0"/>
      <w:marBottom w:val="0"/>
      <w:divBdr>
        <w:top w:val="none" w:sz="0" w:space="0" w:color="auto"/>
        <w:left w:val="none" w:sz="0" w:space="0" w:color="auto"/>
        <w:bottom w:val="none" w:sz="0" w:space="0" w:color="auto"/>
        <w:right w:val="none" w:sz="0" w:space="0" w:color="auto"/>
      </w:divBdr>
    </w:div>
    <w:div w:id="829751877">
      <w:bodyDiv w:val="1"/>
      <w:marLeft w:val="0"/>
      <w:marRight w:val="0"/>
      <w:marTop w:val="0"/>
      <w:marBottom w:val="0"/>
      <w:divBdr>
        <w:top w:val="none" w:sz="0" w:space="0" w:color="auto"/>
        <w:left w:val="none" w:sz="0" w:space="0" w:color="auto"/>
        <w:bottom w:val="none" w:sz="0" w:space="0" w:color="auto"/>
        <w:right w:val="none" w:sz="0" w:space="0" w:color="auto"/>
      </w:divBdr>
    </w:div>
    <w:div w:id="862329052">
      <w:bodyDiv w:val="1"/>
      <w:marLeft w:val="0"/>
      <w:marRight w:val="0"/>
      <w:marTop w:val="0"/>
      <w:marBottom w:val="0"/>
      <w:divBdr>
        <w:top w:val="none" w:sz="0" w:space="0" w:color="auto"/>
        <w:left w:val="none" w:sz="0" w:space="0" w:color="auto"/>
        <w:bottom w:val="none" w:sz="0" w:space="0" w:color="auto"/>
        <w:right w:val="none" w:sz="0" w:space="0" w:color="auto"/>
      </w:divBdr>
    </w:div>
    <w:div w:id="887258649">
      <w:bodyDiv w:val="1"/>
      <w:marLeft w:val="0"/>
      <w:marRight w:val="0"/>
      <w:marTop w:val="0"/>
      <w:marBottom w:val="0"/>
      <w:divBdr>
        <w:top w:val="none" w:sz="0" w:space="0" w:color="auto"/>
        <w:left w:val="none" w:sz="0" w:space="0" w:color="auto"/>
        <w:bottom w:val="none" w:sz="0" w:space="0" w:color="auto"/>
        <w:right w:val="none" w:sz="0" w:space="0" w:color="auto"/>
      </w:divBdr>
    </w:div>
    <w:div w:id="895623783">
      <w:bodyDiv w:val="1"/>
      <w:marLeft w:val="0"/>
      <w:marRight w:val="0"/>
      <w:marTop w:val="0"/>
      <w:marBottom w:val="0"/>
      <w:divBdr>
        <w:top w:val="none" w:sz="0" w:space="0" w:color="auto"/>
        <w:left w:val="none" w:sz="0" w:space="0" w:color="auto"/>
        <w:bottom w:val="none" w:sz="0" w:space="0" w:color="auto"/>
        <w:right w:val="none" w:sz="0" w:space="0" w:color="auto"/>
      </w:divBdr>
    </w:div>
    <w:div w:id="968559067">
      <w:bodyDiv w:val="1"/>
      <w:marLeft w:val="0"/>
      <w:marRight w:val="0"/>
      <w:marTop w:val="0"/>
      <w:marBottom w:val="0"/>
      <w:divBdr>
        <w:top w:val="none" w:sz="0" w:space="0" w:color="auto"/>
        <w:left w:val="none" w:sz="0" w:space="0" w:color="auto"/>
        <w:bottom w:val="none" w:sz="0" w:space="0" w:color="auto"/>
        <w:right w:val="none" w:sz="0" w:space="0" w:color="auto"/>
      </w:divBdr>
    </w:div>
    <w:div w:id="976256653">
      <w:bodyDiv w:val="1"/>
      <w:marLeft w:val="0"/>
      <w:marRight w:val="0"/>
      <w:marTop w:val="0"/>
      <w:marBottom w:val="0"/>
      <w:divBdr>
        <w:top w:val="none" w:sz="0" w:space="0" w:color="auto"/>
        <w:left w:val="none" w:sz="0" w:space="0" w:color="auto"/>
        <w:bottom w:val="none" w:sz="0" w:space="0" w:color="auto"/>
        <w:right w:val="none" w:sz="0" w:space="0" w:color="auto"/>
      </w:divBdr>
    </w:div>
    <w:div w:id="1010370140">
      <w:bodyDiv w:val="1"/>
      <w:marLeft w:val="0"/>
      <w:marRight w:val="0"/>
      <w:marTop w:val="0"/>
      <w:marBottom w:val="0"/>
      <w:divBdr>
        <w:top w:val="none" w:sz="0" w:space="0" w:color="auto"/>
        <w:left w:val="none" w:sz="0" w:space="0" w:color="auto"/>
        <w:bottom w:val="none" w:sz="0" w:space="0" w:color="auto"/>
        <w:right w:val="none" w:sz="0" w:space="0" w:color="auto"/>
      </w:divBdr>
    </w:div>
    <w:div w:id="1049264022">
      <w:bodyDiv w:val="1"/>
      <w:marLeft w:val="0"/>
      <w:marRight w:val="0"/>
      <w:marTop w:val="0"/>
      <w:marBottom w:val="0"/>
      <w:divBdr>
        <w:top w:val="none" w:sz="0" w:space="0" w:color="auto"/>
        <w:left w:val="none" w:sz="0" w:space="0" w:color="auto"/>
        <w:bottom w:val="none" w:sz="0" w:space="0" w:color="auto"/>
        <w:right w:val="none" w:sz="0" w:space="0" w:color="auto"/>
      </w:divBdr>
    </w:div>
    <w:div w:id="1069813199">
      <w:bodyDiv w:val="1"/>
      <w:marLeft w:val="0"/>
      <w:marRight w:val="0"/>
      <w:marTop w:val="0"/>
      <w:marBottom w:val="0"/>
      <w:divBdr>
        <w:top w:val="none" w:sz="0" w:space="0" w:color="auto"/>
        <w:left w:val="none" w:sz="0" w:space="0" w:color="auto"/>
        <w:bottom w:val="none" w:sz="0" w:space="0" w:color="auto"/>
        <w:right w:val="none" w:sz="0" w:space="0" w:color="auto"/>
      </w:divBdr>
    </w:div>
    <w:div w:id="1082262353">
      <w:bodyDiv w:val="1"/>
      <w:marLeft w:val="0"/>
      <w:marRight w:val="0"/>
      <w:marTop w:val="0"/>
      <w:marBottom w:val="0"/>
      <w:divBdr>
        <w:top w:val="none" w:sz="0" w:space="0" w:color="auto"/>
        <w:left w:val="none" w:sz="0" w:space="0" w:color="auto"/>
        <w:bottom w:val="none" w:sz="0" w:space="0" w:color="auto"/>
        <w:right w:val="none" w:sz="0" w:space="0" w:color="auto"/>
      </w:divBdr>
    </w:div>
    <w:div w:id="1096095261">
      <w:bodyDiv w:val="1"/>
      <w:marLeft w:val="0"/>
      <w:marRight w:val="0"/>
      <w:marTop w:val="0"/>
      <w:marBottom w:val="0"/>
      <w:divBdr>
        <w:top w:val="none" w:sz="0" w:space="0" w:color="auto"/>
        <w:left w:val="none" w:sz="0" w:space="0" w:color="auto"/>
        <w:bottom w:val="none" w:sz="0" w:space="0" w:color="auto"/>
        <w:right w:val="none" w:sz="0" w:space="0" w:color="auto"/>
      </w:divBdr>
    </w:div>
    <w:div w:id="1097019110">
      <w:bodyDiv w:val="1"/>
      <w:marLeft w:val="0"/>
      <w:marRight w:val="0"/>
      <w:marTop w:val="0"/>
      <w:marBottom w:val="0"/>
      <w:divBdr>
        <w:top w:val="none" w:sz="0" w:space="0" w:color="auto"/>
        <w:left w:val="none" w:sz="0" w:space="0" w:color="auto"/>
        <w:bottom w:val="none" w:sz="0" w:space="0" w:color="auto"/>
        <w:right w:val="none" w:sz="0" w:space="0" w:color="auto"/>
      </w:divBdr>
    </w:div>
    <w:div w:id="1169515897">
      <w:bodyDiv w:val="1"/>
      <w:marLeft w:val="0"/>
      <w:marRight w:val="0"/>
      <w:marTop w:val="0"/>
      <w:marBottom w:val="0"/>
      <w:divBdr>
        <w:top w:val="none" w:sz="0" w:space="0" w:color="auto"/>
        <w:left w:val="none" w:sz="0" w:space="0" w:color="auto"/>
        <w:bottom w:val="none" w:sz="0" w:space="0" w:color="auto"/>
        <w:right w:val="none" w:sz="0" w:space="0" w:color="auto"/>
      </w:divBdr>
    </w:div>
    <w:div w:id="1212889096">
      <w:bodyDiv w:val="1"/>
      <w:marLeft w:val="0"/>
      <w:marRight w:val="0"/>
      <w:marTop w:val="0"/>
      <w:marBottom w:val="0"/>
      <w:divBdr>
        <w:top w:val="none" w:sz="0" w:space="0" w:color="auto"/>
        <w:left w:val="none" w:sz="0" w:space="0" w:color="auto"/>
        <w:bottom w:val="none" w:sz="0" w:space="0" w:color="auto"/>
        <w:right w:val="none" w:sz="0" w:space="0" w:color="auto"/>
      </w:divBdr>
      <w:divsChild>
        <w:div w:id="135962570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97838986">
      <w:bodyDiv w:val="1"/>
      <w:marLeft w:val="0"/>
      <w:marRight w:val="0"/>
      <w:marTop w:val="0"/>
      <w:marBottom w:val="0"/>
      <w:divBdr>
        <w:top w:val="none" w:sz="0" w:space="0" w:color="auto"/>
        <w:left w:val="none" w:sz="0" w:space="0" w:color="auto"/>
        <w:bottom w:val="none" w:sz="0" w:space="0" w:color="auto"/>
        <w:right w:val="none" w:sz="0" w:space="0" w:color="auto"/>
      </w:divBdr>
    </w:div>
    <w:div w:id="1397317598">
      <w:bodyDiv w:val="1"/>
      <w:marLeft w:val="0"/>
      <w:marRight w:val="0"/>
      <w:marTop w:val="0"/>
      <w:marBottom w:val="0"/>
      <w:divBdr>
        <w:top w:val="none" w:sz="0" w:space="0" w:color="auto"/>
        <w:left w:val="none" w:sz="0" w:space="0" w:color="auto"/>
        <w:bottom w:val="none" w:sz="0" w:space="0" w:color="auto"/>
        <w:right w:val="none" w:sz="0" w:space="0" w:color="auto"/>
      </w:divBdr>
    </w:div>
    <w:div w:id="1411807087">
      <w:bodyDiv w:val="1"/>
      <w:marLeft w:val="0"/>
      <w:marRight w:val="0"/>
      <w:marTop w:val="0"/>
      <w:marBottom w:val="0"/>
      <w:divBdr>
        <w:top w:val="none" w:sz="0" w:space="0" w:color="auto"/>
        <w:left w:val="none" w:sz="0" w:space="0" w:color="auto"/>
        <w:bottom w:val="none" w:sz="0" w:space="0" w:color="auto"/>
        <w:right w:val="none" w:sz="0" w:space="0" w:color="auto"/>
      </w:divBdr>
    </w:div>
    <w:div w:id="1429694213">
      <w:bodyDiv w:val="1"/>
      <w:marLeft w:val="0"/>
      <w:marRight w:val="0"/>
      <w:marTop w:val="0"/>
      <w:marBottom w:val="0"/>
      <w:divBdr>
        <w:top w:val="none" w:sz="0" w:space="0" w:color="auto"/>
        <w:left w:val="none" w:sz="0" w:space="0" w:color="auto"/>
        <w:bottom w:val="none" w:sz="0" w:space="0" w:color="auto"/>
        <w:right w:val="none" w:sz="0" w:space="0" w:color="auto"/>
      </w:divBdr>
    </w:div>
    <w:div w:id="1467817622">
      <w:bodyDiv w:val="1"/>
      <w:marLeft w:val="0"/>
      <w:marRight w:val="0"/>
      <w:marTop w:val="0"/>
      <w:marBottom w:val="0"/>
      <w:divBdr>
        <w:top w:val="none" w:sz="0" w:space="0" w:color="auto"/>
        <w:left w:val="none" w:sz="0" w:space="0" w:color="auto"/>
        <w:bottom w:val="none" w:sz="0" w:space="0" w:color="auto"/>
        <w:right w:val="none" w:sz="0" w:space="0" w:color="auto"/>
      </w:divBdr>
    </w:div>
    <w:div w:id="1503741961">
      <w:bodyDiv w:val="1"/>
      <w:marLeft w:val="0"/>
      <w:marRight w:val="0"/>
      <w:marTop w:val="0"/>
      <w:marBottom w:val="0"/>
      <w:divBdr>
        <w:top w:val="none" w:sz="0" w:space="0" w:color="auto"/>
        <w:left w:val="none" w:sz="0" w:space="0" w:color="auto"/>
        <w:bottom w:val="none" w:sz="0" w:space="0" w:color="auto"/>
        <w:right w:val="none" w:sz="0" w:space="0" w:color="auto"/>
      </w:divBdr>
    </w:div>
    <w:div w:id="1524971944">
      <w:bodyDiv w:val="1"/>
      <w:marLeft w:val="0"/>
      <w:marRight w:val="0"/>
      <w:marTop w:val="0"/>
      <w:marBottom w:val="0"/>
      <w:divBdr>
        <w:top w:val="none" w:sz="0" w:space="0" w:color="auto"/>
        <w:left w:val="none" w:sz="0" w:space="0" w:color="auto"/>
        <w:bottom w:val="none" w:sz="0" w:space="0" w:color="auto"/>
        <w:right w:val="none" w:sz="0" w:space="0" w:color="auto"/>
      </w:divBdr>
    </w:div>
    <w:div w:id="1574467092">
      <w:bodyDiv w:val="1"/>
      <w:marLeft w:val="0"/>
      <w:marRight w:val="0"/>
      <w:marTop w:val="0"/>
      <w:marBottom w:val="0"/>
      <w:divBdr>
        <w:top w:val="none" w:sz="0" w:space="0" w:color="auto"/>
        <w:left w:val="none" w:sz="0" w:space="0" w:color="auto"/>
        <w:bottom w:val="none" w:sz="0" w:space="0" w:color="auto"/>
        <w:right w:val="none" w:sz="0" w:space="0" w:color="auto"/>
      </w:divBdr>
    </w:div>
    <w:div w:id="1616717343">
      <w:bodyDiv w:val="1"/>
      <w:marLeft w:val="0"/>
      <w:marRight w:val="0"/>
      <w:marTop w:val="0"/>
      <w:marBottom w:val="0"/>
      <w:divBdr>
        <w:top w:val="none" w:sz="0" w:space="0" w:color="auto"/>
        <w:left w:val="none" w:sz="0" w:space="0" w:color="auto"/>
        <w:bottom w:val="none" w:sz="0" w:space="0" w:color="auto"/>
        <w:right w:val="none" w:sz="0" w:space="0" w:color="auto"/>
      </w:divBdr>
    </w:div>
    <w:div w:id="1634752585">
      <w:bodyDiv w:val="1"/>
      <w:marLeft w:val="0"/>
      <w:marRight w:val="0"/>
      <w:marTop w:val="0"/>
      <w:marBottom w:val="0"/>
      <w:divBdr>
        <w:top w:val="none" w:sz="0" w:space="0" w:color="auto"/>
        <w:left w:val="none" w:sz="0" w:space="0" w:color="auto"/>
        <w:bottom w:val="none" w:sz="0" w:space="0" w:color="auto"/>
        <w:right w:val="none" w:sz="0" w:space="0" w:color="auto"/>
      </w:divBdr>
    </w:div>
    <w:div w:id="1642033558">
      <w:bodyDiv w:val="1"/>
      <w:marLeft w:val="0"/>
      <w:marRight w:val="0"/>
      <w:marTop w:val="0"/>
      <w:marBottom w:val="0"/>
      <w:divBdr>
        <w:top w:val="none" w:sz="0" w:space="0" w:color="auto"/>
        <w:left w:val="none" w:sz="0" w:space="0" w:color="auto"/>
        <w:bottom w:val="none" w:sz="0" w:space="0" w:color="auto"/>
        <w:right w:val="none" w:sz="0" w:space="0" w:color="auto"/>
      </w:divBdr>
    </w:div>
    <w:div w:id="1653755193">
      <w:bodyDiv w:val="1"/>
      <w:marLeft w:val="0"/>
      <w:marRight w:val="0"/>
      <w:marTop w:val="0"/>
      <w:marBottom w:val="0"/>
      <w:divBdr>
        <w:top w:val="none" w:sz="0" w:space="0" w:color="auto"/>
        <w:left w:val="none" w:sz="0" w:space="0" w:color="auto"/>
        <w:bottom w:val="none" w:sz="0" w:space="0" w:color="auto"/>
        <w:right w:val="none" w:sz="0" w:space="0" w:color="auto"/>
      </w:divBdr>
    </w:div>
    <w:div w:id="1687631848">
      <w:bodyDiv w:val="1"/>
      <w:marLeft w:val="0"/>
      <w:marRight w:val="0"/>
      <w:marTop w:val="0"/>
      <w:marBottom w:val="0"/>
      <w:divBdr>
        <w:top w:val="none" w:sz="0" w:space="0" w:color="auto"/>
        <w:left w:val="none" w:sz="0" w:space="0" w:color="auto"/>
        <w:bottom w:val="none" w:sz="0" w:space="0" w:color="auto"/>
        <w:right w:val="none" w:sz="0" w:space="0" w:color="auto"/>
      </w:divBdr>
    </w:div>
    <w:div w:id="1697191536">
      <w:bodyDiv w:val="1"/>
      <w:marLeft w:val="0"/>
      <w:marRight w:val="0"/>
      <w:marTop w:val="0"/>
      <w:marBottom w:val="0"/>
      <w:divBdr>
        <w:top w:val="none" w:sz="0" w:space="0" w:color="auto"/>
        <w:left w:val="none" w:sz="0" w:space="0" w:color="auto"/>
        <w:bottom w:val="none" w:sz="0" w:space="0" w:color="auto"/>
        <w:right w:val="none" w:sz="0" w:space="0" w:color="auto"/>
      </w:divBdr>
    </w:div>
    <w:div w:id="1701784024">
      <w:bodyDiv w:val="1"/>
      <w:marLeft w:val="0"/>
      <w:marRight w:val="0"/>
      <w:marTop w:val="0"/>
      <w:marBottom w:val="0"/>
      <w:divBdr>
        <w:top w:val="none" w:sz="0" w:space="0" w:color="auto"/>
        <w:left w:val="none" w:sz="0" w:space="0" w:color="auto"/>
        <w:bottom w:val="none" w:sz="0" w:space="0" w:color="auto"/>
        <w:right w:val="none" w:sz="0" w:space="0" w:color="auto"/>
      </w:divBdr>
    </w:div>
    <w:div w:id="1800218185">
      <w:bodyDiv w:val="1"/>
      <w:marLeft w:val="0"/>
      <w:marRight w:val="0"/>
      <w:marTop w:val="0"/>
      <w:marBottom w:val="0"/>
      <w:divBdr>
        <w:top w:val="none" w:sz="0" w:space="0" w:color="auto"/>
        <w:left w:val="none" w:sz="0" w:space="0" w:color="auto"/>
        <w:bottom w:val="none" w:sz="0" w:space="0" w:color="auto"/>
        <w:right w:val="none" w:sz="0" w:space="0" w:color="auto"/>
      </w:divBdr>
    </w:div>
    <w:div w:id="1840458237">
      <w:bodyDiv w:val="1"/>
      <w:marLeft w:val="0"/>
      <w:marRight w:val="0"/>
      <w:marTop w:val="0"/>
      <w:marBottom w:val="0"/>
      <w:divBdr>
        <w:top w:val="none" w:sz="0" w:space="0" w:color="auto"/>
        <w:left w:val="none" w:sz="0" w:space="0" w:color="auto"/>
        <w:bottom w:val="none" w:sz="0" w:space="0" w:color="auto"/>
        <w:right w:val="none" w:sz="0" w:space="0" w:color="auto"/>
      </w:divBdr>
    </w:div>
    <w:div w:id="1910797976">
      <w:bodyDiv w:val="1"/>
      <w:marLeft w:val="0"/>
      <w:marRight w:val="0"/>
      <w:marTop w:val="0"/>
      <w:marBottom w:val="0"/>
      <w:divBdr>
        <w:top w:val="none" w:sz="0" w:space="0" w:color="auto"/>
        <w:left w:val="none" w:sz="0" w:space="0" w:color="auto"/>
        <w:bottom w:val="none" w:sz="0" w:space="0" w:color="auto"/>
        <w:right w:val="none" w:sz="0" w:space="0" w:color="auto"/>
      </w:divBdr>
    </w:div>
    <w:div w:id="2007709494">
      <w:bodyDiv w:val="1"/>
      <w:marLeft w:val="0"/>
      <w:marRight w:val="0"/>
      <w:marTop w:val="0"/>
      <w:marBottom w:val="0"/>
      <w:divBdr>
        <w:top w:val="none" w:sz="0" w:space="0" w:color="auto"/>
        <w:left w:val="none" w:sz="0" w:space="0" w:color="auto"/>
        <w:bottom w:val="none" w:sz="0" w:space="0" w:color="auto"/>
        <w:right w:val="none" w:sz="0" w:space="0" w:color="auto"/>
      </w:divBdr>
    </w:div>
    <w:div w:id="2010212016">
      <w:bodyDiv w:val="1"/>
      <w:marLeft w:val="0"/>
      <w:marRight w:val="0"/>
      <w:marTop w:val="0"/>
      <w:marBottom w:val="0"/>
      <w:divBdr>
        <w:top w:val="none" w:sz="0" w:space="0" w:color="auto"/>
        <w:left w:val="none" w:sz="0" w:space="0" w:color="auto"/>
        <w:bottom w:val="none" w:sz="0" w:space="0" w:color="auto"/>
        <w:right w:val="none" w:sz="0" w:space="0" w:color="auto"/>
      </w:divBdr>
    </w:div>
    <w:div w:id="2046980791">
      <w:bodyDiv w:val="1"/>
      <w:marLeft w:val="0"/>
      <w:marRight w:val="0"/>
      <w:marTop w:val="0"/>
      <w:marBottom w:val="0"/>
      <w:divBdr>
        <w:top w:val="none" w:sz="0" w:space="0" w:color="auto"/>
        <w:left w:val="none" w:sz="0" w:space="0" w:color="auto"/>
        <w:bottom w:val="none" w:sz="0" w:space="0" w:color="auto"/>
        <w:right w:val="none" w:sz="0" w:space="0" w:color="auto"/>
      </w:divBdr>
    </w:div>
    <w:div w:id="2073261805">
      <w:bodyDiv w:val="1"/>
      <w:marLeft w:val="0"/>
      <w:marRight w:val="0"/>
      <w:marTop w:val="0"/>
      <w:marBottom w:val="0"/>
      <w:divBdr>
        <w:top w:val="none" w:sz="0" w:space="0" w:color="auto"/>
        <w:left w:val="none" w:sz="0" w:space="0" w:color="auto"/>
        <w:bottom w:val="none" w:sz="0" w:space="0" w:color="auto"/>
        <w:right w:val="none" w:sz="0" w:space="0" w:color="auto"/>
      </w:divBdr>
    </w:div>
    <w:div w:id="20803993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D5A55D-31B5-4441-BB30-871ACDCF4B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10929</Words>
  <Characters>62556</Characters>
  <Application>Microsoft Office Word</Application>
  <DocSecurity>0</DocSecurity>
  <Lines>726</Lines>
  <Paragraphs>289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Hanadi AlMubarak</dc:creator>
  <cp:keywords/>
  <dc:description/>
  <cp:lastModifiedBy>Hanadi AlMubarak</cp:lastModifiedBy>
  <cp:revision>3</cp:revision>
  <cp:lastPrinted>2026-03-05T20:28:00Z</cp:lastPrinted>
  <dcterms:created xsi:type="dcterms:W3CDTF">2026-03-05T20:37:00Z</dcterms:created>
  <dcterms:modified xsi:type="dcterms:W3CDTF">2026-03-05T20:37:00Z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30e81a67,5486fc3f,13b0ff76</vt:lpwstr>
  </property>
  <property fmtid="{D5CDD505-2E9C-101B-9397-08002B2CF9AE}" pid="3" name="ClassificationContentMarkingHeaderFontProps">
    <vt:lpwstr>#0000ff,10,Aptos</vt:lpwstr>
  </property>
  <property fmtid="{D5CDD505-2E9C-101B-9397-08002B2CF9AE}" pid="4" name="ClassificationContentMarkingHeaderText">
    <vt:lpwstr>Classification : Confidential</vt:lpwstr>
  </property>
  <property fmtid="{D5CDD505-2E9C-101B-9397-08002B2CF9AE}" pid="5" name="MSIP_Label_ee39b714-57cc-442a-bc34-f3dfb27f12d8_Enabled">
    <vt:lpwstr>true</vt:lpwstr>
  </property>
  <property fmtid="{D5CDD505-2E9C-101B-9397-08002B2CF9AE}" pid="6" name="MSIP_Label_ee39b714-57cc-442a-bc34-f3dfb27f12d8_SetDate">
    <vt:lpwstr>2026-03-05T20:37:24Z</vt:lpwstr>
  </property>
  <property fmtid="{D5CDD505-2E9C-101B-9397-08002B2CF9AE}" pid="7" name="MSIP_Label_ee39b714-57cc-442a-bc34-f3dfb27f12d8_Method">
    <vt:lpwstr>Privileged</vt:lpwstr>
  </property>
  <property fmtid="{D5CDD505-2E9C-101B-9397-08002B2CF9AE}" pid="8" name="MSIP_Label_ee39b714-57cc-442a-bc34-f3dfb27f12d8_Name">
    <vt:lpwstr>Confidential</vt:lpwstr>
  </property>
  <property fmtid="{D5CDD505-2E9C-101B-9397-08002B2CF9AE}" pid="9" name="MSIP_Label_ee39b714-57cc-442a-bc34-f3dfb27f12d8_SiteId">
    <vt:lpwstr>4d2b561f-f7d2-42b0-9cc9-f19a6ed279d0</vt:lpwstr>
  </property>
  <property fmtid="{D5CDD505-2E9C-101B-9397-08002B2CF9AE}" pid="10" name="MSIP_Label_ee39b714-57cc-442a-bc34-f3dfb27f12d8_ActionId">
    <vt:lpwstr>d4ed7859-72c4-44bc-b9c9-4df39d5b9e12</vt:lpwstr>
  </property>
  <property fmtid="{D5CDD505-2E9C-101B-9397-08002B2CF9AE}" pid="11" name="MSIP_Label_ee39b714-57cc-442a-bc34-f3dfb27f12d8_ContentBits">
    <vt:lpwstr>1</vt:lpwstr>
  </property>
  <property fmtid="{D5CDD505-2E9C-101B-9397-08002B2CF9AE}" pid="12" name="MSIP_Label_ee39b714-57cc-442a-bc34-f3dfb27f12d8_Tag">
    <vt:lpwstr>10, 0, 1, 1</vt:lpwstr>
  </property>
</Properties>
</file>