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A6A8D" w14:textId="77777777" w:rsidR="009A2F7A" w:rsidRDefault="009A2F7A" w:rsidP="009A2F7A">
      <w:pPr>
        <w:jc w:val="center"/>
        <w:rPr>
          <w:b/>
          <w:bCs/>
          <w:sz w:val="36"/>
          <w:szCs w:val="36"/>
          <w:u w:val="single"/>
          <w:rtl/>
        </w:rPr>
      </w:pPr>
    </w:p>
    <w:p w14:paraId="5DF66BE7" w14:textId="77777777" w:rsidR="009A2F7A" w:rsidRDefault="009A2F7A" w:rsidP="009A2F7A">
      <w:pPr>
        <w:jc w:val="center"/>
        <w:rPr>
          <w:b/>
          <w:bCs/>
          <w:sz w:val="36"/>
          <w:szCs w:val="36"/>
          <w:u w:val="single"/>
          <w:rtl/>
        </w:rPr>
      </w:pPr>
    </w:p>
    <w:p w14:paraId="51965E19" w14:textId="77777777" w:rsidR="009A2F7A" w:rsidRDefault="009A2F7A" w:rsidP="009A2F7A">
      <w:pPr>
        <w:jc w:val="center"/>
        <w:rPr>
          <w:b/>
          <w:bCs/>
          <w:sz w:val="36"/>
          <w:szCs w:val="36"/>
          <w:u w:val="single"/>
          <w:rtl/>
        </w:rPr>
      </w:pPr>
    </w:p>
    <w:p w14:paraId="10A4D57A" w14:textId="77777777" w:rsidR="009A2F7A" w:rsidRDefault="009A2F7A" w:rsidP="009A2F7A">
      <w:pPr>
        <w:jc w:val="center"/>
        <w:rPr>
          <w:b/>
          <w:bCs/>
          <w:sz w:val="36"/>
          <w:szCs w:val="36"/>
          <w:u w:val="single"/>
          <w:rtl/>
        </w:rPr>
      </w:pPr>
    </w:p>
    <w:p w14:paraId="1E9E6E7B" w14:textId="77777777" w:rsidR="009A2F7A" w:rsidRPr="00F92114" w:rsidRDefault="009A2F7A" w:rsidP="009A2F7A">
      <w:pPr>
        <w:jc w:val="center"/>
        <w:rPr>
          <w:sz w:val="40"/>
          <w:szCs w:val="40"/>
        </w:rPr>
      </w:pPr>
      <w:r w:rsidRPr="00F92114">
        <w:rPr>
          <w:b/>
          <w:bCs/>
          <w:sz w:val="40"/>
          <w:szCs w:val="40"/>
          <w:u w:val="single"/>
          <w:rtl/>
        </w:rPr>
        <w:t>الفصل الأول</w:t>
      </w:r>
    </w:p>
    <w:p w14:paraId="3F013143" w14:textId="77777777" w:rsidR="009A2F7A" w:rsidRPr="00F92114" w:rsidRDefault="009A2F7A" w:rsidP="009A2F7A">
      <w:pPr>
        <w:spacing w:before="120" w:after="240"/>
        <w:jc w:val="center"/>
        <w:rPr>
          <w:sz w:val="40"/>
          <w:szCs w:val="40"/>
          <w:rtl/>
        </w:rPr>
      </w:pPr>
      <w:r w:rsidRPr="00F92114">
        <w:rPr>
          <w:b/>
          <w:bCs/>
          <w:sz w:val="40"/>
          <w:szCs w:val="40"/>
          <w:u w:val="single"/>
          <w:rtl/>
        </w:rPr>
        <w:t>المدخل العام للدراسة</w:t>
      </w:r>
    </w:p>
    <w:p w14:paraId="2BCBA33E" w14:textId="77777777" w:rsidR="009A2F7A" w:rsidRDefault="009A2F7A" w:rsidP="009A2F7A">
      <w:pPr>
        <w:spacing w:before="120" w:after="240"/>
        <w:jc w:val="center"/>
        <w:rPr>
          <w:rtl/>
        </w:rPr>
      </w:pPr>
    </w:p>
    <w:p w14:paraId="3E425B70" w14:textId="77777777" w:rsidR="009A2F7A" w:rsidRDefault="009A2F7A" w:rsidP="009A2F7A">
      <w:pPr>
        <w:spacing w:before="120" w:after="240"/>
        <w:jc w:val="center"/>
        <w:rPr>
          <w:rtl/>
        </w:rPr>
      </w:pPr>
    </w:p>
    <w:p w14:paraId="12BAB055" w14:textId="77777777" w:rsidR="009A2F7A" w:rsidRDefault="009A2F7A" w:rsidP="009A2F7A">
      <w:pPr>
        <w:spacing w:before="120" w:after="240"/>
        <w:jc w:val="center"/>
        <w:rPr>
          <w:rtl/>
        </w:rPr>
      </w:pPr>
    </w:p>
    <w:p w14:paraId="1F0B5BC9" w14:textId="77777777" w:rsidR="009A2F7A" w:rsidRDefault="009A2F7A" w:rsidP="009A2F7A">
      <w:pPr>
        <w:spacing w:before="120" w:after="240"/>
        <w:jc w:val="center"/>
        <w:rPr>
          <w:rtl/>
        </w:rPr>
      </w:pPr>
    </w:p>
    <w:p w14:paraId="11CCFC9F" w14:textId="77777777" w:rsidR="009A2F7A" w:rsidRDefault="009A2F7A" w:rsidP="009A2F7A">
      <w:pPr>
        <w:spacing w:before="120" w:after="240"/>
        <w:jc w:val="center"/>
        <w:rPr>
          <w:rtl/>
        </w:rPr>
      </w:pPr>
    </w:p>
    <w:p w14:paraId="000427FF" w14:textId="77777777" w:rsidR="009A2F7A" w:rsidRDefault="009A2F7A" w:rsidP="009A2F7A">
      <w:pPr>
        <w:spacing w:before="120" w:after="240"/>
        <w:jc w:val="center"/>
        <w:rPr>
          <w:rtl/>
        </w:rPr>
      </w:pPr>
    </w:p>
    <w:p w14:paraId="3A7F1902" w14:textId="77777777" w:rsidR="009A2F7A" w:rsidRDefault="009A2F7A" w:rsidP="009A2F7A">
      <w:pPr>
        <w:spacing w:before="120" w:after="240"/>
        <w:jc w:val="center"/>
        <w:rPr>
          <w:rtl/>
        </w:rPr>
      </w:pPr>
    </w:p>
    <w:p w14:paraId="38EF447C" w14:textId="77777777" w:rsidR="009A2F7A" w:rsidRDefault="009A2F7A" w:rsidP="009A2F7A">
      <w:pPr>
        <w:spacing w:before="120" w:after="240"/>
        <w:jc w:val="center"/>
        <w:rPr>
          <w:rtl/>
        </w:rPr>
      </w:pPr>
    </w:p>
    <w:p w14:paraId="4E2319D2" w14:textId="77777777" w:rsidR="009A2F7A" w:rsidRDefault="009A2F7A" w:rsidP="009A2F7A">
      <w:pPr>
        <w:spacing w:before="120" w:after="240"/>
        <w:jc w:val="center"/>
        <w:rPr>
          <w:rtl/>
        </w:rPr>
      </w:pPr>
    </w:p>
    <w:p w14:paraId="33A25FC9" w14:textId="77777777" w:rsidR="009A2F7A" w:rsidRDefault="009A2F7A" w:rsidP="009A2F7A">
      <w:pPr>
        <w:spacing w:before="120" w:after="240"/>
        <w:jc w:val="center"/>
        <w:rPr>
          <w:rtl/>
        </w:rPr>
      </w:pPr>
    </w:p>
    <w:p w14:paraId="77417B55" w14:textId="77777777" w:rsidR="009A2F7A" w:rsidRDefault="009A2F7A" w:rsidP="009A2F7A">
      <w:pPr>
        <w:spacing w:before="120" w:after="240"/>
        <w:jc w:val="center"/>
        <w:rPr>
          <w:rtl/>
        </w:rPr>
      </w:pPr>
    </w:p>
    <w:p w14:paraId="26255980" w14:textId="77777777" w:rsidR="009A2F7A" w:rsidRDefault="009A2F7A" w:rsidP="009A2F7A">
      <w:pPr>
        <w:spacing w:before="120" w:after="240"/>
        <w:jc w:val="center"/>
        <w:rPr>
          <w:rtl/>
        </w:rPr>
      </w:pPr>
    </w:p>
    <w:p w14:paraId="01E75374" w14:textId="77777777" w:rsidR="009A2F7A" w:rsidRDefault="009A2F7A" w:rsidP="009A2F7A">
      <w:pPr>
        <w:spacing w:before="120" w:after="240"/>
        <w:jc w:val="center"/>
        <w:rPr>
          <w:rtl/>
        </w:rPr>
      </w:pPr>
    </w:p>
    <w:p w14:paraId="2279355A" w14:textId="77777777" w:rsidR="009A2F7A" w:rsidRPr="0022569A" w:rsidRDefault="009A2F7A" w:rsidP="009A2F7A">
      <w:pPr>
        <w:spacing w:before="120" w:after="120"/>
        <w:outlineLvl w:val="1"/>
        <w:rPr>
          <w:sz w:val="36"/>
          <w:szCs w:val="36"/>
        </w:rPr>
      </w:pPr>
      <w:bookmarkStart w:id="0" w:name="_Toc234589592"/>
      <w:r>
        <w:rPr>
          <w:b/>
          <w:bCs/>
          <w:sz w:val="36"/>
          <w:szCs w:val="36"/>
          <w:u w:val="single"/>
          <w:rtl/>
        </w:rPr>
        <w:t>المقدمة</w:t>
      </w:r>
      <w:bookmarkEnd w:id="0"/>
    </w:p>
    <w:p w14:paraId="1F00779F" w14:textId="77777777" w:rsidR="009A2F7A" w:rsidRDefault="009A2F7A" w:rsidP="009A2F7A">
      <w:pPr>
        <w:spacing w:after="120"/>
        <w:ind w:firstLine="283"/>
        <w:jc w:val="both"/>
      </w:pPr>
      <w:r>
        <w:rPr>
          <w:sz w:val="28"/>
          <w:rtl/>
        </w:rPr>
        <w:lastRenderedPageBreak/>
        <w:t>تبدّل النظر إلى القيادة في الفكر الإداري المعاصر تبدّلًا عميقًا. فلم يعد القائد مجرّد موجِّهٍ للأعمال وضابطٍ للإجراءات، بل غدا دوره متّصلًا اتصالًا مباشرًا بالإنسان الذي ينهض بهذه الأعمال: بما يحرّكه من دوافع، وبما يتّخذه من مواقف حيال ما يطرأ على منظمته من تحوّلات. والمنظمات اليوم تعمل في بيئةٍ سريعة التقلّب لا تترك لها ترف الثبات، فباتت قدرتها على التكيّف والنماء موقوفةً على ما يبذله العاملون من جهدٍ طوعي، وعلى مدى تقبّلهم للتغيير أو ممانعتهم له. ومن هنا برزت الحاجة إلى قيادةٍ تتجاوز تسيير المهام إلى تحريك النفوس، وهي القيادة التحويلية في أوضح صورها</w:t>
      </w:r>
      <w:r>
        <w:rPr>
          <w:rFonts w:cs="Times New Roman"/>
          <w:szCs w:val="24"/>
        </w:rPr>
        <w:t xml:space="preserve"> (Burns, 1978).</w:t>
      </w:r>
    </w:p>
    <w:p w14:paraId="6FF9C289" w14:textId="77777777" w:rsidR="009A2F7A" w:rsidRDefault="009A2F7A" w:rsidP="009A2F7A">
      <w:pPr>
        <w:spacing w:after="120"/>
        <w:ind w:firstLine="283"/>
        <w:jc w:val="both"/>
      </w:pPr>
      <w:r>
        <w:rPr>
          <w:sz w:val="28"/>
          <w:rtl/>
        </w:rPr>
        <w:t>وترجع جذور هذا المفهوم إلى بيرنز؛ فقد فرّق بين قيادةٍ تبادلية تقوم على مقايضة الجهد بالعائد، وقيادةٍ تحويلية يرتقي فيها القائد بأتباعه إلى مستوياتٍ أرفع من الدافعية والقيم، حتى تتجاوز اهتماماتهم مصالحهم الذاتية إلى غايات الجماعة</w:t>
      </w:r>
      <w:r>
        <w:rPr>
          <w:rFonts w:cs="Times New Roman"/>
          <w:szCs w:val="24"/>
        </w:rPr>
        <w:t xml:space="preserve"> </w:t>
      </w:r>
      <w:r>
        <w:rPr>
          <w:sz w:val="28"/>
          <w:rtl/>
        </w:rPr>
        <w:t>ثم نقله باس إلى ميدان المنظمات وطوّر أدوات قياسه، فاستقرّت أبعاده على أربعة: التأثير المثالي الذي يجعل القائد قدوةً موثوقة، والحفز الإلهامي الذي يبثّ رؤيةً جاذبة ومعنًى للعمل، والاستثارة الفكرية التي تدفع إلى مساءلة المألوف وابتكار الحلول، والاعتبارية الفردية التي ترعى حاجات كل موظفٍ وتطلّعاته</w:t>
      </w:r>
      <w:r>
        <w:rPr>
          <w:rFonts w:cs="Times New Roman"/>
          <w:szCs w:val="24"/>
        </w:rPr>
        <w:t xml:space="preserve"> (Bass, 1985; Bass &amp; Riggio, 2006). </w:t>
      </w:r>
      <w:r>
        <w:rPr>
          <w:sz w:val="28"/>
          <w:rtl/>
        </w:rPr>
        <w:t>وبهذه الأبعاد غدت القيادة التحويلية من أكثر نظريات القيادة حضورًا في البحث الإداري خلال العقود الأخيرة؛ لما أظهرته من ارتباطٍ متّسق بمخرجات الأفراد والمنظمات</w:t>
      </w:r>
      <w:r>
        <w:rPr>
          <w:rFonts w:cs="Times New Roman"/>
          <w:szCs w:val="24"/>
        </w:rPr>
        <w:t xml:space="preserve"> (Northouse, 2022).</w:t>
      </w:r>
    </w:p>
    <w:p w14:paraId="5BA8EF50" w14:textId="77777777" w:rsidR="009A2F7A" w:rsidRDefault="009A2F7A" w:rsidP="009A2F7A">
      <w:pPr>
        <w:spacing w:after="120"/>
        <w:ind w:firstLine="283"/>
        <w:jc w:val="both"/>
      </w:pPr>
      <w:r>
        <w:rPr>
          <w:sz w:val="28"/>
          <w:rtl/>
        </w:rPr>
        <w:t>وأول ثمرةٍ تُنتظر من هذه القيادة هي الدافعية، أي تلك القوى الداخلية والخارجية التي تُطلق سلوك العمل وتحدّد وجهته وشدّته ومداومته</w:t>
      </w:r>
      <w:r>
        <w:rPr>
          <w:rFonts w:cs="Times New Roman"/>
          <w:szCs w:val="24"/>
        </w:rPr>
        <w:t xml:space="preserve"> (Pinder, 2008). </w:t>
      </w:r>
      <w:r>
        <w:rPr>
          <w:sz w:val="28"/>
          <w:rtl/>
        </w:rPr>
        <w:t>فهي الجسر الذي تعبر عليه قدرات العاملين إلى الأداء الفعلي؛ إذ قد يملك الموظف المعرفة والمهارة، ثم لا يُحسن توظيفهما إن خبت رغبته في العمل. وتفرّق الأدبيات النفسية بين دافعيةٍ داخلية يستمدّها الفرد من متعة العمل نفسه ومعناه، ودافعيةٍ خارجية ترتبط بالحوافز والعوائد، وترى أنّ البيئات التي تُشبع حاجات الفرد إلى الاستقلالية والكفاءة والانتماء هي التي تُنمّي أجود صور الدافعية وأدومها</w:t>
      </w:r>
      <w:r>
        <w:rPr>
          <w:rFonts w:cs="Times New Roman"/>
          <w:szCs w:val="24"/>
        </w:rPr>
        <w:t xml:space="preserve"> (Deci &amp; Ryan, 2000; Ryan &amp; Deci, 2017). </w:t>
      </w:r>
      <w:r>
        <w:rPr>
          <w:sz w:val="28"/>
          <w:rtl/>
        </w:rPr>
        <w:t>وتشتدّ أهمية هذا المتغير في القطاع الحكومي، حيث يضيق هامش الحوافز المادية نسبيًا، فيصبح ما يبعثه القائد في نفوس موظفيه من حماسٍ ومعنًى موردًا تحفيزيًا لا غنى عنه.</w:t>
      </w:r>
    </w:p>
    <w:p w14:paraId="7AF1BF7A" w14:textId="77777777" w:rsidR="009A2F7A" w:rsidRDefault="009A2F7A" w:rsidP="009A2F7A">
      <w:pPr>
        <w:spacing w:after="120"/>
        <w:ind w:firstLine="283"/>
        <w:jc w:val="both"/>
      </w:pPr>
      <w:r>
        <w:rPr>
          <w:sz w:val="28"/>
          <w:rtl/>
        </w:rPr>
        <w:t xml:space="preserve">وإلى جانب الدافعية يقف متغيّرٌ آخر صار محكًّا لنجاح المنظمات المعاصرة، هو مقاومة التغيير. فالتغيير التنظيمي لم يعد حدثًا استثنائيًا، بل حالةً دائمة تفرضها التقنية والتنظيم وتصاعد توقّعات المستفيدين. ومع ذلك يتعثّر كثيرٌ من مبادرات التغيير، لا لخللٍ في تصميمها، بل لمقاومة العاملين لها؛ وهي مقاومةٌ تظهر معرفيًا في التشكيك بجدوى التغيير، ووجدانيًا في القلق منه </w:t>
      </w:r>
      <w:r>
        <w:rPr>
          <w:sz w:val="28"/>
          <w:rtl/>
        </w:rPr>
        <w:lastRenderedPageBreak/>
        <w:t>والتوجّس، وسلوكيًا في التباطؤ عنه أو الاعتراض عليه</w:t>
      </w:r>
      <w:r>
        <w:rPr>
          <w:rFonts w:cs="Times New Roman"/>
          <w:szCs w:val="24"/>
        </w:rPr>
        <w:t xml:space="preserve"> (Piderit, 2000; Oreg, 2006). </w:t>
      </w:r>
      <w:r>
        <w:rPr>
          <w:sz w:val="28"/>
          <w:rtl/>
        </w:rPr>
        <w:t>وقد نبّهت أدبيات إدارة التغيير مبكرًا إلى أنّ التعامل مع هذه المقاومة فنٌّ قيادي قبل أن يكون إجراءً إداريًا، وأنّ إشراك العاملين والتواصل معهم أجدى من فرض التغيير عليهم</w:t>
      </w:r>
      <w:r>
        <w:rPr>
          <w:rFonts w:cs="Times New Roman"/>
          <w:szCs w:val="24"/>
        </w:rPr>
        <w:t xml:space="preserve"> (Kotter &amp; Schlesinger, 2008). </w:t>
      </w:r>
      <w:r>
        <w:rPr>
          <w:sz w:val="28"/>
          <w:rtl/>
        </w:rPr>
        <w:t>بل إنّ دراساتٍ ميدانية في البيئة السعودية أظهرت أنّ مقاومة الموظفين للتغيير حاضرةٌ في الأجهزة الحكومية، وأنها تستوجب استراتيجياتٍ واعية لاحتوائها (العامري والفوزان، 1998).</w:t>
      </w:r>
    </w:p>
    <w:p w14:paraId="274BAF59" w14:textId="77777777" w:rsidR="009A2F7A" w:rsidRDefault="009A2F7A" w:rsidP="009A2F7A">
      <w:pPr>
        <w:spacing w:after="120"/>
        <w:ind w:firstLine="283"/>
        <w:jc w:val="both"/>
      </w:pPr>
      <w:r>
        <w:rPr>
          <w:sz w:val="28"/>
          <w:rtl/>
        </w:rPr>
        <w:t>وبالنظر إلى هذه المتغيرات الثلاثة مجتمعةً تتّضح صلة كلٍّ منها بالآخر. فالقائد التحويلي، بما يقدّمه من قدوةٍ ورؤيةٍ واستثارةٍ فكرية ورعايةٍ فردية، يخاطب في الموظف مصادر دافعيته العميقة؛ إذ يصل عمله اليومي بغايةٍ ذات معنى، ويشعره بقيمته وقدرته</w:t>
      </w:r>
      <w:r>
        <w:rPr>
          <w:rFonts w:cs="Times New Roman"/>
          <w:szCs w:val="24"/>
        </w:rPr>
        <w:t xml:space="preserve"> (Shamir et al., 1993)</w:t>
      </w:r>
      <w:r>
        <w:rPr>
          <w:sz w:val="28"/>
          <w:rtl/>
        </w:rPr>
        <w:t>، وهو في الوقت نفسه يبدّد أهمّ ما يغذّي مقاومة التغيير من غموضٍ وفقدانٍ للثقة وإحساسٍ بالتهميش. وهذا التصوّر تسنده الدراسات التجريبية؛ فقد أظهرت أنّ سلوكيات القيادة التحويلية تقترن بارتفاع دافعية الإنجاز لدى المرؤوسين (بن عبد الرحمن، 2011)، وأنها تُسهم في خفض التشاؤم من التغيير التنظيمي</w:t>
      </w:r>
      <w:r>
        <w:rPr>
          <w:rFonts w:cs="Times New Roman"/>
          <w:szCs w:val="24"/>
        </w:rPr>
        <w:t xml:space="preserve"> (Bommer et al., 2005)</w:t>
      </w:r>
      <w:r>
        <w:rPr>
          <w:sz w:val="28"/>
          <w:rtl/>
        </w:rPr>
        <w:t>، وأنّ لسمات القادة التحويلية دورًا في تشكيل استجابات العاملين للتغيير قبولًا أو رفضًا</w:t>
      </w:r>
      <w:r>
        <w:rPr>
          <w:rFonts w:cs="Times New Roman"/>
          <w:szCs w:val="24"/>
        </w:rPr>
        <w:t xml:space="preserve"> (Oreg &amp; Berson, 2011)</w:t>
      </w:r>
      <w:r>
        <w:rPr>
          <w:sz w:val="28"/>
          <w:rtl/>
        </w:rPr>
        <w:t>، وانتهى تحليلٌ بَعدي حديث شمل عشرات الدراسات إلى أنّ القيادة التحويلية ترتبط إيجابًا بردود الفعل المساندة للتغيير، وسلبًا بمقاومته</w:t>
      </w:r>
      <w:r>
        <w:rPr>
          <w:rFonts w:cs="Times New Roman"/>
          <w:szCs w:val="24"/>
        </w:rPr>
        <w:t xml:space="preserve"> (Peng et al., 2021).</w:t>
      </w:r>
    </w:p>
    <w:p w14:paraId="1D929EE8" w14:textId="77777777" w:rsidR="009A2F7A" w:rsidRDefault="009A2F7A" w:rsidP="009A2F7A">
      <w:pPr>
        <w:spacing w:after="120"/>
        <w:ind w:firstLine="283"/>
        <w:jc w:val="both"/>
      </w:pPr>
      <w:r>
        <w:rPr>
          <w:sz w:val="28"/>
          <w:rtl/>
        </w:rPr>
        <w:t>وتأخذ هذه العلاقات خصوصيةً في السياق السعودي الراهن. فقد جعلت رؤية المملكة العربية السعودية 2030 من تطوير الأداء الحكومي وبناء الإنسان وتمكينه ركيزةً لتحوّلها الوطني (رؤية المملكة العربية السعودية 2030، 2016)، وكان التعليم في طليعة القطاعات المشمولة بهذا التحوّل؛ إذ تعاقبت عليه في السنوات الأخيرة تغييراتٌ واسعة في الهياكل التنظيمية والأنظمة الرقمية ونماذج التشغيل وآليات تقويم الأداء. وإدارات التعليم في المناطق هي الذراع التنفيذية لهذه التحوّلات؛ فموظفوها هم من يترجم قرارات التطوير إلى ممارساتٍ يومية، ودافعيتهم وموقفهم من التغيير يحدّدان إلى حدٍّ بعيد ما يبلغه ذلك التطوير من نجاح. ولذلك فإنّ الكشف عن دور القيادة التحويلية لدى قيادات هذه الإدارات في تعزيز دافعية منسوبيها وتقليل مقاومتهم للتغيير يمسّ صميم قدرة القطاع على بلوغ مستهدفاته.</w:t>
      </w:r>
    </w:p>
    <w:p w14:paraId="1CE6FF41" w14:textId="77777777" w:rsidR="009A2F7A" w:rsidRDefault="009A2F7A" w:rsidP="009A2F7A">
      <w:pPr>
        <w:spacing w:after="120"/>
        <w:ind w:firstLine="283"/>
        <w:jc w:val="both"/>
      </w:pPr>
      <w:r>
        <w:rPr>
          <w:sz w:val="28"/>
          <w:rtl/>
        </w:rPr>
        <w:t xml:space="preserve">وقد وقع اختيار الدراسة على إدارة التعليم بمنطقة عسير ميدانًا لها؛ فالمنطقة تتّسم باتّساعٍ جغرافي وإداري وبكثافةٍ في المدارس والمستفيدين تجعل إدارتها التعليمية من كبريات إدارات التعليم في المملكة، وهو اتساعٌ يفرض حاجةً إلى قيادةٍ قادرة على شدّ همم منسوبيها وقيادتهم عبر موجات التغيير المتلاحقة. ومع أنّ عددًا من الدراسات العربية والسعودية تناول القيادة التحويلية وعلاقتها بمخرجاتٍ تنظيمية متعددة، كالإبداع الإداري والمهارات الناعمة (القحطاني وآخرون، 2023؛ محمد </w:t>
      </w:r>
      <w:r>
        <w:rPr>
          <w:sz w:val="28"/>
          <w:rtl/>
        </w:rPr>
        <w:lastRenderedPageBreak/>
        <w:t>وآخرون، 2022)، فإنّ المتأمّل في هذا الإنتاج يلمس قلّة الدراسات الميدانية التي تجمع بين الدافعية ومقاومة التغيير بوصفهما أثرين متلازمين للقيادة التحويلية في البيئة الإدارية للتعليم العام، بل ندرتها الأوضح في نطاق إدارة التعليم بمنطقة عسير تحديدًا؛ وهي الفجوة التي تسعى هذه الدراسة إلى الإسهام في سدّها.</w:t>
      </w:r>
    </w:p>
    <w:p w14:paraId="64DB1356" w14:textId="77777777" w:rsidR="009A2F7A" w:rsidRDefault="009A2F7A" w:rsidP="009A2F7A">
      <w:pPr>
        <w:spacing w:after="120"/>
        <w:ind w:firstLine="283"/>
        <w:jc w:val="both"/>
      </w:pPr>
      <w:r>
        <w:rPr>
          <w:sz w:val="28"/>
          <w:rtl/>
        </w:rPr>
        <w:t>وبناءً على ما تقدّم، تتّجه الدراسة إلى تبيّن دور القيادة التحويلية في تعزيز الدافعية وتقليل مقاومة التغيير لدى موظفي إدارة التعليم بمنطقة عسير، تمهيدًا لتحديد مشكلتها وصياغة تساؤلاتها على النحو الآتي.</w:t>
      </w:r>
    </w:p>
    <w:p w14:paraId="4381C952" w14:textId="77777777" w:rsidR="009A2F7A" w:rsidRPr="0022569A" w:rsidRDefault="009A2F7A" w:rsidP="009A2F7A">
      <w:pPr>
        <w:spacing w:before="120" w:after="120"/>
        <w:outlineLvl w:val="1"/>
        <w:rPr>
          <w:sz w:val="36"/>
          <w:szCs w:val="36"/>
        </w:rPr>
      </w:pPr>
      <w:bookmarkStart w:id="1" w:name="_Toc234589593"/>
      <w:r>
        <w:rPr>
          <w:b/>
          <w:bCs/>
          <w:sz w:val="36"/>
          <w:szCs w:val="36"/>
          <w:u w:val="single"/>
          <w:rtl/>
        </w:rPr>
        <w:t>مشكلة الدراسة</w:t>
      </w:r>
      <w:bookmarkEnd w:id="1"/>
    </w:p>
    <w:p w14:paraId="65152B06" w14:textId="77777777" w:rsidR="009A2F7A" w:rsidRDefault="009A2F7A" w:rsidP="009A2F7A">
      <w:pPr>
        <w:spacing w:after="120"/>
        <w:ind w:firstLine="283"/>
        <w:jc w:val="both"/>
      </w:pPr>
      <w:r>
        <w:rPr>
          <w:sz w:val="28"/>
          <w:rtl/>
        </w:rPr>
        <w:t>تنهض القيادة التحويلية على مسلَّمةٍ جوهرية، هي أنّ سلوك القائد لا يقف عند تسيير الأعمال، بل يمتدّ إلى إعادة تشكيل ما لدى العاملين من دوافع ومواقف؛ فحين يقدّم القائد القدوة والرؤية والاستثارة والرعاية، ترتقي دافعية مرؤوسيه وتلين مواقفهم من التغيير</w:t>
      </w:r>
      <w:r>
        <w:rPr>
          <w:rFonts w:cs="Times New Roman"/>
          <w:szCs w:val="24"/>
        </w:rPr>
        <w:t xml:space="preserve"> (Bass &amp; Riggio, 2006). </w:t>
      </w:r>
      <w:r>
        <w:rPr>
          <w:sz w:val="28"/>
          <w:rtl/>
        </w:rPr>
        <w:t>وتتضاعف أهمية هذا المدخل في القطاع الحكومي، حيث تضيق أدوات التحفيز المادي، ويتوالى التغيير التنظيمي بوتيرةٍ لا تمنح العاملين فرصة الاستقرار الطويل؛ فيغدو القائد نفسه أهمّ روافع الدافعية، وأول خطوط مواجهة المقاومة</w:t>
      </w:r>
      <w:r>
        <w:rPr>
          <w:rFonts w:cs="Times New Roman"/>
          <w:szCs w:val="24"/>
        </w:rPr>
        <w:t xml:space="preserve"> (Kotter &amp; Schlesinger, 2008; Shamir et al., 1993).</w:t>
      </w:r>
    </w:p>
    <w:p w14:paraId="78207605" w14:textId="77777777" w:rsidR="009A2F7A" w:rsidRDefault="009A2F7A" w:rsidP="009A2F7A">
      <w:pPr>
        <w:spacing w:after="120"/>
        <w:ind w:firstLine="283"/>
        <w:jc w:val="both"/>
      </w:pPr>
      <w:r>
        <w:rPr>
          <w:sz w:val="28"/>
          <w:rtl/>
        </w:rPr>
        <w:t>وفي المملكة العربية السعودية اتّخذ هذا الهمّ بُعدًا استراتيجيًا؛ فقد وضعت رؤية 2030 تطوير الجهاز الحكومي ورفع كفاءة منسوبيه في صلب مستهدفاتها (رؤية المملكة العربية السعودية 2030، 2016)، وتصدّر التعليم قائمة القطاعات التي شملتها برامج التحوّل، فشهدت إدارات التعليم في المناطق إعادة هيكلةٍ وتحوّلًا رقميًا وتحديثًا متتابعًا في الأنظمة والإجراءات. غير أنّ إقرار مبادرات التغيير في صورتها الرسمية شيء، وتحقُّق أثرها في سلوك الموظفين واستجاباتهم شيءٌ آخر؛ فالمبادرة التي لا تسندها دافعيةٌ عالية وقبولٌ للتغيير تبقى عرضةً للتعثّر مهما أُحكم تصميمها. وهنا يثور السؤال عن الدور الذي تؤدّيه القيادة في تلك المسافة الفاصلة بين ما هو مقرَّر وما يتحقّق فعلًا.</w:t>
      </w:r>
    </w:p>
    <w:p w14:paraId="105C8CCA" w14:textId="77777777" w:rsidR="009A2F7A" w:rsidRDefault="009A2F7A" w:rsidP="009A2F7A">
      <w:pPr>
        <w:spacing w:after="120"/>
        <w:ind w:firstLine="283"/>
        <w:jc w:val="both"/>
      </w:pPr>
      <w:r>
        <w:rPr>
          <w:sz w:val="28"/>
          <w:rtl/>
        </w:rPr>
        <w:t xml:space="preserve">وتزداد مشروعية هذا السؤال متى عُرضت شواهد الدراسات السابقة. فقد كشف العامري والفوزان (1998)، في دراسةٍ ميدانية مبكرة على الأجهزة الحكومية السعودية، عن حضور مقاومة الموظفين للتغيير وتعدّد أسبابها، وعن تفاوت الاستراتيجيات التي يلجأ إليها المديرون لاحتوائها؛ وهي نتيجةٌ تدلّ على أنّ المقاومة ظاهرةٌ بنيوية في البيئة الحكومية، لا عارضٌ طارئ. وفي المقابل بيّنت دراسة إبراهيم (2017) أنّ إدارة التغيير المنهجية تُسهم في التطوير التنظيمي للمؤسسات الحكومية بالمملكة، بما يؤكّد أنّ نجاح التغيير مشروطٌ بكيفية قيادته لا بمجرّد إقراره. أمّا في جانب القيادة </w:t>
      </w:r>
      <w:r>
        <w:rPr>
          <w:sz w:val="28"/>
          <w:rtl/>
        </w:rPr>
        <w:lastRenderedPageBreak/>
        <w:t>التحويلية، فقد أثبتت دراسة القحطاني وآخرين (2023) أثرًا دالًّا لأبعادها في الإبداع الإداري لدى منسوبي ديوان وزارة التعليم بالرياض، وأظهرت دراسة محمد وآخرين (2022) دورها في تحسين المهارات الناعمة للعاملين، وتوصّل بن عبد الرحمن (2011) إلى علاقةٍ موجبة بين السلوك القيادي التحويلي ودافعية الإنجاز لدى المرؤوسين.</w:t>
      </w:r>
    </w:p>
    <w:p w14:paraId="4991D54F" w14:textId="77777777" w:rsidR="009A2F7A" w:rsidRDefault="009A2F7A" w:rsidP="009A2F7A">
      <w:pPr>
        <w:spacing w:after="120"/>
        <w:ind w:firstLine="283"/>
        <w:jc w:val="both"/>
      </w:pPr>
      <w:r>
        <w:rPr>
          <w:sz w:val="28"/>
          <w:rtl/>
        </w:rPr>
        <w:t>وتؤيّد الأدبيات الأجنبية هذا الاتجاه وتوسّعه. فقد وجد بومر وزملاؤه أنّ سلوكيات القيادة التحويلية تُخفّض بمرور الوقت تشاؤم العاملين من التغيير التنظيمي</w:t>
      </w:r>
      <w:r>
        <w:rPr>
          <w:rFonts w:cs="Times New Roman"/>
          <w:szCs w:val="24"/>
        </w:rPr>
        <w:t xml:space="preserve"> (Bommer et al., 2005)</w:t>
      </w:r>
      <w:r>
        <w:rPr>
          <w:sz w:val="28"/>
          <w:rtl/>
        </w:rPr>
        <w:t>، وبيّن أوريغ وبيرسون أنّ النمط التحويلي لدى قادة المنظمات يرتبط بانخفاض نزوع العاملين إلى مقاومة التغيير</w:t>
      </w:r>
      <w:r>
        <w:rPr>
          <w:rFonts w:cs="Times New Roman"/>
          <w:szCs w:val="24"/>
        </w:rPr>
        <w:t xml:space="preserve"> (Oreg &amp; Berson, 2011)</w:t>
      </w:r>
      <w:r>
        <w:rPr>
          <w:sz w:val="28"/>
          <w:rtl/>
        </w:rPr>
        <w:t>، وخلص تحليلٌ بَعدي حديث إلى اتّساق هذه العلاقة عبر سياقاتٍ متعددة</w:t>
      </w:r>
      <w:r>
        <w:rPr>
          <w:rFonts w:cs="Times New Roman"/>
          <w:szCs w:val="24"/>
        </w:rPr>
        <w:t xml:space="preserve"> (Peng et al., 2021). </w:t>
      </w:r>
      <w:r>
        <w:rPr>
          <w:sz w:val="28"/>
          <w:rtl/>
        </w:rPr>
        <w:t>على أنّ هذه الدراسات، على وفرتها، أُجريت في بيئاتٍ تنظيمية وثقافية مغايرة، ولا يصحّ منهجيًا تعميم نتائجها على البيئة الإدارية للتعليم العام السعودي من غير تحقّقٍ ميداني مباشر.</w:t>
      </w:r>
    </w:p>
    <w:p w14:paraId="7AB10CD1" w14:textId="77777777" w:rsidR="009A2F7A" w:rsidRDefault="009A2F7A" w:rsidP="009A2F7A">
      <w:pPr>
        <w:spacing w:after="120"/>
        <w:ind w:firstLine="283"/>
        <w:jc w:val="both"/>
      </w:pPr>
      <w:r>
        <w:rPr>
          <w:sz w:val="28"/>
          <w:rtl/>
        </w:rPr>
        <w:t>وإذا كانت هذه الشواهد تؤكّد في مجملها فاعلية القيادة التحويلية في مخرجاتٍ تنظيمية شتّى، فإنّ الحاجة إليها تبلغ ذروتها في إدارات التعليم على وجه الخصوص. فهذه الإدارات تمرّ بمرحلة تحوّلٍ تنظيمي متسارعة، تتوالى فيها إعادة الهيكلة والرقمنة وتحديث الإجراءات في آنٍ واحد، فيجد الموظف نفسه مطالَبًا بتكيّفٍ مستمر مع أوضاعٍ لم يألفها. وفي بيئةٍ كهذه لا يعود النمط القيادي شأنًا تنظيميًا محايدًا؛ فبقدر ما يمارس القادة من سلوكٍ تحويلي تُشحَذ دافعية الموظفين وتلين مواقفهم ممّا يتوالى عليهم من تغييرات، وبقدر ما يغيب هذا السلوك يستحيل التغيير عبئًا يُواجَه بالفتور أو الممانعة. ولذلك صار فحص هذه العلاقة في ميدان إدارات التعليم ضرورةً بحثية لا ترفًا نظريًا.</w:t>
      </w:r>
    </w:p>
    <w:p w14:paraId="754594F3" w14:textId="77777777" w:rsidR="009A2F7A" w:rsidRDefault="009A2F7A" w:rsidP="009A2F7A">
      <w:pPr>
        <w:spacing w:after="120"/>
        <w:ind w:firstLine="283"/>
        <w:jc w:val="both"/>
      </w:pPr>
      <w:r>
        <w:rPr>
          <w:sz w:val="28"/>
          <w:rtl/>
        </w:rPr>
        <w:t xml:space="preserve">واستقراء هذا التراكم المعرفي يكشف عن فجوةٍ بحثية ذات وجوهٍ ثلاثة. فمن جهة المتغيرات، تناولت الدراسات المحلية القيادة التحويلية مقرونةً بمخرجاتٍ كالإبداع الإداري أو الأداء أو المهارات، من غير أن تجمع بين الدافعية ومقاومة التغيير بوصفهما أثرين متلازمين، تعزيزًا وتقليلًا، في نموذجٍ واحد. ومن جهة القطاع، انصرف أغلب الجهد إلى القطاع الخاص أو التعليم العالي أو الأجهزة المركزية، وبقيت البيئة الإدارية لإدارات التعليم في المناطق، وهي خطّ التماس الفعلي مع مبادرات التحوّل، قليلة الحظّ من الدراسة. ومن جهة المكان، تكاد الدراسات الميدانية على موظفي إدارة التعليم بمنطقة عسير في هذا الموضوع تكون معدومة، على اتساع نطاق الإدارة وكثافة خدماتها.وتستمدّ الدراسة مبرّراتها من تضافر اعتبارين. أوّلهما علمي، يتمثّل في سدّ الفجوة المتقدّمة ببناء نموذجٍ يقيس الدور المزدوج للقيادة التحويلية في متغيرين سلوكيين حاسمين لم يُدرسا مجتمعين في هذا القطاع وهذه المنطقة. وثانيهما عملي، يستند إلى تسارع التغييرات التي تشهدها إدارات </w:t>
      </w:r>
      <w:r>
        <w:rPr>
          <w:sz w:val="28"/>
          <w:rtl/>
        </w:rPr>
        <w:lastRenderedPageBreak/>
        <w:t>التعليم في ظلّ الرؤية، وإلى ما رصدته الأدبيات المحلية من حضور مقاومة التغيير في البيئة الحكومية؛ بما يجعل تشخيص واقع القيادة التحويلية وأثرها في إدارة التعليم بمنطقة عسير حاجةً تطبيقية مباشرة لمتّخذ القرار فيها.وبذلك تتحدّد الإضافة المنتظرة من هذه الدراسة، قياسًا إلى ما سبقها، في مستويين. أمّا علميًا، فتقدّم نموذجًا لم تطرحه الدراسات المحلية من قبل، يختبر أثر القيادة التحويلية في متغيرين سلوكيين متلازمين، أحدهما مطلوبٌ تعظيمه وهو الدافعية، والآخر مطلوبٌ احتواؤه وهو مقاومة التغيير، بدلًا من الاقتصار على مخرجٍ واحد كما في دراسات الإبداع الإداري أو الأداء. وأمّا تطبيقيًا، فتنقل البحث من الأجهزة المركزية والقطاعات الأخرى إلى إدارة تعليمٍ إقليمية تعيش التحوّل فعليًا، فتضع بين يدي قياداتها تشخيصًا ميدانيًا مباشرًا لا تجده في نتائج دراساتٍ أُجريت على بيئاتٍ مغايرة.</w:t>
      </w:r>
    </w:p>
    <w:p w14:paraId="09702531" w14:textId="77777777" w:rsidR="009A2F7A" w:rsidRDefault="009A2F7A" w:rsidP="009A2F7A">
      <w:pPr>
        <w:spacing w:after="120"/>
        <w:ind w:firstLine="283"/>
        <w:jc w:val="both"/>
        <w:rPr>
          <w:rtl/>
        </w:rPr>
      </w:pPr>
      <w:r>
        <w:rPr>
          <w:sz w:val="28"/>
          <w:rtl/>
        </w:rPr>
        <w:t xml:space="preserve">وبناءً على ما تقدّم، تتبلور مشكلة الدراسة في الكشف عن دور القيادة التحويلية في تعزيز الدافعية وتقليل مقاومة التغيير لدى موظفي إدارة التعليم بمنطقة عسير، وهو ما يقود مباشرةً إلى السؤال الرئيس الآتي: </w:t>
      </w:r>
      <w:r>
        <w:rPr>
          <w:b/>
          <w:bCs/>
          <w:sz w:val="28"/>
          <w:rtl/>
        </w:rPr>
        <w:t>ما دور القيادة التحويلية في تعزيز الدافعية وتقليل مقاومة التغيير لدى موظفي إدارة التعليم بمنطقة عسير؟</w:t>
      </w:r>
    </w:p>
    <w:p w14:paraId="2E4F8678" w14:textId="77777777" w:rsidR="009A2F7A" w:rsidRPr="0022569A" w:rsidRDefault="009A2F7A" w:rsidP="009A2F7A">
      <w:pPr>
        <w:spacing w:before="120" w:after="120"/>
        <w:outlineLvl w:val="1"/>
        <w:rPr>
          <w:sz w:val="36"/>
          <w:szCs w:val="36"/>
        </w:rPr>
      </w:pPr>
      <w:bookmarkStart w:id="2" w:name="_Toc234589594"/>
      <w:r>
        <w:rPr>
          <w:b/>
          <w:bCs/>
          <w:sz w:val="36"/>
          <w:szCs w:val="36"/>
          <w:u w:val="single"/>
          <w:rtl/>
        </w:rPr>
        <w:t>أسئلة الدراسة</w:t>
      </w:r>
      <w:bookmarkEnd w:id="2"/>
    </w:p>
    <w:p w14:paraId="3BE66FE1" w14:textId="77777777" w:rsidR="009A2F7A" w:rsidRDefault="009A2F7A" w:rsidP="009A2F7A">
      <w:pPr>
        <w:spacing w:after="120"/>
        <w:ind w:firstLine="283"/>
        <w:jc w:val="both"/>
      </w:pPr>
      <w:r>
        <w:rPr>
          <w:sz w:val="28"/>
          <w:rtl/>
        </w:rPr>
        <w:t xml:space="preserve">سعت الدراسة للإجابة عن سؤالٍ رئيس مفاده: </w:t>
      </w:r>
      <w:r>
        <w:rPr>
          <w:b/>
          <w:bCs/>
          <w:sz w:val="28"/>
          <w:rtl/>
        </w:rPr>
        <w:t>ما دور القيادة التحويلية في تعزيز الدافعية وتقليل مقاومة التغيير لدى موظفي إدارة التعليم بمنطقة عسير؟</w:t>
      </w:r>
      <w:r>
        <w:rPr>
          <w:sz w:val="28"/>
          <w:rtl/>
        </w:rPr>
        <w:t xml:space="preserve"> وتتفرّع عنه الأسئلة الآتية:</w:t>
      </w:r>
    </w:p>
    <w:p w14:paraId="125ECCC1" w14:textId="77777777" w:rsidR="009A2F7A" w:rsidRDefault="009A2F7A" w:rsidP="009A2F7A">
      <w:pPr>
        <w:spacing w:after="120"/>
        <w:ind w:left="284"/>
        <w:jc w:val="both"/>
      </w:pPr>
      <w:r>
        <w:rPr>
          <w:sz w:val="28"/>
          <w:rtl/>
        </w:rPr>
        <w:t>1. ما مستوى ممارسة القيادة التحويلية لدى القيادات الإدارية في إدارة التعليم بمنطقة عسير من وجهة نظر الموظفين؟</w:t>
      </w:r>
    </w:p>
    <w:p w14:paraId="59E1BC90" w14:textId="77777777" w:rsidR="009A2F7A" w:rsidRDefault="009A2F7A" w:rsidP="009A2F7A">
      <w:pPr>
        <w:spacing w:after="120"/>
        <w:ind w:left="284"/>
        <w:jc w:val="both"/>
      </w:pPr>
      <w:r>
        <w:rPr>
          <w:sz w:val="28"/>
          <w:rtl/>
        </w:rPr>
        <w:t>2. ما مستوى الدافعية لدى موظفي إدارة التعليم بمنطقة عسير؟</w:t>
      </w:r>
    </w:p>
    <w:p w14:paraId="440BBFD9" w14:textId="77777777" w:rsidR="009A2F7A" w:rsidRDefault="009A2F7A" w:rsidP="009A2F7A">
      <w:pPr>
        <w:spacing w:after="120"/>
        <w:ind w:left="284"/>
        <w:jc w:val="both"/>
      </w:pPr>
      <w:r>
        <w:rPr>
          <w:sz w:val="28"/>
          <w:rtl/>
        </w:rPr>
        <w:t>3. ما مستوى مقاومة التغيير لدى موظفي إدارة التعليم بمنطقة عسير؟</w:t>
      </w:r>
    </w:p>
    <w:p w14:paraId="11CBB204" w14:textId="77777777" w:rsidR="009A2F7A" w:rsidRDefault="009A2F7A" w:rsidP="009A2F7A">
      <w:pPr>
        <w:spacing w:after="120"/>
        <w:ind w:left="284"/>
        <w:jc w:val="both"/>
      </w:pPr>
      <w:r>
        <w:rPr>
          <w:sz w:val="28"/>
          <w:rtl/>
        </w:rPr>
        <w:t>4. ما دور القيادة التحويلية في تعزيز الدافعية لدى موظفي إدارة التعليم بمنطقة عسير؟</w:t>
      </w:r>
    </w:p>
    <w:p w14:paraId="4E78F02F" w14:textId="77777777" w:rsidR="009A2F7A" w:rsidRDefault="009A2F7A" w:rsidP="009A2F7A">
      <w:pPr>
        <w:spacing w:after="120"/>
        <w:ind w:left="284"/>
        <w:jc w:val="both"/>
      </w:pPr>
      <w:r>
        <w:rPr>
          <w:sz w:val="28"/>
          <w:rtl/>
        </w:rPr>
        <w:t>5. ما دور القيادة التحويلية في تقليل مقاومة التغيير لدى موظفي إدارة التعليم بمنطقة عسير؟</w:t>
      </w:r>
    </w:p>
    <w:p w14:paraId="10A325C6" w14:textId="77777777" w:rsidR="009A2F7A" w:rsidRDefault="009A2F7A" w:rsidP="009A2F7A">
      <w:pPr>
        <w:spacing w:after="120"/>
        <w:ind w:left="284"/>
        <w:jc w:val="both"/>
        <w:rPr>
          <w:rtl/>
        </w:rPr>
      </w:pPr>
      <w:r>
        <w:rPr>
          <w:sz w:val="28"/>
          <w:rtl/>
        </w:rPr>
        <w:t>6. هل توجد فروق ذات دلالة إحصائية عند مستوى دلالة (α ≤ 0.05) بين متوسطات استجابات أفراد العينة حول دور القيادة التحويلية في تعزيز الدافعية وتقليل مقاومة التغيير تُعزى إلى متغيراتهم الشخصية والوظيفية (الجنس، المؤهل العلمي، سنوات الخبرة)؟</w:t>
      </w:r>
    </w:p>
    <w:p w14:paraId="5DECE994" w14:textId="77777777" w:rsidR="009A2F7A" w:rsidRDefault="009A2F7A" w:rsidP="009A2F7A">
      <w:pPr>
        <w:spacing w:after="120"/>
        <w:ind w:left="284"/>
        <w:jc w:val="both"/>
        <w:rPr>
          <w:rtl/>
        </w:rPr>
      </w:pPr>
    </w:p>
    <w:p w14:paraId="64C9CBFF" w14:textId="77777777" w:rsidR="009A2F7A" w:rsidRPr="0022569A" w:rsidRDefault="009A2F7A" w:rsidP="009A2F7A">
      <w:pPr>
        <w:spacing w:before="120" w:after="120"/>
        <w:outlineLvl w:val="1"/>
        <w:rPr>
          <w:sz w:val="36"/>
          <w:szCs w:val="36"/>
        </w:rPr>
      </w:pPr>
      <w:bookmarkStart w:id="3" w:name="_Toc234589605"/>
      <w:r>
        <w:rPr>
          <w:b/>
          <w:bCs/>
          <w:sz w:val="36"/>
          <w:szCs w:val="36"/>
          <w:u w:val="single"/>
          <w:rtl/>
        </w:rPr>
        <w:lastRenderedPageBreak/>
        <w:t>أهمية الدراسة</w:t>
      </w:r>
      <w:bookmarkEnd w:id="3"/>
    </w:p>
    <w:p w14:paraId="2CA3F1CB" w14:textId="77777777" w:rsidR="009A2F7A" w:rsidRDefault="009A2F7A" w:rsidP="009A2F7A">
      <w:pPr>
        <w:spacing w:after="120"/>
        <w:ind w:firstLine="283"/>
        <w:jc w:val="both"/>
      </w:pPr>
      <w:r>
        <w:rPr>
          <w:sz w:val="28"/>
          <w:rtl/>
        </w:rPr>
        <w:t>تنبع أهمية هذه الدراسة من جانبين متكاملين، نظريٍّ وتطبيقي:</w:t>
      </w:r>
    </w:p>
    <w:p w14:paraId="287FD1C3" w14:textId="77777777" w:rsidR="009A2F7A" w:rsidRPr="0022569A" w:rsidRDefault="009A2F7A" w:rsidP="009A2F7A">
      <w:pPr>
        <w:spacing w:before="120" w:after="120"/>
        <w:outlineLvl w:val="2"/>
        <w:rPr>
          <w:sz w:val="32"/>
          <w:szCs w:val="32"/>
        </w:rPr>
      </w:pPr>
      <w:bookmarkStart w:id="4" w:name="_Toc234589606"/>
      <w:r>
        <w:rPr>
          <w:b/>
          <w:bCs/>
          <w:sz w:val="32"/>
          <w:szCs w:val="32"/>
          <w:rtl/>
        </w:rPr>
        <w:t>أولًا: الأهمية العلمية (النظرية)</w:t>
      </w:r>
      <w:bookmarkEnd w:id="4"/>
    </w:p>
    <w:p w14:paraId="4A9EF796" w14:textId="77777777" w:rsidR="009A2F7A" w:rsidRDefault="009A2F7A" w:rsidP="009A2F7A">
      <w:pPr>
        <w:spacing w:after="120"/>
        <w:ind w:firstLine="283"/>
        <w:jc w:val="both"/>
      </w:pPr>
      <w:r>
        <w:rPr>
          <w:sz w:val="28"/>
          <w:rtl/>
        </w:rPr>
        <w:t>تُضيف الدراسة إلى الأدبيات القيادية في موضعٍ ظلّ قليل الطَّرق، هو دور القيادة التحويلية في البيئة الإدارية لإدارات التعليم بالمملكة العربية السعودية، وهو موضعٌ حظي بعنايةٍ أقلّ ممّا ناله القطاع الخاص والتعليم العالي. وهي إذ تتتبّع أثر أبعاد القيادة التحويلية الأربعة في الدافعية، تُعمّق فهم الكيفية التي تنعكس بها سلوكيات القائد على الطاقة الدافعة لدى الموظف الحكومي. كما تكشف عن صلة هذه القيادة بمقاومة التغيير بمكوّناتها المعرفية والوجدانية والسلوكية، فتربط النمط القيادي بأحد أهمّ معوّقات التحوّل المؤسسي، لا بالمخرجات العامة وحدها. وبذلك تُسهم في ردم الفجوة التي انطلقت منها، وتقدّم نموذجًا متغيريًا يجمع الدافعية ومقاومة التغيير في بناءٍ واحد، يصلح أساسًا لدراساتٍ لاحقة في قطاعاتٍ أو مناطق أخرى.</w:t>
      </w:r>
    </w:p>
    <w:p w14:paraId="4F8D15D9" w14:textId="77777777" w:rsidR="009A2F7A" w:rsidRPr="0022569A" w:rsidRDefault="009A2F7A" w:rsidP="009A2F7A">
      <w:pPr>
        <w:spacing w:before="120" w:after="120"/>
        <w:outlineLvl w:val="2"/>
        <w:rPr>
          <w:sz w:val="32"/>
          <w:szCs w:val="32"/>
        </w:rPr>
      </w:pPr>
      <w:bookmarkStart w:id="5" w:name="_Toc234589607"/>
      <w:r>
        <w:rPr>
          <w:b/>
          <w:bCs/>
          <w:sz w:val="32"/>
          <w:szCs w:val="32"/>
          <w:rtl/>
        </w:rPr>
        <w:t>ثانيًا: الأهمية التطبيقية</w:t>
      </w:r>
      <w:bookmarkEnd w:id="5"/>
    </w:p>
    <w:p w14:paraId="728C164C" w14:textId="77777777" w:rsidR="009A2F7A" w:rsidRDefault="009A2F7A" w:rsidP="009A2F7A">
      <w:pPr>
        <w:spacing w:after="120"/>
        <w:ind w:firstLine="283"/>
        <w:jc w:val="both"/>
        <w:rPr>
          <w:rtl/>
        </w:rPr>
      </w:pPr>
      <w:r>
        <w:rPr>
          <w:sz w:val="28"/>
          <w:rtl/>
        </w:rPr>
        <w:t>على المستوى العملي، تُمدّ الدراسة إدارة التعليم بمنطقة عسير بمؤشّراتٍ ميدانية عن مستوى ممارسة قياداتها للسلوك التحويلي، وعن واقع دافعية منسوبيها ومستوى مقاومتهم للتغيير، بما يتيح لقياداتها أساسًا علميًا لبرامج تطوير القيادات ولخطط إدارة التغيير المصاحبة لمبادرات التحوّل. وفي نتائجها لمديري الإدارات ما يدلّهم على أشدّ أبعاد القيادة التحويلية أثرًا في الدافعية والمقاومة ليوجّهوا إليها عنايتهم، وللموظفين ما يعينهم على فهم مواقفهم من التغيير والتعامل الواعي معها.ولا تقف فائدتها عند حدود الإدارة؛ فهي تضع بين يدي متّخذي القرار في وزارة التعليم وفي أجهزة تطوير القطاع الحكومي أدلةً قابلة للقياس تسند سياسات إعداد القيادات وتمكينها، وتقدّم للباحثين في الإدارة التربوية والسلوك التنظيمي أداةً ونتائج ميدانية في سياقٍ حكومي تعليمي يمكن البناء عليها ومقارنتها. وبهذا تستمدّ الدراسة أهميتها من عنوانها نفسه؛ فبحث دور القيادة التحويلية في تعزيز الدافعية وتقليل مقاومة التغيير لدى موظفي إدارة التعليم بمنطقة عسير يصل النمط القيادي الممارَس فعليًا بأكثر مخرجاته السلوكية حساسيةً في زمن التحوّل، ويمنح متّخذ القرار في هذا القطاع أداةَ تشخيصٍ وقياسٍ مباشرة لا تتوافر له في دراساتٍ أُجريت على قطاعاتٍ أو مناطق أخرى.</w:t>
      </w:r>
    </w:p>
    <w:p w14:paraId="0340541B" w14:textId="77777777" w:rsidR="009A2F7A" w:rsidRPr="00172785" w:rsidRDefault="009A2F7A" w:rsidP="009A2F7A">
      <w:pPr>
        <w:spacing w:after="120"/>
        <w:ind w:firstLine="283"/>
        <w:jc w:val="both"/>
      </w:pPr>
    </w:p>
    <w:p w14:paraId="55E731E6" w14:textId="77777777" w:rsidR="009A2F7A" w:rsidRPr="0022569A" w:rsidRDefault="009A2F7A" w:rsidP="009A2F7A">
      <w:pPr>
        <w:spacing w:before="120" w:after="120"/>
        <w:outlineLvl w:val="1"/>
        <w:rPr>
          <w:sz w:val="36"/>
          <w:szCs w:val="36"/>
        </w:rPr>
      </w:pPr>
      <w:bookmarkStart w:id="6" w:name="_Toc234589595"/>
      <w:r>
        <w:rPr>
          <w:b/>
          <w:bCs/>
          <w:sz w:val="36"/>
          <w:szCs w:val="36"/>
          <w:u w:val="single"/>
          <w:rtl/>
        </w:rPr>
        <w:t>أهداف الدراسة</w:t>
      </w:r>
      <w:bookmarkEnd w:id="6"/>
    </w:p>
    <w:p w14:paraId="21723733" w14:textId="77777777" w:rsidR="009A2F7A" w:rsidRDefault="009A2F7A" w:rsidP="009A2F7A">
      <w:pPr>
        <w:spacing w:after="120"/>
        <w:ind w:firstLine="283"/>
        <w:jc w:val="both"/>
      </w:pPr>
      <w:r>
        <w:rPr>
          <w:sz w:val="28"/>
          <w:rtl/>
        </w:rPr>
        <w:lastRenderedPageBreak/>
        <w:t>تهدف الدراسة بصفةٍ عامة إلى الكشف عن دور القيادة التحويلية في تعزيز الدافعية وتقليل مقاومة التغيير لدى موظفي إدارة التعليم بمنطقة عسير، ويتفرّع عن هذا الهدف العام ما يأتي:</w:t>
      </w:r>
    </w:p>
    <w:p w14:paraId="35BC668F" w14:textId="77777777" w:rsidR="009A2F7A" w:rsidRDefault="009A2F7A" w:rsidP="009A2F7A">
      <w:pPr>
        <w:spacing w:after="120"/>
        <w:ind w:left="284"/>
        <w:jc w:val="both"/>
      </w:pPr>
      <w:r>
        <w:rPr>
          <w:sz w:val="28"/>
          <w:rtl/>
        </w:rPr>
        <w:t>1. تعرّف مستوى ممارسة القيادة التحويلية لدى القيادات الإدارية في إدارة التعليم بمنطقة عسير من وجهة نظر الموظفين.</w:t>
      </w:r>
    </w:p>
    <w:p w14:paraId="17B75D49" w14:textId="77777777" w:rsidR="009A2F7A" w:rsidRDefault="009A2F7A" w:rsidP="009A2F7A">
      <w:pPr>
        <w:spacing w:after="120"/>
        <w:ind w:left="284"/>
        <w:jc w:val="both"/>
      </w:pPr>
      <w:r>
        <w:rPr>
          <w:sz w:val="28"/>
          <w:rtl/>
        </w:rPr>
        <w:t>2. تعرّف مستوى الدافعية لدى موظفي إدارة التعليم بمنطقة عسير.</w:t>
      </w:r>
    </w:p>
    <w:p w14:paraId="70826B1F" w14:textId="77777777" w:rsidR="009A2F7A" w:rsidRDefault="009A2F7A" w:rsidP="009A2F7A">
      <w:pPr>
        <w:spacing w:after="120"/>
        <w:ind w:left="284"/>
        <w:jc w:val="both"/>
      </w:pPr>
      <w:r>
        <w:rPr>
          <w:sz w:val="28"/>
          <w:rtl/>
        </w:rPr>
        <w:t>3. تعرّف مستوى مقاومة التغيير لدى موظفي إدارة التعليم بمنطقة عسير.</w:t>
      </w:r>
    </w:p>
    <w:p w14:paraId="5654678A" w14:textId="77777777" w:rsidR="009A2F7A" w:rsidRDefault="009A2F7A" w:rsidP="009A2F7A">
      <w:pPr>
        <w:spacing w:after="120"/>
        <w:ind w:left="284"/>
        <w:jc w:val="both"/>
      </w:pPr>
      <w:r>
        <w:rPr>
          <w:sz w:val="28"/>
          <w:rtl/>
        </w:rPr>
        <w:t>4. قياس دور القيادة التحويلية في تعزيز الدافعية لدى موظفي إدارة التعليم بمنطقة عسير.</w:t>
      </w:r>
    </w:p>
    <w:p w14:paraId="7F150CE5" w14:textId="77777777" w:rsidR="009A2F7A" w:rsidRDefault="009A2F7A" w:rsidP="009A2F7A">
      <w:pPr>
        <w:spacing w:after="120"/>
        <w:ind w:left="284"/>
        <w:jc w:val="both"/>
      </w:pPr>
      <w:r>
        <w:rPr>
          <w:sz w:val="28"/>
          <w:rtl/>
        </w:rPr>
        <w:t>5. قياس دور القيادة التحويلية في تقليل مقاومة التغيير لدى موظفي إدارة التعليم بمنطقة عسير.</w:t>
      </w:r>
    </w:p>
    <w:p w14:paraId="659C9F61" w14:textId="77777777" w:rsidR="009A2F7A" w:rsidRDefault="009A2F7A" w:rsidP="009A2F7A">
      <w:pPr>
        <w:spacing w:after="120"/>
        <w:ind w:left="284"/>
        <w:jc w:val="both"/>
        <w:rPr>
          <w:rtl/>
        </w:rPr>
      </w:pPr>
      <w:r>
        <w:rPr>
          <w:sz w:val="28"/>
          <w:rtl/>
        </w:rPr>
        <w:t>6. الكشف عن الفروق ذات الدلالة الإحصائية عند مستوى (α ≤ 0.05) بين متوسطات استجابات أفراد العينة حول دور القيادة التحويلية في تعزيز الدافعية وتقليل مقاومة التغيير التي تُعزى إلى متغيراتهم الشخصية والوظيفية (الجنس، المؤهل العلمي، سنوات الخبرة).</w:t>
      </w:r>
    </w:p>
    <w:p w14:paraId="449B458C" w14:textId="77777777" w:rsidR="009A2F7A" w:rsidRDefault="009A2F7A" w:rsidP="009A2F7A">
      <w:pPr>
        <w:spacing w:after="120"/>
        <w:ind w:left="284"/>
        <w:jc w:val="both"/>
      </w:pPr>
    </w:p>
    <w:p w14:paraId="13C7E8A0" w14:textId="77777777" w:rsidR="009A2F7A" w:rsidRPr="0022569A" w:rsidRDefault="009A2F7A" w:rsidP="009A2F7A">
      <w:pPr>
        <w:spacing w:before="120" w:after="120"/>
        <w:outlineLvl w:val="1"/>
        <w:rPr>
          <w:sz w:val="36"/>
          <w:szCs w:val="36"/>
        </w:rPr>
      </w:pPr>
      <w:bookmarkStart w:id="7" w:name="_Toc234589596"/>
      <w:r>
        <w:rPr>
          <w:b/>
          <w:bCs/>
          <w:sz w:val="36"/>
          <w:szCs w:val="36"/>
          <w:u w:val="single"/>
          <w:rtl/>
        </w:rPr>
        <w:t>فرضيات الدراسة</w:t>
      </w:r>
      <w:bookmarkEnd w:id="7"/>
    </w:p>
    <w:p w14:paraId="7733F0A7" w14:textId="77777777" w:rsidR="009A2F7A" w:rsidRDefault="009A2F7A" w:rsidP="009A2F7A">
      <w:pPr>
        <w:spacing w:after="120"/>
        <w:ind w:firstLine="283"/>
        <w:jc w:val="both"/>
      </w:pPr>
      <w:r>
        <w:rPr>
          <w:sz w:val="28"/>
          <w:rtl/>
        </w:rPr>
        <w:t>في ضوء أسئلة الدراسة وأهدافها صِيغت الفرضيات الآتية على نحوٍ يقبل الاختبار الإحصائي:</w:t>
      </w:r>
    </w:p>
    <w:p w14:paraId="1EA42F28" w14:textId="77777777" w:rsidR="009A2F7A" w:rsidRDefault="009A2F7A" w:rsidP="009A2F7A">
      <w:pPr>
        <w:spacing w:after="120"/>
        <w:ind w:firstLine="283"/>
        <w:jc w:val="both"/>
      </w:pPr>
      <w:r w:rsidRPr="00F92114">
        <w:rPr>
          <w:b/>
          <w:bCs/>
          <w:sz w:val="32"/>
          <w:szCs w:val="32"/>
          <w:rtl/>
        </w:rPr>
        <w:t>الفرضية الرئيسة</w:t>
      </w:r>
      <w:r>
        <w:rPr>
          <w:b/>
          <w:bCs/>
          <w:sz w:val="28"/>
          <w:rtl/>
        </w:rPr>
        <w:t xml:space="preserve">: </w:t>
      </w:r>
      <w:r>
        <w:rPr>
          <w:sz w:val="28"/>
          <w:rtl/>
        </w:rPr>
        <w:t>يوجد أثر ذو دلالة إحصائية عند مستوى دلالة (α ≤ 0.05) للقيادة التحويلية في كلٍّ من الدافعية ومقاومة التغيير لدى موظفي إدارة التعليم بمنطقة عسير.</w:t>
      </w:r>
    </w:p>
    <w:p w14:paraId="1BB1C802" w14:textId="77777777" w:rsidR="009A2F7A" w:rsidRDefault="009A2F7A" w:rsidP="009A2F7A">
      <w:pPr>
        <w:spacing w:after="120"/>
        <w:ind w:firstLine="283"/>
        <w:jc w:val="both"/>
      </w:pPr>
      <w:r>
        <w:rPr>
          <w:sz w:val="28"/>
          <w:rtl/>
        </w:rPr>
        <w:t>وتتفرّع عنها الفرضيات الآتية:</w:t>
      </w:r>
    </w:p>
    <w:p w14:paraId="0E52AA3B" w14:textId="77777777" w:rsidR="009A2F7A" w:rsidRDefault="009A2F7A" w:rsidP="009A2F7A">
      <w:pPr>
        <w:spacing w:after="120"/>
        <w:ind w:left="284"/>
        <w:jc w:val="both"/>
      </w:pPr>
      <w:r>
        <w:rPr>
          <w:sz w:val="28"/>
          <w:rtl/>
        </w:rPr>
        <w:t>1. يوجد أثر ذو دلالة إحصائية عند مستوى دلالة (α ≤ 0.05) للقيادة التحويلية في الدافعية لدى موظفي إدارة التعليم بمنطقة عسير.</w:t>
      </w:r>
    </w:p>
    <w:p w14:paraId="14594113" w14:textId="77777777" w:rsidR="009A2F7A" w:rsidRDefault="009A2F7A" w:rsidP="009A2F7A">
      <w:pPr>
        <w:spacing w:after="120"/>
        <w:ind w:left="284"/>
        <w:jc w:val="both"/>
      </w:pPr>
      <w:r>
        <w:rPr>
          <w:sz w:val="28"/>
          <w:rtl/>
        </w:rPr>
        <w:t>2. يوجد أثر ذو دلالة إحصائية عند مستوى دلالة (α ≤ 0.05) للقيادة التحويلية في مقاومة التغيير لدى موظفي إدارة التعليم بمنطقة عسير.</w:t>
      </w:r>
    </w:p>
    <w:p w14:paraId="3F222CC0" w14:textId="77777777" w:rsidR="009A2F7A" w:rsidRDefault="009A2F7A" w:rsidP="009A2F7A">
      <w:pPr>
        <w:spacing w:after="120"/>
        <w:ind w:left="284"/>
        <w:jc w:val="both"/>
        <w:rPr>
          <w:rtl/>
        </w:rPr>
      </w:pPr>
      <w:r>
        <w:rPr>
          <w:sz w:val="28"/>
          <w:rtl/>
        </w:rPr>
        <w:t>3. لا توجد فروق ذات دلالة إحصائية عند مستوى دلالة (α ≤ 0.05) بين متوسطات استجابات أفراد العينة حول دور القيادة التحويلية في الدافعية ومقاومة التغيير تُعزى إلى متغيراتهم الشخصية والوظيفية (الجنس، المؤهل العلمي، سنوات الخبرة).</w:t>
      </w:r>
    </w:p>
    <w:p w14:paraId="1D1B9A18" w14:textId="77777777" w:rsidR="009A2F7A" w:rsidRDefault="009A2F7A" w:rsidP="009A2F7A">
      <w:pPr>
        <w:spacing w:after="120"/>
        <w:ind w:left="284"/>
        <w:jc w:val="both"/>
      </w:pPr>
    </w:p>
    <w:p w14:paraId="46F3441D" w14:textId="77777777" w:rsidR="009A2F7A" w:rsidRPr="0022569A" w:rsidRDefault="009A2F7A" w:rsidP="009A2F7A">
      <w:pPr>
        <w:spacing w:before="120" w:after="120"/>
        <w:outlineLvl w:val="1"/>
        <w:rPr>
          <w:sz w:val="36"/>
          <w:szCs w:val="36"/>
        </w:rPr>
      </w:pPr>
      <w:bookmarkStart w:id="8" w:name="_Toc234589597"/>
      <w:r>
        <w:rPr>
          <w:b/>
          <w:bCs/>
          <w:sz w:val="36"/>
          <w:szCs w:val="36"/>
          <w:u w:val="single"/>
          <w:rtl/>
        </w:rPr>
        <w:lastRenderedPageBreak/>
        <w:t>نموذج الدراسة</w:t>
      </w:r>
      <w:bookmarkEnd w:id="8"/>
    </w:p>
    <w:p w14:paraId="7D88EB9E" w14:textId="77777777" w:rsidR="009A2F7A" w:rsidRPr="00172785" w:rsidRDefault="009A2F7A" w:rsidP="009A2F7A">
      <w:pPr>
        <w:spacing w:after="120"/>
        <w:ind w:firstLine="283"/>
        <w:jc w:val="both"/>
        <w:rPr>
          <w:sz w:val="28"/>
        </w:rPr>
      </w:pPr>
      <w:r>
        <w:rPr>
          <w:sz w:val="28"/>
          <w:rtl/>
        </w:rPr>
        <w:t>في ضوء مشكلة الدراسة وأسئلتها وفرضياتها، بُني نموذجها المفاهيمي على متغيرٍ مستقل واحد هو القيادة التحويلية بأبعادها الأربعة (التأثير المثالي، والحفز الإلهامي، والاستثارة الفكرية، والاعتبارية الفردية) وفق نموذج باس وأفوليو</w:t>
      </w:r>
      <w:r>
        <w:rPr>
          <w:rFonts w:cs="Times New Roman"/>
          <w:szCs w:val="24"/>
        </w:rPr>
        <w:t xml:space="preserve"> (Avolio &amp; Bass, 2004)</w:t>
      </w:r>
      <w:r>
        <w:rPr>
          <w:sz w:val="28"/>
          <w:rtl/>
        </w:rPr>
        <w:t>، وعلى متغيرين تابعين هما: الدافعية بأبعادها الثلاثة (الدافعية الداخلية، والدافعية الخارجية، ودافعية الإنجاز)، ومقاومة التغيير بأبعادها الثلاثة وفق النموذج الثلاثي لاتجاهات المقاومة (المقاومة المعرفية، والمقاومة الوجدانية، والمقاومة السلوكية) (</w:t>
      </w:r>
      <w:r>
        <w:rPr>
          <w:rFonts w:cs="Times New Roman"/>
          <w:szCs w:val="24"/>
        </w:rPr>
        <w:t>Oreg</w:t>
      </w:r>
      <w:r>
        <w:rPr>
          <w:sz w:val="28"/>
          <w:rtl/>
        </w:rPr>
        <w:t xml:space="preserve">, </w:t>
      </w:r>
      <w:r>
        <w:rPr>
          <w:sz w:val="28"/>
        </w:rPr>
        <w:t>2006</w:t>
      </w:r>
      <w:r>
        <w:rPr>
          <w:sz w:val="28"/>
          <w:rtl/>
        </w:rPr>
        <w:t xml:space="preserve">; </w:t>
      </w:r>
      <w:r>
        <w:rPr>
          <w:rFonts w:cs="Times New Roman"/>
          <w:szCs w:val="24"/>
        </w:rPr>
        <w:t>Piderit</w:t>
      </w:r>
      <w:r>
        <w:rPr>
          <w:sz w:val="28"/>
          <w:rtl/>
        </w:rPr>
        <w:t xml:space="preserve">, </w:t>
      </w:r>
      <w:r>
        <w:rPr>
          <w:sz w:val="28"/>
        </w:rPr>
        <w:t>2000</w:t>
      </w:r>
      <w:r>
        <w:rPr>
          <w:sz w:val="28"/>
          <w:rtl/>
        </w:rPr>
        <w:t>) ويفترض النموذج وجود أثرٍ مباشر ذي دلالة إحصائية للمتغير المستقل في كلٍّ من المتغيرين التابعين، وهو الأثر الذي تختبره الفرضيتان الفرعيتان الأولى والثانية، على أن يُترك تحديد اتجاه هذا الأثر وقوّته لما يسفر عنه التحليل الإحصائي في الفصل الرابع؛ فيما تختبر الفرضية الثالثة تجانس تصوّرات أفراد العينة حول هذا الأثر تبعًا لمتغيراتهم الشخصية والوظيفية. ويوضّح الشكل (1-1) هذا النموذج:</w:t>
      </w:r>
    </w:p>
    <w:p w14:paraId="08C3F97F" w14:textId="77777777" w:rsidR="009A2F7A" w:rsidRDefault="009A2F7A" w:rsidP="009A2F7A">
      <w:pPr>
        <w:spacing w:before="120" w:after="60"/>
        <w:jc w:val="center"/>
      </w:pPr>
      <w:r>
        <w:rPr>
          <w:noProof/>
        </w:rPr>
        <mc:AlternateContent>
          <mc:Choice Requires="wpg">
            <w:drawing>
              <wp:inline distT="0" distB="0" distL="0" distR="0" wp14:anchorId="149D9194" wp14:editId="7BE68B51">
                <wp:extent cx="4119245" cy="2590800"/>
                <wp:effectExtent l="0" t="0" r="14605" b="19050"/>
                <wp:docPr id="1" name="نموذج الدراسة" descr="نموذج الدراسة المفاهيمي"/>
                <wp:cNvGraphicFramePr/>
                <a:graphic xmlns:a="http://schemas.openxmlformats.org/drawingml/2006/main">
                  <a:graphicData uri="http://schemas.microsoft.com/office/word/2010/wordprocessingGroup">
                    <wpg:wgp>
                      <wpg:cNvGrpSpPr/>
                      <wpg:grpSpPr>
                        <a:xfrm>
                          <a:off x="0" y="0"/>
                          <a:ext cx="4119245" cy="2590800"/>
                          <a:chOff x="0" y="0"/>
                          <a:chExt cx="5472000" cy="3240000"/>
                        </a:xfrm>
                      </wpg:grpSpPr>
                      <wps:wsp>
                        <wps:cNvPr id="201" name="Box201"/>
                        <wps:cNvSpPr/>
                        <wps:spPr>
                          <a:xfrm>
                            <a:off x="3492000" y="60000"/>
                            <a:ext cx="1980000" cy="3120000"/>
                          </a:xfrm>
                          <a:prstGeom prst="roundRect">
                            <a:avLst>
                              <a:gd name="adj" fmla="val 10000"/>
                            </a:avLst>
                          </a:prstGeom>
                          <a:solidFill>
                            <a:srgbClr val="DEEAF6"/>
                          </a:solidFill>
                          <a:ln w="15875">
                            <a:solidFill>
                              <a:srgbClr val="1F4E79"/>
                            </a:solidFill>
                          </a:ln>
                        </wps:spPr>
                        <wps:txbx>
                          <w:txbxContent>
                            <w:p w14:paraId="00FEDB3E" w14:textId="77777777" w:rsidR="009A2F7A" w:rsidRDefault="009A2F7A" w:rsidP="009A2F7A">
                              <w:pPr>
                                <w:spacing w:after="80"/>
                                <w:jc w:val="center"/>
                              </w:pPr>
                              <w:r>
                                <w:rPr>
                                  <w:b/>
                                  <w:bCs/>
                                  <w:color w:val="153A5B"/>
                                  <w:sz w:val="26"/>
                                  <w:szCs w:val="26"/>
                                  <w:rtl/>
                                </w:rPr>
                                <w:t>القيادة التحويلية</w:t>
                              </w:r>
                            </w:p>
                            <w:p w14:paraId="4C2D988A" w14:textId="77777777" w:rsidR="009A2F7A" w:rsidRDefault="009A2F7A" w:rsidP="009A2F7A">
                              <w:pPr>
                                <w:spacing w:after="40"/>
                                <w:jc w:val="center"/>
                              </w:pPr>
                              <w:r>
                                <w:rPr>
                                  <w:szCs w:val="24"/>
                                  <w:rtl/>
                                </w:rPr>
                                <w:t>التأثير المثالي</w:t>
                              </w:r>
                            </w:p>
                            <w:p w14:paraId="0C41B6C3" w14:textId="77777777" w:rsidR="009A2F7A" w:rsidRDefault="009A2F7A" w:rsidP="009A2F7A">
                              <w:pPr>
                                <w:spacing w:after="40"/>
                                <w:jc w:val="center"/>
                              </w:pPr>
                              <w:r>
                                <w:rPr>
                                  <w:szCs w:val="24"/>
                                  <w:rtl/>
                                </w:rPr>
                                <w:t>الحفز الإلهامي</w:t>
                              </w:r>
                            </w:p>
                            <w:p w14:paraId="500D0080" w14:textId="77777777" w:rsidR="009A2F7A" w:rsidRDefault="009A2F7A" w:rsidP="009A2F7A">
                              <w:pPr>
                                <w:spacing w:after="40"/>
                                <w:jc w:val="center"/>
                              </w:pPr>
                              <w:r>
                                <w:rPr>
                                  <w:szCs w:val="24"/>
                                  <w:rtl/>
                                </w:rPr>
                                <w:t>الاستثارة الفكرية</w:t>
                              </w:r>
                            </w:p>
                            <w:p w14:paraId="1DD9080B" w14:textId="77777777" w:rsidR="009A2F7A" w:rsidRDefault="009A2F7A" w:rsidP="009A2F7A">
                              <w:pPr>
                                <w:jc w:val="center"/>
                              </w:pPr>
                              <w:r>
                                <w:rPr>
                                  <w:szCs w:val="24"/>
                                  <w:rtl/>
                                </w:rPr>
                                <w:t>الاعتبارية الفردية</w:t>
                              </w:r>
                            </w:p>
                          </w:txbxContent>
                        </wps:txbx>
                        <wps:bodyPr rot="0" vert="horz" wrap="square" lIns="45720" tIns="560000" rIns="45720" bIns="18000" anchor="t" anchorCtr="0">
                          <a:noAutofit/>
                        </wps:bodyPr>
                      </wps:wsp>
                      <wps:wsp>
                        <wps:cNvPr id="202" name="Hdr202"/>
                        <wps:cNvSpPr/>
                        <wps:spPr>
                          <a:xfrm>
                            <a:off x="3492000" y="60000"/>
                            <a:ext cx="1980000" cy="430000"/>
                          </a:xfrm>
                          <a:prstGeom prst="roundRect">
                            <a:avLst>
                              <a:gd name="adj" fmla="val 18000"/>
                            </a:avLst>
                          </a:prstGeom>
                          <a:solidFill>
                            <a:srgbClr val="1F4E79"/>
                          </a:solidFill>
                          <a:ln w="12700">
                            <a:solidFill>
                              <a:srgbClr val="1F4E79"/>
                            </a:solidFill>
                          </a:ln>
                        </wps:spPr>
                        <wps:txbx>
                          <w:txbxContent>
                            <w:p w14:paraId="3333AC9F" w14:textId="77777777" w:rsidR="009A2F7A" w:rsidRDefault="009A2F7A" w:rsidP="009A2F7A">
                              <w:pPr>
                                <w:jc w:val="center"/>
                              </w:pPr>
                              <w:r>
                                <w:rPr>
                                  <w:b/>
                                  <w:bCs/>
                                  <w:color w:val="FFFFFF"/>
                                  <w:szCs w:val="24"/>
                                  <w:rtl/>
                                </w:rPr>
                                <w:t>المتغير المستقل</w:t>
                              </w:r>
                            </w:p>
                          </w:txbxContent>
                        </wps:txbx>
                        <wps:bodyPr wrap="square" lIns="18000" tIns="27000" rIns="18000" bIns="0" anchor="ctr">
                          <a:noAutofit/>
                        </wps:bodyPr>
                      </wps:wsp>
                      <wps:wsp>
                        <wps:cNvPr id="203" name="Box203"/>
                        <wps:cNvSpPr/>
                        <wps:spPr>
                          <a:xfrm>
                            <a:off x="0" y="0"/>
                            <a:ext cx="1980000" cy="1500000"/>
                          </a:xfrm>
                          <a:prstGeom prst="roundRect">
                            <a:avLst>
                              <a:gd name="adj" fmla="val 10000"/>
                            </a:avLst>
                          </a:prstGeom>
                          <a:solidFill>
                            <a:srgbClr val="FBE9D9"/>
                          </a:solidFill>
                          <a:ln w="15875">
                            <a:solidFill>
                              <a:srgbClr val="1F4E79"/>
                            </a:solidFill>
                          </a:ln>
                        </wps:spPr>
                        <wps:txbx>
                          <w:txbxContent>
                            <w:p w14:paraId="14BBC141" w14:textId="77777777" w:rsidR="009A2F7A" w:rsidRDefault="009A2F7A" w:rsidP="009A2F7A">
                              <w:pPr>
                                <w:spacing w:after="60"/>
                                <w:jc w:val="center"/>
                              </w:pPr>
                              <w:r>
                                <w:rPr>
                                  <w:b/>
                                  <w:bCs/>
                                  <w:color w:val="153A5B"/>
                                  <w:sz w:val="26"/>
                                  <w:szCs w:val="26"/>
                                  <w:rtl/>
                                </w:rPr>
                                <w:t>الدافعية</w:t>
                              </w:r>
                            </w:p>
                            <w:p w14:paraId="01F185ED" w14:textId="77777777" w:rsidR="009A2F7A" w:rsidRDefault="009A2F7A" w:rsidP="009A2F7A">
                              <w:pPr>
                                <w:spacing w:after="40"/>
                                <w:jc w:val="center"/>
                              </w:pPr>
                              <w:r>
                                <w:rPr>
                                  <w:szCs w:val="24"/>
                                  <w:rtl/>
                                </w:rPr>
                                <w:t>الدافعية الداخلية</w:t>
                              </w:r>
                            </w:p>
                            <w:p w14:paraId="29AB8820" w14:textId="77777777" w:rsidR="009A2F7A" w:rsidRDefault="009A2F7A" w:rsidP="009A2F7A">
                              <w:pPr>
                                <w:spacing w:after="40"/>
                                <w:jc w:val="center"/>
                              </w:pPr>
                              <w:r>
                                <w:rPr>
                                  <w:szCs w:val="24"/>
                                  <w:rtl/>
                                </w:rPr>
                                <w:t>الدافعية الخارجية</w:t>
                              </w:r>
                            </w:p>
                            <w:p w14:paraId="349201DA" w14:textId="77777777" w:rsidR="009A2F7A" w:rsidRDefault="009A2F7A" w:rsidP="009A2F7A">
                              <w:pPr>
                                <w:jc w:val="center"/>
                              </w:pPr>
                              <w:r>
                                <w:rPr>
                                  <w:szCs w:val="24"/>
                                  <w:rtl/>
                                </w:rPr>
                                <w:t>دافعية الإنجاز</w:t>
                              </w:r>
                            </w:p>
                          </w:txbxContent>
                        </wps:txbx>
                        <wps:bodyPr rot="0" vert="horz" wrap="square" lIns="45720" tIns="500000" rIns="45720" bIns="18000" anchor="t" anchorCtr="0">
                          <a:noAutofit/>
                        </wps:bodyPr>
                      </wps:wsp>
                      <wps:wsp>
                        <wps:cNvPr id="204" name="Hdr204"/>
                        <wps:cNvSpPr/>
                        <wps:spPr>
                          <a:xfrm>
                            <a:off x="0" y="0"/>
                            <a:ext cx="1980000" cy="400000"/>
                          </a:xfrm>
                          <a:prstGeom prst="roundRect">
                            <a:avLst>
                              <a:gd name="adj" fmla="val 18000"/>
                            </a:avLst>
                          </a:prstGeom>
                          <a:solidFill>
                            <a:srgbClr val="1F4E79"/>
                          </a:solidFill>
                          <a:ln w="12700">
                            <a:solidFill>
                              <a:srgbClr val="1F4E79"/>
                            </a:solidFill>
                          </a:ln>
                        </wps:spPr>
                        <wps:txbx>
                          <w:txbxContent>
                            <w:p w14:paraId="0E0B558E" w14:textId="77777777" w:rsidR="009A2F7A" w:rsidRDefault="009A2F7A" w:rsidP="009A2F7A">
                              <w:pPr>
                                <w:jc w:val="center"/>
                              </w:pPr>
                              <w:r>
                                <w:rPr>
                                  <w:b/>
                                  <w:bCs/>
                                  <w:color w:val="FFFFFF"/>
                                  <w:szCs w:val="24"/>
                                  <w:rtl/>
                                </w:rPr>
                                <w:t>المتغير التابع الأول</w:t>
                              </w:r>
                            </w:p>
                          </w:txbxContent>
                        </wps:txbx>
                        <wps:bodyPr wrap="square" lIns="18000" tIns="27000" rIns="18000" bIns="0" anchor="ctr">
                          <a:noAutofit/>
                        </wps:bodyPr>
                      </wps:wsp>
                      <wps:wsp>
                        <wps:cNvPr id="205" name="Box205"/>
                        <wps:cNvSpPr/>
                        <wps:spPr>
                          <a:xfrm>
                            <a:off x="0" y="1740000"/>
                            <a:ext cx="1980000" cy="1500000"/>
                          </a:xfrm>
                          <a:prstGeom prst="roundRect">
                            <a:avLst>
                              <a:gd name="adj" fmla="val 10000"/>
                            </a:avLst>
                          </a:prstGeom>
                          <a:solidFill>
                            <a:srgbClr val="E2EFDA"/>
                          </a:solidFill>
                          <a:ln w="15875">
                            <a:solidFill>
                              <a:srgbClr val="1F4E79"/>
                            </a:solidFill>
                          </a:ln>
                        </wps:spPr>
                        <wps:txbx>
                          <w:txbxContent>
                            <w:p w14:paraId="527DF5E8" w14:textId="77777777" w:rsidR="009A2F7A" w:rsidRDefault="009A2F7A" w:rsidP="009A2F7A">
                              <w:pPr>
                                <w:spacing w:after="60"/>
                                <w:jc w:val="center"/>
                              </w:pPr>
                              <w:r>
                                <w:rPr>
                                  <w:b/>
                                  <w:bCs/>
                                  <w:color w:val="153A5B"/>
                                  <w:sz w:val="26"/>
                                  <w:szCs w:val="26"/>
                                  <w:rtl/>
                                </w:rPr>
                                <w:t>مقاومة التغيير</w:t>
                              </w:r>
                            </w:p>
                            <w:p w14:paraId="454F93F5" w14:textId="77777777" w:rsidR="009A2F7A" w:rsidRDefault="009A2F7A" w:rsidP="009A2F7A">
                              <w:pPr>
                                <w:spacing w:after="40"/>
                                <w:jc w:val="center"/>
                              </w:pPr>
                              <w:r>
                                <w:rPr>
                                  <w:szCs w:val="24"/>
                                  <w:rtl/>
                                </w:rPr>
                                <w:t>المقاومة المعرفية</w:t>
                              </w:r>
                            </w:p>
                            <w:p w14:paraId="18EBED35" w14:textId="77777777" w:rsidR="009A2F7A" w:rsidRDefault="009A2F7A" w:rsidP="009A2F7A">
                              <w:pPr>
                                <w:spacing w:after="40"/>
                                <w:jc w:val="center"/>
                              </w:pPr>
                              <w:r>
                                <w:rPr>
                                  <w:szCs w:val="24"/>
                                  <w:rtl/>
                                </w:rPr>
                                <w:t>المقاومة الوجدانية</w:t>
                              </w:r>
                            </w:p>
                            <w:p w14:paraId="2DF7BD82" w14:textId="77777777" w:rsidR="009A2F7A" w:rsidRDefault="009A2F7A" w:rsidP="009A2F7A">
                              <w:pPr>
                                <w:jc w:val="center"/>
                              </w:pPr>
                              <w:r>
                                <w:rPr>
                                  <w:szCs w:val="24"/>
                                  <w:rtl/>
                                </w:rPr>
                                <w:t>المقاومة السلوكية</w:t>
                              </w:r>
                            </w:p>
                          </w:txbxContent>
                        </wps:txbx>
                        <wps:bodyPr rot="0" vert="horz" wrap="square" lIns="45720" tIns="500000" rIns="45720" bIns="18000" anchor="t" anchorCtr="0">
                          <a:noAutofit/>
                        </wps:bodyPr>
                      </wps:wsp>
                      <wps:wsp>
                        <wps:cNvPr id="206" name="Hdr206"/>
                        <wps:cNvSpPr/>
                        <wps:spPr>
                          <a:xfrm>
                            <a:off x="0" y="1740000"/>
                            <a:ext cx="1980000" cy="400000"/>
                          </a:xfrm>
                          <a:prstGeom prst="roundRect">
                            <a:avLst>
                              <a:gd name="adj" fmla="val 18000"/>
                            </a:avLst>
                          </a:prstGeom>
                          <a:solidFill>
                            <a:srgbClr val="1F4E79"/>
                          </a:solidFill>
                          <a:ln w="12700">
                            <a:solidFill>
                              <a:srgbClr val="1F4E79"/>
                            </a:solidFill>
                          </a:ln>
                        </wps:spPr>
                        <wps:txbx>
                          <w:txbxContent>
                            <w:p w14:paraId="3F1D5607" w14:textId="77777777" w:rsidR="009A2F7A" w:rsidRDefault="009A2F7A" w:rsidP="009A2F7A">
                              <w:pPr>
                                <w:jc w:val="center"/>
                              </w:pPr>
                              <w:r>
                                <w:rPr>
                                  <w:b/>
                                  <w:bCs/>
                                  <w:color w:val="FFFFFF"/>
                                  <w:szCs w:val="24"/>
                                  <w:rtl/>
                                </w:rPr>
                                <w:t>المتغير التابع الثاني</w:t>
                              </w:r>
                            </w:p>
                          </w:txbxContent>
                        </wps:txbx>
                        <wps:bodyPr wrap="square" lIns="18000" tIns="27000" rIns="18000" bIns="0" anchor="ctr">
                          <a:noAutofit/>
                        </wps:bodyPr>
                      </wps:wsp>
                      <wps:wsp>
                        <wps:cNvPr id="207" name="Arr207"/>
                        <wps:cNvCnPr/>
                        <wps:spPr>
                          <a:xfrm flipH="1" flipV="1">
                            <a:off x="1980000" y="750000"/>
                            <a:ext cx="1512000" cy="480000"/>
                          </a:xfrm>
                          <a:prstGeom prst="straightConnector1">
                            <a:avLst/>
                          </a:prstGeom>
                          <a:ln w="28575">
                            <a:solidFill>
                              <a:srgbClr val="1F4E79"/>
                            </a:solidFill>
                            <a:tailEnd type="triangle" w="med" len="med"/>
                          </a:ln>
                        </wps:spPr>
                        <wps:bodyPr/>
                      </wps:wsp>
                      <wps:wsp>
                        <wps:cNvPr id="208" name="Arr208"/>
                        <wps:cNvCnPr/>
                        <wps:spPr>
                          <a:xfrm flipH="1">
                            <a:off x="1980000" y="2010000"/>
                            <a:ext cx="1512000" cy="480000"/>
                          </a:xfrm>
                          <a:prstGeom prst="straightConnector1">
                            <a:avLst/>
                          </a:prstGeom>
                          <a:ln w="28575">
                            <a:solidFill>
                              <a:srgbClr val="1F4E79"/>
                            </a:solidFill>
                            <a:tailEnd type="triangle" w="med" len="med"/>
                          </a:ln>
                        </wps:spPr>
                        <wps:bodyPr/>
                      </wps:wsp>
                      <wps:wsp>
                        <wps:cNvPr id="209" name="Lbl209"/>
                        <wps:cNvSpPr/>
                        <wps:spPr>
                          <a:xfrm>
                            <a:off x="2110000" y="380000"/>
                            <a:ext cx="1250000" cy="300000"/>
                          </a:xfrm>
                          <a:prstGeom prst="roundRect">
                            <a:avLst>
                              <a:gd name="adj" fmla="val 30000"/>
                            </a:avLst>
                          </a:prstGeom>
                          <a:solidFill>
                            <a:srgbClr val="FFFFFF"/>
                          </a:solidFill>
                          <a:ln w="9525">
                            <a:solidFill>
                              <a:srgbClr val="1F4E79"/>
                            </a:solidFill>
                          </a:ln>
                        </wps:spPr>
                        <wps:txbx>
                          <w:txbxContent>
                            <w:p w14:paraId="5DE9EB42" w14:textId="77777777" w:rsidR="009A2F7A" w:rsidRDefault="009A2F7A" w:rsidP="009A2F7A">
                              <w:pPr>
                                <w:jc w:val="center"/>
                              </w:pPr>
                              <w:r>
                                <w:rPr>
                                  <w:b/>
                                  <w:bCs/>
                                  <w:color w:val="1F4E79"/>
                                  <w:sz w:val="20"/>
                                  <w:szCs w:val="20"/>
                                  <w:rtl/>
                                </w:rPr>
                                <w:t>الفرضية الفرعية الأولى</w:t>
                              </w:r>
                            </w:p>
                          </w:txbxContent>
                        </wps:txbx>
                        <wps:bodyPr wrap="square" lIns="18000" tIns="10000" rIns="18000" bIns="0" anchor="ctr">
                          <a:noAutofit/>
                        </wps:bodyPr>
                      </wps:wsp>
                      <wps:wsp>
                        <wps:cNvPr id="210" name="Lbl210"/>
                        <wps:cNvSpPr/>
                        <wps:spPr>
                          <a:xfrm>
                            <a:off x="2110000" y="2560000"/>
                            <a:ext cx="1250000" cy="300000"/>
                          </a:xfrm>
                          <a:prstGeom prst="roundRect">
                            <a:avLst>
                              <a:gd name="adj" fmla="val 30000"/>
                            </a:avLst>
                          </a:prstGeom>
                          <a:solidFill>
                            <a:srgbClr val="FFFFFF"/>
                          </a:solidFill>
                          <a:ln w="9525">
                            <a:solidFill>
                              <a:srgbClr val="1F4E79"/>
                            </a:solidFill>
                          </a:ln>
                        </wps:spPr>
                        <wps:txbx>
                          <w:txbxContent>
                            <w:p w14:paraId="18153F0C" w14:textId="77777777" w:rsidR="009A2F7A" w:rsidRDefault="009A2F7A" w:rsidP="009A2F7A">
                              <w:pPr>
                                <w:jc w:val="center"/>
                              </w:pPr>
                              <w:r>
                                <w:rPr>
                                  <w:b/>
                                  <w:bCs/>
                                  <w:color w:val="1F4E79"/>
                                  <w:sz w:val="20"/>
                                  <w:szCs w:val="20"/>
                                  <w:rtl/>
                                </w:rPr>
                                <w:t>الفرضية الفرعية الثانية</w:t>
                              </w:r>
                            </w:p>
                          </w:txbxContent>
                        </wps:txbx>
                        <wps:bodyPr wrap="square" lIns="18000" tIns="10000" rIns="18000" bIns="0" anchor="ctr">
                          <a:noAutofit/>
                        </wps:bodyPr>
                      </wps:wsp>
                    </wpg:wgp>
                  </a:graphicData>
                </a:graphic>
              </wp:inline>
            </w:drawing>
          </mc:Choice>
          <mc:Fallback>
            <w:pict>
              <v:group w14:anchorId="149D9194" id="نموذج الدراسة" o:spid="_x0000_s1026" alt="نموذج الدراسة المفاهيمي" style="width:324.35pt;height:204pt;mso-position-horizontal-relative:char;mso-position-vertical-relative:line" coordsize="54720,3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">
                <v:roundrect id="Box201" o:spid="_x0000_s1027" style="position:absolute;left:34920;top:600;width:19800;height:31200;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" fillcolor="#deeaf6" strokecolor="#1f4e79" strokeweight="1.25pt">
                  <v:textbox inset="3.6pt,15.55556mm,3.6pt,.5mm">
                    <w:txbxContent>
                      <w:p w14:paraId="00FEDB3E" w14:textId="77777777" w:rsidR="009A2F7A" w:rsidRDefault="009A2F7A" w:rsidP="009A2F7A">
                        <w:pPr>
                          <w:spacing w:after="80"/>
                          <w:jc w:val="center"/>
                        </w:pPr>
                        <w:r>
                          <w:rPr>
                            <w:b/>
                            <w:bCs/>
                            <w:color w:val="153A5B"/>
                            <w:sz w:val="26"/>
                            <w:szCs w:val="26"/>
                            <w:rtl/>
                          </w:rPr>
                          <w:t>القيادة التحويلية</w:t>
                        </w:r>
                      </w:p>
                      <w:p w14:paraId="4C2D988A" w14:textId="77777777" w:rsidR="009A2F7A" w:rsidRDefault="009A2F7A" w:rsidP="009A2F7A">
                        <w:pPr>
                          <w:spacing w:after="40"/>
                          <w:jc w:val="center"/>
                        </w:pPr>
                        <w:r>
                          <w:rPr>
                            <w:szCs w:val="24"/>
                            <w:rtl/>
                          </w:rPr>
                          <w:t>التأثير المثالي</w:t>
                        </w:r>
                      </w:p>
                      <w:p w14:paraId="0C41B6C3" w14:textId="77777777" w:rsidR="009A2F7A" w:rsidRDefault="009A2F7A" w:rsidP="009A2F7A">
                        <w:pPr>
                          <w:spacing w:after="40"/>
                          <w:jc w:val="center"/>
                        </w:pPr>
                        <w:r>
                          <w:rPr>
                            <w:szCs w:val="24"/>
                            <w:rtl/>
                          </w:rPr>
                          <w:t>الحفز الإلهامي</w:t>
                        </w:r>
                      </w:p>
                      <w:p w14:paraId="500D0080" w14:textId="77777777" w:rsidR="009A2F7A" w:rsidRDefault="009A2F7A" w:rsidP="009A2F7A">
                        <w:pPr>
                          <w:spacing w:after="40"/>
                          <w:jc w:val="center"/>
                        </w:pPr>
                        <w:r>
                          <w:rPr>
                            <w:szCs w:val="24"/>
                            <w:rtl/>
                          </w:rPr>
                          <w:t>الاستثارة الفكرية</w:t>
                        </w:r>
                      </w:p>
                      <w:p w14:paraId="1DD9080B" w14:textId="77777777" w:rsidR="009A2F7A" w:rsidRDefault="009A2F7A" w:rsidP="009A2F7A">
                        <w:pPr>
                          <w:jc w:val="center"/>
                        </w:pPr>
                        <w:r>
                          <w:rPr>
                            <w:szCs w:val="24"/>
                            <w:rtl/>
                          </w:rPr>
                          <w:t>الاعتبارية الفردية</w:t>
                        </w:r>
                      </w:p>
                    </w:txbxContent>
                  </v:textbox>
                </v:roundrect>
                <v:roundrect id="Hdr202" o:spid="_x0000_s1028" style="position:absolute;left:34920;top:600;width:19800;height:4300;visibility:visible;mso-wrap-style:square;v-text-anchor:middle" arcsize="1179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" fillcolor="#1f4e79" strokecolor="#1f4e79" strokeweight="1pt">
                  <v:textbox inset=".5mm,.75mm,.5mm,0">
                    <w:txbxContent>
                      <w:p w14:paraId="3333AC9F" w14:textId="77777777" w:rsidR="009A2F7A" w:rsidRDefault="009A2F7A" w:rsidP="009A2F7A">
                        <w:pPr>
                          <w:jc w:val="center"/>
                        </w:pPr>
                        <w:r>
                          <w:rPr>
                            <w:b/>
                            <w:bCs/>
                            <w:color w:val="FFFFFF"/>
                            <w:szCs w:val="24"/>
                            <w:rtl/>
                          </w:rPr>
                          <w:t>المتغير المستقل</w:t>
                        </w:r>
                      </w:p>
                    </w:txbxContent>
                  </v:textbox>
                </v:roundrect>
                <v:roundrect id="Box203" o:spid="_x0000_s1029" style="position:absolute;width:19800;height:15000;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" fillcolor="#fbe9d9" strokecolor="#1f4e79" strokeweight="1.25pt">
                  <v:textbox inset="3.6pt,13.8889mm,3.6pt,.5mm">
                    <w:txbxContent>
                      <w:p w14:paraId="14BBC141" w14:textId="77777777" w:rsidR="009A2F7A" w:rsidRDefault="009A2F7A" w:rsidP="009A2F7A">
                        <w:pPr>
                          <w:spacing w:after="60"/>
                          <w:jc w:val="center"/>
                        </w:pPr>
                        <w:r>
                          <w:rPr>
                            <w:b/>
                            <w:bCs/>
                            <w:color w:val="153A5B"/>
                            <w:sz w:val="26"/>
                            <w:szCs w:val="26"/>
                            <w:rtl/>
                          </w:rPr>
                          <w:t>الدافعية</w:t>
                        </w:r>
                      </w:p>
                      <w:p w14:paraId="01F185ED" w14:textId="77777777" w:rsidR="009A2F7A" w:rsidRDefault="009A2F7A" w:rsidP="009A2F7A">
                        <w:pPr>
                          <w:spacing w:after="40"/>
                          <w:jc w:val="center"/>
                        </w:pPr>
                        <w:r>
                          <w:rPr>
                            <w:szCs w:val="24"/>
                            <w:rtl/>
                          </w:rPr>
                          <w:t>الدافعية الداخلية</w:t>
                        </w:r>
                      </w:p>
                      <w:p w14:paraId="29AB8820" w14:textId="77777777" w:rsidR="009A2F7A" w:rsidRDefault="009A2F7A" w:rsidP="009A2F7A">
                        <w:pPr>
                          <w:spacing w:after="40"/>
                          <w:jc w:val="center"/>
                        </w:pPr>
                        <w:r>
                          <w:rPr>
                            <w:szCs w:val="24"/>
                            <w:rtl/>
                          </w:rPr>
                          <w:t>الدافعية الخارجية</w:t>
                        </w:r>
                      </w:p>
                      <w:p w14:paraId="349201DA" w14:textId="77777777" w:rsidR="009A2F7A" w:rsidRDefault="009A2F7A" w:rsidP="009A2F7A">
                        <w:pPr>
                          <w:jc w:val="center"/>
                        </w:pPr>
                        <w:r>
                          <w:rPr>
                            <w:szCs w:val="24"/>
                            <w:rtl/>
                          </w:rPr>
                          <w:t>دافعية الإنجاز</w:t>
                        </w:r>
                      </w:p>
                    </w:txbxContent>
                  </v:textbox>
                </v:roundrect>
                <v:roundrect id="Hdr204" o:spid="_x0000_s1030" style="position:absolute;width:19800;height:4000;visibility:visible;mso-wrap-style:square;v-text-anchor:middle" arcsize="1179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" fillcolor="#1f4e79" strokecolor="#1f4e79" strokeweight="1pt">
                  <v:textbox inset=".5mm,.75mm,.5mm,0">
                    <w:txbxContent>
                      <w:p w14:paraId="0E0B558E" w14:textId="77777777" w:rsidR="009A2F7A" w:rsidRDefault="009A2F7A" w:rsidP="009A2F7A">
                        <w:pPr>
                          <w:jc w:val="center"/>
                        </w:pPr>
                        <w:r>
                          <w:rPr>
                            <w:b/>
                            <w:bCs/>
                            <w:color w:val="FFFFFF"/>
                            <w:szCs w:val="24"/>
                            <w:rtl/>
                          </w:rPr>
                          <w:t>المتغير التابع الأول</w:t>
                        </w:r>
                      </w:p>
                    </w:txbxContent>
                  </v:textbox>
                </v:roundrect>
                <v:roundrect id="Box205" o:spid="_x0000_s1031" style="position:absolute;top:17400;width:19800;height:15000;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" fillcolor="#e2efda" strokecolor="#1f4e79" strokeweight="1.25pt">
                  <v:textbox inset="3.6pt,13.8889mm,3.6pt,.5mm">
                    <w:txbxContent>
                      <w:p w14:paraId="527DF5E8" w14:textId="77777777" w:rsidR="009A2F7A" w:rsidRDefault="009A2F7A" w:rsidP="009A2F7A">
                        <w:pPr>
                          <w:spacing w:after="60"/>
                          <w:jc w:val="center"/>
                        </w:pPr>
                        <w:r>
                          <w:rPr>
                            <w:b/>
                            <w:bCs/>
                            <w:color w:val="153A5B"/>
                            <w:sz w:val="26"/>
                            <w:szCs w:val="26"/>
                            <w:rtl/>
                          </w:rPr>
                          <w:t>مقاومة التغيير</w:t>
                        </w:r>
                      </w:p>
                      <w:p w14:paraId="454F93F5" w14:textId="77777777" w:rsidR="009A2F7A" w:rsidRDefault="009A2F7A" w:rsidP="009A2F7A">
                        <w:pPr>
                          <w:spacing w:after="40"/>
                          <w:jc w:val="center"/>
                        </w:pPr>
                        <w:r>
                          <w:rPr>
                            <w:szCs w:val="24"/>
                            <w:rtl/>
                          </w:rPr>
                          <w:t>المقاومة المعرفية</w:t>
                        </w:r>
                      </w:p>
                      <w:p w14:paraId="18EBED35" w14:textId="77777777" w:rsidR="009A2F7A" w:rsidRDefault="009A2F7A" w:rsidP="009A2F7A">
                        <w:pPr>
                          <w:spacing w:after="40"/>
                          <w:jc w:val="center"/>
                        </w:pPr>
                        <w:r>
                          <w:rPr>
                            <w:szCs w:val="24"/>
                            <w:rtl/>
                          </w:rPr>
                          <w:t>المقاومة الوجدانية</w:t>
                        </w:r>
                      </w:p>
                      <w:p w14:paraId="2DF7BD82" w14:textId="77777777" w:rsidR="009A2F7A" w:rsidRDefault="009A2F7A" w:rsidP="009A2F7A">
                        <w:pPr>
                          <w:jc w:val="center"/>
                        </w:pPr>
                        <w:r>
                          <w:rPr>
                            <w:szCs w:val="24"/>
                            <w:rtl/>
                          </w:rPr>
                          <w:t>المقاومة السلوكية</w:t>
                        </w:r>
                      </w:p>
                    </w:txbxContent>
                  </v:textbox>
                </v:roundrect>
                <v:roundrect id="Hdr206" o:spid="_x0000_s1032" style="position:absolute;top:17400;width:19800;height:4000;visibility:visible;mso-wrap-style:square;v-text-anchor:middle" arcsize="1179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" fillcolor="#1f4e79" strokecolor="#1f4e79" strokeweight="1pt">
                  <v:textbox inset=".5mm,.75mm,.5mm,0">
                    <w:txbxContent>
                      <w:p w14:paraId="3F1D5607" w14:textId="77777777" w:rsidR="009A2F7A" w:rsidRDefault="009A2F7A" w:rsidP="009A2F7A">
                        <w:pPr>
                          <w:jc w:val="center"/>
                        </w:pPr>
                        <w:r>
                          <w:rPr>
                            <w:b/>
                            <w:bCs/>
                            <w:color w:val="FFFFFF"/>
                            <w:szCs w:val="24"/>
                            <w:rtl/>
                          </w:rPr>
                          <w:t>المتغير التابع الثاني</w:t>
                        </w:r>
                      </w:p>
                    </w:txbxContent>
                  </v:textbox>
                </v:roundrect>
                <v:shapetype id="_x0000_t32" coordsize="21600,21600" o:spt="32" o:oned="t" path="m,l21600,21600e" filled="f">
                  <v:path arrowok="t" fillok="f" o:connecttype="none"/>
                  <o:lock v:ext="edit" shapetype="t"/>
                </v:shapetype>
                <v:shape id="Arr207" o:spid="_x0000_s1033" type="#_x0000_t32" style="position:absolute;left:19800;top:7500;width:15120;height:480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" strokecolor="#1f4e79" strokeweight="2.25pt">
                  <v:stroke endarrow="block"/>
                </v:shape>
                <v:shape id="Arr208" o:spid="_x0000_s1034" type="#_x0000_t32" style="position:absolute;left:19800;top:20100;width:15120;height:48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" strokecolor="#1f4e79" strokeweight="2.25pt">
                  <v:stroke endarrow="block"/>
                </v:shape>
                <v:roundrect id="Lbl209" o:spid="_x0000_s1035" style="position:absolute;left:21100;top:3800;width:12500;height:3000;visibility:visible;mso-wrap-style:square;v-text-anchor:middle" arcsize="196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" strokecolor="#1f4e79">
                  <v:textbox inset=".5mm,.27778mm,.5mm,0">
                    <w:txbxContent>
                      <w:p w14:paraId="5DE9EB42" w14:textId="77777777" w:rsidR="009A2F7A" w:rsidRDefault="009A2F7A" w:rsidP="009A2F7A">
                        <w:pPr>
                          <w:jc w:val="center"/>
                        </w:pPr>
                        <w:r>
                          <w:rPr>
                            <w:b/>
                            <w:bCs/>
                            <w:color w:val="1F4E79"/>
                            <w:sz w:val="20"/>
                            <w:szCs w:val="20"/>
                            <w:rtl/>
                          </w:rPr>
                          <w:t>الفرضية الفرعية الأولى</w:t>
                        </w:r>
                      </w:p>
                    </w:txbxContent>
                  </v:textbox>
                </v:roundrect>
                <v:roundrect id="Lbl210" o:spid="_x0000_s1036" style="position:absolute;left:21100;top:25600;width:12500;height:3000;visibility:visible;mso-wrap-style:square;v-text-anchor:middle" arcsize="196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" strokecolor="#1f4e79">
                  <v:textbox inset=".5mm,.27778mm,.5mm,0">
                    <w:txbxContent>
                      <w:p w14:paraId="18153F0C" w14:textId="77777777" w:rsidR="009A2F7A" w:rsidRDefault="009A2F7A" w:rsidP="009A2F7A">
                        <w:pPr>
                          <w:jc w:val="center"/>
                        </w:pPr>
                        <w:r>
                          <w:rPr>
                            <w:b/>
                            <w:bCs/>
                            <w:color w:val="1F4E79"/>
                            <w:sz w:val="20"/>
                            <w:szCs w:val="20"/>
                            <w:rtl/>
                          </w:rPr>
                          <w:t>الفرضية الفرعية الثانية</w:t>
                        </w:r>
                      </w:p>
                    </w:txbxContent>
                  </v:textbox>
                </v:roundrect>
                <w10:wrap anchorx="page"/>
                <w10:anchorlock/>
              </v:group>
            </w:pict>
          </mc:Fallback>
        </mc:AlternateContent>
      </w:r>
    </w:p>
    <w:p w14:paraId="61474298" w14:textId="77777777" w:rsidR="009A2F7A" w:rsidRDefault="009A2F7A" w:rsidP="009A2F7A">
      <w:pPr>
        <w:spacing w:before="60" w:after="60"/>
        <w:jc w:val="center"/>
      </w:pPr>
      <w:r>
        <w:rPr>
          <w:b/>
          <w:bCs/>
          <w:szCs w:val="24"/>
          <w:rtl/>
        </w:rPr>
        <w:t>شكل (1-1): نموذج الدراسة</w:t>
      </w:r>
    </w:p>
    <w:p w14:paraId="05D2A9AC" w14:textId="77777777" w:rsidR="009A2F7A" w:rsidRDefault="009A2F7A" w:rsidP="009A2F7A">
      <w:pPr>
        <w:spacing w:after="120"/>
        <w:jc w:val="center"/>
      </w:pPr>
      <w:r>
        <w:rPr>
          <w:sz w:val="22"/>
          <w:szCs w:val="22"/>
          <w:rtl/>
        </w:rPr>
        <w:t>المصدر: من إعداد الباحثة.</w:t>
      </w:r>
    </w:p>
    <w:p w14:paraId="7DC3E6E6" w14:textId="77777777" w:rsidR="009A2F7A" w:rsidRDefault="009A2F7A" w:rsidP="009A2F7A">
      <w:pPr>
        <w:spacing w:after="120"/>
        <w:ind w:firstLine="283"/>
        <w:jc w:val="both"/>
      </w:pPr>
      <w:r>
        <w:rPr>
          <w:sz w:val="28"/>
          <w:rtl/>
        </w:rPr>
        <w:t>ويُلاحَظ أنّ أبعاد النموذج جميعها مشتقّةٌ من الإطار النظري الذي يفصّله الفصل الثاني، وأنها هي نفسها المحاور والأبعاد التي ستُبنى عليها أداة الدراسة في الفصل الثالث؛ بما يضمن الاتساق بين البناء المفاهيمي للدراسة وقياسها الميداني.</w:t>
      </w:r>
    </w:p>
    <w:p w14:paraId="5F7E0754" w14:textId="77777777" w:rsidR="009A2F7A" w:rsidRPr="0022569A" w:rsidRDefault="009A2F7A" w:rsidP="009A2F7A">
      <w:pPr>
        <w:spacing w:before="120" w:after="120"/>
        <w:outlineLvl w:val="1"/>
        <w:rPr>
          <w:sz w:val="36"/>
          <w:szCs w:val="36"/>
        </w:rPr>
      </w:pPr>
      <w:bookmarkStart w:id="9" w:name="_Toc234589598"/>
      <w:r>
        <w:rPr>
          <w:b/>
          <w:bCs/>
          <w:sz w:val="36"/>
          <w:szCs w:val="36"/>
          <w:u w:val="single"/>
          <w:rtl/>
        </w:rPr>
        <w:t>المنطلقات النظرية للدراسة</w:t>
      </w:r>
      <w:bookmarkEnd w:id="9"/>
    </w:p>
    <w:p w14:paraId="00EC1270" w14:textId="77777777" w:rsidR="009A2F7A" w:rsidRDefault="009A2F7A" w:rsidP="009A2F7A">
      <w:pPr>
        <w:spacing w:after="120"/>
        <w:ind w:firstLine="283"/>
        <w:jc w:val="both"/>
      </w:pPr>
      <w:r>
        <w:rPr>
          <w:sz w:val="28"/>
          <w:rtl/>
        </w:rPr>
        <w:lastRenderedPageBreak/>
        <w:t>تستند الدراسة في بناء نموذجها وتفسير العلاقات بين متغيراتها إلى جملةٍ من النظريات والمداخل الراسخة في الفكر القيادي والسلوكي، تُشكّل مجتمعةً الأساس الذي تنهض عليه فرضياتها. وفيما يأتي بيانها:</w:t>
      </w:r>
    </w:p>
    <w:p w14:paraId="7B8BFBE5" w14:textId="77777777" w:rsidR="009A2F7A" w:rsidRDefault="009A2F7A" w:rsidP="009A2F7A">
      <w:pPr>
        <w:spacing w:before="120" w:after="120"/>
        <w:outlineLvl w:val="2"/>
        <w:rPr>
          <w:rtl/>
        </w:rPr>
      </w:pPr>
      <w:bookmarkStart w:id="10" w:name="_Toc234589599"/>
      <w:r>
        <w:rPr>
          <w:b/>
          <w:bCs/>
          <w:sz w:val="32"/>
          <w:szCs w:val="32"/>
          <w:rtl/>
        </w:rPr>
        <w:t>نظرية القيادة التحويلية</w:t>
      </w:r>
      <w:r>
        <w:rPr>
          <w:rFonts w:cs="Times New Roman"/>
          <w:b/>
          <w:bCs/>
          <w:sz w:val="28"/>
        </w:rPr>
        <w:t xml:space="preserve"> </w:t>
      </w:r>
      <w:r>
        <w:rPr>
          <w:rFonts w:cs="Times New Roman"/>
          <w:b/>
          <w:bCs/>
          <w:szCs w:val="24"/>
        </w:rPr>
        <w:t>(Transformational Leadership Theory)</w:t>
      </w:r>
      <w:bookmarkEnd w:id="10"/>
    </w:p>
    <w:p w14:paraId="444B7CA6" w14:textId="77777777" w:rsidR="009A2F7A" w:rsidRDefault="009A2F7A" w:rsidP="009A2F7A">
      <w:pPr>
        <w:spacing w:after="120"/>
        <w:ind w:firstLine="283"/>
        <w:jc w:val="both"/>
      </w:pPr>
      <w:r>
        <w:rPr>
          <w:sz w:val="28"/>
          <w:rtl/>
        </w:rPr>
        <w:t>أرسى بيرنز أصل هذه النظرية حين ميّز القيادة التحويلية عن التبادلية، وعدّها عمليةً يرتقي فيها القائد والأتباع معًا إلى مستوياتٍ أرفع من الدافعية والقيم</w:t>
      </w:r>
      <w:r>
        <w:rPr>
          <w:rFonts w:cs="Times New Roman"/>
          <w:szCs w:val="24"/>
        </w:rPr>
        <w:t xml:space="preserve"> (Burns, 1978)</w:t>
      </w:r>
      <w:r>
        <w:rPr>
          <w:sz w:val="28"/>
          <w:rtl/>
        </w:rPr>
        <w:t>، ثم بلورها باس في سياق المنظمات، فحدّد سلوكياتها في أربعة أبعاد هي التأثير المثالي والحفز الإلهامي والاستثارة الفكرية والاعتبارية الفردية، مبيّنًا أنها تقود الأتباع إلى أداءٍ يتجاوز التوقعات</w:t>
      </w:r>
      <w:r>
        <w:rPr>
          <w:rFonts w:cs="Times New Roman"/>
          <w:szCs w:val="24"/>
        </w:rPr>
        <w:t xml:space="preserve"> (Bass, 1985; Bass &amp; Riggio, 2006).</w:t>
      </w:r>
    </w:p>
    <w:p w14:paraId="1EF9C672" w14:textId="77777777" w:rsidR="009A2F7A" w:rsidRDefault="009A2F7A" w:rsidP="009A2F7A">
      <w:pPr>
        <w:spacing w:after="120"/>
        <w:ind w:firstLine="283"/>
        <w:jc w:val="both"/>
      </w:pPr>
      <w:r>
        <w:rPr>
          <w:sz w:val="28"/>
          <w:rtl/>
        </w:rPr>
        <w:t>أمّا صلتها بالدراسة الحالية فتكمن في كونها الإطار المؤسِّس لمتغيرها المستقل؛ فمنها اشتُقّت أبعاد القيادة التحويلية الأربعة التي يقوم عليها المحور الأول من أداة الدراسة، وهي التي تفسّر الآلية التي يُحدث بها سلوك القائد أثره في المتغيرين التابعين معًا، فتسند بذلك الفرضية الرئيسة. وقد اختيرت لكونها أكثر نظريات القيادة تحقّقًا تجريبيًا واتساقًا في التنبؤ بمخرجات الأتباع</w:t>
      </w:r>
      <w:r>
        <w:rPr>
          <w:rFonts w:cs="Times New Roman"/>
          <w:szCs w:val="24"/>
        </w:rPr>
        <w:t xml:space="preserve"> (Northouse, 2022).</w:t>
      </w:r>
    </w:p>
    <w:p w14:paraId="6F3ECA98" w14:textId="77777777" w:rsidR="009A2F7A" w:rsidRDefault="009A2F7A" w:rsidP="009A2F7A">
      <w:pPr>
        <w:spacing w:before="120" w:after="120"/>
        <w:outlineLvl w:val="2"/>
        <w:rPr>
          <w:rtl/>
        </w:rPr>
      </w:pPr>
      <w:bookmarkStart w:id="11" w:name="_Toc234589600"/>
      <w:r>
        <w:rPr>
          <w:b/>
          <w:bCs/>
          <w:sz w:val="32"/>
          <w:szCs w:val="32"/>
          <w:rtl/>
        </w:rPr>
        <w:t>نظرية التقرير الذاتي</w:t>
      </w:r>
      <w:r>
        <w:rPr>
          <w:rFonts w:cs="Times New Roman"/>
          <w:b/>
          <w:bCs/>
          <w:sz w:val="28"/>
        </w:rPr>
        <w:t xml:space="preserve"> </w:t>
      </w:r>
      <w:r>
        <w:rPr>
          <w:rFonts w:cs="Times New Roman"/>
          <w:b/>
          <w:bCs/>
          <w:szCs w:val="24"/>
        </w:rPr>
        <w:t>(Self-Determination Theory)</w:t>
      </w:r>
      <w:bookmarkEnd w:id="11"/>
    </w:p>
    <w:p w14:paraId="56EF187C" w14:textId="77777777" w:rsidR="009A2F7A" w:rsidRDefault="009A2F7A" w:rsidP="009A2F7A">
      <w:pPr>
        <w:spacing w:after="120"/>
        <w:ind w:firstLine="283"/>
        <w:jc w:val="both"/>
      </w:pPr>
      <w:r>
        <w:rPr>
          <w:sz w:val="28"/>
          <w:rtl/>
        </w:rPr>
        <w:t>تقرّر هذه النظرية، التي طوّرها ديسي ورايان، أنّ الدافعية ليست كمًّا واحدًا، بل أنواعٌ تتدرّج من الدافعية الخارجية المحكومة إلى الدافعية الداخلية المستقلة، وأنّ إشباع الحاجات النفسية الأساسية إلى الاستقلالية والكفاءة والانتماء هو ما يُنمّي الدافعية الداخلية</w:t>
      </w:r>
      <w:r>
        <w:rPr>
          <w:rFonts w:cs="Times New Roman"/>
          <w:szCs w:val="24"/>
        </w:rPr>
        <w:t>(Deci &amp; Ryan, 2000; Ryan &amp; Deci, 2017).</w:t>
      </w:r>
    </w:p>
    <w:p w14:paraId="2D8B4336" w14:textId="77777777" w:rsidR="009A2F7A" w:rsidRDefault="009A2F7A" w:rsidP="009A2F7A">
      <w:pPr>
        <w:spacing w:after="120"/>
        <w:ind w:firstLine="283"/>
        <w:jc w:val="both"/>
      </w:pPr>
      <w:r>
        <w:rPr>
          <w:sz w:val="28"/>
          <w:rtl/>
        </w:rPr>
        <w:t>وتتّصل بالدراسة الحالية من جهة أنّها الأساس الذي بُني عليه المتغير التابع الأول بأبعاده؛ فهي تفسّر كيف تُشبع سلوكيات القائد التحويلي، من إشراكٍ في الرؤية واستثارةٍ للفكر ورعايةٍ فردية، حاجات الموظف النفسية، فترتفع دافعيته الداخلية والخارجية معًا، وذلك جوهر العلاقة التي تختبرها الفرضية الفرعية الأولى. وقد اختيرت لرسوخها التجريبي في تفسير دافعية العمل عبر السياقات الثقافية المختلفة.</w:t>
      </w:r>
    </w:p>
    <w:p w14:paraId="529E3340" w14:textId="77777777" w:rsidR="009A2F7A" w:rsidRDefault="009A2F7A" w:rsidP="009A2F7A">
      <w:pPr>
        <w:spacing w:before="120" w:after="120"/>
        <w:outlineLvl w:val="2"/>
      </w:pPr>
      <w:bookmarkStart w:id="12" w:name="_Toc234589601"/>
      <w:r>
        <w:rPr>
          <w:b/>
          <w:bCs/>
          <w:sz w:val="32"/>
          <w:szCs w:val="32"/>
          <w:rtl/>
        </w:rPr>
        <w:t>النظرية الدافعية القائمة على مفهوم الذات</w:t>
      </w:r>
      <w:r>
        <w:rPr>
          <w:rFonts w:cs="Times New Roman"/>
          <w:b/>
          <w:bCs/>
          <w:sz w:val="28"/>
        </w:rPr>
        <w:t xml:space="preserve"> </w:t>
      </w:r>
      <w:r>
        <w:rPr>
          <w:rFonts w:cs="Times New Roman"/>
          <w:b/>
          <w:bCs/>
          <w:szCs w:val="24"/>
        </w:rPr>
        <w:t>(Self-Concept Based Motivational Theory)</w:t>
      </w:r>
      <w:bookmarkEnd w:id="12"/>
    </w:p>
    <w:p w14:paraId="1A2106C7" w14:textId="77777777" w:rsidR="009A2F7A" w:rsidRDefault="009A2F7A" w:rsidP="009A2F7A">
      <w:pPr>
        <w:spacing w:after="120"/>
        <w:ind w:firstLine="283"/>
        <w:jc w:val="both"/>
      </w:pPr>
      <w:r>
        <w:rPr>
          <w:sz w:val="28"/>
          <w:rtl/>
        </w:rPr>
        <w:t xml:space="preserve">بهذه النظرية يفسّر شامير وهاوس وآرثر الآلية النفسية لأثر القيادة الملهمة في الدافعية؛ إذ يربط القائد عمل الأتباع بقيمهم وهويتهم الجمعية، فيرفع تقديرهم لذواتهم، وإحساسهم بمعنى عملهم </w:t>
      </w:r>
      <w:r>
        <w:rPr>
          <w:sz w:val="28"/>
          <w:rtl/>
        </w:rPr>
        <w:lastRenderedPageBreak/>
        <w:t>وفاعليتهم الذاتية، فتتحوّل المشاركة في العمل من التزامٍ خارجي إلى تعبيرٍ عن الذات</w:t>
      </w:r>
      <w:r>
        <w:rPr>
          <w:rFonts w:cs="Times New Roman"/>
          <w:szCs w:val="24"/>
        </w:rPr>
        <w:t xml:space="preserve"> (Shamir et al., 1993).</w:t>
      </w:r>
    </w:p>
    <w:p w14:paraId="000DC2AF" w14:textId="77777777" w:rsidR="009A2F7A" w:rsidRDefault="009A2F7A" w:rsidP="009A2F7A">
      <w:pPr>
        <w:spacing w:after="120"/>
        <w:ind w:firstLine="283"/>
        <w:jc w:val="both"/>
      </w:pPr>
      <w:r>
        <w:rPr>
          <w:sz w:val="28"/>
          <w:rtl/>
        </w:rPr>
        <w:t>وتفيد منها الدراسة الحالية في مدّ الجسر التفسيري بين بُعدَي التأثير المثالي والحفز الإلهامي من جهة، والدافعية من جهةٍ أخرى؛ فهي تبيّن لماذا يُتوقّع أن يقترن حضور الرؤية والقدوة لدى قيادات إدارة التعليم بارتفاع دافعية منسوبيها، وبذلك تُسند الفرضية الفرعية الأولى إسنادًا مباشرًا. وقد اختيرت لأنها النظرية الأخصّ في تفسير المسار الدافعي للقيادة التحويلية.</w:t>
      </w:r>
    </w:p>
    <w:p w14:paraId="2AF26481" w14:textId="77777777" w:rsidR="009A2F7A" w:rsidRDefault="009A2F7A" w:rsidP="009A2F7A">
      <w:pPr>
        <w:spacing w:before="120" w:after="120"/>
        <w:outlineLvl w:val="2"/>
      </w:pPr>
      <w:bookmarkStart w:id="13" w:name="_Toc234589602"/>
      <w:r>
        <w:rPr>
          <w:b/>
          <w:bCs/>
          <w:sz w:val="32"/>
          <w:szCs w:val="32"/>
          <w:rtl/>
        </w:rPr>
        <w:t>نموذج لوين للتغيير التنظيمي</w:t>
      </w:r>
      <w:r>
        <w:rPr>
          <w:rFonts w:cs="Times New Roman"/>
          <w:b/>
          <w:bCs/>
          <w:sz w:val="28"/>
        </w:rPr>
        <w:t xml:space="preserve"> </w:t>
      </w:r>
      <w:r>
        <w:rPr>
          <w:rFonts w:cs="Times New Roman"/>
          <w:b/>
          <w:bCs/>
          <w:szCs w:val="24"/>
        </w:rPr>
        <w:t>(Lewin s Change Model)</w:t>
      </w:r>
      <w:r>
        <w:rPr>
          <w:rFonts w:cs="Times New Roman"/>
          <w:b/>
          <w:bCs/>
          <w:sz w:val="28"/>
        </w:rPr>
        <w:t xml:space="preserve">  </w:t>
      </w:r>
      <w:bookmarkEnd w:id="13"/>
    </w:p>
    <w:p w14:paraId="300673CB" w14:textId="77777777" w:rsidR="009A2F7A" w:rsidRDefault="009A2F7A" w:rsidP="009A2F7A">
      <w:pPr>
        <w:spacing w:after="120"/>
        <w:ind w:firstLine="283"/>
        <w:jc w:val="both"/>
      </w:pPr>
      <w:r>
        <w:rPr>
          <w:sz w:val="28"/>
          <w:rtl/>
        </w:rPr>
        <w:t>يصوّر لوين التغيير التنظيمي عمليةً تمرّ بثلاث مراحل: إذابة الوضع القائم، ثم إحداث التغيير، ثم إعادة التجميد على الوضع الجديد. ويرى أنّ سلوك الجماعة محصّلة توازنٍ بين قوًى دافعة للتغيير وقوًى مقيّدة له، وأنّ نجاح التغيير رهنٌ بإضعاف القوى المقيّدة قبل دفع القوى المحرّكة</w:t>
      </w:r>
      <w:r>
        <w:rPr>
          <w:rFonts w:cs="Times New Roman"/>
          <w:szCs w:val="24"/>
        </w:rPr>
        <w:t xml:space="preserve"> (Lewin, 1947).</w:t>
      </w:r>
    </w:p>
    <w:p w14:paraId="02950C70" w14:textId="77777777" w:rsidR="009A2F7A" w:rsidRDefault="009A2F7A" w:rsidP="009A2F7A">
      <w:pPr>
        <w:spacing w:after="120"/>
        <w:ind w:firstLine="283"/>
        <w:jc w:val="both"/>
      </w:pPr>
      <w:r>
        <w:rPr>
          <w:sz w:val="28"/>
          <w:rtl/>
        </w:rPr>
        <w:t>وموقع هذا النموذج من الدراسة الحالية أنّ مقاومة التغيير، وهي متغيّرها التابع الثاني، تمثّل أبرز القوى المقيّدة في ذلك التوازن، وأنّ سلوكيات القائد التحويلي، من تهيئةٍ للنفوس وبثٍّ للرؤية وطمأنةٍ للعاملين، هي آلية «الإذابة» التي تُضعف تلك القوى. وبذلك يقدّم النموذج الأساس النظري للفرضية الفرعية الثانية، وقد اختير لمكانته التأسيسية في أدبيات إدارة التغيير.</w:t>
      </w:r>
    </w:p>
    <w:p w14:paraId="2B0AE86D" w14:textId="77777777" w:rsidR="009A2F7A" w:rsidRDefault="009A2F7A" w:rsidP="009A2F7A">
      <w:pPr>
        <w:spacing w:before="120" w:after="120"/>
        <w:outlineLvl w:val="2"/>
        <w:rPr>
          <w:rtl/>
        </w:rPr>
      </w:pPr>
      <w:bookmarkStart w:id="14" w:name="_Toc234589603"/>
      <w:r>
        <w:rPr>
          <w:b/>
          <w:bCs/>
          <w:sz w:val="32"/>
          <w:szCs w:val="32"/>
          <w:rtl/>
        </w:rPr>
        <w:t>النموذج الثلاثي لاتجاهات مقاومة التغيير</w:t>
      </w:r>
      <w:r>
        <w:rPr>
          <w:rFonts w:cs="Times New Roman"/>
          <w:b/>
          <w:bCs/>
          <w:sz w:val="28"/>
        </w:rPr>
        <w:t xml:space="preserve"> </w:t>
      </w:r>
      <w:r>
        <w:rPr>
          <w:rFonts w:cs="Times New Roman"/>
          <w:b/>
          <w:bCs/>
          <w:szCs w:val="24"/>
        </w:rPr>
        <w:t>(Tripartite Model of Resistance</w:t>
      </w:r>
      <w:r>
        <w:rPr>
          <w:rFonts w:cs="Times New Roman"/>
          <w:b/>
          <w:bCs/>
          <w:sz w:val="28"/>
        </w:rPr>
        <w:t xml:space="preserve"> </w:t>
      </w:r>
      <w:r>
        <w:rPr>
          <w:rFonts w:cs="Times New Roman"/>
          <w:b/>
          <w:bCs/>
          <w:szCs w:val="24"/>
        </w:rPr>
        <w:t>to Change)</w:t>
      </w:r>
      <w:bookmarkEnd w:id="14"/>
    </w:p>
    <w:p w14:paraId="5C8358DE" w14:textId="77777777" w:rsidR="009A2F7A" w:rsidRDefault="009A2F7A" w:rsidP="009A2F7A">
      <w:pPr>
        <w:spacing w:after="120"/>
        <w:ind w:firstLine="283"/>
        <w:jc w:val="both"/>
      </w:pPr>
      <w:r>
        <w:rPr>
          <w:sz w:val="28"/>
          <w:rtl/>
        </w:rPr>
        <w:t>يقوم هذا النموذج على أنّ مقاومة التغيير اتجاهٌ نفسي مركّب يتجلّى في ثلاثة مكوّنات: معرفيٍّ يتمثّل في التقييم السلبي لجدوى التغيير، ووجدانيٍّ يتمثّل في مشاعر القلق والضيق منه، وسلوكيٍّ يتمثّل في التباطؤ عنه أو الاعتراض عليه. وبهذا التصوّر انتقل قياس المقاومة من الملاحظة العرضية إلى القياس المنظّم متعدد الأبعاد</w:t>
      </w:r>
      <w:r>
        <w:rPr>
          <w:rFonts w:cs="Times New Roman"/>
          <w:szCs w:val="24"/>
        </w:rPr>
        <w:t xml:space="preserve"> (Piderit, 2000; Oreg, 2006).</w:t>
      </w:r>
    </w:p>
    <w:p w14:paraId="35F52121" w14:textId="77777777" w:rsidR="009A2F7A" w:rsidRDefault="009A2F7A" w:rsidP="009A2F7A">
      <w:pPr>
        <w:spacing w:after="120"/>
        <w:ind w:firstLine="283"/>
        <w:jc w:val="both"/>
      </w:pPr>
      <w:r>
        <w:rPr>
          <w:sz w:val="28"/>
          <w:rtl/>
        </w:rPr>
        <w:t>وتتّخذه الدراسة الحالية إطارًا لقياس متغيّرها التابع الثاني؛ فمنه اشتُقّت أبعاد مقاومة التغيير الثلاثة في الأداة، وبه تُفسَّر الكيفية التي ينعكس بها سلوك القائد التحويلي على كل مكوّنٍ من مكوّنات المقاومة. وبذلك تستند إليه الفرضية الفرعية الثانية في جانبها القياسي، وقد اختير لكونه أوسع أطر قياس مقاومة التغيير تحكيمًا وانتشارًا في الأدبيات المعاصرة.</w:t>
      </w:r>
    </w:p>
    <w:p w14:paraId="1804B8B8" w14:textId="77777777" w:rsidR="009A2F7A" w:rsidRDefault="009A2F7A" w:rsidP="009A2F7A">
      <w:pPr>
        <w:spacing w:before="120" w:after="120"/>
        <w:outlineLvl w:val="2"/>
      </w:pPr>
      <w:bookmarkStart w:id="15" w:name="_Toc234589604"/>
      <w:r>
        <w:rPr>
          <w:b/>
          <w:bCs/>
          <w:sz w:val="32"/>
          <w:szCs w:val="32"/>
          <w:rtl/>
        </w:rPr>
        <w:t>نظرية التبادل الاجتماعي</w:t>
      </w:r>
      <w:r>
        <w:rPr>
          <w:rFonts w:cs="Times New Roman"/>
          <w:b/>
          <w:bCs/>
          <w:szCs w:val="24"/>
        </w:rPr>
        <w:t xml:space="preserve"> (Social Exchange Theory)</w:t>
      </w:r>
      <w:bookmarkEnd w:id="15"/>
    </w:p>
    <w:p w14:paraId="082F3A7F" w14:textId="77777777" w:rsidR="009A2F7A" w:rsidRDefault="009A2F7A" w:rsidP="009A2F7A">
      <w:pPr>
        <w:spacing w:after="120"/>
        <w:ind w:firstLine="283"/>
        <w:jc w:val="both"/>
      </w:pPr>
      <w:r>
        <w:rPr>
          <w:sz w:val="28"/>
          <w:rtl/>
        </w:rPr>
        <w:lastRenderedPageBreak/>
        <w:t>ترى هذه النظرية أنّ العلاقات داخل المنظمة تقوم على تبادلٍ يتجاوز المنافع المادية إلى منافع اجتماعية من ثقةٍ وتقديرٍ ودعم، وأنّ ما يقدّمه أحد الطرفين من هذه المنافع يولّد لدى الآخر التزامًا بالمعاملة بالمثل</w:t>
      </w:r>
      <w:r>
        <w:rPr>
          <w:rFonts w:cs="Times New Roman"/>
          <w:szCs w:val="24"/>
        </w:rPr>
        <w:t xml:space="preserve"> (Blau, 1964).</w:t>
      </w:r>
    </w:p>
    <w:p w14:paraId="16E3D0D6" w14:textId="77777777" w:rsidR="009A2F7A" w:rsidRDefault="009A2F7A" w:rsidP="009A2F7A">
      <w:pPr>
        <w:spacing w:after="120"/>
        <w:ind w:firstLine="283"/>
        <w:jc w:val="both"/>
      </w:pPr>
      <w:r>
        <w:rPr>
          <w:sz w:val="28"/>
          <w:rtl/>
        </w:rPr>
        <w:t>وهي في الدراسة الحالية بمنزلة الإطار الجامع لنموذجها؛ إذ تفسّر كيف يردّ الموظف ما يلقاه من قائده التحويلي من رعايةٍ وثقةٍ وتمكين، بمزيدٍ من الدافعية في العمل، وبمزيدٍ من التعاون مع مبادرات التغيير بدل مقاومتها؛ فتُسند بذلك الفرضية الرئيسة التي تفترض الأثر في المتغيرين التابعين كليهما. ولهذا اختيرت مظلّةً تنتظم تحتها النظريات السابقة.</w:t>
      </w:r>
    </w:p>
    <w:p w14:paraId="3CCF6C26" w14:textId="77777777" w:rsidR="009A2F7A" w:rsidRDefault="009A2F7A" w:rsidP="009A2F7A">
      <w:pPr>
        <w:spacing w:after="120"/>
        <w:ind w:firstLine="283"/>
        <w:jc w:val="both"/>
      </w:pPr>
      <w:r>
        <w:rPr>
          <w:sz w:val="28"/>
          <w:rtl/>
        </w:rPr>
        <w:t>وبتكامل هذه المنطلقات يتبيّن أنّ العلاقات التي يفترضها نموذج الدراسة ليست افتراضاتٍ معزولة، بل امتدادٌ لأصولٍ نظرية راسخة؛ فنظرية القيادة التحويلية تؤسّس للمتغير المستقل وأبعاده، وتفسّر نظريتا التقرير الذاتي ومفهوم الذات أثره في الدافعية، ويؤطّر نموذج لوين والنموذج الثلاثي أثره في مقاومة التغيير، وتجمع نظرية التبادل الاجتماعي ذلك كلّه في بناءٍ واحد تُختبر فرضياته ميدانيًا في الفصل الرابع.</w:t>
      </w:r>
    </w:p>
    <w:p w14:paraId="7C74AF70" w14:textId="77777777" w:rsidR="009A2F7A" w:rsidRPr="0022569A" w:rsidRDefault="009A2F7A" w:rsidP="009A2F7A">
      <w:pPr>
        <w:spacing w:before="120" w:after="120"/>
        <w:outlineLvl w:val="1"/>
        <w:rPr>
          <w:sz w:val="36"/>
          <w:szCs w:val="36"/>
        </w:rPr>
      </w:pPr>
      <w:bookmarkStart w:id="16" w:name="_Toc234589608"/>
      <w:r>
        <w:rPr>
          <w:b/>
          <w:bCs/>
          <w:sz w:val="36"/>
          <w:szCs w:val="36"/>
          <w:u w:val="single"/>
          <w:rtl/>
        </w:rPr>
        <w:t>حدود الدراسة</w:t>
      </w:r>
      <w:bookmarkEnd w:id="16"/>
    </w:p>
    <w:p w14:paraId="237B6063" w14:textId="77777777" w:rsidR="009A2F7A" w:rsidRDefault="009A2F7A" w:rsidP="009A2F7A">
      <w:pPr>
        <w:spacing w:after="120"/>
        <w:ind w:firstLine="283"/>
        <w:jc w:val="both"/>
      </w:pPr>
      <w:r>
        <w:rPr>
          <w:sz w:val="28"/>
          <w:rtl/>
        </w:rPr>
        <w:t>تتحدّد هذه الدراسة بالحدود الآتية:</w:t>
      </w:r>
    </w:p>
    <w:p w14:paraId="4F2D83D1" w14:textId="77777777" w:rsidR="009A2F7A" w:rsidRDefault="009A2F7A" w:rsidP="009A2F7A">
      <w:pPr>
        <w:spacing w:after="120"/>
        <w:ind w:firstLine="283"/>
        <w:jc w:val="both"/>
      </w:pPr>
      <w:r>
        <w:rPr>
          <w:b/>
          <w:bCs/>
          <w:sz w:val="28"/>
          <w:rtl/>
        </w:rPr>
        <w:t xml:space="preserve">الحدود الموضوعية: </w:t>
      </w:r>
      <w:r>
        <w:rPr>
          <w:sz w:val="28"/>
          <w:rtl/>
        </w:rPr>
        <w:t>تقتصر على بحث دور القيادة التحويلية (المتغير المستقل) في تعزيز الدافعية وتقليل مقاومة التغيير (المتغيرين التابعين)، دون التوسّع إلى أنماطٍ قيادية أو متغيراتٍ أو أبعادٍ خارج هذا الإطار.</w:t>
      </w:r>
    </w:p>
    <w:p w14:paraId="2026B834" w14:textId="77777777" w:rsidR="009A2F7A" w:rsidRDefault="009A2F7A" w:rsidP="009A2F7A">
      <w:pPr>
        <w:spacing w:after="120"/>
        <w:ind w:firstLine="283"/>
        <w:jc w:val="both"/>
      </w:pPr>
      <w:r>
        <w:rPr>
          <w:b/>
          <w:bCs/>
          <w:sz w:val="28"/>
          <w:rtl/>
        </w:rPr>
        <w:t xml:space="preserve">الحدود البشرية: </w:t>
      </w:r>
      <w:r>
        <w:rPr>
          <w:sz w:val="28"/>
          <w:rtl/>
        </w:rPr>
        <w:t>تقتصر على موظفي إدارة التعليم بمنطقة عسير</w:t>
      </w:r>
      <w:r>
        <w:rPr>
          <w:rFonts w:hint="cs"/>
          <w:sz w:val="28"/>
          <w:rtl/>
        </w:rPr>
        <w:t>.</w:t>
      </w:r>
    </w:p>
    <w:p w14:paraId="08755D1D" w14:textId="77777777" w:rsidR="009A2F7A" w:rsidRDefault="009A2F7A" w:rsidP="009A2F7A">
      <w:pPr>
        <w:spacing w:after="120"/>
        <w:ind w:firstLine="283"/>
        <w:jc w:val="both"/>
      </w:pPr>
      <w:r>
        <w:rPr>
          <w:b/>
          <w:bCs/>
          <w:sz w:val="28"/>
          <w:rtl/>
        </w:rPr>
        <w:t xml:space="preserve">الحدود المكانية: </w:t>
      </w:r>
      <w:r>
        <w:rPr>
          <w:sz w:val="28"/>
          <w:rtl/>
        </w:rPr>
        <w:t>أُجريت في نطاق إدارة التعليم بمنطقة عسير في المملكة العربية السعودية.</w:t>
      </w:r>
    </w:p>
    <w:p w14:paraId="1981DA2F" w14:textId="77777777" w:rsidR="009A2F7A" w:rsidRDefault="009A2F7A" w:rsidP="009A2F7A">
      <w:pPr>
        <w:spacing w:after="120"/>
        <w:ind w:firstLine="283"/>
        <w:jc w:val="both"/>
      </w:pPr>
      <w:r>
        <w:rPr>
          <w:b/>
          <w:bCs/>
          <w:sz w:val="28"/>
          <w:rtl/>
        </w:rPr>
        <w:t xml:space="preserve">الحدود الزمنية: </w:t>
      </w:r>
      <w:r>
        <w:rPr>
          <w:sz w:val="28"/>
          <w:rtl/>
        </w:rPr>
        <w:t>أُجريت الدراسة، ولا سيّما جانبها الميداني من توزيع الاستبانة وجمع البيانات، خلال العام الدراسي 1447هـ (2026م).</w:t>
      </w:r>
    </w:p>
    <w:p w14:paraId="259BFCD7" w14:textId="77777777" w:rsidR="009A2F7A" w:rsidRPr="0022569A" w:rsidRDefault="009A2F7A" w:rsidP="009A2F7A">
      <w:pPr>
        <w:spacing w:before="120" w:after="120"/>
        <w:outlineLvl w:val="1"/>
        <w:rPr>
          <w:sz w:val="36"/>
          <w:szCs w:val="36"/>
        </w:rPr>
      </w:pPr>
      <w:bookmarkStart w:id="17" w:name="_Toc234589609"/>
      <w:r>
        <w:rPr>
          <w:b/>
          <w:bCs/>
          <w:sz w:val="36"/>
          <w:szCs w:val="36"/>
          <w:u w:val="single"/>
          <w:rtl/>
        </w:rPr>
        <w:t>مصطلحات الدراسة</w:t>
      </w:r>
      <w:bookmarkEnd w:id="17"/>
    </w:p>
    <w:p w14:paraId="6C3F8DAF" w14:textId="77777777" w:rsidR="009A2F7A" w:rsidRDefault="009A2F7A" w:rsidP="009A2F7A">
      <w:pPr>
        <w:spacing w:before="120" w:after="120"/>
        <w:outlineLvl w:val="2"/>
      </w:pPr>
      <w:bookmarkStart w:id="18" w:name="_Toc234589610"/>
      <w:r>
        <w:rPr>
          <w:b/>
          <w:bCs/>
          <w:sz w:val="32"/>
          <w:szCs w:val="32"/>
          <w:rtl/>
        </w:rPr>
        <w:t>أولًا: القيادة التحويلية</w:t>
      </w:r>
      <w:r>
        <w:rPr>
          <w:rFonts w:cs="Times New Roman"/>
          <w:b/>
          <w:bCs/>
          <w:sz w:val="28"/>
        </w:rPr>
        <w:t xml:space="preserve"> (Transformational Leadership)</w:t>
      </w:r>
      <w:bookmarkEnd w:id="18"/>
      <w:r>
        <w:rPr>
          <w:rFonts w:cs="Times New Roman"/>
          <w:b/>
          <w:bCs/>
          <w:sz w:val="28"/>
        </w:rPr>
        <w:t xml:space="preserve"> </w:t>
      </w:r>
    </w:p>
    <w:p w14:paraId="5D2B5AA6" w14:textId="77777777" w:rsidR="009A2F7A" w:rsidRDefault="009A2F7A" w:rsidP="009A2F7A">
      <w:pPr>
        <w:spacing w:after="120"/>
        <w:ind w:firstLine="283"/>
        <w:jc w:val="both"/>
      </w:pPr>
      <w:r>
        <w:rPr>
          <w:sz w:val="28"/>
          <w:rtl/>
        </w:rPr>
        <w:t>يعرّفها بيرنز بأنها عمليةٌ يرتقي فيها القائد والأتباع بعضهم ببعض إلى مستوياتٍ أرفع من الدافعية والقيم</w:t>
      </w:r>
      <w:r>
        <w:rPr>
          <w:rFonts w:cs="Times New Roman"/>
          <w:szCs w:val="24"/>
        </w:rPr>
        <w:t xml:space="preserve"> (Burns, 1978)</w:t>
      </w:r>
      <w:r>
        <w:rPr>
          <w:sz w:val="28"/>
          <w:rtl/>
        </w:rPr>
        <w:t xml:space="preserve">، ويعرّفها باس وريجيو بأنها القيادة التي يستثير بها القائد أتباعه ويلهمهم لتجاوز مصالحهم الذاتية نحو تحقيق نتائج تفوق التوقعات، من خلال التأثير المثالي </w:t>
      </w:r>
      <w:r>
        <w:rPr>
          <w:sz w:val="28"/>
          <w:rtl/>
        </w:rPr>
        <w:lastRenderedPageBreak/>
        <w:t>والحفز الإلهامي والاستثارة الفكرية والاعتبارية الفردية</w:t>
      </w:r>
      <w:r>
        <w:rPr>
          <w:rFonts w:cs="Times New Roman"/>
          <w:szCs w:val="24"/>
        </w:rPr>
        <w:t xml:space="preserve"> (Bass &amp; Riggio, 2006). </w:t>
      </w:r>
      <w:r>
        <w:rPr>
          <w:sz w:val="28"/>
          <w:rtl/>
        </w:rPr>
        <w:t>وتتبنّى الدراسة تعريف باس وريجيو أساسًا لها؛ لأنه يحدّد أبعادًا سلوكية قابلة للقياس تتوافق مع أبعاد المتغير في نموذج الدراسة. وتُعرَّف إجرائيًا بأنها الدرجة التي يحصل عليها المستجيب على عبارات محور «القيادة التحويلية» في الاستبانة بأبعاده (التأثير المثالي، والحفز الإلهامي، والاستثارة الفكرية، والاعتبارية الفردية)، كما تمارسها القيادات الإدارية في إدارة التعليم بمنطقة عسير من وجهة نظر موظفيها، مقاسةً بمقياس ليكرت الخماسي، بحيث تدلّ الدرجة الأعلى على ممارسةٍ أعلى.</w:t>
      </w:r>
    </w:p>
    <w:p w14:paraId="634177AE" w14:textId="77777777" w:rsidR="009A2F7A" w:rsidRDefault="009A2F7A" w:rsidP="009A2F7A">
      <w:pPr>
        <w:spacing w:before="120" w:after="120"/>
        <w:outlineLvl w:val="2"/>
      </w:pPr>
      <w:bookmarkStart w:id="19" w:name="_Toc234589611"/>
      <w:r>
        <w:rPr>
          <w:b/>
          <w:bCs/>
          <w:sz w:val="32"/>
          <w:szCs w:val="32"/>
          <w:rtl/>
        </w:rPr>
        <w:t>ثانيًا: الدافعية</w:t>
      </w:r>
      <w:r>
        <w:rPr>
          <w:rFonts w:hint="cs"/>
          <w:b/>
          <w:bCs/>
          <w:sz w:val="28"/>
          <w:rtl/>
        </w:rPr>
        <w:t xml:space="preserve"> </w:t>
      </w:r>
      <w:r>
        <w:rPr>
          <w:rFonts w:cs="Times New Roman"/>
          <w:b/>
          <w:bCs/>
          <w:sz w:val="28"/>
        </w:rPr>
        <w:t xml:space="preserve"> (Motivation)</w:t>
      </w:r>
      <w:bookmarkEnd w:id="19"/>
    </w:p>
    <w:p w14:paraId="61994532" w14:textId="77777777" w:rsidR="009A2F7A" w:rsidRDefault="009A2F7A" w:rsidP="009A2F7A">
      <w:pPr>
        <w:spacing w:after="120"/>
        <w:ind w:firstLine="283"/>
        <w:jc w:val="both"/>
      </w:pPr>
      <w:r>
        <w:rPr>
          <w:sz w:val="28"/>
          <w:rtl/>
        </w:rPr>
        <w:t>يعرّفها بيندر بأنها مجموعة القوى النشطة التي تنشأ من داخل الفرد ومن محيطه، فتُطلق سلوك العمل وتحدّد شكله ووجهته وشدّته ومدّته</w:t>
      </w:r>
      <w:r>
        <w:rPr>
          <w:rFonts w:cs="Times New Roman"/>
          <w:szCs w:val="24"/>
        </w:rPr>
        <w:t xml:space="preserve"> (Pinder, 2008)</w:t>
      </w:r>
      <w:r>
        <w:rPr>
          <w:sz w:val="28"/>
          <w:rtl/>
        </w:rPr>
        <w:t>، ويميّز ديسي ورايان فيها بين دافعيةٍ داخلية يمارس بها الفرد النشاط لذاته لما فيه من متعةٍ ومعنى، ودافعيةٍ خارجية يمارسه بها وسيلةً لعوائد منفصلة عنه</w:t>
      </w:r>
      <w:r>
        <w:rPr>
          <w:rFonts w:cs="Times New Roman"/>
          <w:szCs w:val="24"/>
        </w:rPr>
        <w:t xml:space="preserve"> (Deci &amp; Ryan, 2000). </w:t>
      </w:r>
      <w:r>
        <w:rPr>
          <w:sz w:val="28"/>
          <w:rtl/>
        </w:rPr>
        <w:t>وتتبنّى الدراسة تعريف بيندر أساسًا لها؛ لشموله مصادر الدافعية الداخلية والخارجية معًا، وملاءمته سياق دافعية العمل الذي تَعنيه الدراسة. وتُعرَّف إجرائيًا بأنها الدرجة التي يحصل عليها المستجيب على عبارات محور «الدافعية» في الاستبانة، التي تقيس مستوى الدافعية لدى موظفي إدارة التعليم بمنطقة عسير بأبعادها (الدافعية الداخلية، والدافعية الخارجية، ودافعية الإنجاز)، مقاسةً بمقياس ليكرت الخماسي، بحيث تدلّ الدرجة الأعلى على دافعيةٍ أعلى.</w:t>
      </w:r>
    </w:p>
    <w:p w14:paraId="50007A16" w14:textId="77777777" w:rsidR="009A2F7A" w:rsidRDefault="009A2F7A" w:rsidP="009A2F7A">
      <w:pPr>
        <w:spacing w:before="120" w:after="120"/>
        <w:outlineLvl w:val="2"/>
      </w:pPr>
      <w:bookmarkStart w:id="20" w:name="_Toc234589612"/>
      <w:r>
        <w:rPr>
          <w:b/>
          <w:bCs/>
          <w:sz w:val="32"/>
          <w:szCs w:val="32"/>
          <w:rtl/>
        </w:rPr>
        <w:t>ثالثًا: مقاومة التغيير</w:t>
      </w:r>
      <w:r>
        <w:rPr>
          <w:rFonts w:cs="Times New Roman"/>
          <w:b/>
          <w:bCs/>
          <w:sz w:val="28"/>
        </w:rPr>
        <w:t xml:space="preserve"> (Resistance to Change)</w:t>
      </w:r>
      <w:bookmarkEnd w:id="20"/>
    </w:p>
    <w:p w14:paraId="3D587F8D" w14:textId="77777777" w:rsidR="009A2F7A" w:rsidRDefault="009A2F7A" w:rsidP="009A2F7A">
      <w:pPr>
        <w:spacing w:after="120"/>
        <w:ind w:firstLine="283"/>
        <w:jc w:val="both"/>
      </w:pPr>
      <w:r>
        <w:rPr>
          <w:sz w:val="28"/>
          <w:rtl/>
        </w:rPr>
        <w:t>تُعرَّف بأنها اتجاهٌ سلبي متعدد الأبعاد نحو التغيير التنظيمي، يجمع مكوّناتٍ معرفية ووجدانية وسلوكية متفاوتة الاتساق</w:t>
      </w:r>
      <w:r>
        <w:rPr>
          <w:rFonts w:cs="Times New Roman"/>
          <w:szCs w:val="24"/>
        </w:rPr>
        <w:t xml:space="preserve"> (Piderit, 2000)</w:t>
      </w:r>
      <w:r>
        <w:rPr>
          <w:sz w:val="28"/>
          <w:rtl/>
        </w:rPr>
        <w:t>، ويعرّفها أوريغ بأنها الاستجابة السلبية للتغيير التي تتجلّى فيما يحمله الفرد نحوه من تقييمٍ معرفي سالب، ومشاعر ضيق، وسلوك اعتراضٍ أو تباطؤ</w:t>
      </w:r>
      <w:r>
        <w:rPr>
          <w:rFonts w:cs="Times New Roman"/>
          <w:szCs w:val="24"/>
        </w:rPr>
        <w:t xml:space="preserve"> (Oreg, 2006). </w:t>
      </w:r>
      <w:r>
        <w:rPr>
          <w:sz w:val="28"/>
          <w:rtl/>
        </w:rPr>
        <w:t>وتتبنّى الدراسة تعريف أوريغ أساسًا للقياس؛ لأنه يترجم الاتجاه المركّب إلى ثلاثة مكوّنات قابلة للتفعيل في الأداة، مع الاستئناس بتأطير بيدريت المفاهيمي. وتُعرَّف إجرائيًا بأنها الدرجة التي يحصل عليها المستجيب على عبارات محور «مقاومة التغيير» في الاستبانة، التي تقيس مستوى مقاومة موظفي إدارة التعليم بمنطقة عسير للتغييرات التنظيمية بأبعادها (المقاومة المعرفية، والمقاومة الوجدانية، والمقاومة السلوكية)، مقاسةً بمقياس ليكرت الخماسي، بحيث تدلّ الدرجة الأعلى على مقاومةٍ أعلى، ويدلّ انخفاضها على تقبّلٍ أكبر للتغيير.</w:t>
      </w:r>
    </w:p>
    <w:p w14:paraId="07220ABC" w14:textId="77777777" w:rsidR="009A2F7A" w:rsidRPr="0022569A" w:rsidRDefault="009A2F7A" w:rsidP="009A2F7A">
      <w:pPr>
        <w:spacing w:before="120" w:after="120"/>
        <w:outlineLvl w:val="1"/>
        <w:rPr>
          <w:sz w:val="36"/>
          <w:szCs w:val="36"/>
        </w:rPr>
      </w:pPr>
      <w:bookmarkStart w:id="21" w:name="_Toc234589613"/>
      <w:r>
        <w:rPr>
          <w:b/>
          <w:bCs/>
          <w:sz w:val="36"/>
          <w:szCs w:val="36"/>
          <w:u w:val="single"/>
          <w:rtl/>
        </w:rPr>
        <w:t>خاتمة الفصل</w:t>
      </w:r>
      <w:bookmarkEnd w:id="21"/>
    </w:p>
    <w:p w14:paraId="40027EDA" w14:textId="77777777" w:rsidR="009A2F7A" w:rsidRDefault="009A2F7A" w:rsidP="009A2F7A">
      <w:pPr>
        <w:spacing w:after="120"/>
        <w:ind w:firstLine="283"/>
        <w:jc w:val="both"/>
        <w:rPr>
          <w:rtl/>
        </w:rPr>
      </w:pPr>
      <w:r>
        <w:rPr>
          <w:sz w:val="28"/>
          <w:rtl/>
        </w:rPr>
        <w:lastRenderedPageBreak/>
        <w:t>رسم هذا الفصل الإطار العام للدراسة. فانطلق من أهمية القيادة التحويلية بوصفها مدخلًا لتعزيز دافعية العاملين وتقليل مقاومتهم للتغيير في زمنٍ صار التغيير فيه حالةً دائمة، ثم حدّد مشكلتها في غياب دراسةٍ تقيس هذا الدور المزدوج لدى موظفي إدارة التعليم بمنطقة عسير، وصاغ في ضوء ذلك سؤالها الرئيس وأسئلتها الفرعية وأهدافها وفرضياتها متقابلةً على نسقٍ واحد. ثم بنى نموذجها المفاهيمي الرابط بين المتغير المستقل بأبعاده الأربعة والمتغيرين التابعين بأبعادهما، وأصّل منطلقاتها النظرية في نظرية القيادة التحويلية ونظريتَي التقرير الذاتي ومفهوم الذات ونموذج لوين للتغيير والنموذج الثلاثي لمقاومة التغيير ونظرية التبادل الاجتماعي، كما بيّن أهميتها العلمية والتطبيقية وحدودها، وحرّر مصطلحاتها مفهوميًا وإجرائيًا. وبذلك تكون الدراسة قد أرست أساسها العام الذي ينهض عليه الفصل الثاني في تأصيل متغيراتها نظريًا واستعراض ما سبقها من دراسات.</w:t>
      </w:r>
    </w:p>
    <w:p w14:paraId="3AC93FA5" w14:textId="77777777" w:rsidR="009A2F7A" w:rsidRDefault="009A2F7A" w:rsidP="009A2F7A">
      <w:pPr>
        <w:spacing w:after="120"/>
        <w:ind w:firstLine="283"/>
        <w:jc w:val="both"/>
        <w:rPr>
          <w:rtl/>
        </w:rPr>
      </w:pPr>
    </w:p>
    <w:p w14:paraId="559B7D99" w14:textId="77777777" w:rsidR="009A2F7A" w:rsidRDefault="009A2F7A" w:rsidP="009A2F7A">
      <w:pPr>
        <w:spacing w:after="120"/>
        <w:ind w:firstLine="283"/>
        <w:jc w:val="both"/>
        <w:rPr>
          <w:rtl/>
        </w:rPr>
      </w:pPr>
    </w:p>
    <w:p w14:paraId="492E3C8F" w14:textId="77777777" w:rsidR="009A2F7A" w:rsidRDefault="009A2F7A" w:rsidP="009A2F7A">
      <w:pPr>
        <w:spacing w:after="120"/>
        <w:ind w:firstLine="283"/>
        <w:jc w:val="both"/>
        <w:rPr>
          <w:rtl/>
        </w:rPr>
      </w:pPr>
    </w:p>
    <w:p w14:paraId="0DD61BF5" w14:textId="77777777" w:rsidR="009A2F7A" w:rsidRDefault="009A2F7A" w:rsidP="009A2F7A">
      <w:pPr>
        <w:spacing w:after="120"/>
        <w:ind w:firstLine="283"/>
        <w:jc w:val="both"/>
        <w:rPr>
          <w:rtl/>
        </w:rPr>
      </w:pPr>
    </w:p>
    <w:p w14:paraId="69FB4FF5" w14:textId="77777777" w:rsidR="009A2F7A" w:rsidRDefault="009A2F7A" w:rsidP="009A2F7A">
      <w:pPr>
        <w:spacing w:after="120"/>
        <w:ind w:firstLine="283"/>
        <w:jc w:val="both"/>
        <w:rPr>
          <w:rtl/>
        </w:rPr>
      </w:pPr>
    </w:p>
    <w:p w14:paraId="69374E8E" w14:textId="77777777" w:rsidR="009A2F7A" w:rsidRDefault="009A2F7A" w:rsidP="009A2F7A">
      <w:pPr>
        <w:spacing w:after="120"/>
        <w:ind w:firstLine="283"/>
        <w:jc w:val="both"/>
        <w:rPr>
          <w:rtl/>
        </w:rPr>
      </w:pPr>
    </w:p>
    <w:p w14:paraId="09CD94A7" w14:textId="77777777" w:rsidR="009A2F7A" w:rsidRDefault="009A2F7A" w:rsidP="009A2F7A">
      <w:pPr>
        <w:spacing w:after="120"/>
        <w:ind w:firstLine="283"/>
        <w:jc w:val="both"/>
        <w:rPr>
          <w:rtl/>
        </w:rPr>
      </w:pPr>
    </w:p>
    <w:p w14:paraId="2ECC6FD5" w14:textId="77777777" w:rsidR="009A2F7A" w:rsidRDefault="009A2F7A" w:rsidP="009A2F7A">
      <w:pPr>
        <w:spacing w:after="120"/>
        <w:ind w:firstLine="283"/>
        <w:jc w:val="both"/>
        <w:rPr>
          <w:rtl/>
        </w:rPr>
      </w:pPr>
    </w:p>
    <w:p w14:paraId="73EB1BD0" w14:textId="77777777" w:rsidR="009A2F7A" w:rsidRDefault="009A2F7A" w:rsidP="009A2F7A">
      <w:pPr>
        <w:spacing w:after="120"/>
        <w:ind w:firstLine="283"/>
        <w:jc w:val="both"/>
        <w:rPr>
          <w:rtl/>
        </w:rPr>
      </w:pPr>
    </w:p>
    <w:p w14:paraId="1D96E7CF" w14:textId="77777777" w:rsidR="009A2F7A" w:rsidRDefault="009A2F7A" w:rsidP="009A2F7A">
      <w:pPr>
        <w:spacing w:after="120"/>
        <w:jc w:val="both"/>
        <w:rPr>
          <w:rtl/>
        </w:rPr>
      </w:pPr>
    </w:p>
    <w:p w14:paraId="4147C3BF" w14:textId="77777777" w:rsidR="009A2F7A" w:rsidRDefault="009A2F7A" w:rsidP="009A2F7A">
      <w:pPr>
        <w:spacing w:after="120"/>
        <w:ind w:firstLine="283"/>
        <w:jc w:val="both"/>
        <w:rPr>
          <w:rtl/>
        </w:rPr>
      </w:pPr>
    </w:p>
    <w:p w14:paraId="792D3E2A" w14:textId="77777777" w:rsidR="009A2F7A" w:rsidRDefault="009A2F7A" w:rsidP="009A2F7A">
      <w:pPr>
        <w:spacing w:after="120"/>
        <w:ind w:firstLine="283"/>
        <w:jc w:val="both"/>
        <w:rPr>
          <w:rtl/>
        </w:rPr>
      </w:pPr>
    </w:p>
    <w:p w14:paraId="57B6D1E9" w14:textId="77777777" w:rsidR="009A2F7A" w:rsidRDefault="009A2F7A" w:rsidP="009A2F7A">
      <w:pPr>
        <w:spacing w:after="120"/>
        <w:ind w:firstLine="283"/>
        <w:jc w:val="both"/>
        <w:rPr>
          <w:rtl/>
        </w:rPr>
      </w:pPr>
    </w:p>
    <w:p w14:paraId="1B9FACD7" w14:textId="77777777" w:rsidR="009A2F7A" w:rsidRDefault="009A2F7A" w:rsidP="009A2F7A">
      <w:pPr>
        <w:spacing w:after="120"/>
        <w:ind w:firstLine="283"/>
        <w:jc w:val="both"/>
        <w:rPr>
          <w:rtl/>
        </w:rPr>
      </w:pPr>
    </w:p>
    <w:p w14:paraId="57B67BBC" w14:textId="77777777" w:rsidR="009A2F7A" w:rsidRDefault="009A2F7A" w:rsidP="009A2F7A">
      <w:pPr>
        <w:spacing w:after="120"/>
        <w:ind w:firstLine="283"/>
        <w:jc w:val="both"/>
        <w:rPr>
          <w:rtl/>
        </w:rPr>
      </w:pPr>
    </w:p>
    <w:p w14:paraId="0EB5CE04" w14:textId="77777777" w:rsidR="009A2F7A" w:rsidRPr="00F92114" w:rsidRDefault="009A2F7A" w:rsidP="009A2F7A">
      <w:pPr>
        <w:spacing w:after="120"/>
        <w:ind w:firstLine="283"/>
        <w:jc w:val="center"/>
        <w:rPr>
          <w:sz w:val="40"/>
          <w:szCs w:val="40"/>
        </w:rPr>
      </w:pPr>
      <w:bookmarkStart w:id="22" w:name="_Toc234589614"/>
      <w:r w:rsidRPr="00F92114">
        <w:rPr>
          <w:b/>
          <w:bCs/>
          <w:sz w:val="40"/>
          <w:szCs w:val="40"/>
          <w:u w:val="single"/>
          <w:rtl/>
        </w:rPr>
        <w:t>الفصل الثاني</w:t>
      </w:r>
      <w:bookmarkEnd w:id="22"/>
    </w:p>
    <w:p w14:paraId="6FAD2673" w14:textId="77777777" w:rsidR="009A2F7A" w:rsidRPr="00F92114" w:rsidRDefault="009A2F7A" w:rsidP="009A2F7A">
      <w:pPr>
        <w:spacing w:after="120"/>
        <w:ind w:firstLine="283"/>
        <w:jc w:val="center"/>
        <w:rPr>
          <w:sz w:val="40"/>
          <w:szCs w:val="40"/>
        </w:rPr>
      </w:pPr>
      <w:r w:rsidRPr="00F92114">
        <w:rPr>
          <w:b/>
          <w:bCs/>
          <w:sz w:val="40"/>
          <w:szCs w:val="40"/>
          <w:u w:val="single"/>
          <w:rtl/>
        </w:rPr>
        <w:lastRenderedPageBreak/>
        <w:t>الإطار النظري والدراسات السابقة</w:t>
      </w:r>
    </w:p>
    <w:p w14:paraId="60A8F00E" w14:textId="77777777" w:rsidR="009A2F7A" w:rsidRPr="0022569A" w:rsidRDefault="009A2F7A" w:rsidP="009A2F7A">
      <w:pPr>
        <w:spacing w:after="120"/>
        <w:ind w:firstLine="283"/>
        <w:jc w:val="both"/>
        <w:rPr>
          <w:rtl/>
        </w:rPr>
      </w:pPr>
    </w:p>
    <w:p w14:paraId="4C0E20AD" w14:textId="77777777" w:rsidR="009A2F7A" w:rsidRDefault="009A2F7A" w:rsidP="009A2F7A">
      <w:pPr>
        <w:spacing w:after="120"/>
        <w:ind w:firstLine="283"/>
        <w:jc w:val="both"/>
        <w:rPr>
          <w:rtl/>
        </w:rPr>
      </w:pPr>
    </w:p>
    <w:p w14:paraId="550873A6" w14:textId="77777777" w:rsidR="009A2F7A" w:rsidRDefault="009A2F7A" w:rsidP="009A2F7A">
      <w:pPr>
        <w:spacing w:after="120"/>
        <w:ind w:firstLine="283"/>
        <w:jc w:val="both"/>
        <w:rPr>
          <w:rtl/>
        </w:rPr>
      </w:pPr>
    </w:p>
    <w:p w14:paraId="4049893C" w14:textId="77777777" w:rsidR="009A2F7A" w:rsidRDefault="009A2F7A" w:rsidP="009A2F7A">
      <w:pPr>
        <w:spacing w:after="120"/>
        <w:ind w:firstLine="283"/>
        <w:jc w:val="both"/>
        <w:rPr>
          <w:rtl/>
        </w:rPr>
      </w:pPr>
    </w:p>
    <w:p w14:paraId="6022AC25" w14:textId="77777777" w:rsidR="009A2F7A" w:rsidRDefault="009A2F7A" w:rsidP="009A2F7A">
      <w:pPr>
        <w:spacing w:after="120"/>
        <w:ind w:firstLine="283"/>
        <w:jc w:val="both"/>
        <w:rPr>
          <w:rtl/>
        </w:rPr>
      </w:pPr>
    </w:p>
    <w:p w14:paraId="2D32F01E" w14:textId="77777777" w:rsidR="009A2F7A" w:rsidRDefault="009A2F7A" w:rsidP="009A2F7A">
      <w:pPr>
        <w:spacing w:after="120"/>
        <w:ind w:firstLine="283"/>
        <w:jc w:val="both"/>
        <w:rPr>
          <w:rtl/>
        </w:rPr>
      </w:pPr>
    </w:p>
    <w:p w14:paraId="16327F39" w14:textId="77777777" w:rsidR="009A2F7A" w:rsidRDefault="009A2F7A" w:rsidP="009A2F7A">
      <w:pPr>
        <w:spacing w:after="120"/>
        <w:ind w:firstLine="283"/>
        <w:jc w:val="both"/>
        <w:rPr>
          <w:rtl/>
        </w:rPr>
      </w:pPr>
    </w:p>
    <w:p w14:paraId="2A477CC2" w14:textId="77777777" w:rsidR="009A2F7A" w:rsidRDefault="009A2F7A" w:rsidP="009A2F7A">
      <w:pPr>
        <w:spacing w:after="120"/>
        <w:ind w:firstLine="283"/>
        <w:jc w:val="both"/>
        <w:rPr>
          <w:rtl/>
        </w:rPr>
      </w:pPr>
    </w:p>
    <w:p w14:paraId="1389EA28" w14:textId="77777777" w:rsidR="009A2F7A" w:rsidRDefault="009A2F7A" w:rsidP="009A2F7A">
      <w:pPr>
        <w:spacing w:after="120"/>
        <w:ind w:firstLine="283"/>
        <w:jc w:val="both"/>
        <w:rPr>
          <w:rtl/>
        </w:rPr>
      </w:pPr>
    </w:p>
    <w:p w14:paraId="2CE8C58B" w14:textId="77777777" w:rsidR="009A2F7A" w:rsidRDefault="009A2F7A" w:rsidP="009A2F7A">
      <w:pPr>
        <w:spacing w:after="120"/>
        <w:jc w:val="both"/>
      </w:pPr>
    </w:p>
    <w:p w14:paraId="78EF2422" w14:textId="77777777" w:rsidR="009A2F7A" w:rsidRPr="00F92114" w:rsidRDefault="009A2F7A" w:rsidP="009A2F7A">
      <w:pPr>
        <w:spacing w:before="120" w:after="120"/>
        <w:outlineLvl w:val="1"/>
        <w:rPr>
          <w:sz w:val="36"/>
          <w:szCs w:val="36"/>
        </w:rPr>
      </w:pPr>
      <w:bookmarkStart w:id="23" w:name="_Toc234589615"/>
      <w:r w:rsidRPr="00F92114">
        <w:rPr>
          <w:b/>
          <w:bCs/>
          <w:sz w:val="36"/>
          <w:szCs w:val="36"/>
          <w:u w:val="single"/>
          <w:rtl/>
        </w:rPr>
        <w:t>تمهيد</w:t>
      </w:r>
      <w:bookmarkEnd w:id="23"/>
    </w:p>
    <w:p w14:paraId="094A26DD" w14:textId="77777777" w:rsidR="009A2F7A" w:rsidRDefault="009A2F7A" w:rsidP="009A2F7A">
      <w:pPr>
        <w:spacing w:after="120"/>
        <w:ind w:firstLine="283"/>
        <w:jc w:val="both"/>
      </w:pPr>
      <w:r>
        <w:rPr>
          <w:sz w:val="28"/>
          <w:rtl/>
        </w:rPr>
        <w:t>يُعنى هذا الفصل ببناء الأساس النظري الذي تقوم عليه الدراسة، وباستجلاء ما سبقها من جهودٍ بحثية في موضوعها؛ فلا تكتمل معالجة مشكلةٍ بحثية ما لم تُؤطَّر متغيراتها نظريًا وتُوضَع في سياق ما أُنجز حولها. وينتظم الفصل في أربعة محاور: أوّلها للمتغير المستقل، القيادة التحويلية، والثاني والثالث للمتغيرين التابعين، الدافعية ومقاومة التغيير، على الترتيب الوارد في عنوان الدراسة وأسئلتها، ثم الرابع لعرض الدراسات السابقة والتعقيب عليها. وقد رُوعي في ترتيب المحاور التدرّج من المؤثِّر إلى المتأثِّر، بما يخدم تتبّع الدور الذي تقوم عليه فرضيات الدراسة، ويمهّد لبناء أداتها في الفصل الثالث وتحليل نتائجها في الفصل الرابع. أمّا المعالجة فقد التزمت منهجًا تحليليًا لا يقف عند عرض المفاهيم، بل يوازن بين النظريات ويستخلص دلالاتها للدراسة، ويربط كل مبحثٍ بموقعه من نموذجها وفرضياتها؛ كما وُظّفت الجداول المقارنة والأشكال التوضيحية حيث تعين على تكثيف المضمون وإبراز العلاقات.</w:t>
      </w:r>
    </w:p>
    <w:p w14:paraId="7CC19F28" w14:textId="77777777" w:rsidR="009A2F7A" w:rsidRPr="0022569A" w:rsidRDefault="009A2F7A" w:rsidP="009A2F7A">
      <w:pPr>
        <w:spacing w:before="120" w:after="120"/>
        <w:outlineLvl w:val="1"/>
        <w:rPr>
          <w:sz w:val="36"/>
          <w:szCs w:val="36"/>
        </w:rPr>
      </w:pPr>
      <w:bookmarkStart w:id="24" w:name="_Toc234589616"/>
      <w:r>
        <w:rPr>
          <w:b/>
          <w:bCs/>
          <w:sz w:val="36"/>
          <w:szCs w:val="36"/>
          <w:u w:val="single"/>
          <w:rtl/>
        </w:rPr>
        <w:t>أولًا:</w:t>
      </w:r>
      <w:r>
        <w:rPr>
          <w:rFonts w:hint="cs"/>
          <w:b/>
          <w:bCs/>
          <w:sz w:val="36"/>
          <w:szCs w:val="36"/>
          <w:u w:val="single"/>
          <w:rtl/>
        </w:rPr>
        <w:t xml:space="preserve"> المحور الأول</w:t>
      </w:r>
      <w:r>
        <w:rPr>
          <w:b/>
          <w:bCs/>
          <w:sz w:val="36"/>
          <w:szCs w:val="36"/>
          <w:u w:val="single"/>
          <w:rtl/>
        </w:rPr>
        <w:t xml:space="preserve"> القيادة التحويلية</w:t>
      </w:r>
      <w:bookmarkEnd w:id="24"/>
    </w:p>
    <w:p w14:paraId="2B03CE8C" w14:textId="77777777" w:rsidR="009A2F7A" w:rsidRPr="0022569A" w:rsidRDefault="009A2F7A" w:rsidP="009A2F7A">
      <w:pPr>
        <w:spacing w:before="120" w:after="120"/>
        <w:outlineLvl w:val="2"/>
        <w:rPr>
          <w:sz w:val="32"/>
          <w:szCs w:val="32"/>
        </w:rPr>
      </w:pPr>
      <w:bookmarkStart w:id="25" w:name="_Toc234589617"/>
      <w:r>
        <w:rPr>
          <w:b/>
          <w:bCs/>
          <w:sz w:val="32"/>
          <w:szCs w:val="32"/>
          <w:rtl/>
        </w:rPr>
        <w:t>1- مفهوم القيادة التحويلية ونشأتها وتطوّرها</w:t>
      </w:r>
      <w:bookmarkEnd w:id="25"/>
    </w:p>
    <w:p w14:paraId="4C17A501" w14:textId="77777777" w:rsidR="009A2F7A" w:rsidRDefault="009A2F7A" w:rsidP="009A2F7A">
      <w:pPr>
        <w:spacing w:after="120"/>
        <w:ind w:firstLine="283"/>
        <w:jc w:val="both"/>
      </w:pPr>
      <w:r>
        <w:rPr>
          <w:sz w:val="28"/>
          <w:rtl/>
        </w:rPr>
        <w:lastRenderedPageBreak/>
        <w:t>القيادة من أقدم الظواهر الإنسانية التي شغلت الفكر الإداري، غير أنّ النظر إليها ظلّ قرونًا أسير ثنائية السمات والسلوك، إلى أن أحدثت القيادة التحويلية نقلةً نوعية في هذا الحقل، إذ نقلت السؤال من «ماذا يفعل القائد؟» إلى «ماذا يُحدث القائد في أتباعه؟». وترجع الإرهاصات الأولى للمصطلح إلى داونتون</w:t>
      </w:r>
      <w:r>
        <w:rPr>
          <w:rFonts w:cs="Times New Roman"/>
          <w:szCs w:val="24"/>
        </w:rPr>
        <w:t xml:space="preserve"> (Downton, 1973)</w:t>
      </w:r>
      <w:r>
        <w:rPr>
          <w:sz w:val="28"/>
          <w:rtl/>
        </w:rPr>
        <w:t>، كما ورد في</w:t>
      </w:r>
      <w:r>
        <w:rPr>
          <w:rFonts w:cs="Times New Roman"/>
          <w:szCs w:val="24"/>
        </w:rPr>
        <w:t xml:space="preserve">( Northouse, 2022) </w:t>
      </w:r>
      <w:r>
        <w:rPr>
          <w:sz w:val="28"/>
          <w:rtl/>
        </w:rPr>
        <w:t>، الذي وظّفه في سياق دراسة القيادة الثورية، غير أنّ المفهوم لم يكتسب صياغته العلمية المنظمة إلا على يد بيرنز.</w:t>
      </w:r>
    </w:p>
    <w:p w14:paraId="4221F087" w14:textId="77777777" w:rsidR="009A2F7A" w:rsidRDefault="009A2F7A" w:rsidP="009A2F7A">
      <w:pPr>
        <w:spacing w:after="120"/>
        <w:ind w:firstLine="283"/>
        <w:jc w:val="both"/>
      </w:pPr>
      <w:r>
        <w:rPr>
          <w:sz w:val="28"/>
          <w:rtl/>
        </w:rPr>
        <w:t>فقد فرّق بيرنز في مؤلَّفه التأسيسي بين نمطين من القيادة: قيادةٍ تبادلية تقوم على مقايضة الجهد بالعائد، وقيادةٍ تحويلية يرتبط فيها القائد والأتباع ارتباطًا يرتقي بهم جميعًا إلى مستوياتٍ أعلى من الدافعية والأخلاق، حتى تتجاوز اهتمامات الأتباع مصالحهم الذاتية إلى غايات الجماعة</w:t>
      </w:r>
      <w:r>
        <w:rPr>
          <w:rFonts w:cs="Times New Roman"/>
          <w:szCs w:val="24"/>
        </w:rPr>
        <w:t xml:space="preserve"> (Burns, 1978). </w:t>
      </w:r>
      <w:r>
        <w:rPr>
          <w:sz w:val="28"/>
          <w:rtl/>
        </w:rPr>
        <w:t>ثم نقل باس المفهوم من حقل القيادة السياسية إلى ميدان المنظمات، وأخضعه للقياس التجريبي، مبيّنًا أنّ القيادة التحويلية تقود الأتباع إلى أداءٍ يتجاوز التوقعات، وذلك برفع وعيهم بقيمة الأهداف وتحفيزهم على تجاوز مصالحهم الذاتية وإشباع حاجاتهم العليا</w:t>
      </w:r>
      <w:r>
        <w:rPr>
          <w:rFonts w:cs="Times New Roman"/>
          <w:szCs w:val="24"/>
        </w:rPr>
        <w:t xml:space="preserve"> (Bass, 1985). </w:t>
      </w:r>
      <w:r>
        <w:rPr>
          <w:sz w:val="28"/>
          <w:rtl/>
        </w:rPr>
        <w:t>وتُوّج هذا المسار بتطوير باس وأفوليو مقياس القيادة متعدد العوامل، الذي استقرّت به الأبعاد الأربعة وأصبح أوسع أدوات قياسها استخدامًا</w:t>
      </w:r>
      <w:r>
        <w:rPr>
          <w:rFonts w:cs="Times New Roman"/>
          <w:szCs w:val="24"/>
        </w:rPr>
        <w:t xml:space="preserve"> (Avolio &amp; Bass, 2004)</w:t>
      </w:r>
      <w:r>
        <w:rPr>
          <w:sz w:val="28"/>
          <w:rtl/>
        </w:rPr>
        <w:t>، ثم بالتحرير المفاهيمي الجامع الذي قدّمه باس وريجيو للنظرية بعد عقودٍ من تراكم شواهدها</w:t>
      </w:r>
      <w:r>
        <w:rPr>
          <w:rFonts w:cs="Times New Roman"/>
          <w:szCs w:val="24"/>
        </w:rPr>
        <w:t xml:space="preserve"> (Bass &amp; Riggio, 2006). </w:t>
      </w:r>
      <w:r>
        <w:rPr>
          <w:sz w:val="28"/>
          <w:rtl/>
        </w:rPr>
        <w:t>ويلخّص الجدول (2-1) أبرز محطات هذا التطور:</w:t>
      </w:r>
    </w:p>
    <w:p w14:paraId="2B154ABA" w14:textId="77777777" w:rsidR="009A2F7A" w:rsidRDefault="009A2F7A" w:rsidP="009A2F7A">
      <w:pPr>
        <w:keepNext/>
        <w:spacing w:before="120" w:after="60"/>
        <w:jc w:val="center"/>
      </w:pPr>
      <w:r>
        <w:rPr>
          <w:b/>
          <w:bCs/>
          <w:szCs w:val="24"/>
          <w:rtl/>
        </w:rPr>
        <w:t>جدول (2-1): أبرز محطات تطور مفهوم القيادة التحويلية وتعريفاته</w:t>
      </w:r>
    </w:p>
    <w:tbl>
      <w:tblPr>
        <w:bidiVisual/>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0" w:type="dxa"/>
          <w:right w:w="60" w:type="dxa"/>
        </w:tblCellMar>
        <w:tblLook w:val="04A0" w:firstRow="1" w:lastRow="0" w:firstColumn="1" w:lastColumn="0" w:noHBand="0" w:noVBand="1"/>
      </w:tblPr>
      <w:tblGrid>
        <w:gridCol w:w="2200"/>
        <w:gridCol w:w="4600"/>
        <w:gridCol w:w="2200"/>
      </w:tblGrid>
      <w:tr w:rsidR="009A2F7A" w14:paraId="1DACF7DC" w14:textId="77777777" w:rsidTr="00F206C8">
        <w:trPr>
          <w:cantSplit/>
          <w:trHeight w:val="500"/>
          <w:tblHeader/>
          <w:jc w:val="center"/>
        </w:trPr>
        <w:tc>
          <w:tcPr>
            <w:tcW w:w="2200" w:type="dxa"/>
            <w:tcBorders>
              <w:top w:val="single" w:sz="4" w:space="0" w:color="A7C9B9"/>
              <w:left w:val="single" w:sz="4" w:space="0" w:color="A7C9B9"/>
              <w:bottom w:val="single" w:sz="4" w:space="0" w:color="A7C9B9"/>
              <w:right w:val="single" w:sz="4" w:space="0" w:color="A7C9B9"/>
            </w:tcBorders>
            <w:shd w:val="clear" w:color="auto" w:fill="D9EADF"/>
            <w:tcMar>
              <w:left w:w="60" w:type="dxa"/>
              <w:right w:w="60" w:type="dxa"/>
            </w:tcMar>
            <w:vAlign w:val="center"/>
          </w:tcPr>
          <w:p w14:paraId="6AE099AF" w14:textId="77777777" w:rsidR="009A2F7A" w:rsidRDefault="009A2F7A" w:rsidP="00F206C8">
            <w:pPr>
              <w:spacing w:before="40" w:after="40"/>
              <w:jc w:val="center"/>
            </w:pPr>
            <w:r>
              <w:rPr>
                <w:b/>
                <w:bCs/>
                <w:szCs w:val="24"/>
                <w:rtl/>
              </w:rPr>
              <w:t>المصدر</w:t>
            </w:r>
          </w:p>
        </w:tc>
        <w:tc>
          <w:tcPr>
            <w:tcW w:w="4600" w:type="dxa"/>
            <w:tcBorders>
              <w:top w:val="single" w:sz="4" w:space="0" w:color="A7C9B9"/>
              <w:left w:val="single" w:sz="4" w:space="0" w:color="A7C9B9"/>
              <w:bottom w:val="single" w:sz="4" w:space="0" w:color="A7C9B9"/>
              <w:right w:val="single" w:sz="4" w:space="0" w:color="A7C9B9"/>
            </w:tcBorders>
            <w:shd w:val="clear" w:color="auto" w:fill="D9EADF"/>
            <w:tcMar>
              <w:left w:w="60" w:type="dxa"/>
              <w:right w:w="60" w:type="dxa"/>
            </w:tcMar>
            <w:vAlign w:val="center"/>
          </w:tcPr>
          <w:p w14:paraId="4574BFCA" w14:textId="77777777" w:rsidR="009A2F7A" w:rsidRDefault="009A2F7A" w:rsidP="00F206C8">
            <w:pPr>
              <w:spacing w:before="40" w:after="40"/>
              <w:jc w:val="center"/>
            </w:pPr>
            <w:r>
              <w:rPr>
                <w:b/>
                <w:bCs/>
                <w:szCs w:val="24"/>
                <w:rtl/>
              </w:rPr>
              <w:t>مضمون التعريف / الدلالة</w:t>
            </w:r>
          </w:p>
        </w:tc>
        <w:tc>
          <w:tcPr>
            <w:tcW w:w="2200" w:type="dxa"/>
            <w:tcBorders>
              <w:top w:val="single" w:sz="4" w:space="0" w:color="A7C9B9"/>
              <w:left w:val="single" w:sz="4" w:space="0" w:color="A7C9B9"/>
              <w:bottom w:val="single" w:sz="4" w:space="0" w:color="A7C9B9"/>
              <w:right w:val="single" w:sz="4" w:space="0" w:color="A7C9B9"/>
            </w:tcBorders>
            <w:shd w:val="clear" w:color="auto" w:fill="D9EADF"/>
            <w:tcMar>
              <w:left w:w="60" w:type="dxa"/>
              <w:right w:w="60" w:type="dxa"/>
            </w:tcMar>
            <w:vAlign w:val="center"/>
          </w:tcPr>
          <w:p w14:paraId="2AEE93E8" w14:textId="77777777" w:rsidR="009A2F7A" w:rsidRDefault="009A2F7A" w:rsidP="00F206C8">
            <w:pPr>
              <w:spacing w:before="40" w:after="40"/>
              <w:jc w:val="center"/>
            </w:pPr>
            <w:r>
              <w:rPr>
                <w:b/>
                <w:bCs/>
                <w:szCs w:val="24"/>
                <w:rtl/>
              </w:rPr>
              <w:t>القيمة المضافة</w:t>
            </w:r>
          </w:p>
        </w:tc>
      </w:tr>
      <w:tr w:rsidR="009A2F7A" w14:paraId="7DD00DB1" w14:textId="77777777" w:rsidTr="00F206C8">
        <w:trPr>
          <w:cantSplit/>
          <w:trHeight w:val="450"/>
          <w:jc w:val="center"/>
        </w:trPr>
        <w:tc>
          <w:tcPr>
            <w:tcW w:w="22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0FAD7ED4" w14:textId="77777777" w:rsidR="009A2F7A" w:rsidRDefault="009A2F7A" w:rsidP="00F206C8">
            <w:pPr>
              <w:spacing w:before="40" w:after="40"/>
              <w:jc w:val="center"/>
            </w:pPr>
            <w:r>
              <w:rPr>
                <w:szCs w:val="24"/>
                <w:rtl/>
              </w:rPr>
              <w:t>داونتون</w:t>
            </w:r>
            <w:r>
              <w:rPr>
                <w:rFonts w:cs="Times New Roman"/>
                <w:szCs w:val="24"/>
              </w:rPr>
              <w:t xml:space="preserve"> (Downton, 1973</w:t>
            </w:r>
            <w:r>
              <w:rPr>
                <w:szCs w:val="24"/>
                <w:rtl/>
              </w:rPr>
              <w:t>، كما ورد في</w:t>
            </w:r>
            <w:r>
              <w:rPr>
                <w:rFonts w:cs="Times New Roman"/>
                <w:szCs w:val="24"/>
              </w:rPr>
              <w:t xml:space="preserve"> Northouse, 2022)</w:t>
            </w:r>
          </w:p>
        </w:tc>
        <w:tc>
          <w:tcPr>
            <w:tcW w:w="46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0DE73E92" w14:textId="77777777" w:rsidR="009A2F7A" w:rsidRDefault="009A2F7A" w:rsidP="00F206C8">
            <w:pPr>
              <w:spacing w:before="40" w:after="40"/>
              <w:jc w:val="center"/>
            </w:pPr>
            <w:r>
              <w:rPr>
                <w:szCs w:val="24"/>
                <w:rtl/>
              </w:rPr>
              <w:t>أول استخدامٍ لمصطلح القيادة التحويلية في سياق تحليل القيادة الثورية والتمرد.</w:t>
            </w:r>
          </w:p>
        </w:tc>
        <w:tc>
          <w:tcPr>
            <w:tcW w:w="22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7B581950" w14:textId="77777777" w:rsidR="009A2F7A" w:rsidRDefault="009A2F7A" w:rsidP="00F206C8">
            <w:pPr>
              <w:spacing w:before="40" w:after="40"/>
              <w:jc w:val="center"/>
            </w:pPr>
            <w:r>
              <w:rPr>
                <w:szCs w:val="24"/>
                <w:rtl/>
              </w:rPr>
              <w:t>نشأة المصطلح</w:t>
            </w:r>
          </w:p>
        </w:tc>
      </w:tr>
      <w:tr w:rsidR="009A2F7A" w14:paraId="39984D00" w14:textId="77777777" w:rsidTr="00F206C8">
        <w:trPr>
          <w:cantSplit/>
          <w:trHeight w:val="450"/>
          <w:jc w:val="center"/>
        </w:trPr>
        <w:tc>
          <w:tcPr>
            <w:tcW w:w="22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31AA346A" w14:textId="77777777" w:rsidR="009A2F7A" w:rsidRDefault="009A2F7A" w:rsidP="00F206C8">
            <w:pPr>
              <w:spacing w:before="40" w:after="40"/>
              <w:jc w:val="center"/>
            </w:pPr>
            <w:r>
              <w:rPr>
                <w:szCs w:val="24"/>
                <w:rtl/>
              </w:rPr>
              <w:t>بيرنز</w:t>
            </w:r>
            <w:r>
              <w:rPr>
                <w:rFonts w:cs="Times New Roman"/>
                <w:szCs w:val="24"/>
              </w:rPr>
              <w:t xml:space="preserve"> (Burns, 1978)</w:t>
            </w:r>
          </w:p>
        </w:tc>
        <w:tc>
          <w:tcPr>
            <w:tcW w:w="46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69A99CC0" w14:textId="77777777" w:rsidR="009A2F7A" w:rsidRDefault="009A2F7A" w:rsidP="00F206C8">
            <w:pPr>
              <w:spacing w:before="40" w:after="40"/>
              <w:jc w:val="center"/>
            </w:pPr>
            <w:r>
              <w:rPr>
                <w:szCs w:val="24"/>
                <w:rtl/>
              </w:rPr>
              <w:t>عمليةٌ يرتقي فيها القائد والأتباع بعضهم ببعض إلى مستوياتٍ أعلى من الدافعية والأخلاق، في مقابل القيادة التبادلية القائمة على المقايضة.</w:t>
            </w:r>
          </w:p>
        </w:tc>
        <w:tc>
          <w:tcPr>
            <w:tcW w:w="22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2AEF4E37" w14:textId="77777777" w:rsidR="009A2F7A" w:rsidRDefault="009A2F7A" w:rsidP="00F206C8">
            <w:pPr>
              <w:spacing w:before="40" w:after="40"/>
              <w:jc w:val="center"/>
            </w:pPr>
            <w:r>
              <w:rPr>
                <w:szCs w:val="24"/>
                <w:rtl/>
              </w:rPr>
              <w:t>التمييز عن التبادلية وربطها بالقيم</w:t>
            </w:r>
          </w:p>
        </w:tc>
      </w:tr>
      <w:tr w:rsidR="009A2F7A" w14:paraId="7604F9AB" w14:textId="77777777" w:rsidTr="00F206C8">
        <w:trPr>
          <w:cantSplit/>
          <w:trHeight w:val="450"/>
          <w:jc w:val="center"/>
        </w:trPr>
        <w:tc>
          <w:tcPr>
            <w:tcW w:w="22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22CEDB9C" w14:textId="77777777" w:rsidR="009A2F7A" w:rsidRDefault="009A2F7A" w:rsidP="00F206C8">
            <w:pPr>
              <w:spacing w:before="40" w:after="40"/>
              <w:jc w:val="center"/>
            </w:pPr>
            <w:r>
              <w:rPr>
                <w:szCs w:val="24"/>
                <w:rtl/>
              </w:rPr>
              <w:t>باس</w:t>
            </w:r>
            <w:r>
              <w:rPr>
                <w:rFonts w:cs="Times New Roman"/>
                <w:szCs w:val="24"/>
              </w:rPr>
              <w:t xml:space="preserve"> (Bass, 1985)</w:t>
            </w:r>
          </w:p>
        </w:tc>
        <w:tc>
          <w:tcPr>
            <w:tcW w:w="46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74CBA4A5" w14:textId="77777777" w:rsidR="009A2F7A" w:rsidRDefault="009A2F7A" w:rsidP="00F206C8">
            <w:pPr>
              <w:spacing w:before="40" w:after="40"/>
              <w:jc w:val="center"/>
            </w:pPr>
            <w:r>
              <w:rPr>
                <w:szCs w:val="24"/>
                <w:rtl/>
              </w:rPr>
              <w:t>قيادةٌ تدفع الأتباع إلى أداءٍ يفوق التوقعات عبر رفع وعيهم بأهمية الأهداف وتجاوز المصالح الذاتية وإشباع الحاجات العليا.</w:t>
            </w:r>
          </w:p>
        </w:tc>
        <w:tc>
          <w:tcPr>
            <w:tcW w:w="22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437837E4" w14:textId="77777777" w:rsidR="009A2F7A" w:rsidRDefault="009A2F7A" w:rsidP="00F206C8">
            <w:pPr>
              <w:spacing w:before="40" w:after="40"/>
              <w:jc w:val="center"/>
            </w:pPr>
            <w:r>
              <w:rPr>
                <w:szCs w:val="24"/>
                <w:rtl/>
              </w:rPr>
              <w:t>النقل إلى المنظمات وقابلية القياس</w:t>
            </w:r>
          </w:p>
        </w:tc>
      </w:tr>
      <w:tr w:rsidR="009A2F7A" w14:paraId="1A705C91" w14:textId="77777777" w:rsidTr="00F206C8">
        <w:trPr>
          <w:cantSplit/>
          <w:trHeight w:val="450"/>
          <w:jc w:val="center"/>
        </w:trPr>
        <w:tc>
          <w:tcPr>
            <w:tcW w:w="22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37EB1F24" w14:textId="77777777" w:rsidR="009A2F7A" w:rsidRDefault="009A2F7A" w:rsidP="00F206C8">
            <w:pPr>
              <w:spacing w:before="40" w:after="40"/>
              <w:jc w:val="center"/>
            </w:pPr>
            <w:r>
              <w:rPr>
                <w:szCs w:val="24"/>
                <w:rtl/>
              </w:rPr>
              <w:t>باس وأفوليو</w:t>
            </w:r>
            <w:r>
              <w:rPr>
                <w:rFonts w:cs="Times New Roman"/>
                <w:szCs w:val="24"/>
              </w:rPr>
              <w:t xml:space="preserve"> (Avolio &amp; Bass, 2004)</w:t>
            </w:r>
          </w:p>
        </w:tc>
        <w:tc>
          <w:tcPr>
            <w:tcW w:w="46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52167208" w14:textId="77777777" w:rsidR="009A2F7A" w:rsidRDefault="009A2F7A" w:rsidP="00F206C8">
            <w:pPr>
              <w:spacing w:before="40" w:after="40"/>
              <w:jc w:val="center"/>
            </w:pPr>
            <w:r>
              <w:rPr>
                <w:szCs w:val="24"/>
                <w:rtl/>
              </w:rPr>
              <w:t>تقنين الأبعاد الأربعة (التأثير المثالي، والحفز الإلهامي، والاستثارة الفكرية، والاعتبارية الفردية) عبر مقياس القيادة متعدد العوامل</w:t>
            </w:r>
            <w:r>
              <w:rPr>
                <w:rFonts w:cs="Times New Roman"/>
                <w:szCs w:val="24"/>
              </w:rPr>
              <w:t xml:space="preserve"> (MLQ).</w:t>
            </w:r>
          </w:p>
        </w:tc>
        <w:tc>
          <w:tcPr>
            <w:tcW w:w="22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42218176" w14:textId="77777777" w:rsidR="009A2F7A" w:rsidRDefault="009A2F7A" w:rsidP="00F206C8">
            <w:pPr>
              <w:spacing w:before="40" w:after="40"/>
              <w:jc w:val="center"/>
            </w:pPr>
            <w:r>
              <w:rPr>
                <w:szCs w:val="24"/>
                <w:rtl/>
              </w:rPr>
              <w:t>استقرار الأبعاد وأداة القياس</w:t>
            </w:r>
          </w:p>
        </w:tc>
      </w:tr>
      <w:tr w:rsidR="009A2F7A" w14:paraId="4F7C8799" w14:textId="77777777" w:rsidTr="00F206C8">
        <w:trPr>
          <w:cantSplit/>
          <w:trHeight w:val="450"/>
          <w:jc w:val="center"/>
        </w:trPr>
        <w:tc>
          <w:tcPr>
            <w:tcW w:w="22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639BF234" w14:textId="77777777" w:rsidR="009A2F7A" w:rsidRDefault="009A2F7A" w:rsidP="00F206C8">
            <w:pPr>
              <w:spacing w:before="40" w:after="40"/>
              <w:jc w:val="center"/>
            </w:pPr>
            <w:r>
              <w:rPr>
                <w:szCs w:val="24"/>
                <w:rtl/>
              </w:rPr>
              <w:lastRenderedPageBreak/>
              <w:t>باس وريجيو</w:t>
            </w:r>
            <w:r>
              <w:rPr>
                <w:rFonts w:cs="Times New Roman"/>
                <w:szCs w:val="24"/>
              </w:rPr>
              <w:t xml:space="preserve"> (Bass &amp; Riggio, 2006)</w:t>
            </w:r>
          </w:p>
        </w:tc>
        <w:tc>
          <w:tcPr>
            <w:tcW w:w="46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70A79253" w14:textId="77777777" w:rsidR="009A2F7A" w:rsidRDefault="009A2F7A" w:rsidP="00F206C8">
            <w:pPr>
              <w:spacing w:before="40" w:after="40"/>
              <w:jc w:val="center"/>
            </w:pPr>
            <w:r>
              <w:rPr>
                <w:szCs w:val="24"/>
                <w:rtl/>
              </w:rPr>
              <w:t>القيادة التي يستثير بها القائد أتباعه ويلهمهم لتجاوز مصالحهم الذاتية نحو نتائج تفوق التوقعات من خلال الأبعاد الأربعة.</w:t>
            </w:r>
          </w:p>
        </w:tc>
        <w:tc>
          <w:tcPr>
            <w:tcW w:w="22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67A56765" w14:textId="77777777" w:rsidR="009A2F7A" w:rsidRDefault="009A2F7A" w:rsidP="00F206C8">
            <w:pPr>
              <w:spacing w:before="40" w:after="40"/>
              <w:jc w:val="center"/>
            </w:pPr>
            <w:r>
              <w:rPr>
                <w:szCs w:val="24"/>
                <w:rtl/>
              </w:rPr>
              <w:t>التحرير الجامع للنظرية وشواهدها</w:t>
            </w:r>
          </w:p>
        </w:tc>
      </w:tr>
    </w:tbl>
    <w:p w14:paraId="776AE6B9" w14:textId="77777777" w:rsidR="009A2F7A" w:rsidRDefault="009A2F7A" w:rsidP="009A2F7A">
      <w:pPr>
        <w:spacing w:after="120"/>
        <w:jc w:val="center"/>
      </w:pPr>
      <w:r>
        <w:rPr>
          <w:sz w:val="22"/>
          <w:szCs w:val="22"/>
          <w:rtl/>
        </w:rPr>
        <w:t>المصدر: من إعداد الباحثة بالاستناد إلى المراجع الواردة في الجدول.</w:t>
      </w:r>
    </w:p>
    <w:p w14:paraId="5B2247DC" w14:textId="77777777" w:rsidR="009A2F7A" w:rsidRDefault="009A2F7A" w:rsidP="009A2F7A">
      <w:pPr>
        <w:spacing w:after="120"/>
        <w:ind w:firstLine="283"/>
        <w:jc w:val="both"/>
      </w:pPr>
      <w:r>
        <w:rPr>
          <w:sz w:val="28"/>
          <w:rtl/>
        </w:rPr>
        <w:t>ولم يقف تطور النظرية عند استقرار أبعادها. فقد راكمت العقود التالية شواهدها التجريبية عبر آلاف الدراسات في قطاعاتٍ وثقافاتٍ شتّى، حتى غدت أكثر نظريات القيادة استقطابًا للبحث منذ تسعينيات القرن الماضي، واتسع تطبيقها من قمة الهرم القيادي إلى مستوياته الوسطى والإشرافية جميعًا</w:t>
      </w:r>
      <w:r>
        <w:rPr>
          <w:rFonts w:cs="Times New Roman"/>
          <w:szCs w:val="24"/>
        </w:rPr>
        <w:t xml:space="preserve"> (Bass, 1999). </w:t>
      </w:r>
      <w:r>
        <w:rPr>
          <w:sz w:val="28"/>
          <w:rtl/>
        </w:rPr>
        <w:t>ومع ذلك لم تسلم من النقد؛ فقد أُخذ عليها تداخل أبعادها الأربعة ارتباطيًا في بعض القياسات، وغموض الآليات الوسيطة التي ينتقل بها أثرها إلى المخرجات، والمبالغة أحيانًا في بطولية القائد على حساب السياق</w:t>
      </w:r>
      <w:r>
        <w:rPr>
          <w:rFonts w:cs="Times New Roman"/>
          <w:szCs w:val="24"/>
        </w:rPr>
        <w:t xml:space="preserve"> (Northouse, 2022). </w:t>
      </w:r>
      <w:r>
        <w:rPr>
          <w:sz w:val="28"/>
          <w:rtl/>
        </w:rPr>
        <w:t>غير أنّ هذا النقد، كما تلاحظ المراجعات المنصفة، دفع النظرية إلى مزيدٍ من الإحكام ولم ينل من صلاحيتها إطارًا تفسيريًا وتطبيقيًا؛ وهو ما تراعيه الدراسة الحالية إذ تقيس الأبعاد الأربعة قياسًا مستقلًا يتيح فحص إسهام كلٍّ منها.</w:t>
      </w:r>
    </w:p>
    <w:p w14:paraId="4D2B981D" w14:textId="77777777" w:rsidR="009A2F7A" w:rsidRDefault="009A2F7A" w:rsidP="009A2F7A">
      <w:pPr>
        <w:spacing w:after="120"/>
        <w:ind w:firstLine="283"/>
        <w:jc w:val="both"/>
        <w:rPr>
          <w:rtl/>
        </w:rPr>
      </w:pPr>
      <w:r>
        <w:rPr>
          <w:sz w:val="28"/>
          <w:rtl/>
        </w:rPr>
        <w:t>ويتبيّن من تتبّع هذه المحطات أنّ مفهوم القيادة التحويلية انتقل من وصفٍ سياسي فضفاض إلى بناءٍ علمي محكم الأبعاد قابلٍ للقياس، وأنّ جوهره الثابت عبر تعريفاته هو إحداث التحوّل في الأتباع أنفسهم: في وعيهم وقيمهم ودوافعهم، لا في سلوكهم الظاهر وحده. وتتبنّى الدراسة الحالية، كما تقرّر في الفصل الأول، تعريف باس وريجيو أساسًا لها؛ لأنه يحدّد أبعادًا سلوكية قابلة للقياس تتوافق مع نموذج الدراسة وأداتها</w:t>
      </w:r>
      <w:r>
        <w:rPr>
          <w:rFonts w:cs="Times New Roman"/>
          <w:szCs w:val="24"/>
        </w:rPr>
        <w:t xml:space="preserve"> (Bass &amp; Riggio, 2006).</w:t>
      </w:r>
    </w:p>
    <w:p w14:paraId="1C777E88" w14:textId="77777777" w:rsidR="009A2F7A" w:rsidRDefault="009A2F7A" w:rsidP="009A2F7A">
      <w:pPr>
        <w:spacing w:after="120"/>
        <w:ind w:firstLine="283"/>
        <w:jc w:val="both"/>
      </w:pPr>
    </w:p>
    <w:p w14:paraId="2F3DF3C2" w14:textId="77777777" w:rsidR="009A2F7A" w:rsidRPr="00535B76" w:rsidRDefault="009A2F7A" w:rsidP="009A2F7A">
      <w:pPr>
        <w:spacing w:before="120" w:after="120"/>
        <w:outlineLvl w:val="2"/>
        <w:rPr>
          <w:sz w:val="32"/>
          <w:szCs w:val="32"/>
        </w:rPr>
      </w:pPr>
      <w:bookmarkStart w:id="26" w:name="_Toc234589618"/>
      <w:r>
        <w:rPr>
          <w:b/>
          <w:bCs/>
          <w:sz w:val="28"/>
          <w:rtl/>
        </w:rPr>
        <w:t>2</w:t>
      </w:r>
      <w:r>
        <w:rPr>
          <w:b/>
          <w:bCs/>
          <w:sz w:val="32"/>
          <w:szCs w:val="32"/>
          <w:rtl/>
        </w:rPr>
        <w:t>- أهمية القيادة التحويلية وأهدافها</w:t>
      </w:r>
      <w:bookmarkEnd w:id="26"/>
    </w:p>
    <w:p w14:paraId="76BD36D6" w14:textId="77777777" w:rsidR="009A2F7A" w:rsidRDefault="009A2F7A" w:rsidP="009A2F7A">
      <w:pPr>
        <w:spacing w:after="120"/>
        <w:ind w:firstLine="283"/>
        <w:jc w:val="both"/>
      </w:pPr>
      <w:r>
        <w:rPr>
          <w:sz w:val="28"/>
          <w:rtl/>
        </w:rPr>
        <w:t>تستمدّ القيادة التحويلية أهميتها من موقعها في قلب معادلة الأداء المنظمي. فقد أثبتت مراجعاتٌ تحليلية واسعة أنها من أكثر أنماط القيادة اتساقًا في التنبؤ بمخرجات الأتباع، من رضًا ودافعيةٍ وأداء، وأنها تتفوّق في صدقها الإجمالي على الأنماط المنافسة</w:t>
      </w:r>
      <w:r>
        <w:rPr>
          <w:rFonts w:cs="Times New Roman"/>
          <w:szCs w:val="24"/>
        </w:rPr>
        <w:t xml:space="preserve"> (Judge &amp; Piccolo, 2004)</w:t>
      </w:r>
      <w:r>
        <w:rPr>
          <w:sz w:val="28"/>
          <w:rtl/>
        </w:rPr>
        <w:t>، وأنّ عقودًا من البحث التجريبي رسّخت مكانتها نموذجًا مرجعيًا في دراسة القيادة المنظمية</w:t>
      </w:r>
      <w:r>
        <w:rPr>
          <w:rFonts w:cs="Times New Roman"/>
          <w:szCs w:val="24"/>
        </w:rPr>
        <w:t xml:space="preserve"> (Bass, 1999; Northouse, 2022). </w:t>
      </w:r>
      <w:r>
        <w:rPr>
          <w:sz w:val="28"/>
          <w:rtl/>
        </w:rPr>
        <w:t>وتتضاعف هذه الأهمية في المؤسسات التعليمية على وجه الخصوص؛ فقد بيّنت الأدبيات التربوية أنّ القيادة التحويلية من أنسب المداخل لقيادة الإصلاحات التعليمية واسعة النطاق، لقدرتها على بناء الالتزام الجمعي بالرؤية وتهيئة الظروف المنظمية الداعمة للتغيير</w:t>
      </w:r>
      <w:r>
        <w:rPr>
          <w:rFonts w:cs="Times New Roman"/>
          <w:szCs w:val="24"/>
        </w:rPr>
        <w:t xml:space="preserve"> (Leithwood &amp; Jantzi, 2006).</w:t>
      </w:r>
    </w:p>
    <w:p w14:paraId="53ED9605" w14:textId="77777777" w:rsidR="009A2F7A" w:rsidRDefault="009A2F7A" w:rsidP="009A2F7A">
      <w:pPr>
        <w:spacing w:after="120"/>
        <w:ind w:firstLine="283"/>
        <w:jc w:val="both"/>
      </w:pPr>
      <w:r>
        <w:rPr>
          <w:sz w:val="28"/>
          <w:rtl/>
        </w:rPr>
        <w:lastRenderedPageBreak/>
        <w:t>وتتأكد هذه الأهمية في منظمات القطاع الحكومي تحديدًا. فهي منظمات تعمل بأطرٍ نظامية تقيّد أدوات المقايضة المادية التي تقوم عليها القيادة التبادلية، ويغلب على أعمالها الطابع الخدمي والمعرفي الذي يتعذّر ضبطه بالرقابة اللصيقة؛ فيغدو ما يبنيه القائد من التزامٍ ذاتي لدى موظفيه بديلًا وظيفيًا عنهما معًا</w:t>
      </w:r>
      <w:r>
        <w:rPr>
          <w:rFonts w:cs="Times New Roman"/>
          <w:szCs w:val="24"/>
        </w:rPr>
        <w:t xml:space="preserve"> (Gagn</w:t>
      </w:r>
      <w:r>
        <w:rPr>
          <w:sz w:val="28"/>
          <w:rtl/>
        </w:rPr>
        <w:t>é</w:t>
      </w:r>
      <w:r>
        <w:rPr>
          <w:rFonts w:cs="Times New Roman"/>
          <w:szCs w:val="24"/>
        </w:rPr>
        <w:t xml:space="preserve"> &amp; Deci, 2005). </w:t>
      </w:r>
      <w:r>
        <w:rPr>
          <w:sz w:val="28"/>
          <w:rtl/>
        </w:rPr>
        <w:t>. كما تكتسب أهميةً مضاعفة في زمن التحولات؛ فالمنظمة التي تعيش تغييرًا متصلًا، كما هو حال إدارات التعليم السعودية في ظل برامج الرؤية، تحتاج نمطًا قياديًا يجعل من التغيير نفسه مشروعًا جمعيًا ذا معنى، لا قرارًا فوقيًا يُنتظر انقضاؤه (رؤية المملكة العربية السعودية 2030، 2016).</w:t>
      </w:r>
    </w:p>
    <w:p w14:paraId="5CA11568" w14:textId="77777777" w:rsidR="009A2F7A" w:rsidRDefault="009A2F7A" w:rsidP="009A2F7A">
      <w:pPr>
        <w:spacing w:after="120"/>
        <w:ind w:firstLine="283"/>
        <w:jc w:val="both"/>
      </w:pPr>
      <w:r>
        <w:rPr>
          <w:sz w:val="28"/>
          <w:rtl/>
        </w:rPr>
        <w:t>أمّا أهدافها فتُجمَل في ثلاث غاياتٍ مترابطة. أولاها الارتقاء بدافعية الأتباع من مستوى الامتثال إلى مستوى الالتزام الذاتي، بربط عملهم بغاياتٍ ذات معنى تمسّ هويتهم وقيمهم</w:t>
      </w:r>
      <w:r>
        <w:rPr>
          <w:rFonts w:cs="Times New Roman"/>
          <w:szCs w:val="24"/>
        </w:rPr>
        <w:t xml:space="preserve"> (Shamir et al., 1993)</w:t>
      </w:r>
      <w:r>
        <w:rPr>
          <w:sz w:val="28"/>
          <w:rtl/>
        </w:rPr>
        <w:t>وثانيتها تنمية قدرات الأتباع أنفسهم حتى يغدو بعضهم قادةً، وهو ما عبّر عنه بيرنز بفكرة الارتقاء المتبادل</w:t>
      </w:r>
      <w:r>
        <w:rPr>
          <w:rFonts w:cs="Times New Roman"/>
          <w:szCs w:val="24"/>
        </w:rPr>
        <w:t xml:space="preserve"> (Burns, 1978)</w:t>
      </w:r>
      <w:r>
        <w:rPr>
          <w:sz w:val="28"/>
          <w:rtl/>
        </w:rPr>
        <w:t>وثالثتها تمكين المنظمة من التكيّف مع بيئتها المتغيرة، ببثّ ثقافةٍ تستقبل التجديد فرصةً لا تهديدًا</w:t>
      </w:r>
      <w:r>
        <w:rPr>
          <w:rFonts w:cs="Times New Roman"/>
          <w:szCs w:val="24"/>
        </w:rPr>
        <w:t xml:space="preserve"> (Bass &amp; Riggio, 2006). </w:t>
      </w:r>
      <w:r>
        <w:rPr>
          <w:sz w:val="28"/>
          <w:rtl/>
        </w:rPr>
        <w:t>وبهذه الغايات الثلاث تلتقي القيادة التحويلية مباشرةً مع متغيرَي الدراسة التابعين: الدافعية التي تسعى إلى تعزيزها، ومقاومة التغيير التي تعمل على تقليلها.</w:t>
      </w:r>
    </w:p>
    <w:p w14:paraId="2ABF1D96" w14:textId="77777777" w:rsidR="009A2F7A" w:rsidRDefault="009A2F7A" w:rsidP="009A2F7A">
      <w:pPr>
        <w:spacing w:after="120"/>
        <w:ind w:firstLine="283"/>
        <w:jc w:val="both"/>
      </w:pPr>
      <w:r>
        <w:rPr>
          <w:sz w:val="28"/>
          <w:rtl/>
        </w:rPr>
        <w:t>ويمكن، على مستوًى تحليلي أدق، توزيع هذه الأهداف على ثلاثة مستويات. فعلى مستوى الفرد تستهدف رفع دافعيته وفاعليته الذاتية والتزامه، وعلى مستوى الفريق تستهدف بناء رؤيةٍ مشتركة وثقةٍ متبادلة تعلو على المصالح الفردية، وعلى مستوى المنظمة تستهدف تهيئة ثقافةٍ متعلّمة قادرة على استيعاب التغيير وتوليده</w:t>
      </w:r>
      <w:r>
        <w:rPr>
          <w:rFonts w:cs="Times New Roman"/>
          <w:szCs w:val="24"/>
        </w:rPr>
        <w:t xml:space="preserve"> (Bass &amp; Riggio, 2006). </w:t>
      </w:r>
      <w:r>
        <w:rPr>
          <w:sz w:val="28"/>
          <w:rtl/>
        </w:rPr>
        <w:t>وبهذا التوزيع يتضح أنّ متغيرَي الدراسة التابعين يقعان في قلب المستوى الأول تحديدًا؛ فالدافعية مخرجه الإيجابي المباشر، ومقاومة التغيير عرضه السلبي حين يغيب.</w:t>
      </w:r>
    </w:p>
    <w:p w14:paraId="00DEBF10" w14:textId="77777777" w:rsidR="009A2F7A" w:rsidRPr="00535B76" w:rsidRDefault="009A2F7A" w:rsidP="009A2F7A">
      <w:pPr>
        <w:spacing w:before="120" w:after="120"/>
        <w:outlineLvl w:val="2"/>
        <w:rPr>
          <w:sz w:val="32"/>
          <w:szCs w:val="32"/>
        </w:rPr>
      </w:pPr>
      <w:bookmarkStart w:id="27" w:name="_Toc234589619"/>
      <w:r>
        <w:rPr>
          <w:b/>
          <w:bCs/>
          <w:sz w:val="32"/>
          <w:szCs w:val="32"/>
          <w:rtl/>
        </w:rPr>
        <w:t>3- خصائص القائد التحويلي</w:t>
      </w:r>
      <w:bookmarkEnd w:id="27"/>
    </w:p>
    <w:p w14:paraId="7C548BCC" w14:textId="77777777" w:rsidR="009A2F7A" w:rsidRDefault="009A2F7A" w:rsidP="009A2F7A">
      <w:pPr>
        <w:spacing w:after="120"/>
        <w:ind w:firstLine="283"/>
        <w:jc w:val="both"/>
      </w:pPr>
      <w:r>
        <w:rPr>
          <w:sz w:val="28"/>
          <w:rtl/>
        </w:rPr>
        <w:t>تُجمِع الأدبيات على جملةٍ من الخصائص تميّز القائد التحويلي عن سواه. فهو أولًا صاحب رؤيةٍ واضحة يجيد صياغتها وإيصالها بلغةٍ تلامس وجدان أتباعه، فتتحوّل الأهداف المجردة إلى مشروعٍ جمعي يستحق البذل</w:t>
      </w:r>
      <w:r>
        <w:rPr>
          <w:rFonts w:cs="Times New Roman"/>
          <w:szCs w:val="24"/>
        </w:rPr>
        <w:t xml:space="preserve"> (Bass &amp; Riggio, 2006). </w:t>
      </w:r>
      <w:r>
        <w:rPr>
          <w:sz w:val="28"/>
          <w:rtl/>
        </w:rPr>
        <w:t>وهو ثانيًا قدوةٌ يتطابق قوله مع فعله، يقدّم مصلحة الجماعة على مصلحته ويشارك أتباعه المخاطر، فيكسب ثقتهم واحترامهم ويصير نموذجًا يُحتذى</w:t>
      </w:r>
      <w:r>
        <w:rPr>
          <w:rFonts w:cs="Times New Roman"/>
          <w:szCs w:val="24"/>
        </w:rPr>
        <w:t xml:space="preserve"> (Bass, 1985). </w:t>
      </w:r>
      <w:r>
        <w:rPr>
          <w:sz w:val="28"/>
          <w:rtl/>
        </w:rPr>
        <w:t>وهو ثالثًا محفّزٌ للعقول لا للسواعد وحدها؛ يشجّع مساءلة المسلّمات وإعادة النظر في طرائق العمل المألوفة، ويتقبّل اجتهادات مرؤوسيه وأخطاءهم بوصفها كلفة التعلّم</w:t>
      </w:r>
      <w:r>
        <w:rPr>
          <w:rFonts w:cs="Times New Roman"/>
          <w:szCs w:val="24"/>
        </w:rPr>
        <w:t xml:space="preserve"> </w:t>
      </w:r>
      <w:r>
        <w:rPr>
          <w:rFonts w:cs="Times New Roman"/>
          <w:szCs w:val="24"/>
        </w:rPr>
        <w:lastRenderedPageBreak/>
        <w:t xml:space="preserve">(Avolio &amp; Bass, 2004). </w:t>
      </w:r>
      <w:r>
        <w:rPr>
          <w:sz w:val="28"/>
          <w:rtl/>
        </w:rPr>
        <w:t>وهو رابعًا راعٍ لأتباعه فردًا فردًا؛ يعرف حاجات كلٍّ منهم وتطلّعاته، ويستثمر في تطويرهم بالتوجيه والتفويض المدروس</w:t>
      </w:r>
      <w:r>
        <w:rPr>
          <w:rFonts w:cs="Times New Roman"/>
          <w:szCs w:val="24"/>
        </w:rPr>
        <w:t xml:space="preserve"> (Northouse, 2022).</w:t>
      </w:r>
    </w:p>
    <w:p w14:paraId="5283F9C9" w14:textId="77777777" w:rsidR="009A2F7A" w:rsidRDefault="009A2F7A" w:rsidP="009A2F7A">
      <w:pPr>
        <w:spacing w:after="120"/>
        <w:ind w:firstLine="283"/>
        <w:jc w:val="both"/>
      </w:pPr>
      <w:r>
        <w:rPr>
          <w:sz w:val="28"/>
          <w:rtl/>
        </w:rPr>
        <w:t>وتزداد هذه الخصائص أهميةً في السياق الإداري التعليمي؛ فقائد الإدارة التعليمية يتعامل مع منسوبين يغلب على عملهم الطابع المعرفي والخدمي، ويقود مبادرات تطويرٍ تمسّ ممارساتٍ راسخة، فيصبح حضور الرؤية والقدوة والاستثارة والرعاية شرطًا لتحويل موظفيه من منفّذين متحفظين إلى شركاء فاعلين في التطوير</w:t>
      </w:r>
      <w:r>
        <w:rPr>
          <w:rFonts w:cs="Times New Roman"/>
          <w:szCs w:val="24"/>
        </w:rPr>
        <w:t xml:space="preserve"> (Leithwood &amp; Jantzi, 2006). </w:t>
      </w:r>
      <w:r>
        <w:rPr>
          <w:sz w:val="28"/>
          <w:rtl/>
        </w:rPr>
        <w:t>ويُلاحظ أنّ هذه الخصائص جميعًا مُدرَكةٌ قبل أن تكون ذاتية؛ فالعبرة ليست بما يعتقده القائد عن نفسه، بل بما يلمسه أتباعه من سلوكه اليومي، وهو ما يسوّغ منهجيًا أن تقيس الدراسة الحالية القيادة التحويلية من وجهة نظر الموظفين لا من تقارير القيادات عن أنفسها.</w:t>
      </w:r>
    </w:p>
    <w:p w14:paraId="2C126FF5" w14:textId="77777777" w:rsidR="009A2F7A" w:rsidRPr="00535B76" w:rsidRDefault="009A2F7A" w:rsidP="009A2F7A">
      <w:pPr>
        <w:spacing w:before="120" w:after="120"/>
        <w:outlineLvl w:val="2"/>
        <w:rPr>
          <w:sz w:val="32"/>
          <w:szCs w:val="32"/>
        </w:rPr>
      </w:pPr>
      <w:bookmarkStart w:id="28" w:name="_Toc234589620"/>
      <w:r>
        <w:rPr>
          <w:b/>
          <w:bCs/>
          <w:sz w:val="32"/>
          <w:szCs w:val="32"/>
          <w:rtl/>
        </w:rPr>
        <w:t>4- أبعاد القيادة التحويلية</w:t>
      </w:r>
      <w:bookmarkEnd w:id="28"/>
    </w:p>
    <w:p w14:paraId="5A5DDEF9" w14:textId="77777777" w:rsidR="009A2F7A" w:rsidRDefault="009A2F7A" w:rsidP="009A2F7A">
      <w:pPr>
        <w:spacing w:after="120"/>
        <w:ind w:firstLine="283"/>
        <w:jc w:val="both"/>
      </w:pPr>
      <w:r>
        <w:rPr>
          <w:sz w:val="28"/>
          <w:rtl/>
        </w:rPr>
        <w:t>استقرّت أبعاد القيادة التحويلية، منذ أعمال باس وتقنين مقياس القيادة متعدد العوامل، على أربعة أبعادٍ تُعرف اختصارًا بالعوامل الأربعة</w:t>
      </w:r>
      <w:r>
        <w:rPr>
          <w:rFonts w:cs="Times New Roman"/>
          <w:szCs w:val="24"/>
        </w:rPr>
        <w:t xml:space="preserve"> (Avolio &amp; Bass, 2004; Bass &amp; Riggio, 2006)</w:t>
      </w:r>
      <w:r>
        <w:rPr>
          <w:sz w:val="28"/>
          <w:rtl/>
        </w:rPr>
        <w:t>، وهي الأبعاد نفسها التي بُني عليها المتغير المستقل في نموذج الدراسة الحالية وأداتها. وبيانها فيما يأتي:</w:t>
      </w:r>
    </w:p>
    <w:p w14:paraId="5E3FCF8C" w14:textId="77777777" w:rsidR="009A2F7A" w:rsidRPr="00F92114" w:rsidRDefault="009A2F7A" w:rsidP="009A2F7A">
      <w:pPr>
        <w:spacing w:after="120"/>
        <w:ind w:firstLine="283"/>
        <w:jc w:val="both"/>
      </w:pPr>
      <w:r w:rsidRPr="00F92114">
        <w:rPr>
          <w:b/>
          <w:bCs/>
          <w:sz w:val="32"/>
          <w:szCs w:val="32"/>
          <w:rtl/>
        </w:rPr>
        <w:t>البُعد الأول التأثير المثالي</w:t>
      </w:r>
      <w:r>
        <w:rPr>
          <w:rFonts w:cs="Times New Roman"/>
          <w:b/>
          <w:bCs/>
          <w:szCs w:val="24"/>
        </w:rPr>
        <w:t xml:space="preserve"> (Idealized Influence) </w:t>
      </w:r>
      <w:r w:rsidRPr="00F92114">
        <w:rPr>
          <w:sz w:val="28"/>
          <w:rtl/>
        </w:rPr>
        <w:t>ويعني أن يكون القائد نموذجًا أخلاقيًا وسلوكيًا يتماهى معه الأتباع؛ فهو يُظهر معاييرَ عالية من النزاهة، ويقدّم مصالح الجماعة على مصلحته، ويتحمّل المخاطر مع مرؤوسيه، فيكسب إعجابهم وثقتهم واحترامهم حتى يرغبوا في محاكاته</w:t>
      </w:r>
      <w:r w:rsidRPr="00F92114">
        <w:rPr>
          <w:rFonts w:cs="Times New Roman"/>
          <w:szCs w:val="24"/>
        </w:rPr>
        <w:t xml:space="preserve"> (Bass &amp; Riggio, 2006). </w:t>
      </w:r>
      <w:r w:rsidRPr="00F92114">
        <w:rPr>
          <w:sz w:val="28"/>
          <w:rtl/>
        </w:rPr>
        <w:t>وهذا البُعد هو الرصيد الائتماني للقائد؛ فبه تُقبل رؤيته ويُصدَّق خطابه، وبدونه تفقد الأبعاد الأخرى فاعليتها.</w:t>
      </w:r>
    </w:p>
    <w:p w14:paraId="510A0693" w14:textId="77777777" w:rsidR="009A2F7A" w:rsidRDefault="009A2F7A" w:rsidP="009A2F7A">
      <w:pPr>
        <w:spacing w:after="120"/>
        <w:ind w:firstLine="283"/>
        <w:jc w:val="both"/>
      </w:pPr>
      <w:r>
        <w:rPr>
          <w:sz w:val="28"/>
          <w:rtl/>
        </w:rPr>
        <w:t>ويتجلى هذا البُعد في بيئة إدارة التعليم حين يرى الموظفون قائدهم أول الملتزمين بما يدعو إليه: يطبّق الأنظمة على نفسه قبلهم، ويتصدّر مواقع العبء في مواسم الذروة، ويصدُق في وعوده مهما صغرت؛ فتتحوّل توجيهاته من أوامر تُطاع إلى قناعاتٍ تُتبنّى.</w:t>
      </w:r>
    </w:p>
    <w:p w14:paraId="08AB11A5" w14:textId="77777777" w:rsidR="009A2F7A" w:rsidRDefault="009A2F7A" w:rsidP="009A2F7A">
      <w:pPr>
        <w:spacing w:after="120"/>
        <w:ind w:firstLine="283"/>
        <w:jc w:val="both"/>
      </w:pPr>
      <w:r w:rsidRPr="00F92114">
        <w:rPr>
          <w:b/>
          <w:bCs/>
          <w:sz w:val="32"/>
          <w:szCs w:val="32"/>
          <w:rtl/>
        </w:rPr>
        <w:t>البُعد الثاني الحفز الإلهامي</w:t>
      </w:r>
      <w:r>
        <w:rPr>
          <w:rFonts w:cs="Times New Roman"/>
          <w:b/>
          <w:bCs/>
          <w:szCs w:val="24"/>
        </w:rPr>
        <w:t xml:space="preserve"> (Inspirational Motivation) </w:t>
      </w:r>
      <w:r w:rsidRPr="00F92114">
        <w:rPr>
          <w:sz w:val="28"/>
          <w:rtl/>
        </w:rPr>
        <w:t>ويتمثّل في قدرة القائد على بثّ رؤيةٍ مستقبلية جاذبة، وصياغة توقعاتٍ عالية بلغةٍ واضحة متفائلة، وإضفاء المعنى على عمل الأتباع اليومي بربطه بتلك الرؤية</w:t>
      </w:r>
      <w:r w:rsidRPr="00F92114">
        <w:rPr>
          <w:rFonts w:cs="Times New Roman"/>
          <w:szCs w:val="24"/>
        </w:rPr>
        <w:t xml:space="preserve"> (Bass, 1985). </w:t>
      </w:r>
      <w:r w:rsidRPr="00F92114">
        <w:rPr>
          <w:sz w:val="28"/>
          <w:rtl/>
        </w:rPr>
        <w:t>وتفسّر النظرية الدافعية القائمة على مفهوم الذات آلية هذا البُعد؛ إذ يربط القائد الملهم العمل بهوية الأتباع الجمعية وقيمهم، فترتفع فاعليتهم الذاتية ويغدو انخراطهم في العمل تعبيرًا عن الذات</w:t>
      </w:r>
      <w:r w:rsidRPr="00F92114">
        <w:rPr>
          <w:rFonts w:cs="Times New Roman"/>
          <w:szCs w:val="24"/>
        </w:rPr>
        <w:t xml:space="preserve"> (Shamir et al., 1993).</w:t>
      </w:r>
      <w:r w:rsidRPr="00F92114">
        <w:rPr>
          <w:sz w:val="28"/>
          <w:rtl/>
        </w:rPr>
        <w:t xml:space="preserve">وترجمته العملية في الإدارات التعليمية أن يصل القائد أعمال التشغيل اليومية، من إجراءاتٍ وخدماتٍ وتقارير، بغايتها التربوية </w:t>
      </w:r>
      <w:r w:rsidRPr="00F92114">
        <w:rPr>
          <w:sz w:val="28"/>
          <w:rtl/>
        </w:rPr>
        <w:lastRenderedPageBreak/>
        <w:t>البعيدة: طالبٌ يتعلم، ومعلمٌ يُمكَّن، ومجتمعٌ يُبنى؛ فلا يعود الموظف يرى في عمله ورقًا يُنجَز، بل رسالةً تُؤدّى.</w:t>
      </w:r>
    </w:p>
    <w:p w14:paraId="25D08B0F" w14:textId="77777777" w:rsidR="009A2F7A" w:rsidRPr="00F92114" w:rsidRDefault="009A2F7A" w:rsidP="009A2F7A">
      <w:pPr>
        <w:spacing w:after="120"/>
        <w:ind w:firstLine="283"/>
        <w:jc w:val="both"/>
      </w:pPr>
      <w:r w:rsidRPr="00F92114">
        <w:rPr>
          <w:b/>
          <w:bCs/>
          <w:sz w:val="32"/>
          <w:szCs w:val="32"/>
          <w:rtl/>
        </w:rPr>
        <w:t>البُعد الثالث الاستثارة الفكرية</w:t>
      </w:r>
      <w:r>
        <w:rPr>
          <w:rFonts w:cs="Times New Roman"/>
          <w:b/>
          <w:bCs/>
          <w:szCs w:val="24"/>
        </w:rPr>
        <w:t xml:space="preserve"> (Intellectual Stimulation) </w:t>
      </w:r>
      <w:r w:rsidRPr="00F92114">
        <w:rPr>
          <w:sz w:val="28"/>
          <w:rtl/>
        </w:rPr>
        <w:t>ويعني تحفيز الأتباع على إعادة النظر في الافتراضات المسلَّم بها، ومقاربة المشكلات القديمة من زوايا جديدة، وتقديم الحلول المبتكرة دون خوفٍ من النقد العلني للأخطاء</w:t>
      </w:r>
      <w:r w:rsidRPr="00F92114">
        <w:rPr>
          <w:rFonts w:cs="Times New Roman"/>
          <w:szCs w:val="24"/>
        </w:rPr>
        <w:t xml:space="preserve"> (Avolio &amp; Bass, 2004). </w:t>
      </w:r>
      <w:r w:rsidRPr="00F92114">
        <w:rPr>
          <w:sz w:val="28"/>
          <w:rtl/>
        </w:rPr>
        <w:t>وهو المدخل المباشر لكسر الجمود المعرفي الذي يُعدّ أحد مكوّنات مقاومة التغيير؛ إذ يعوّد الأتباعَ على أنّ مساءلة المألوف سلوكٌ محمود لا مهدِّد.</w:t>
      </w:r>
    </w:p>
    <w:p w14:paraId="4C73870E" w14:textId="77777777" w:rsidR="009A2F7A" w:rsidRDefault="009A2F7A" w:rsidP="009A2F7A">
      <w:pPr>
        <w:spacing w:after="120"/>
        <w:ind w:firstLine="283"/>
        <w:jc w:val="both"/>
      </w:pPr>
      <w:r>
        <w:rPr>
          <w:sz w:val="28"/>
          <w:rtl/>
        </w:rPr>
        <w:t>ومن صوره التطبيقية: فتح باب المقترحات لتطوير الإجراءات، وإسناد ملفات التحسين إلى فرقٍ من الموظفين أنفسهم، ومناقشة الإخفاقات مناقشة تعلّمٍ لا مساءلةٍ شخصية؛ وكلها ممارساتٌ تبني عادة التفكير في التغيير قبل وقوعه.</w:t>
      </w:r>
    </w:p>
    <w:p w14:paraId="0710FE4E" w14:textId="77777777" w:rsidR="009A2F7A" w:rsidRPr="00F92114" w:rsidRDefault="009A2F7A" w:rsidP="009A2F7A">
      <w:pPr>
        <w:spacing w:after="120"/>
        <w:ind w:firstLine="283"/>
        <w:jc w:val="both"/>
      </w:pPr>
      <w:r w:rsidRPr="00F92114">
        <w:rPr>
          <w:b/>
          <w:bCs/>
          <w:sz w:val="32"/>
          <w:szCs w:val="32"/>
          <w:rtl/>
        </w:rPr>
        <w:t>البُعد الرابع الاعتبارية الفردية</w:t>
      </w:r>
      <w:r>
        <w:rPr>
          <w:rFonts w:cs="Times New Roman"/>
          <w:b/>
          <w:bCs/>
          <w:szCs w:val="24"/>
        </w:rPr>
        <w:t xml:space="preserve"> (Individualized Consideration) </w:t>
      </w:r>
      <w:r w:rsidRPr="00F92114">
        <w:rPr>
          <w:sz w:val="28"/>
          <w:rtl/>
        </w:rPr>
        <w:t>وتعني تعامل القائد مع كل تابعٍ بوصفه فردًا له حاجاته وقدراته وتطلّعاته الخاصة؛ فيصغي إليه، ويهيّئ له فرص النمو، ويفوّضه بما يناسب استعداده، ويتابعه متابعة الموجّه لا الرقيب</w:t>
      </w:r>
      <w:r w:rsidRPr="00F92114">
        <w:rPr>
          <w:rFonts w:cs="Times New Roman"/>
          <w:szCs w:val="24"/>
        </w:rPr>
        <w:t xml:space="preserve"> (Bass &amp; Riggio, 2006). </w:t>
      </w:r>
      <w:r w:rsidRPr="00F92114">
        <w:rPr>
          <w:sz w:val="28"/>
          <w:rtl/>
        </w:rPr>
        <w:t>وبهذا البُعد تُشبَع حاجات الفرد النفسية إلى الانتماء والكفاءة، وهي الحاجات التي تُنمّي، بحسب نظرية التقرير الذاتي، أجود صور الدافعية وأدومها</w:t>
      </w:r>
      <w:r w:rsidRPr="00F92114">
        <w:rPr>
          <w:rFonts w:cs="Times New Roman"/>
          <w:szCs w:val="24"/>
        </w:rPr>
        <w:t xml:space="preserve"> (Deci &amp; Ryan, 2000).</w:t>
      </w:r>
      <w:r w:rsidRPr="00F92114">
        <w:rPr>
          <w:sz w:val="28"/>
          <w:rtl/>
        </w:rPr>
        <w:t>وتظهر في الإدارات التعليمية في صورٍ عملية: كتنويع التكليفات بحسب نقاط القوة، وإتاحة فرص التطوير المهني باستهدافٍ فردي لا بالتعميم، وتخصيص وقتٍ للإصغاء لكل موظفٍ في شؤونه المهنية؛ وهي ممارساتٌ يقرؤها الموظف رسالةَ تقديرٍ شخصي يصعب أن تبلغها الحوافز المعمّمة.</w:t>
      </w:r>
    </w:p>
    <w:p w14:paraId="31F89E20" w14:textId="77777777" w:rsidR="009A2F7A" w:rsidRDefault="009A2F7A" w:rsidP="009A2F7A">
      <w:pPr>
        <w:spacing w:after="120"/>
        <w:ind w:firstLine="283"/>
        <w:jc w:val="both"/>
      </w:pPr>
      <w:r>
        <w:rPr>
          <w:sz w:val="28"/>
          <w:rtl/>
        </w:rPr>
        <w:t>ويوضّح الشكل (2-1) هذه الأبعاد الأربعة في بنائها الواحد:</w:t>
      </w:r>
    </w:p>
    <w:p w14:paraId="29D6F669" w14:textId="77777777" w:rsidR="009A2F7A" w:rsidRDefault="009A2F7A" w:rsidP="009A2F7A">
      <w:pPr>
        <w:spacing w:before="120" w:after="60"/>
        <w:jc w:val="center"/>
      </w:pPr>
      <w:r>
        <w:rPr>
          <w:noProof/>
        </w:rPr>
        <mc:AlternateContent>
          <mc:Choice Requires="wpg">
            <w:drawing>
              <wp:inline distT="0" distB="0" distL="0" distR="0" wp14:anchorId="567B973D" wp14:editId="5E65DFE4">
                <wp:extent cx="5472000" cy="2000000"/>
                <wp:effectExtent l="19050" t="0" r="27940" b="46990"/>
                <wp:docPr id="2" name="شكل 2-1: أبعاد القيادة التحويلية الأربعة"/>
                <wp:cNvGraphicFramePr/>
                <a:graphic xmlns:a="http://schemas.openxmlformats.org/drawingml/2006/main">
                  <a:graphicData uri="http://schemas.microsoft.com/office/word/2010/wordprocessingGroup">
                    <wpg:wgp>
                      <wpg:cNvGrpSpPr/>
                      <wpg:grpSpPr>
                        <a:xfrm>
                          <a:off x="0" y="0"/>
                          <a:ext cx="5472000" cy="2000000"/>
                          <a:chOff x="0" y="0"/>
                          <a:chExt cx="5472000" cy="2000000"/>
                        </a:xfrm>
                      </wpg:grpSpPr>
                      <wps:wsp>
                        <wps:cNvPr id="10" name="القيادة التحويلية"/>
                        <wps:cNvSpPr/>
                        <wps:spPr>
                          <a:xfrm>
                            <a:off x="1686000" y="0"/>
                            <a:ext cx="2100000" cy="560000"/>
                          </a:xfrm>
                          <a:prstGeom prst="roundRect">
                            <a:avLst>
                              <a:gd name="adj" fmla="val 16000"/>
                            </a:avLst>
                          </a:prstGeom>
                          <a:solidFill>
                            <a:srgbClr val="8FB8C9"/>
                          </a:solidFill>
                          <a:ln w="19050">
                            <a:solidFill>
                              <a:srgbClr val="7AA6B9"/>
                            </a:solidFill>
                          </a:ln>
                        </wps:spPr>
                        <wps:txbx>
                          <w:txbxContent>
                            <w:p w14:paraId="30E0ED61" w14:textId="77777777" w:rsidR="009A2F7A" w:rsidRDefault="009A2F7A" w:rsidP="009A2F7A">
                              <w:pPr>
                                <w:jc w:val="center"/>
                              </w:pPr>
                              <w:r>
                                <w:rPr>
                                  <w:rFonts w:ascii="Simplified Arabic" w:hAnsi="Simplified Arabic"/>
                                  <w:b/>
                                  <w:bCs/>
                                  <w:color w:val="304652"/>
                                  <w:sz w:val="28"/>
                                  <w:rtl/>
                                </w:rPr>
                                <w:t>القيادة التحويلية</w:t>
                              </w:r>
                            </w:p>
                          </w:txbxContent>
                        </wps:txbx>
                        <wps:bodyPr rot="0" spcFirstLastPara="0" vert="horz" wrap="square" lIns="36000" tIns="18000" rIns="36000" bIns="18000" anchor="ctr" anchorCtr="0">
                          <a:noAutofit/>
                        </wps:bodyPr>
                      </wps:wsp>
                      <wps:wsp>
                        <wps:cNvPr id="11" name="سهم 11"/>
                        <wps:cNvCnPr/>
                        <wps:spPr>
                          <a:xfrm flipH="1">
                            <a:off x="625000" y="560000"/>
                            <a:ext cx="2111000" cy="800000"/>
                          </a:xfrm>
                          <a:prstGeom prst="straightConnector1">
                            <a:avLst/>
                          </a:prstGeom>
                          <a:ln w="15875" cap="rnd">
                            <a:solidFill>
                              <a:srgbClr val="8FB8C9"/>
                            </a:solidFill>
                            <a:round/>
                            <a:tailEnd type="triangle" w="med" len="med"/>
                          </a:ln>
                        </wps:spPr>
                        <wps:bodyPr/>
                      </wps:wsp>
                      <wps:wsp>
                        <wps:cNvPr id="12" name="سهم 12"/>
                        <wps:cNvCnPr/>
                        <wps:spPr>
                          <a:xfrm flipH="1">
                            <a:off x="2032333" y="560000"/>
                            <a:ext cx="703667" cy="800000"/>
                          </a:xfrm>
                          <a:prstGeom prst="straightConnector1">
                            <a:avLst/>
                          </a:prstGeom>
                          <a:ln w="15875" cap="rnd">
                            <a:solidFill>
                              <a:srgbClr val="8FB8C9"/>
                            </a:solidFill>
                            <a:round/>
                            <a:tailEnd type="triangle" w="med" len="med"/>
                          </a:ln>
                        </wps:spPr>
                        <wps:bodyPr/>
                      </wps:wsp>
                      <wps:wsp>
                        <wps:cNvPr id="13" name="سهم 13"/>
                        <wps:cNvCnPr/>
                        <wps:spPr>
                          <a:xfrm>
                            <a:off x="2736000" y="560000"/>
                            <a:ext cx="703666" cy="800000"/>
                          </a:xfrm>
                          <a:prstGeom prst="straightConnector1">
                            <a:avLst/>
                          </a:prstGeom>
                          <a:ln w="15875" cap="rnd">
                            <a:solidFill>
                              <a:srgbClr val="8FB8C9"/>
                            </a:solidFill>
                            <a:round/>
                            <a:tailEnd type="triangle" w="med" len="med"/>
                          </a:ln>
                        </wps:spPr>
                        <wps:bodyPr/>
                      </wps:wsp>
                      <wps:wsp>
                        <wps:cNvPr id="14" name="سهم 14"/>
                        <wps:cNvCnPr/>
                        <wps:spPr>
                          <a:xfrm>
                            <a:off x="2736000" y="560000"/>
                            <a:ext cx="2110999" cy="800000"/>
                          </a:xfrm>
                          <a:prstGeom prst="straightConnector1">
                            <a:avLst/>
                          </a:prstGeom>
                          <a:ln w="15875" cap="rnd">
                            <a:solidFill>
                              <a:srgbClr val="8FB8C9"/>
                            </a:solidFill>
                            <a:round/>
                            <a:tailEnd type="triangle" w="med" len="med"/>
                          </a:ln>
                        </wps:spPr>
                        <wps:bodyPr/>
                      </wps:wsp>
                      <wps:wsp>
                        <wps:cNvPr id="15" name="الاعتبارية الفردية"/>
                        <wps:cNvSpPr/>
                        <wps:spPr>
                          <a:xfrm>
                            <a:off x="0" y="1360000"/>
                            <a:ext cx="1250000" cy="640000"/>
                          </a:xfrm>
                          <a:prstGeom prst="roundRect">
                            <a:avLst>
                              <a:gd name="adj" fmla="val 16000"/>
                            </a:avLst>
                          </a:prstGeom>
                          <a:solidFill>
                            <a:srgbClr val="D6EEDF"/>
                          </a:solidFill>
                          <a:ln w="12700">
                            <a:solidFill>
                              <a:srgbClr val="C3D2D9"/>
                            </a:solidFill>
                          </a:ln>
                        </wps:spPr>
                        <wps:txbx>
                          <w:txbxContent>
                            <w:p w14:paraId="455F49ED" w14:textId="77777777" w:rsidR="009A2F7A" w:rsidRDefault="009A2F7A" w:rsidP="009A2F7A">
                              <w:pPr>
                                <w:jc w:val="center"/>
                              </w:pPr>
                              <w:r>
                                <w:rPr>
                                  <w:rFonts w:ascii="Simplified Arabic" w:hAnsi="Simplified Arabic"/>
                                  <w:b/>
                                  <w:bCs/>
                                  <w:color w:val="304652"/>
                                  <w:sz w:val="28"/>
                                  <w:rtl/>
                                </w:rPr>
                                <w:t>الاعتبارية الفردية</w:t>
                              </w:r>
                            </w:p>
                          </w:txbxContent>
                        </wps:txbx>
                        <wps:bodyPr rot="0" spcFirstLastPara="0" vert="horz" wrap="square" lIns="36000" tIns="18000" rIns="36000" bIns="18000" anchor="ctr" anchorCtr="0">
                          <a:noAutofit/>
                        </wps:bodyPr>
                      </wps:wsp>
                      <wps:wsp>
                        <wps:cNvPr id="16" name="الاستثارة الفكرية"/>
                        <wps:cNvSpPr/>
                        <wps:spPr>
                          <a:xfrm>
                            <a:off x="1407333" y="1360000"/>
                            <a:ext cx="1250000" cy="640000"/>
                          </a:xfrm>
                          <a:prstGeom prst="roundRect">
                            <a:avLst>
                              <a:gd name="adj" fmla="val 16000"/>
                            </a:avLst>
                          </a:prstGeom>
                          <a:solidFill>
                            <a:srgbClr val="C7E8E4"/>
                          </a:solidFill>
                          <a:ln w="12700">
                            <a:solidFill>
                              <a:srgbClr val="C3D2D9"/>
                            </a:solidFill>
                          </a:ln>
                        </wps:spPr>
                        <wps:txbx>
                          <w:txbxContent>
                            <w:p w14:paraId="715A01F4" w14:textId="77777777" w:rsidR="009A2F7A" w:rsidRDefault="009A2F7A" w:rsidP="009A2F7A">
                              <w:pPr>
                                <w:jc w:val="center"/>
                              </w:pPr>
                              <w:r>
                                <w:rPr>
                                  <w:rFonts w:ascii="Simplified Arabic" w:hAnsi="Simplified Arabic"/>
                                  <w:b/>
                                  <w:bCs/>
                                  <w:color w:val="304652"/>
                                  <w:sz w:val="28"/>
                                  <w:rtl/>
                                </w:rPr>
                                <w:t>الاستثارة الفكرية</w:t>
                              </w:r>
                            </w:p>
                          </w:txbxContent>
                        </wps:txbx>
                        <wps:bodyPr rot="0" spcFirstLastPara="0" vert="horz" wrap="square" lIns="36000" tIns="18000" rIns="36000" bIns="18000" anchor="ctr" anchorCtr="0">
                          <a:noAutofit/>
                        </wps:bodyPr>
                      </wps:wsp>
                      <wps:wsp>
                        <wps:cNvPr id="17" name="الحفز الإلهامي"/>
                        <wps:cNvSpPr/>
                        <wps:spPr>
                          <a:xfrm>
                            <a:off x="2814666" y="1360000"/>
                            <a:ext cx="1250000" cy="640000"/>
                          </a:xfrm>
                          <a:prstGeom prst="roundRect">
                            <a:avLst>
                              <a:gd name="adj" fmla="val 16000"/>
                            </a:avLst>
                          </a:prstGeom>
                          <a:solidFill>
                            <a:srgbClr val="BDDDEB"/>
                          </a:solidFill>
                          <a:ln w="12700">
                            <a:solidFill>
                              <a:srgbClr val="C3D2D9"/>
                            </a:solidFill>
                          </a:ln>
                        </wps:spPr>
                        <wps:txbx>
                          <w:txbxContent>
                            <w:p w14:paraId="04953BA8" w14:textId="77777777" w:rsidR="009A2F7A" w:rsidRDefault="009A2F7A" w:rsidP="009A2F7A">
                              <w:pPr>
                                <w:jc w:val="center"/>
                              </w:pPr>
                              <w:r>
                                <w:rPr>
                                  <w:rFonts w:ascii="Simplified Arabic" w:hAnsi="Simplified Arabic"/>
                                  <w:b/>
                                  <w:bCs/>
                                  <w:color w:val="304652"/>
                                  <w:sz w:val="28"/>
                                  <w:rtl/>
                                </w:rPr>
                                <w:t>الحفز الإلهامي</w:t>
                              </w:r>
                            </w:p>
                          </w:txbxContent>
                        </wps:txbx>
                        <wps:bodyPr rot="0" spcFirstLastPara="0" vert="horz" wrap="square" lIns="36000" tIns="18000" rIns="36000" bIns="18000" anchor="ctr" anchorCtr="0">
                          <a:noAutofit/>
                        </wps:bodyPr>
                      </wps:wsp>
                      <wps:wsp>
                        <wps:cNvPr id="18" name="التأثير المثالي"/>
                        <wps:cNvSpPr/>
                        <wps:spPr>
                          <a:xfrm>
                            <a:off x="4221999" y="1360000"/>
                            <a:ext cx="1250000" cy="640000"/>
                          </a:xfrm>
                          <a:prstGeom prst="roundRect">
                            <a:avLst>
                              <a:gd name="adj" fmla="val 16000"/>
                            </a:avLst>
                          </a:prstGeom>
                          <a:solidFill>
                            <a:srgbClr val="CBD7EC"/>
                          </a:solidFill>
                          <a:ln w="12700">
                            <a:solidFill>
                              <a:srgbClr val="C3D2D9"/>
                            </a:solidFill>
                          </a:ln>
                        </wps:spPr>
                        <wps:txbx>
                          <w:txbxContent>
                            <w:p w14:paraId="623BDBA1" w14:textId="77777777" w:rsidR="009A2F7A" w:rsidRDefault="009A2F7A" w:rsidP="009A2F7A">
                              <w:pPr>
                                <w:jc w:val="center"/>
                              </w:pPr>
                              <w:r>
                                <w:rPr>
                                  <w:rFonts w:ascii="Simplified Arabic" w:hAnsi="Simplified Arabic"/>
                                  <w:b/>
                                  <w:bCs/>
                                  <w:color w:val="304652"/>
                                  <w:sz w:val="28"/>
                                  <w:rtl/>
                                </w:rPr>
                                <w:t>التأثير المثالي</w:t>
                              </w:r>
                            </w:p>
                          </w:txbxContent>
                        </wps:txbx>
                        <wps:bodyPr rot="0" spcFirstLastPara="0" vert="horz" wrap="square" lIns="36000" tIns="18000" rIns="36000" bIns="18000" anchor="ctr" anchorCtr="0">
                          <a:noAutofit/>
                        </wps:bodyPr>
                      </wps:wsp>
                    </wpg:wgp>
                  </a:graphicData>
                </a:graphic>
              </wp:inline>
            </w:drawing>
          </mc:Choice>
          <mc:Fallback>
            <w:pict>
              <v:group w14:anchorId="567B973D" id="شكل 2-1: أبعاد القيادة التحويلية الأربعة" o:spid="_x0000_s1037" style="width:430.85pt;height:157.5pt;mso-position-horizontal-relative:char;mso-position-vertical-relative:line" coordsize="5472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">
                <v:roundrect id="القيادة التحويلية" o:spid="_x0000_s1038" style="position:absolute;left:16860;width:21000;height:5600;visibility:visible;mso-wrap-style:square;v-text-anchor:middle" arcsize="1048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" fillcolor="#8fb8c9" strokecolor="#7aa6b9" strokeweight="1.5pt">
                  <v:textbox inset="1mm,.5mm,1mm,.5mm">
                    <w:txbxContent>
                      <w:p w14:paraId="30E0ED61" w14:textId="77777777" w:rsidR="009A2F7A" w:rsidRDefault="009A2F7A" w:rsidP="009A2F7A">
                        <w:pPr>
                          <w:jc w:val="center"/>
                        </w:pPr>
                        <w:r>
                          <w:rPr>
                            <w:rFonts w:ascii="Simplified Arabic" w:hAnsi="Simplified Arabic"/>
                            <w:b/>
                            <w:bCs/>
                            <w:color w:val="304652"/>
                            <w:sz w:val="28"/>
                            <w:rtl/>
                          </w:rPr>
                          <w:t>القيادة التحويلية</w:t>
                        </w:r>
                      </w:p>
                    </w:txbxContent>
                  </v:textbox>
                </v:roundrect>
                <v:shape id="سهم 11" o:spid="_x0000_s1039" type="#_x0000_t32" style="position:absolute;left:6250;top:5600;width:21110;height:80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" strokecolor="#8fb8c9" strokeweight="1.25pt">
                  <v:stroke endarrow="block" endcap="round"/>
                </v:shape>
                <v:shape id="سهم 12" o:spid="_x0000_s1040" type="#_x0000_t32" style="position:absolute;left:20323;top:5600;width:7037;height:80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" strokecolor="#8fb8c9" strokeweight="1.25pt">
                  <v:stroke endarrow="block" endcap="round"/>
                </v:shape>
                <v:shape id="سهم 13" o:spid="_x0000_s1041" type="#_x0000_t32" style="position:absolute;left:27360;top:5600;width:7036;height:8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" strokecolor="#8fb8c9" strokeweight="1.25pt">
                  <v:stroke endarrow="block" endcap="round"/>
                </v:shape>
                <v:shape id="سهم 14" o:spid="_x0000_s1042" type="#_x0000_t32" style="position:absolute;left:27360;top:5600;width:21109;height:8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" strokecolor="#8fb8c9" strokeweight="1.25pt">
                  <v:stroke endarrow="block" endcap="round"/>
                </v:shape>
                <v:roundrect id="الاعتبارية الفردية" o:spid="_x0000_s1043" style="position:absolute;top:13600;width:12500;height:6400;visibility:visible;mso-wrap-style:square;v-text-anchor:middle" arcsize="1048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" fillcolor="#d6eedf" strokecolor="#c3d2d9" strokeweight="1pt">
                  <v:textbox inset="1mm,.5mm,1mm,.5mm">
                    <w:txbxContent>
                      <w:p w14:paraId="455F49ED" w14:textId="77777777" w:rsidR="009A2F7A" w:rsidRDefault="009A2F7A" w:rsidP="009A2F7A">
                        <w:pPr>
                          <w:jc w:val="center"/>
                        </w:pPr>
                        <w:r>
                          <w:rPr>
                            <w:rFonts w:ascii="Simplified Arabic" w:hAnsi="Simplified Arabic"/>
                            <w:b/>
                            <w:bCs/>
                            <w:color w:val="304652"/>
                            <w:sz w:val="28"/>
                            <w:rtl/>
                          </w:rPr>
                          <w:t>الاعتبارية الفردية</w:t>
                        </w:r>
                      </w:p>
                    </w:txbxContent>
                  </v:textbox>
                </v:roundrect>
                <v:roundrect id="الاستثارة الفكرية" o:spid="_x0000_s1044" style="position:absolute;left:14073;top:13600;width:12500;height:6400;visibility:visible;mso-wrap-style:square;v-text-anchor:middle" arcsize="1048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" fillcolor="#c7e8e4" strokecolor="#c3d2d9" strokeweight="1pt">
                  <v:textbox inset="1mm,.5mm,1mm,.5mm">
                    <w:txbxContent>
                      <w:p w14:paraId="715A01F4" w14:textId="77777777" w:rsidR="009A2F7A" w:rsidRDefault="009A2F7A" w:rsidP="009A2F7A">
                        <w:pPr>
                          <w:jc w:val="center"/>
                        </w:pPr>
                        <w:r>
                          <w:rPr>
                            <w:rFonts w:ascii="Simplified Arabic" w:hAnsi="Simplified Arabic"/>
                            <w:b/>
                            <w:bCs/>
                            <w:color w:val="304652"/>
                            <w:sz w:val="28"/>
                            <w:rtl/>
                          </w:rPr>
                          <w:t>الاستثارة الفكرية</w:t>
                        </w:r>
                      </w:p>
                    </w:txbxContent>
                  </v:textbox>
                </v:roundrect>
                <v:roundrect id="الحفز الإلهامي" o:spid="_x0000_s1045" style="position:absolute;left:28146;top:13600;width:12500;height:6400;visibility:visible;mso-wrap-style:square;v-text-anchor:middle" arcsize="1048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" fillcolor="#bdddeb" strokecolor="#c3d2d9" strokeweight="1pt">
                  <v:textbox inset="1mm,.5mm,1mm,.5mm">
                    <w:txbxContent>
                      <w:p w14:paraId="04953BA8" w14:textId="77777777" w:rsidR="009A2F7A" w:rsidRDefault="009A2F7A" w:rsidP="009A2F7A">
                        <w:pPr>
                          <w:jc w:val="center"/>
                        </w:pPr>
                        <w:r>
                          <w:rPr>
                            <w:rFonts w:ascii="Simplified Arabic" w:hAnsi="Simplified Arabic"/>
                            <w:b/>
                            <w:bCs/>
                            <w:color w:val="304652"/>
                            <w:sz w:val="28"/>
                            <w:rtl/>
                          </w:rPr>
                          <w:t>الحفز الإلهامي</w:t>
                        </w:r>
                      </w:p>
                    </w:txbxContent>
                  </v:textbox>
                </v:roundrect>
                <v:roundrect id="التأثير المثالي" o:spid="_x0000_s1046" style="position:absolute;left:42219;top:13600;width:12500;height:6400;visibility:visible;mso-wrap-style:square;v-text-anchor:middle" arcsize="1048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" fillcolor="#cbd7ec" strokecolor="#c3d2d9" strokeweight="1pt">
                  <v:textbox inset="1mm,.5mm,1mm,.5mm">
                    <w:txbxContent>
                      <w:p w14:paraId="623BDBA1" w14:textId="77777777" w:rsidR="009A2F7A" w:rsidRDefault="009A2F7A" w:rsidP="009A2F7A">
                        <w:pPr>
                          <w:jc w:val="center"/>
                        </w:pPr>
                        <w:r>
                          <w:rPr>
                            <w:rFonts w:ascii="Simplified Arabic" w:hAnsi="Simplified Arabic"/>
                            <w:b/>
                            <w:bCs/>
                            <w:color w:val="304652"/>
                            <w:sz w:val="28"/>
                            <w:rtl/>
                          </w:rPr>
                          <w:t>التأثير المثالي</w:t>
                        </w:r>
                      </w:p>
                    </w:txbxContent>
                  </v:textbox>
                </v:roundrect>
                <w10:wrap anchorx="page"/>
                <w10:anchorlock/>
              </v:group>
            </w:pict>
          </mc:Fallback>
        </mc:AlternateContent>
      </w:r>
    </w:p>
    <w:p w14:paraId="36B7EA3E" w14:textId="77777777" w:rsidR="009A2F7A" w:rsidRDefault="009A2F7A" w:rsidP="009A2F7A">
      <w:pPr>
        <w:spacing w:before="60" w:after="60"/>
        <w:jc w:val="center"/>
      </w:pPr>
      <w:r>
        <w:rPr>
          <w:b/>
          <w:bCs/>
          <w:szCs w:val="24"/>
          <w:rtl/>
        </w:rPr>
        <w:t>شكل (2-1): أبعاد القيادة التحويلية الأربعة</w:t>
      </w:r>
    </w:p>
    <w:p w14:paraId="48A22D08" w14:textId="77777777" w:rsidR="009A2F7A" w:rsidRDefault="009A2F7A" w:rsidP="009A2F7A">
      <w:pPr>
        <w:spacing w:after="120"/>
        <w:jc w:val="center"/>
      </w:pPr>
      <w:r>
        <w:rPr>
          <w:sz w:val="22"/>
          <w:szCs w:val="22"/>
          <w:rtl/>
        </w:rPr>
        <w:t>المصدر: من إعداد الباحثة بالاستناد إلى</w:t>
      </w:r>
      <w:r>
        <w:rPr>
          <w:rFonts w:cs="Times New Roman"/>
          <w:sz w:val="22"/>
          <w:szCs w:val="22"/>
        </w:rPr>
        <w:t xml:space="preserve"> (Avolio &amp; Bass, 2004; Bass &amp; Riggio, 2006).</w:t>
      </w:r>
    </w:p>
    <w:p w14:paraId="10A663F3" w14:textId="77777777" w:rsidR="009A2F7A" w:rsidRDefault="009A2F7A" w:rsidP="009A2F7A">
      <w:pPr>
        <w:spacing w:after="120"/>
        <w:ind w:firstLine="283"/>
        <w:jc w:val="both"/>
      </w:pPr>
      <w:r>
        <w:rPr>
          <w:sz w:val="28"/>
          <w:rtl/>
        </w:rPr>
        <w:lastRenderedPageBreak/>
        <w:t>ويُلاحظ أنّ هذه الأبعاد ليست ممارساتٍ متفرقة، بل منظومة متكاملة يعزّز بعضها بعضًا؛ فالتأثير المثالي يمنح القائد صدقيته التي بها تُقبل رؤيته، والحفز الإلهامي يمنح العمل معناه الذي به يُستثار الجهد، والاستثارة الفكرية تفتح باب التجديد الذي به تُقتحم المشكلات، والاعتبارية الفردية تتعهّد كل فردٍ بما يناسب حاجته واستعداده. ويُلاحظ كذلك أنّ البُعدين الأولين يخاطبان الجانب الوجداني القيمي لدى الأتباع، فيما يخاطب الثالث جانبهم المعرفي وتخاطب الرابعة حاجاتهم الفردية؛ وبهذا التوزيع تغطي الأبعادُ الأربعة المداخلَ الثلاثة التي تتشكل منها اتجاهات العاملين ودوافعهم، وهو ما يفسّر نظريًا قدرة القيادة التحويلية على التأثير في متغيرين مختلفي الطبيعة كالدافعية ومقاومة التغيير في آنٍ واحد. وهي الأبعاد نفسها التي يقيسها المحور الأول من أداة الدراسة، بما يضمن الاتساق بين التأصيل النظري والقياس الميداني.</w:t>
      </w:r>
    </w:p>
    <w:p w14:paraId="5A552529" w14:textId="77777777" w:rsidR="009A2F7A" w:rsidRPr="00535B76" w:rsidRDefault="009A2F7A" w:rsidP="009A2F7A">
      <w:pPr>
        <w:spacing w:before="120" w:after="120"/>
        <w:outlineLvl w:val="2"/>
        <w:rPr>
          <w:sz w:val="32"/>
          <w:szCs w:val="32"/>
        </w:rPr>
      </w:pPr>
      <w:bookmarkStart w:id="29" w:name="_Toc234589621"/>
      <w:r>
        <w:rPr>
          <w:b/>
          <w:bCs/>
          <w:sz w:val="32"/>
          <w:szCs w:val="32"/>
          <w:rtl/>
        </w:rPr>
        <w:t>5- القيادة التحويلية في نموذج القيادة كامل المدى ومقارنتها بالتبادلية</w:t>
      </w:r>
      <w:bookmarkEnd w:id="29"/>
    </w:p>
    <w:p w14:paraId="0F7F8577" w14:textId="77777777" w:rsidR="009A2F7A" w:rsidRDefault="009A2F7A" w:rsidP="009A2F7A">
      <w:pPr>
        <w:spacing w:after="120"/>
        <w:ind w:firstLine="283"/>
        <w:jc w:val="both"/>
      </w:pPr>
      <w:r>
        <w:rPr>
          <w:sz w:val="28"/>
          <w:rtl/>
        </w:rPr>
        <w:t>لا تُفهم القيادة التحويلية في معزلٍ عن النموذج الأشمل الذي تنتظم فيه، وهو نموذج القيادة كامل المدى الذي طوّره باس وأفوليو. فالنموذج يرتّب سلوكيات القيادة على متصلٍ يمتد من القيادة المتساهلة (غياب القيادة)، مرورًا بالقيادة التبادلية بمستوياتها (الإدارة بالاستثناء ثم المكافأة المشروطة)، وانتهاءً بالقيادة التحويلية في قمة المتصل من حيث الفاعلية والنشاط</w:t>
      </w:r>
      <w:r>
        <w:rPr>
          <w:rFonts w:cs="Times New Roman"/>
          <w:szCs w:val="24"/>
        </w:rPr>
        <w:t xml:space="preserve"> (Avolio &amp; Bass, 2004). </w:t>
      </w:r>
      <w:r>
        <w:rPr>
          <w:sz w:val="28"/>
          <w:rtl/>
        </w:rPr>
        <w:t>ولا يعني ذلك إلغاء التبادلية؛ فالمكافأة المشروطة أساسٌ ضروري تُبنى عليه التحويلية فتضيف إليه ما يتجاوز حدود العقد، وهو ما يُعرف بأثر الإضافة</w:t>
      </w:r>
      <w:r>
        <w:rPr>
          <w:rFonts w:cs="Times New Roman"/>
          <w:szCs w:val="24"/>
        </w:rPr>
        <w:t xml:space="preserve"> (Bass, 1999). </w:t>
      </w:r>
      <w:r>
        <w:rPr>
          <w:sz w:val="28"/>
          <w:rtl/>
        </w:rPr>
        <w:t>ويبرز الجدول (2-2) أوجه المقارنة بين النمطين:</w:t>
      </w:r>
    </w:p>
    <w:p w14:paraId="2A2FEB77" w14:textId="77777777" w:rsidR="009A2F7A" w:rsidRDefault="009A2F7A" w:rsidP="009A2F7A">
      <w:pPr>
        <w:keepNext/>
        <w:spacing w:before="120" w:after="60"/>
        <w:jc w:val="center"/>
      </w:pPr>
      <w:r>
        <w:rPr>
          <w:b/>
          <w:bCs/>
          <w:szCs w:val="24"/>
          <w:rtl/>
        </w:rPr>
        <w:t>جدول (2-2): مقارنة بين القيادة التبادلية والقيادة التحويلية</w:t>
      </w:r>
    </w:p>
    <w:tbl>
      <w:tblPr>
        <w:bidiVisual/>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0" w:type="dxa"/>
          <w:right w:w="60" w:type="dxa"/>
        </w:tblCellMar>
        <w:tblLook w:val="04A0" w:firstRow="1" w:lastRow="0" w:firstColumn="1" w:lastColumn="0" w:noHBand="0" w:noVBand="1"/>
      </w:tblPr>
      <w:tblGrid>
        <w:gridCol w:w="2000"/>
        <w:gridCol w:w="3500"/>
        <w:gridCol w:w="3500"/>
      </w:tblGrid>
      <w:tr w:rsidR="009A2F7A" w14:paraId="7E0440EA" w14:textId="77777777" w:rsidTr="00F206C8">
        <w:trPr>
          <w:cantSplit/>
          <w:trHeight w:val="500"/>
          <w:tblHeader/>
          <w:jc w:val="center"/>
        </w:trPr>
        <w:tc>
          <w:tcPr>
            <w:tcW w:w="2000" w:type="dxa"/>
            <w:tcBorders>
              <w:top w:val="single" w:sz="4" w:space="0" w:color="A7C9B9"/>
              <w:left w:val="single" w:sz="4" w:space="0" w:color="A7C9B9"/>
              <w:bottom w:val="single" w:sz="4" w:space="0" w:color="A7C9B9"/>
              <w:right w:val="single" w:sz="4" w:space="0" w:color="A7C9B9"/>
            </w:tcBorders>
            <w:shd w:val="clear" w:color="auto" w:fill="D9EADF"/>
            <w:tcMar>
              <w:left w:w="60" w:type="dxa"/>
              <w:right w:w="60" w:type="dxa"/>
            </w:tcMar>
            <w:vAlign w:val="center"/>
          </w:tcPr>
          <w:p w14:paraId="0B6907C7" w14:textId="77777777" w:rsidR="009A2F7A" w:rsidRDefault="009A2F7A" w:rsidP="00F206C8">
            <w:pPr>
              <w:spacing w:before="40" w:after="40"/>
              <w:jc w:val="center"/>
            </w:pPr>
            <w:r>
              <w:rPr>
                <w:b/>
                <w:bCs/>
                <w:szCs w:val="24"/>
                <w:rtl/>
              </w:rPr>
              <w:t>وجه المقارنة</w:t>
            </w:r>
          </w:p>
        </w:tc>
        <w:tc>
          <w:tcPr>
            <w:tcW w:w="3500" w:type="dxa"/>
            <w:tcBorders>
              <w:top w:val="single" w:sz="4" w:space="0" w:color="A7C9B9"/>
              <w:left w:val="single" w:sz="4" w:space="0" w:color="A7C9B9"/>
              <w:bottom w:val="single" w:sz="4" w:space="0" w:color="A7C9B9"/>
              <w:right w:val="single" w:sz="4" w:space="0" w:color="A7C9B9"/>
            </w:tcBorders>
            <w:shd w:val="clear" w:color="auto" w:fill="D9EADF"/>
            <w:tcMar>
              <w:left w:w="60" w:type="dxa"/>
              <w:right w:w="60" w:type="dxa"/>
            </w:tcMar>
            <w:vAlign w:val="center"/>
          </w:tcPr>
          <w:p w14:paraId="575C2513" w14:textId="77777777" w:rsidR="009A2F7A" w:rsidRDefault="009A2F7A" w:rsidP="00F206C8">
            <w:pPr>
              <w:spacing w:before="40" w:after="40"/>
              <w:jc w:val="center"/>
            </w:pPr>
            <w:r>
              <w:rPr>
                <w:b/>
                <w:bCs/>
                <w:szCs w:val="24"/>
                <w:rtl/>
              </w:rPr>
              <w:t>القيادة التبادلية</w:t>
            </w:r>
          </w:p>
        </w:tc>
        <w:tc>
          <w:tcPr>
            <w:tcW w:w="3500" w:type="dxa"/>
            <w:tcBorders>
              <w:top w:val="single" w:sz="4" w:space="0" w:color="A7C9B9"/>
              <w:left w:val="single" w:sz="4" w:space="0" w:color="A7C9B9"/>
              <w:bottom w:val="single" w:sz="4" w:space="0" w:color="A7C9B9"/>
              <w:right w:val="single" w:sz="4" w:space="0" w:color="A7C9B9"/>
            </w:tcBorders>
            <w:shd w:val="clear" w:color="auto" w:fill="D9EADF"/>
            <w:tcMar>
              <w:left w:w="60" w:type="dxa"/>
              <w:right w:w="60" w:type="dxa"/>
            </w:tcMar>
            <w:vAlign w:val="center"/>
          </w:tcPr>
          <w:p w14:paraId="05072432" w14:textId="77777777" w:rsidR="009A2F7A" w:rsidRDefault="009A2F7A" w:rsidP="00F206C8">
            <w:pPr>
              <w:spacing w:before="40" w:after="40"/>
              <w:jc w:val="center"/>
            </w:pPr>
            <w:r>
              <w:rPr>
                <w:b/>
                <w:bCs/>
                <w:szCs w:val="24"/>
                <w:rtl/>
              </w:rPr>
              <w:t>القيادة التحويلية</w:t>
            </w:r>
          </w:p>
        </w:tc>
      </w:tr>
      <w:tr w:rsidR="009A2F7A" w14:paraId="6D078F61" w14:textId="77777777" w:rsidTr="00F206C8">
        <w:trPr>
          <w:cantSplit/>
          <w:trHeight w:val="450"/>
          <w:jc w:val="center"/>
        </w:trPr>
        <w:tc>
          <w:tcPr>
            <w:tcW w:w="20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043B5E67" w14:textId="77777777" w:rsidR="009A2F7A" w:rsidRDefault="009A2F7A" w:rsidP="00F206C8">
            <w:pPr>
              <w:spacing w:before="40" w:after="40"/>
              <w:jc w:val="center"/>
            </w:pPr>
            <w:r>
              <w:rPr>
                <w:szCs w:val="24"/>
                <w:rtl/>
              </w:rPr>
              <w:t>أساس العلاقة</w:t>
            </w:r>
          </w:p>
        </w:tc>
        <w:tc>
          <w:tcPr>
            <w:tcW w:w="35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74A13F9A" w14:textId="77777777" w:rsidR="009A2F7A" w:rsidRDefault="009A2F7A" w:rsidP="00F206C8">
            <w:pPr>
              <w:spacing w:before="40" w:after="40"/>
              <w:jc w:val="center"/>
            </w:pPr>
            <w:r>
              <w:rPr>
                <w:szCs w:val="24"/>
                <w:rtl/>
              </w:rPr>
              <w:t>مقايضة الجهد بالعائد ضمن حدود العقد.</w:t>
            </w:r>
          </w:p>
        </w:tc>
        <w:tc>
          <w:tcPr>
            <w:tcW w:w="35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6911DAE6" w14:textId="77777777" w:rsidR="009A2F7A" w:rsidRDefault="009A2F7A" w:rsidP="00F206C8">
            <w:pPr>
              <w:spacing w:before="40" w:after="40"/>
              <w:jc w:val="center"/>
            </w:pPr>
            <w:r>
              <w:rPr>
                <w:szCs w:val="24"/>
                <w:rtl/>
              </w:rPr>
              <w:t>ارتقاءٌ متبادل بالدوافع والقيم يتجاوز حدود العقد.</w:t>
            </w:r>
          </w:p>
        </w:tc>
      </w:tr>
      <w:tr w:rsidR="009A2F7A" w14:paraId="4187A5FA" w14:textId="77777777" w:rsidTr="00F206C8">
        <w:trPr>
          <w:cantSplit/>
          <w:trHeight w:val="450"/>
          <w:jc w:val="center"/>
        </w:trPr>
        <w:tc>
          <w:tcPr>
            <w:tcW w:w="20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561476AC" w14:textId="77777777" w:rsidR="009A2F7A" w:rsidRDefault="009A2F7A" w:rsidP="00F206C8">
            <w:pPr>
              <w:spacing w:before="40" w:after="40"/>
              <w:jc w:val="center"/>
            </w:pPr>
            <w:r>
              <w:rPr>
                <w:szCs w:val="24"/>
                <w:rtl/>
              </w:rPr>
              <w:t>مصدر الدافعية</w:t>
            </w:r>
          </w:p>
        </w:tc>
        <w:tc>
          <w:tcPr>
            <w:tcW w:w="35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6A1976D4" w14:textId="77777777" w:rsidR="009A2F7A" w:rsidRDefault="009A2F7A" w:rsidP="00F206C8">
            <w:pPr>
              <w:spacing w:before="40" w:after="40"/>
              <w:jc w:val="center"/>
            </w:pPr>
            <w:r>
              <w:rPr>
                <w:szCs w:val="24"/>
                <w:rtl/>
              </w:rPr>
              <w:t>الحوافز الخارجية والمكافأة المشروطة.</w:t>
            </w:r>
          </w:p>
        </w:tc>
        <w:tc>
          <w:tcPr>
            <w:tcW w:w="35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6DF094C1" w14:textId="77777777" w:rsidR="009A2F7A" w:rsidRDefault="009A2F7A" w:rsidP="00F206C8">
            <w:pPr>
              <w:spacing w:before="40" w:after="40"/>
              <w:jc w:val="center"/>
            </w:pPr>
            <w:r>
              <w:rPr>
                <w:szCs w:val="24"/>
                <w:rtl/>
              </w:rPr>
              <w:t>المعنى والرؤية والهوية الجمعية والحاجات العليا.</w:t>
            </w:r>
          </w:p>
        </w:tc>
      </w:tr>
      <w:tr w:rsidR="009A2F7A" w14:paraId="73440F1B" w14:textId="77777777" w:rsidTr="00F206C8">
        <w:trPr>
          <w:cantSplit/>
          <w:trHeight w:val="450"/>
          <w:jc w:val="center"/>
        </w:trPr>
        <w:tc>
          <w:tcPr>
            <w:tcW w:w="20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0BF73706" w14:textId="77777777" w:rsidR="009A2F7A" w:rsidRDefault="009A2F7A" w:rsidP="00F206C8">
            <w:pPr>
              <w:spacing w:before="40" w:after="40"/>
              <w:jc w:val="center"/>
            </w:pPr>
            <w:r>
              <w:rPr>
                <w:szCs w:val="24"/>
                <w:rtl/>
              </w:rPr>
              <w:t>التعامل مع التغيير</w:t>
            </w:r>
          </w:p>
        </w:tc>
        <w:tc>
          <w:tcPr>
            <w:tcW w:w="35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2606946F" w14:textId="77777777" w:rsidR="009A2F7A" w:rsidRDefault="009A2F7A" w:rsidP="00F206C8">
            <w:pPr>
              <w:spacing w:before="40" w:after="40"/>
              <w:jc w:val="center"/>
            </w:pPr>
            <w:r>
              <w:rPr>
                <w:szCs w:val="24"/>
                <w:rtl/>
              </w:rPr>
              <w:t>المحافظة على الوضع القائم وضبط الانحرافات.</w:t>
            </w:r>
          </w:p>
        </w:tc>
        <w:tc>
          <w:tcPr>
            <w:tcW w:w="35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65792317" w14:textId="77777777" w:rsidR="009A2F7A" w:rsidRDefault="009A2F7A" w:rsidP="00F206C8">
            <w:pPr>
              <w:spacing w:before="40" w:after="40"/>
              <w:jc w:val="center"/>
            </w:pPr>
            <w:r>
              <w:rPr>
                <w:szCs w:val="24"/>
                <w:rtl/>
              </w:rPr>
              <w:t>استثارة التجديد ومساءلة المألوف وقيادة التحوّل.</w:t>
            </w:r>
          </w:p>
        </w:tc>
      </w:tr>
      <w:tr w:rsidR="009A2F7A" w14:paraId="53903614" w14:textId="77777777" w:rsidTr="00F206C8">
        <w:trPr>
          <w:cantSplit/>
          <w:trHeight w:val="450"/>
          <w:jc w:val="center"/>
        </w:trPr>
        <w:tc>
          <w:tcPr>
            <w:tcW w:w="20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15047247" w14:textId="77777777" w:rsidR="009A2F7A" w:rsidRDefault="009A2F7A" w:rsidP="00F206C8">
            <w:pPr>
              <w:spacing w:before="40" w:after="40"/>
              <w:jc w:val="center"/>
            </w:pPr>
            <w:r>
              <w:rPr>
                <w:szCs w:val="24"/>
                <w:rtl/>
              </w:rPr>
              <w:t>علاقة القائد بالأتباع</w:t>
            </w:r>
          </w:p>
        </w:tc>
        <w:tc>
          <w:tcPr>
            <w:tcW w:w="35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66A0BDD2" w14:textId="77777777" w:rsidR="009A2F7A" w:rsidRDefault="009A2F7A" w:rsidP="00F206C8">
            <w:pPr>
              <w:spacing w:before="40" w:after="40"/>
              <w:jc w:val="center"/>
            </w:pPr>
            <w:r>
              <w:rPr>
                <w:szCs w:val="24"/>
                <w:rtl/>
              </w:rPr>
              <w:t>علاقة مشرفٍ بمنفّذين تحكمها المعايير.</w:t>
            </w:r>
          </w:p>
        </w:tc>
        <w:tc>
          <w:tcPr>
            <w:tcW w:w="35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3F9F0BB0" w14:textId="77777777" w:rsidR="009A2F7A" w:rsidRDefault="009A2F7A" w:rsidP="00F206C8">
            <w:pPr>
              <w:spacing w:before="40" w:after="40"/>
              <w:jc w:val="center"/>
            </w:pPr>
            <w:r>
              <w:rPr>
                <w:szCs w:val="24"/>
                <w:rtl/>
              </w:rPr>
              <w:t>علاقة قدوةٍ وراعٍ بشركاء يتطوّرون ليصبحوا قادة.</w:t>
            </w:r>
          </w:p>
        </w:tc>
      </w:tr>
      <w:tr w:rsidR="009A2F7A" w14:paraId="15AC70E2" w14:textId="77777777" w:rsidTr="00F206C8">
        <w:trPr>
          <w:cantSplit/>
          <w:trHeight w:val="450"/>
          <w:jc w:val="center"/>
        </w:trPr>
        <w:tc>
          <w:tcPr>
            <w:tcW w:w="20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5E77809E" w14:textId="77777777" w:rsidR="009A2F7A" w:rsidRDefault="009A2F7A" w:rsidP="00F206C8">
            <w:pPr>
              <w:spacing w:before="40" w:after="40"/>
              <w:jc w:val="center"/>
            </w:pPr>
            <w:r>
              <w:rPr>
                <w:szCs w:val="24"/>
                <w:rtl/>
              </w:rPr>
              <w:t>المخرج المتوقع</w:t>
            </w:r>
          </w:p>
        </w:tc>
        <w:tc>
          <w:tcPr>
            <w:tcW w:w="35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298E280F" w14:textId="77777777" w:rsidR="009A2F7A" w:rsidRDefault="009A2F7A" w:rsidP="00F206C8">
            <w:pPr>
              <w:spacing w:before="40" w:after="40"/>
              <w:jc w:val="center"/>
            </w:pPr>
            <w:r>
              <w:rPr>
                <w:szCs w:val="24"/>
                <w:rtl/>
              </w:rPr>
              <w:t>أداءٌ في حدود المتفق عليه.</w:t>
            </w:r>
          </w:p>
        </w:tc>
        <w:tc>
          <w:tcPr>
            <w:tcW w:w="35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4DA38830" w14:textId="77777777" w:rsidR="009A2F7A" w:rsidRDefault="009A2F7A" w:rsidP="00F206C8">
            <w:pPr>
              <w:spacing w:before="40" w:after="40"/>
              <w:jc w:val="center"/>
            </w:pPr>
            <w:r>
              <w:rPr>
                <w:szCs w:val="24"/>
                <w:rtl/>
              </w:rPr>
              <w:t>أداءٌ يتجاوز التوقعات والتزامٌ ذاتي بالغايات.</w:t>
            </w:r>
          </w:p>
        </w:tc>
      </w:tr>
    </w:tbl>
    <w:p w14:paraId="1373409B" w14:textId="77777777" w:rsidR="009A2F7A" w:rsidRDefault="009A2F7A" w:rsidP="009A2F7A">
      <w:pPr>
        <w:spacing w:after="120"/>
        <w:jc w:val="center"/>
      </w:pPr>
      <w:r>
        <w:rPr>
          <w:sz w:val="22"/>
          <w:szCs w:val="22"/>
          <w:rtl/>
        </w:rPr>
        <w:t>المصدر: من إعداد الباحثة بالاستناد إلى</w:t>
      </w:r>
      <w:r>
        <w:rPr>
          <w:rFonts w:cs="Times New Roman"/>
          <w:sz w:val="22"/>
          <w:szCs w:val="22"/>
        </w:rPr>
        <w:t xml:space="preserve"> (Burns, 1978; Bass, 1999; Bass &amp; Riggio, 2006).</w:t>
      </w:r>
    </w:p>
    <w:p w14:paraId="47823E1E" w14:textId="77777777" w:rsidR="009A2F7A" w:rsidRDefault="009A2F7A" w:rsidP="009A2F7A">
      <w:pPr>
        <w:spacing w:after="120"/>
        <w:ind w:firstLine="283"/>
        <w:jc w:val="both"/>
      </w:pPr>
      <w:r>
        <w:rPr>
          <w:sz w:val="28"/>
          <w:rtl/>
        </w:rPr>
        <w:lastRenderedPageBreak/>
        <w:t>وتكمن دلالة هذه المقارنة للدراسة الحالية في أنّ ميدانها، إدارة التعليم بمنطقة عسير، بيئةٌ حكومية تضيق فيها أدوات المقايضة المادية نسبيًا؛ فإذا صحّ أنّ التبادلية وحدها لا تكفي في مثل هذه البيئات، غدا السؤال عن مدى ممارسة القيادات للسلوك التحويلي، وعن أثره في دافعية الموظفين ومواقفهم من التغيير، سؤالًا جوهريًا لا هامشيًا.</w:t>
      </w:r>
    </w:p>
    <w:p w14:paraId="6A95ED7F" w14:textId="77777777" w:rsidR="009A2F7A" w:rsidRDefault="009A2F7A" w:rsidP="009A2F7A">
      <w:pPr>
        <w:spacing w:after="120"/>
        <w:ind w:firstLine="283"/>
        <w:jc w:val="both"/>
      </w:pPr>
      <w:r>
        <w:rPr>
          <w:sz w:val="28"/>
          <w:rtl/>
        </w:rPr>
        <w:t>ويستحق موقع المكافأة المشروطة في هذا النموذج وقفةً؛ فقد أظهرت التحليلات البعدية أنها أقرب مكوّنات التبادلية أثرًا إلى التحويلية وأكثرها اتساقًا مع مخرجاتها</w:t>
      </w:r>
      <w:r>
        <w:rPr>
          <w:rFonts w:cs="Times New Roman"/>
          <w:szCs w:val="24"/>
        </w:rPr>
        <w:t xml:space="preserve"> (Judge &amp; Piccolo, 2004)</w:t>
      </w:r>
      <w:r>
        <w:rPr>
          <w:sz w:val="28"/>
          <w:rtl/>
        </w:rPr>
        <w:t>، بما يعني أنّ القائد الفاعل لا يهجر الوضوح التعاقدي في التكليف والعائد، بل يبني عليه ثم يتجاوزه. أمّا الإدارة بالاستثناء، ولا سيما في صورتها السلبية التي لا يتدخل فيها القائد إلا بعد وقوع الخلل، فتقترب في آثارها من غياب القيادة؛ وهي خلاصةٌ ذات دلالة لقيادات الإدارات التعليمية التي قد تختزل دورها في الرقابة اللاحقة وتصحيح الانحرافات.</w:t>
      </w:r>
    </w:p>
    <w:p w14:paraId="14C510DC" w14:textId="77777777" w:rsidR="009A2F7A" w:rsidRPr="00535B76" w:rsidRDefault="009A2F7A" w:rsidP="009A2F7A">
      <w:pPr>
        <w:spacing w:before="120" w:after="120"/>
        <w:outlineLvl w:val="2"/>
        <w:rPr>
          <w:sz w:val="32"/>
          <w:szCs w:val="32"/>
        </w:rPr>
      </w:pPr>
      <w:bookmarkStart w:id="30" w:name="_Toc234589622"/>
      <w:r>
        <w:rPr>
          <w:b/>
          <w:bCs/>
          <w:sz w:val="32"/>
          <w:szCs w:val="32"/>
          <w:rtl/>
        </w:rPr>
        <w:t>6- القيادة التحويلية في المؤسسات التعليمية والسياق السعودي</w:t>
      </w:r>
      <w:bookmarkEnd w:id="30"/>
    </w:p>
    <w:p w14:paraId="672474BA" w14:textId="77777777" w:rsidR="009A2F7A" w:rsidRDefault="009A2F7A" w:rsidP="009A2F7A">
      <w:pPr>
        <w:spacing w:after="120"/>
        <w:ind w:firstLine="283"/>
        <w:jc w:val="both"/>
      </w:pPr>
      <w:r>
        <w:rPr>
          <w:sz w:val="28"/>
          <w:rtl/>
        </w:rPr>
        <w:t>اكتسبت القيادة التحويلية في الحقل التربوي مكانةً خاصة منذ نُقلت أطرها إلى المؤسسات التعليمية. فقد بيّنت مراجعات هذا الحقل أنها من أنسب المداخل لقيادة الإصلاحات التعليمية واسعة النطاق؛ لأنّ نجاح هذه الإصلاحات لا يتقرر بجودة تصميمها المركزي بقدر ما يتقرر بما يبنيه القادة الميدانيون من التزامٍ جمعي بها، وقدراتٍ على تنفيذها، وظروفٍ منظمية حاضنة لها</w:t>
      </w:r>
      <w:r>
        <w:rPr>
          <w:rFonts w:cs="Times New Roman"/>
          <w:szCs w:val="24"/>
        </w:rPr>
        <w:t xml:space="preserve"> (Leithwood &amp; Jantzi, 2006). </w:t>
      </w:r>
      <w:r>
        <w:rPr>
          <w:sz w:val="28"/>
          <w:rtl/>
        </w:rPr>
        <w:t>فالإصلاح التعليمي يمرّ بالضرورة عبر ممارسات آلاف الموظفين والمعلمين، ولا سبيل إلى ضبط هذه الممارسات بالتعليمات وحدها؛ ومن هنا يصير القائد التحويلي، الذي يحوّل الإصلاح من تكليفٍ إلى قناعة، حلقة الوصل الحاسمة بين السياسة والتطبيق.</w:t>
      </w:r>
    </w:p>
    <w:p w14:paraId="7C9EF53C" w14:textId="77777777" w:rsidR="009A2F7A" w:rsidRDefault="009A2F7A" w:rsidP="009A2F7A">
      <w:pPr>
        <w:spacing w:after="120"/>
        <w:ind w:firstLine="283"/>
        <w:jc w:val="both"/>
      </w:pPr>
      <w:r>
        <w:rPr>
          <w:sz w:val="28"/>
          <w:rtl/>
        </w:rPr>
        <w:t>وفي السياق السعودي، تتقاطع هذه الخلاصة مع لحظةٍ وطنية فارقة. فقد جعلت رؤية المملكة 2030 من تطوير التعليم وبناء الإنسان ركيزةً لتحوّلها، وأخضعت قطاع التعليم لبرامج تطويرٍ متعاقبة شملت الهياكل والأنظمة والممارسات (رؤية المملكة العربية السعودية 2030، 2016). وإدارات التعليم في المناطق هي الوسيط التنفيذي لهذه البرامج؛ فقياداتها تقف بين مستهدفات الوزارة المركزية وواقع الميدان، ومنسوبوها هم من يترجم مبادرات التطوير إلى إجراءاتٍ يومية. وقد بدأت الدراسات المحلية ترصد حضور القيادة التحويلية وأثرها في هذه البيئة، فأثبتت أثرها الدال في الإبداع الإداري لدى منسوبي ديوان وزارة التعليم (القحطاني وآخرون، 2023)؛ غير أنّ امتداد هذا الرصد إلى إدارات التعليم في المناطق، ولا سيما في متغيراتٍ سلوكية حاسمة كالدافعية ومقاومة التغيير، ما يزال محدودًا؛ وهو الموضع الذي تنهض فيه الدراسة الحالية بإسهامها الميداني في إدارة التعليم بمنطقة عسير.</w:t>
      </w:r>
    </w:p>
    <w:p w14:paraId="7932EDB0" w14:textId="77777777" w:rsidR="009A2F7A" w:rsidRPr="00535B76" w:rsidRDefault="009A2F7A" w:rsidP="009A2F7A">
      <w:pPr>
        <w:spacing w:before="120" w:after="120"/>
        <w:outlineLvl w:val="2"/>
        <w:rPr>
          <w:sz w:val="32"/>
          <w:szCs w:val="32"/>
        </w:rPr>
      </w:pPr>
      <w:bookmarkStart w:id="31" w:name="_Toc234589623"/>
      <w:r>
        <w:rPr>
          <w:b/>
          <w:bCs/>
          <w:sz w:val="32"/>
          <w:szCs w:val="32"/>
          <w:rtl/>
        </w:rPr>
        <w:lastRenderedPageBreak/>
        <w:t>7- معوقات ممارسة القيادة التحويلية وسبل تعزيزها</w:t>
      </w:r>
      <w:bookmarkEnd w:id="31"/>
    </w:p>
    <w:p w14:paraId="31D5728C" w14:textId="77777777" w:rsidR="009A2F7A" w:rsidRDefault="009A2F7A" w:rsidP="009A2F7A">
      <w:pPr>
        <w:spacing w:after="120"/>
        <w:ind w:firstLine="283"/>
        <w:jc w:val="both"/>
      </w:pPr>
      <w:r>
        <w:rPr>
          <w:sz w:val="28"/>
          <w:rtl/>
        </w:rPr>
        <w:t>على وجاهة النموذج التحويلي، تعترض ممارسته في الواقع الإداري جملةُ معوقات. فمنها ما يتصل بالبنية التنظيمية؛ إذ تميل البيروقراطيات الحكومية إلى المركزية وتوحيد الإجراءات، فتضيق مساحة الاجتهاد التي تحتاجها الاستثارة الفكرية، ويثقل عبء الأعمال اليومية عن التفرّغ للرعاية الفردية. ومنها ما يتصل بالقائد نفسه؛ من قصورٍ في مهارات صياغة الرؤية وإيصالها، أو خلطٍ بين الكاريزما الشخصية والتأثير المثالي القائم على القدوة الأخلاقية</w:t>
      </w:r>
      <w:r>
        <w:rPr>
          <w:rFonts w:cs="Times New Roman"/>
          <w:szCs w:val="24"/>
        </w:rPr>
        <w:t xml:space="preserve"> (Bass &amp; Riggio, 2006). </w:t>
      </w:r>
      <w:r>
        <w:rPr>
          <w:sz w:val="28"/>
          <w:rtl/>
        </w:rPr>
        <w:t>ومنها ما يتصل بالثقافة التنظيمية؛ فحين تُعلي ثقافةُ المنظمة قيمة الامتثال على قيمة المبادرة، يُقرأ تشجيعُ مساءلة المألوف خروجًا على النظام لا سلوكًا قياديًا محمودًا</w:t>
      </w:r>
      <w:r>
        <w:rPr>
          <w:rFonts w:cs="Times New Roman"/>
          <w:szCs w:val="24"/>
        </w:rPr>
        <w:t xml:space="preserve"> (Northouse, 2022).</w:t>
      </w:r>
    </w:p>
    <w:p w14:paraId="64983734" w14:textId="77777777" w:rsidR="009A2F7A" w:rsidRDefault="009A2F7A" w:rsidP="009A2F7A">
      <w:pPr>
        <w:spacing w:after="120"/>
        <w:ind w:firstLine="283"/>
        <w:jc w:val="both"/>
      </w:pPr>
      <w:r>
        <w:rPr>
          <w:sz w:val="28"/>
          <w:rtl/>
        </w:rPr>
        <w:t>وفي مقابل هذه المعوقات، تشير الأدبيات إلى أنّ السلوك التحويلي قابلٌ للتنمية، لا موهبةٌ فطرية خالصة؛ فبرامج تطوير القيادات القائمة على نموذج القيادة كامل المدى أثبتت قدرتها على رفع ممارسة الأبعاد الأربعة</w:t>
      </w:r>
      <w:r>
        <w:rPr>
          <w:rFonts w:cs="Times New Roman"/>
          <w:szCs w:val="24"/>
        </w:rPr>
        <w:t xml:space="preserve"> (Bass, 1999)</w:t>
      </w:r>
      <w:r>
        <w:rPr>
          <w:sz w:val="28"/>
          <w:rtl/>
        </w:rPr>
        <w:t>، ويُعزّز ذلك بممارساتٍ مؤسسية داعمة: كإدراج السلوك التحويلي ضمن معايير اختيار القيادات وتقويمها، وتوسيع صلاحياتها بما يتيح الرعاية الفردية والتجريب المحسوب، وتهيئة ثقافةٍ تنظيمية تحتفي بالمبادرة. وتكتسب هذه السبل راهنيتها في السياق السعودي من توجّه رؤية المملكة 2030 نحو تطوير القيادات الحكومية وتمكينها بوصفه رافعةً لتحوّل الأداء الحكومي (رؤية المملكة العربية السعودية 2030، 2016).</w:t>
      </w:r>
    </w:p>
    <w:p w14:paraId="3E8AB7A2" w14:textId="77777777" w:rsidR="009A2F7A" w:rsidRPr="00535B76" w:rsidRDefault="009A2F7A" w:rsidP="009A2F7A">
      <w:pPr>
        <w:spacing w:before="120" w:after="120"/>
        <w:outlineLvl w:val="2"/>
        <w:rPr>
          <w:sz w:val="32"/>
          <w:szCs w:val="32"/>
        </w:rPr>
      </w:pPr>
      <w:bookmarkStart w:id="32" w:name="_Toc234589624"/>
      <w:r>
        <w:rPr>
          <w:b/>
          <w:bCs/>
          <w:sz w:val="32"/>
          <w:szCs w:val="32"/>
          <w:rtl/>
        </w:rPr>
        <w:t>8- علاقة القيادة التحويلية بمتغيري الدراسة</w:t>
      </w:r>
      <w:bookmarkEnd w:id="32"/>
    </w:p>
    <w:p w14:paraId="6AB39159" w14:textId="77777777" w:rsidR="009A2F7A" w:rsidRDefault="009A2F7A" w:rsidP="009A2F7A">
      <w:pPr>
        <w:spacing w:after="120"/>
        <w:ind w:firstLine="283"/>
        <w:jc w:val="both"/>
      </w:pPr>
      <w:r>
        <w:rPr>
          <w:sz w:val="28"/>
          <w:rtl/>
        </w:rPr>
        <w:t>يتحصّل من تأصيل هذا المحور أنّ القيادة التحويلية ليست مجرد نمطٍ قيادي مرغوب، بل آليةٌ نفسية-تنظيمية محدّدة المسارات نحو متغيرَي الدراسة التابعين. فمسارها إلى الدافعية يمرّ عبر إشباع الحاجات وصناعة المعنى ورفع الفاعلية الذاتية، ومسارها إلى مقاومة التغيير يمرّ عبر بناء الثقة وإيضاح الجدوى وتطبيع مساءلة المألوف؛ والمساران معًا يصدران عن الأبعاد الأربعة نفسها، مما يجعل افتراض أثرها المزدوج في المتغيرين افتراضًا نظريًا متماسكًا لا جمعًا اعتباطيًا بين مخرجين. وتُفصّل هذه العلاقة نظريًا وتجريبيًا في خاتمة كلٍّ من المحورين التاليين، حيث يُعقد لكل متغيرٍ تابع مبحثٌ خاص بدور القيادة التحويلية فيه، مسنودًا بالمنطلقات النظرية التي حُررت في الفصل الأول وبما تراكم من شواهد الدراسات.</w:t>
      </w:r>
    </w:p>
    <w:p w14:paraId="05DBF8D3" w14:textId="77777777" w:rsidR="009A2F7A" w:rsidRDefault="009A2F7A" w:rsidP="009A2F7A">
      <w:pPr>
        <w:spacing w:after="120"/>
        <w:ind w:firstLine="283"/>
        <w:jc w:val="both"/>
        <w:rPr>
          <w:rtl/>
        </w:rPr>
      </w:pPr>
      <w:r>
        <w:rPr>
          <w:sz w:val="28"/>
          <w:rtl/>
        </w:rPr>
        <w:t xml:space="preserve">وفي ضوء ما سبق، يتضح أنّ القيادة التحويلية ليست شعارًا إداريًا، بل نظريةٌ مكتملة البناء: مستقرة الأبعاد، مقنّنة القياس، متراكمة الشواهد، محدّدة الشروط والمعوقات؛ وأنّ جوهرها الإجرائي الذي تلتقطه أداة الدراسة هو السلوك القيادي كما يدركه الموظفون لا كما تصفه القيادات. وينعكس ذلك على الدراسة الحالية في أنّ متغيرها المستقل يقف على أرضٍ نظرية صلبة تخوّله أن يكون </w:t>
      </w:r>
      <w:r>
        <w:rPr>
          <w:sz w:val="28"/>
          <w:rtl/>
        </w:rPr>
        <w:lastRenderedPageBreak/>
        <w:t>منبئًا مشروعًا بمخرجاتٍ سلوكية متباينة. وأول هذه المخرجات وأقربها إلى منطق النظرية هو الدافعية؛ فالارتقاء بدوافع الأتباع هو التعريف التأسيسي نفسه للقيادة التحويلية عند بيرنز، وهو ما يجعل الانتقال إلى المحور التالي انتقالًا من النظرية إلى أول ثمارها المفترضة.</w:t>
      </w:r>
    </w:p>
    <w:p w14:paraId="62E562EF" w14:textId="77777777" w:rsidR="009A2F7A" w:rsidRDefault="009A2F7A" w:rsidP="009A2F7A">
      <w:pPr>
        <w:spacing w:after="120"/>
        <w:jc w:val="both"/>
      </w:pPr>
    </w:p>
    <w:p w14:paraId="15115214" w14:textId="77777777" w:rsidR="009A2F7A" w:rsidRPr="00535B76" w:rsidRDefault="009A2F7A" w:rsidP="009A2F7A">
      <w:pPr>
        <w:spacing w:before="120" w:after="120"/>
        <w:outlineLvl w:val="1"/>
        <w:rPr>
          <w:sz w:val="36"/>
          <w:szCs w:val="36"/>
        </w:rPr>
      </w:pPr>
      <w:bookmarkStart w:id="33" w:name="_Toc234589625"/>
      <w:r>
        <w:rPr>
          <w:b/>
          <w:bCs/>
          <w:sz w:val="36"/>
          <w:szCs w:val="36"/>
          <w:u w:val="single"/>
          <w:rtl/>
        </w:rPr>
        <w:t>ثانيًا:</w:t>
      </w:r>
      <w:r>
        <w:rPr>
          <w:rFonts w:hint="cs"/>
          <w:b/>
          <w:bCs/>
          <w:sz w:val="36"/>
          <w:szCs w:val="36"/>
          <w:u w:val="single"/>
          <w:rtl/>
        </w:rPr>
        <w:t xml:space="preserve">المحور الثاني </w:t>
      </w:r>
      <w:r>
        <w:rPr>
          <w:b/>
          <w:bCs/>
          <w:sz w:val="36"/>
          <w:szCs w:val="36"/>
          <w:u w:val="single"/>
          <w:rtl/>
        </w:rPr>
        <w:t>الدافعية</w:t>
      </w:r>
      <w:bookmarkEnd w:id="33"/>
    </w:p>
    <w:p w14:paraId="54868848" w14:textId="77777777" w:rsidR="009A2F7A" w:rsidRPr="00535B76" w:rsidRDefault="009A2F7A" w:rsidP="009A2F7A">
      <w:pPr>
        <w:spacing w:before="120" w:after="120"/>
        <w:outlineLvl w:val="2"/>
        <w:rPr>
          <w:sz w:val="32"/>
          <w:szCs w:val="32"/>
        </w:rPr>
      </w:pPr>
      <w:bookmarkStart w:id="34" w:name="_Toc234589626"/>
      <w:r>
        <w:rPr>
          <w:b/>
          <w:bCs/>
          <w:sz w:val="32"/>
          <w:szCs w:val="32"/>
          <w:rtl/>
        </w:rPr>
        <w:t>1- مفهوم الدافعية ونشأته وتطوّره</w:t>
      </w:r>
      <w:bookmarkEnd w:id="34"/>
    </w:p>
    <w:p w14:paraId="482702C7" w14:textId="77777777" w:rsidR="009A2F7A" w:rsidRDefault="009A2F7A" w:rsidP="009A2F7A">
      <w:pPr>
        <w:spacing w:after="120"/>
        <w:ind w:firstLine="283"/>
        <w:jc w:val="both"/>
      </w:pPr>
      <w:r>
        <w:rPr>
          <w:sz w:val="28"/>
          <w:rtl/>
        </w:rPr>
        <w:t>تحتل الدافعية موقعًا مركزيًا في علم النفس التنظيمي؛ فهي الحلقة الوسيطة بين ما يملكه الفرد من قدرات وما يحققه من أداء. ويعرّفها بيندر، في التحرير الذي غدا مرجعًا في هذا الحقل، بأنها مجموعة القوى النشطة التي تنشأ من داخل الفرد ومن محيطه، فتُطلق سلوك العمل وتحدّد شكله ووجهته وشدّته ومدّته</w:t>
      </w:r>
      <w:r>
        <w:rPr>
          <w:rFonts w:cs="Times New Roman"/>
          <w:szCs w:val="24"/>
        </w:rPr>
        <w:t xml:space="preserve"> (Pinder, 2008). </w:t>
      </w:r>
      <w:r>
        <w:rPr>
          <w:sz w:val="28"/>
          <w:rtl/>
        </w:rPr>
        <w:t>ويكشف هذا التعريف عن المكوّنات الأربعة التي تتفق عليها الأدبيات في وصف السلوك المدفوع: إثارته، واتجاهه، وشدّته، واستمراره.</w:t>
      </w:r>
    </w:p>
    <w:p w14:paraId="1BA27738" w14:textId="77777777" w:rsidR="009A2F7A" w:rsidRDefault="009A2F7A" w:rsidP="009A2F7A">
      <w:pPr>
        <w:spacing w:after="120"/>
        <w:ind w:firstLine="283"/>
        <w:jc w:val="both"/>
      </w:pPr>
      <w:r>
        <w:rPr>
          <w:sz w:val="28"/>
          <w:rtl/>
        </w:rPr>
        <w:t>ويحسن، قبل تتبّع تطور المفهوم، أن نميّز الدافعية عمّا يجاورها من مفاهيم كثيرًا ما تختلط بها. فهي غير الحافز؛ إذ الحافز مثيرٌ خارجي تقدّمه المنظمة، والدافعية حالةٌ داخلية لدى الفرد قد يستثيرها الحافز وقد لا يفعل. وهي غير الرضا الوظيفي؛ فالرضا موقفٌ تقويمي من العمل وظروفه، والدافعية طاقةٌ موجَّهة نحو الأداء، وقد يجتمع رضًا مرتفع مع دافعيةٍ فاترة والعكس. وهي غير الأداء نفسه؛ فالأداء محصّلة تفاعل الدافعية مع القدرة والفرصة، فلا يصحّ الاستدلال بضعف الأداء على ضعف الدافعية دون فحص شريكيها</w:t>
      </w:r>
      <w:r>
        <w:rPr>
          <w:rFonts w:cs="Times New Roman"/>
          <w:szCs w:val="24"/>
        </w:rPr>
        <w:t xml:space="preserve"> (Pinder, 2008). </w:t>
      </w:r>
      <w:r>
        <w:rPr>
          <w:sz w:val="28"/>
          <w:rtl/>
        </w:rPr>
        <w:t>وهذا التمييز يضبط قياس الدراسة الحالية؛ إذ تقيس الدافعية بإدراك الموظف لحالته الدافعية، لا بمؤشرات أدائه.</w:t>
      </w:r>
    </w:p>
    <w:p w14:paraId="42C45A8A" w14:textId="77777777" w:rsidR="009A2F7A" w:rsidRDefault="009A2F7A" w:rsidP="009A2F7A">
      <w:pPr>
        <w:spacing w:after="120"/>
        <w:ind w:firstLine="283"/>
        <w:jc w:val="both"/>
      </w:pPr>
      <w:r>
        <w:rPr>
          <w:sz w:val="28"/>
          <w:rtl/>
        </w:rPr>
        <w:t>وقد مرّ فهم الدافعية بتحوّلاتٍ كبرى. فقد قاربتها الإدارة العلمية المبكرة استجابةً بسيطة للحافز المادي، ثم كشفت مدرسة العلاقات الإنسانية أثر العوامل الاجتماعية والمعنوية، فانفتح الباب أمام نظريات الحاجات التي فسّرت السلوك بسعي الفرد إلى إشباع حاجاتٍ متدرجة</w:t>
      </w:r>
      <w:r>
        <w:rPr>
          <w:rFonts w:cs="Times New Roman"/>
          <w:szCs w:val="24"/>
        </w:rPr>
        <w:t xml:space="preserve"> (Maslow, 1943). </w:t>
      </w:r>
      <w:r>
        <w:rPr>
          <w:sz w:val="28"/>
          <w:rtl/>
        </w:rPr>
        <w:t>ثم انتقل الاهتمام من محتوى الدافعية إلى عملياتها، فظهرت نماذج تفسّر كيف يوازن الفرد بين الجهد والعائد وكيف تتشكل توقعاته</w:t>
      </w:r>
      <w:r>
        <w:rPr>
          <w:rFonts w:cs="Times New Roman"/>
          <w:szCs w:val="24"/>
        </w:rPr>
        <w:t xml:space="preserve"> (Pinder, 2008). </w:t>
      </w:r>
      <w:r>
        <w:rPr>
          <w:sz w:val="28"/>
          <w:rtl/>
        </w:rPr>
        <w:t>وتُوّج هذا المسار بنظرية التقرير الذاتي التي تجاوزت السؤال عن مقدار الدافعية إلى السؤال عن نوعها، مميّزةً بين دافعيةٍ مستقلة يمارس بها الفرد النشاط لقيمته أو متعته، ودافعيةٍ محكومة يمارسه بها تحت ضغط العوائد أو الضغوط</w:t>
      </w:r>
      <w:r>
        <w:rPr>
          <w:rFonts w:cs="Times New Roman"/>
          <w:szCs w:val="24"/>
        </w:rPr>
        <w:t xml:space="preserve"> (Deci &amp; Ryan, 2000; Ryan &amp; Deci, 2017).</w:t>
      </w:r>
    </w:p>
    <w:p w14:paraId="01D226A5" w14:textId="77777777" w:rsidR="009A2F7A" w:rsidRPr="00535B76" w:rsidRDefault="009A2F7A" w:rsidP="009A2F7A">
      <w:pPr>
        <w:spacing w:before="120" w:after="120"/>
        <w:outlineLvl w:val="2"/>
        <w:rPr>
          <w:sz w:val="32"/>
          <w:szCs w:val="32"/>
        </w:rPr>
      </w:pPr>
      <w:bookmarkStart w:id="35" w:name="_Toc234589627"/>
      <w:r>
        <w:rPr>
          <w:b/>
          <w:bCs/>
          <w:sz w:val="32"/>
          <w:szCs w:val="32"/>
          <w:rtl/>
        </w:rPr>
        <w:t>2- أهمية الدافعية في بيئة العمل والعوامل المؤثرة فيها</w:t>
      </w:r>
      <w:bookmarkEnd w:id="35"/>
    </w:p>
    <w:p w14:paraId="7621387E" w14:textId="77777777" w:rsidR="009A2F7A" w:rsidRDefault="009A2F7A" w:rsidP="009A2F7A">
      <w:pPr>
        <w:spacing w:after="120"/>
        <w:ind w:firstLine="283"/>
        <w:jc w:val="both"/>
        <w:rPr>
          <w:rtl/>
        </w:rPr>
      </w:pPr>
      <w:r>
        <w:rPr>
          <w:sz w:val="28"/>
          <w:rtl/>
        </w:rPr>
        <w:lastRenderedPageBreak/>
        <w:t>وتنبع أهمية الدافعية من كونها الشرط الذي لا يُستغنى عنه لتحويل القدرة إلى أداء؛ فقد يملك الموظف المعرفة والمهارة، ثم لا يُحسن توظيفهما إن خبت رغبته في العمل. وتؤكد التحليلات البعدية أنّ الدافعية، ولا سيما الداخلية منها، منبئٌ قوي بجودة الأداء، وأنها تتفاعل مع الحوافز الخارجية تفاعلًا معقّدًا؛ فتظل الداخلية أقوى تنبؤًا بنوعية الأداء، فيما ترتبط الخارجية أوثق بكمّيته</w:t>
      </w:r>
      <w:r>
        <w:rPr>
          <w:rFonts w:cs="Times New Roman"/>
          <w:szCs w:val="24"/>
        </w:rPr>
        <w:t xml:space="preserve"> (Cerasoli et al., 2014). </w:t>
      </w:r>
      <w:r>
        <w:rPr>
          <w:sz w:val="28"/>
          <w:rtl/>
        </w:rPr>
        <w:t>وتتضاعف أهمية هذا التمييز في القطاع الحكومي الذي يضيق فيه هامش الحوافز المادية، فيغدو ما تُشبعه بيئة العمل من حاجات الموظف النفسية موردًا تحفيزيًا رئيسًا</w:t>
      </w:r>
      <w:r>
        <w:rPr>
          <w:szCs w:val="24"/>
        </w:rPr>
        <w:t xml:space="preserve">(Gagné </w:t>
      </w:r>
      <w:r>
        <w:rPr>
          <w:rFonts w:cs="Times New Roman"/>
          <w:szCs w:val="24"/>
        </w:rPr>
        <w:t xml:space="preserve">&amp; Deci, 2005). </w:t>
      </w:r>
    </w:p>
    <w:p w14:paraId="73812E96" w14:textId="77777777" w:rsidR="009A2F7A" w:rsidRDefault="009A2F7A" w:rsidP="009A2F7A">
      <w:pPr>
        <w:spacing w:after="120"/>
        <w:ind w:firstLine="283"/>
        <w:jc w:val="both"/>
      </w:pPr>
      <w:r>
        <w:rPr>
          <w:sz w:val="28"/>
          <w:rtl/>
        </w:rPr>
        <w:t>أمّا العوامل المؤثرة في دافعية العاملين فتتوزع على ثلاث دوائر: دائرة الفرد، بما فيها حاجاته وقيمه وتوقعاته وإدراكه لعدالة العوائد؛ ودائرة العمل ذاته، بما يوفره من تنوّعٍ ومعنًى واستقلاليةٍ وتغذيةٍ راجعة؛ ودائرة السياق التنظيمي، وفي مقدمته النمط القيادي السائد وما يتيحه من مشاركةٍ وتقديرٍ وفرص نمو</w:t>
      </w:r>
      <w:r>
        <w:rPr>
          <w:rFonts w:cs="Times New Roman"/>
          <w:szCs w:val="24"/>
        </w:rPr>
        <w:t xml:space="preserve"> (Pinder, 2008). </w:t>
      </w:r>
      <w:r>
        <w:rPr>
          <w:sz w:val="28"/>
          <w:rtl/>
        </w:rPr>
        <w:t>وهذه الدائرة الثالثة هي موضع اهتمام الدراسة الحالية؛ إذ تفترض أنّ سلوك القائد التحويلي من أهم روافع الدافعية في بيئة إدارة التعليم.</w:t>
      </w:r>
    </w:p>
    <w:p w14:paraId="3DE52827" w14:textId="77777777" w:rsidR="009A2F7A" w:rsidRDefault="009A2F7A" w:rsidP="009A2F7A">
      <w:pPr>
        <w:spacing w:after="120"/>
        <w:ind w:firstLine="283"/>
        <w:jc w:val="both"/>
      </w:pPr>
      <w:r>
        <w:rPr>
          <w:sz w:val="28"/>
          <w:rtl/>
        </w:rPr>
        <w:t>ويتفرع عن هذه الأهمية جملةُ أهدافٍ تسعى المنظمات إلى بلوغها بتعزيز دافعية العاملين: رفع الأداء كمًّا ونوعًا، وخفض الظواهر السلبية من غيابٍ وتسرّبٍ وتراخٍ، وإطلاق السلوك الطوعي الذي يتجاوز الوصف الوظيفي، وتعميق الارتباط الوجداني بالمنظمة وأهدافها، وتهيئة استعدادٍ نفسي أعلى لاستقبال التطوير والتغيير. وهذا الهدف الأخير يكشف مبكرًا عن الوشيجة بين متغيرَي الدراسة التابعين؛ فالموظف المدفوع نحو عمله أميل إلى قراءة التغيير فرصةً، والموظف الفاتر أميل إلى قراءته عبئًا؛ وهي وشيجةٌ يلتقي عندها أثر المتغير المستقل فيهما معًا.</w:t>
      </w:r>
    </w:p>
    <w:p w14:paraId="1B423D28" w14:textId="77777777" w:rsidR="009A2F7A" w:rsidRPr="00535B76" w:rsidRDefault="009A2F7A" w:rsidP="009A2F7A">
      <w:pPr>
        <w:spacing w:before="120" w:after="120"/>
        <w:outlineLvl w:val="2"/>
        <w:rPr>
          <w:sz w:val="32"/>
          <w:szCs w:val="32"/>
        </w:rPr>
      </w:pPr>
      <w:bookmarkStart w:id="36" w:name="_Toc234589628"/>
      <w:r>
        <w:rPr>
          <w:b/>
          <w:bCs/>
          <w:sz w:val="32"/>
          <w:szCs w:val="32"/>
          <w:rtl/>
        </w:rPr>
        <w:t>3- نظريات الدافعية</w:t>
      </w:r>
      <w:bookmarkEnd w:id="36"/>
    </w:p>
    <w:p w14:paraId="5730EAF7" w14:textId="77777777" w:rsidR="009A2F7A" w:rsidRDefault="009A2F7A" w:rsidP="009A2F7A">
      <w:pPr>
        <w:spacing w:after="120"/>
        <w:ind w:firstLine="283"/>
        <w:jc w:val="both"/>
      </w:pPr>
      <w:r>
        <w:rPr>
          <w:sz w:val="28"/>
          <w:rtl/>
        </w:rPr>
        <w:t>تعددت النظريات المفسّرة للدافعية بتعدد زوايا النظر إليها، ويُعرض فيما يأتي أبرز ما تستند إليه الدراسة الحالية منها:</w:t>
      </w:r>
    </w:p>
    <w:p w14:paraId="0AB2F1DB" w14:textId="77777777" w:rsidR="009A2F7A" w:rsidRPr="00F92114" w:rsidRDefault="009A2F7A" w:rsidP="009A2F7A">
      <w:pPr>
        <w:spacing w:after="120"/>
        <w:ind w:firstLine="283"/>
        <w:jc w:val="both"/>
      </w:pPr>
      <w:r w:rsidRPr="00F92114">
        <w:rPr>
          <w:b/>
          <w:bCs/>
          <w:sz w:val="32"/>
          <w:szCs w:val="32"/>
          <w:rtl/>
        </w:rPr>
        <w:t>نظرية سلّم الحاجات:</w:t>
      </w:r>
      <w:r>
        <w:rPr>
          <w:b/>
          <w:bCs/>
          <w:sz w:val="28"/>
          <w:rtl/>
        </w:rPr>
        <w:t xml:space="preserve"> </w:t>
      </w:r>
      <w:r w:rsidRPr="00F92114">
        <w:rPr>
          <w:sz w:val="28"/>
          <w:rtl/>
        </w:rPr>
        <w:t>يرى ماسلو أنّ السلوك الإنساني تحرّكه حاجاتٌ تترتب هرميًا، من الفسيولوجية فالأمان فالانتماء فالتقدير فتحقيق الذات، وأنّ الحاجة المشبَعة تفقد قوتها الدافعة لتحل محلها الحاجة الأعلى</w:t>
      </w:r>
      <w:r w:rsidRPr="00F92114">
        <w:rPr>
          <w:rFonts w:cs="Times New Roman"/>
          <w:szCs w:val="24"/>
        </w:rPr>
        <w:t xml:space="preserve"> (Maslow, 1943). </w:t>
      </w:r>
      <w:r>
        <w:rPr>
          <w:rFonts w:hint="cs"/>
          <w:sz w:val="28"/>
          <w:rtl/>
        </w:rPr>
        <w:t xml:space="preserve"> </w:t>
      </w:r>
      <w:r w:rsidRPr="00F92114">
        <w:rPr>
          <w:sz w:val="28"/>
          <w:rtl/>
        </w:rPr>
        <w:t>ودلالتها للدراسة أنّ سلوكيات القائد التحويلي تخاطب الحاجات العليا تحديدًا: فالاعتبارية الفردية تُشبع الانتماء والتقدير، والحفز الإلهامي يفتح أفق تحقيق الذات.</w:t>
      </w:r>
    </w:p>
    <w:p w14:paraId="0DF51629" w14:textId="77777777" w:rsidR="009A2F7A" w:rsidRPr="00F92114" w:rsidRDefault="009A2F7A" w:rsidP="009A2F7A">
      <w:pPr>
        <w:spacing w:after="120"/>
        <w:ind w:firstLine="283"/>
        <w:jc w:val="both"/>
      </w:pPr>
      <w:r w:rsidRPr="00F92114">
        <w:rPr>
          <w:b/>
          <w:bCs/>
          <w:sz w:val="32"/>
          <w:szCs w:val="32"/>
          <w:rtl/>
        </w:rPr>
        <w:t>نظرية العاملين:</w:t>
      </w:r>
      <w:r>
        <w:rPr>
          <w:b/>
          <w:bCs/>
          <w:sz w:val="28"/>
          <w:rtl/>
        </w:rPr>
        <w:t xml:space="preserve"> </w:t>
      </w:r>
      <w:r w:rsidRPr="00F92114">
        <w:rPr>
          <w:sz w:val="28"/>
          <w:rtl/>
        </w:rPr>
        <w:t xml:space="preserve">يميّز هيرزبرغ بين عوامل وقائية تتصل بمحيط العمل (كالرواتب وظروفه) يمنع توافرُها الاستياء ولا يصنع الدافعية، وعوامل دافعة تتصل بالعمل ذاته (كالإنجاز والتقدير </w:t>
      </w:r>
      <w:r w:rsidRPr="00F92114">
        <w:rPr>
          <w:sz w:val="28"/>
          <w:rtl/>
        </w:rPr>
        <w:lastRenderedPageBreak/>
        <w:t>والمسؤولية والنمو) هي وحدها الكفيلة بإطلاق الدافعية الحقيقية</w:t>
      </w:r>
      <w:r w:rsidRPr="00F92114">
        <w:rPr>
          <w:rFonts w:cs="Times New Roman"/>
          <w:szCs w:val="24"/>
        </w:rPr>
        <w:t xml:space="preserve"> (Herzberg, 1968). </w:t>
      </w:r>
      <w:r w:rsidRPr="00F92114">
        <w:rPr>
          <w:sz w:val="28"/>
          <w:rtl/>
        </w:rPr>
        <w:t>ودلالتها أنّ رفع دافعية موظفي الإدارات التعليمية لا يتحقق بتحسين المحيط وحده، بل بما يضيفه القائد من معنًى وتقديرٍ وفرص نموٍّ إلى العمل نفسه.</w:t>
      </w:r>
    </w:p>
    <w:p w14:paraId="0E5FCDD5" w14:textId="77777777" w:rsidR="009A2F7A" w:rsidRPr="00F92114" w:rsidRDefault="009A2F7A" w:rsidP="009A2F7A">
      <w:pPr>
        <w:spacing w:after="120"/>
        <w:ind w:firstLine="283"/>
        <w:jc w:val="both"/>
      </w:pPr>
      <w:r w:rsidRPr="00F92114">
        <w:rPr>
          <w:b/>
          <w:bCs/>
          <w:sz w:val="32"/>
          <w:szCs w:val="32"/>
          <w:rtl/>
        </w:rPr>
        <w:t>نظرية الحاجات المكتسبة</w:t>
      </w:r>
      <w:r w:rsidRPr="00F92114">
        <w:rPr>
          <w:sz w:val="28"/>
          <w:rtl/>
        </w:rPr>
        <w:t>: يرى ماكليلاند أنّ الأفراد يكتسبون عبر خبراتهم ثلاث حاجاتٍ كبرى تتفاوت قوتها بينهم: الحاجة إلى الإنجاز، والحاجة إلى الانتماء، والحاجة إلى القوة، وأنّ الحاجة إلى الإنجاز خاصةً تدفع صاحبها إلى تفضيل الأهداف المتحدية والسعي إلى التميز</w:t>
      </w:r>
      <w:r w:rsidRPr="00F92114">
        <w:rPr>
          <w:rFonts w:cs="Times New Roman"/>
          <w:szCs w:val="24"/>
        </w:rPr>
        <w:t xml:space="preserve"> (McClelland, 1961). </w:t>
      </w:r>
      <w:r w:rsidRPr="00F92114">
        <w:rPr>
          <w:sz w:val="28"/>
          <w:rtl/>
        </w:rPr>
        <w:t>وهذه النظرية هي الأصل الذي اشتُق منه بُعد دافعية الإنجاز في المتغير التابع الأول للدراسة.</w:t>
      </w:r>
    </w:p>
    <w:p w14:paraId="0C681AEE" w14:textId="77777777" w:rsidR="009A2F7A" w:rsidRPr="00F92114" w:rsidRDefault="009A2F7A" w:rsidP="009A2F7A">
      <w:pPr>
        <w:spacing w:after="120"/>
        <w:ind w:firstLine="283"/>
        <w:jc w:val="both"/>
      </w:pPr>
      <w:r w:rsidRPr="00F92114">
        <w:rPr>
          <w:b/>
          <w:bCs/>
          <w:sz w:val="32"/>
          <w:szCs w:val="32"/>
          <w:rtl/>
        </w:rPr>
        <w:t>نظرية التقرير الذاتي:</w:t>
      </w:r>
      <w:r>
        <w:rPr>
          <w:b/>
          <w:bCs/>
          <w:sz w:val="28"/>
          <w:rtl/>
        </w:rPr>
        <w:t xml:space="preserve"> </w:t>
      </w:r>
      <w:r w:rsidRPr="00F92114">
        <w:rPr>
          <w:sz w:val="28"/>
          <w:rtl/>
        </w:rPr>
        <w:t>تقرّر النظرية أنّ إشباع الحاجات النفسية الأساسية الثلاث، الاستقلالية والكفاءة والانتماء، هو ما يُنمّي الدافعية الداخلية ويرقى بالخارجية نحو مزيدٍ من الاستدماج، وأنّ بيئات العمل الداعمة للاستقلالية تُخرج أجود صور الدافعية وأدومها</w:t>
      </w:r>
      <w:r w:rsidRPr="00F92114">
        <w:rPr>
          <w:rFonts w:cs="Times New Roman"/>
          <w:szCs w:val="24"/>
        </w:rPr>
        <w:t xml:space="preserve"> (Deci &amp; Ryan, 2000; </w:t>
      </w:r>
      <w:r w:rsidRPr="00F92114">
        <w:rPr>
          <w:szCs w:val="24"/>
        </w:rPr>
        <w:t xml:space="preserve">Gagné </w:t>
      </w:r>
      <w:r w:rsidRPr="00F92114">
        <w:rPr>
          <w:rFonts w:cs="Times New Roman"/>
          <w:szCs w:val="24"/>
        </w:rPr>
        <w:t xml:space="preserve">&amp; Deci, 2005). </w:t>
      </w:r>
      <w:r w:rsidRPr="00F92114">
        <w:rPr>
          <w:sz w:val="28"/>
          <w:rtl/>
        </w:rPr>
        <w:t>وهي الإطار الذي بُني عليه بُعدا الدافعية الداخلية والخارجية في الدراسة الحالية، كما تقرّر في منطلقاتها النظرية بالفصل الأول.</w:t>
      </w:r>
    </w:p>
    <w:p w14:paraId="10DDD8EE" w14:textId="77777777" w:rsidR="009A2F7A" w:rsidRDefault="009A2F7A" w:rsidP="009A2F7A">
      <w:pPr>
        <w:spacing w:after="120"/>
        <w:ind w:firstLine="283"/>
        <w:jc w:val="both"/>
      </w:pPr>
      <w:r>
        <w:rPr>
          <w:sz w:val="28"/>
          <w:rtl/>
        </w:rPr>
        <w:t>ويكمّل هذه النظرياتِ منظورُ العمليات الذي يفسّر كيف تتشكل الدافعية لا ممَّ تنشأ فحسب؛ وفي طليعته نظرية التوقع التي ترى أنّ قوة الدافعية محصّلة ثلاثة إدراكات: توقّع الفرد أنّ جهده يفضي إلى الأداء، وتوقّعه أنّ الأداء يفضي إلى العائد، وقيمة ذلك العائد عنده؛ ونظرية العدالة التي ترى أنّ الفرد يوازن نسبة عوائده إلى مدخلاته بنسب الآخرين، فإذا اختلّ الميزان في إدراكه فترت دافعيته وسعى إلى إعادة التوازن ولو بخفض جهده</w:t>
      </w:r>
      <w:r>
        <w:rPr>
          <w:rFonts w:cs="Times New Roman"/>
          <w:szCs w:val="24"/>
        </w:rPr>
        <w:t xml:space="preserve"> (Pinder, 2008). </w:t>
      </w:r>
      <w:r>
        <w:rPr>
          <w:sz w:val="28"/>
          <w:rtl/>
        </w:rPr>
        <w:t>ودلالة هذا المنظور للدراسة أنّ سلوك القائد التحويلي يعمل في قلب هذه الإدراكات ذاتها: فالثقة التي يبنيها التأثير المثالي ترفع توقّع العدالة، والوضوح الذي يبثّه الحفز الإلهامي يرفع توقّع العائد، والرعاية الفردية ترفع توقّع القدرة على الأداء.</w:t>
      </w:r>
    </w:p>
    <w:p w14:paraId="29D7EC58" w14:textId="77777777" w:rsidR="009A2F7A" w:rsidRDefault="009A2F7A" w:rsidP="009A2F7A">
      <w:pPr>
        <w:spacing w:after="120"/>
        <w:ind w:firstLine="283"/>
        <w:jc w:val="both"/>
      </w:pPr>
      <w:r>
        <w:rPr>
          <w:sz w:val="28"/>
          <w:rtl/>
        </w:rPr>
        <w:t>ويجمل الجدول (2-3) هذه النظريات ودلالة كلٍّ منها للدراسة الحالية:</w:t>
      </w:r>
    </w:p>
    <w:p w14:paraId="5B92A331" w14:textId="77777777" w:rsidR="009A2F7A" w:rsidRDefault="009A2F7A" w:rsidP="009A2F7A">
      <w:pPr>
        <w:keepNext/>
        <w:spacing w:before="120" w:after="60"/>
        <w:jc w:val="center"/>
      </w:pPr>
      <w:r>
        <w:rPr>
          <w:b/>
          <w:bCs/>
          <w:szCs w:val="24"/>
          <w:rtl/>
        </w:rPr>
        <w:t>جدول (2-3): ملخص مقارن لنظريات الدافعية المعتمدة في الدراسة</w:t>
      </w:r>
    </w:p>
    <w:tbl>
      <w:tblPr>
        <w:bidiVisual/>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0" w:type="dxa"/>
          <w:right w:w="60" w:type="dxa"/>
        </w:tblCellMar>
        <w:tblLook w:val="04A0" w:firstRow="1" w:lastRow="0" w:firstColumn="1" w:lastColumn="0" w:noHBand="0" w:noVBand="1"/>
      </w:tblPr>
      <w:tblGrid>
        <w:gridCol w:w="2200"/>
        <w:gridCol w:w="3400"/>
        <w:gridCol w:w="3400"/>
      </w:tblGrid>
      <w:tr w:rsidR="009A2F7A" w14:paraId="03D96939" w14:textId="77777777" w:rsidTr="00F206C8">
        <w:trPr>
          <w:cantSplit/>
          <w:trHeight w:val="500"/>
          <w:tblHeader/>
          <w:jc w:val="center"/>
        </w:trPr>
        <w:tc>
          <w:tcPr>
            <w:tcW w:w="2200" w:type="dxa"/>
            <w:tcBorders>
              <w:top w:val="single" w:sz="4" w:space="0" w:color="A7C9B9"/>
              <w:left w:val="single" w:sz="4" w:space="0" w:color="A7C9B9"/>
              <w:bottom w:val="single" w:sz="4" w:space="0" w:color="A7C9B9"/>
              <w:right w:val="single" w:sz="4" w:space="0" w:color="A7C9B9"/>
            </w:tcBorders>
            <w:shd w:val="clear" w:color="auto" w:fill="D9EADF"/>
            <w:tcMar>
              <w:left w:w="60" w:type="dxa"/>
              <w:right w:w="60" w:type="dxa"/>
            </w:tcMar>
            <w:vAlign w:val="center"/>
          </w:tcPr>
          <w:p w14:paraId="238B639F" w14:textId="77777777" w:rsidR="009A2F7A" w:rsidRDefault="009A2F7A" w:rsidP="00F206C8">
            <w:pPr>
              <w:spacing w:before="40" w:after="40"/>
              <w:jc w:val="center"/>
            </w:pPr>
            <w:r>
              <w:rPr>
                <w:b/>
                <w:bCs/>
                <w:szCs w:val="24"/>
                <w:rtl/>
              </w:rPr>
              <w:t>النظرية</w:t>
            </w:r>
          </w:p>
        </w:tc>
        <w:tc>
          <w:tcPr>
            <w:tcW w:w="3400" w:type="dxa"/>
            <w:tcBorders>
              <w:top w:val="single" w:sz="4" w:space="0" w:color="A7C9B9"/>
              <w:left w:val="single" w:sz="4" w:space="0" w:color="A7C9B9"/>
              <w:bottom w:val="single" w:sz="4" w:space="0" w:color="A7C9B9"/>
              <w:right w:val="single" w:sz="4" w:space="0" w:color="A7C9B9"/>
            </w:tcBorders>
            <w:shd w:val="clear" w:color="auto" w:fill="D9EADF"/>
            <w:tcMar>
              <w:left w:w="60" w:type="dxa"/>
              <w:right w:w="60" w:type="dxa"/>
            </w:tcMar>
            <w:vAlign w:val="center"/>
          </w:tcPr>
          <w:p w14:paraId="357995EA" w14:textId="77777777" w:rsidR="009A2F7A" w:rsidRDefault="009A2F7A" w:rsidP="00F206C8">
            <w:pPr>
              <w:spacing w:before="40" w:after="40"/>
              <w:jc w:val="center"/>
            </w:pPr>
            <w:r>
              <w:rPr>
                <w:b/>
                <w:bCs/>
                <w:szCs w:val="24"/>
                <w:rtl/>
              </w:rPr>
              <w:t>جوهر التفسير</w:t>
            </w:r>
          </w:p>
        </w:tc>
        <w:tc>
          <w:tcPr>
            <w:tcW w:w="3400" w:type="dxa"/>
            <w:tcBorders>
              <w:top w:val="single" w:sz="4" w:space="0" w:color="A7C9B9"/>
              <w:left w:val="single" w:sz="4" w:space="0" w:color="A7C9B9"/>
              <w:bottom w:val="single" w:sz="4" w:space="0" w:color="A7C9B9"/>
              <w:right w:val="single" w:sz="4" w:space="0" w:color="A7C9B9"/>
            </w:tcBorders>
            <w:shd w:val="clear" w:color="auto" w:fill="D9EADF"/>
            <w:tcMar>
              <w:left w:w="60" w:type="dxa"/>
              <w:right w:w="60" w:type="dxa"/>
            </w:tcMar>
            <w:vAlign w:val="center"/>
          </w:tcPr>
          <w:p w14:paraId="147912F8" w14:textId="77777777" w:rsidR="009A2F7A" w:rsidRDefault="009A2F7A" w:rsidP="00F206C8">
            <w:pPr>
              <w:spacing w:before="40" w:after="40"/>
              <w:jc w:val="center"/>
            </w:pPr>
            <w:r>
              <w:rPr>
                <w:b/>
                <w:bCs/>
                <w:szCs w:val="24"/>
                <w:rtl/>
              </w:rPr>
              <w:t>دلالتها للدراسة الحالية</w:t>
            </w:r>
          </w:p>
        </w:tc>
      </w:tr>
      <w:tr w:rsidR="009A2F7A" w14:paraId="45BB8EDA" w14:textId="77777777" w:rsidTr="00F206C8">
        <w:trPr>
          <w:cantSplit/>
          <w:trHeight w:val="450"/>
          <w:jc w:val="center"/>
        </w:trPr>
        <w:tc>
          <w:tcPr>
            <w:tcW w:w="22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46A65ADE" w14:textId="77777777" w:rsidR="009A2F7A" w:rsidRDefault="009A2F7A" w:rsidP="00F206C8">
            <w:pPr>
              <w:spacing w:before="40" w:after="40"/>
              <w:jc w:val="center"/>
              <w:rPr>
                <w:rFonts w:cs="Times New Roman"/>
                <w:szCs w:val="24"/>
              </w:rPr>
            </w:pPr>
            <w:r>
              <w:rPr>
                <w:szCs w:val="24"/>
                <w:rtl/>
              </w:rPr>
              <w:t>سلّم الحاجات</w:t>
            </w:r>
            <w:r>
              <w:rPr>
                <w:rFonts w:cs="Times New Roman"/>
                <w:szCs w:val="24"/>
              </w:rPr>
              <w:t xml:space="preserve"> (Maslow,</w:t>
            </w:r>
          </w:p>
          <w:p w14:paraId="76F8C219" w14:textId="77777777" w:rsidR="009A2F7A" w:rsidRDefault="009A2F7A" w:rsidP="00F206C8">
            <w:pPr>
              <w:spacing w:before="40" w:after="40"/>
              <w:jc w:val="center"/>
            </w:pPr>
            <w:r>
              <w:rPr>
                <w:rFonts w:cs="Times New Roman"/>
                <w:szCs w:val="24"/>
              </w:rPr>
              <w:t xml:space="preserve"> 1943)</w:t>
            </w:r>
          </w:p>
        </w:tc>
        <w:tc>
          <w:tcPr>
            <w:tcW w:w="34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403B35EA" w14:textId="77777777" w:rsidR="009A2F7A" w:rsidRDefault="009A2F7A" w:rsidP="00F206C8">
            <w:pPr>
              <w:spacing w:before="40" w:after="40"/>
              <w:jc w:val="center"/>
            </w:pPr>
            <w:r>
              <w:rPr>
                <w:szCs w:val="24"/>
                <w:rtl/>
              </w:rPr>
              <w:t>حاجاتٌ متدرجة تحرّك السلوك، وتفقد المشبَعة منها قوتها الدافعة.</w:t>
            </w:r>
          </w:p>
        </w:tc>
        <w:tc>
          <w:tcPr>
            <w:tcW w:w="34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3A901D29" w14:textId="77777777" w:rsidR="009A2F7A" w:rsidRDefault="009A2F7A" w:rsidP="00F206C8">
            <w:pPr>
              <w:spacing w:before="40" w:after="40"/>
              <w:jc w:val="center"/>
            </w:pPr>
            <w:r>
              <w:rPr>
                <w:szCs w:val="24"/>
                <w:rtl/>
              </w:rPr>
              <w:t>سلوك القائد التحويلي يخاطب الحاجات العليا من انتماءٍ وتقديرٍ وتحقيق ذات.</w:t>
            </w:r>
          </w:p>
        </w:tc>
      </w:tr>
      <w:tr w:rsidR="009A2F7A" w14:paraId="6D3AAF3C" w14:textId="77777777" w:rsidTr="00F206C8">
        <w:trPr>
          <w:cantSplit/>
          <w:trHeight w:val="450"/>
          <w:jc w:val="center"/>
        </w:trPr>
        <w:tc>
          <w:tcPr>
            <w:tcW w:w="22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47641CAF" w14:textId="77777777" w:rsidR="009A2F7A" w:rsidRDefault="009A2F7A" w:rsidP="00F206C8">
            <w:pPr>
              <w:spacing w:before="40" w:after="40"/>
              <w:jc w:val="center"/>
            </w:pPr>
            <w:r>
              <w:rPr>
                <w:szCs w:val="24"/>
                <w:rtl/>
              </w:rPr>
              <w:t>العاملان</w:t>
            </w:r>
            <w:r>
              <w:rPr>
                <w:rFonts w:cs="Times New Roman"/>
                <w:szCs w:val="24"/>
              </w:rPr>
              <w:t xml:space="preserve"> (Herzberg, 1968)</w:t>
            </w:r>
          </w:p>
        </w:tc>
        <w:tc>
          <w:tcPr>
            <w:tcW w:w="34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66AD3718" w14:textId="77777777" w:rsidR="009A2F7A" w:rsidRDefault="009A2F7A" w:rsidP="00F206C8">
            <w:pPr>
              <w:spacing w:before="40" w:after="40"/>
              <w:jc w:val="center"/>
            </w:pPr>
            <w:r>
              <w:rPr>
                <w:szCs w:val="24"/>
                <w:rtl/>
              </w:rPr>
              <w:t>عواملُ وقائية تمنع الاستياء، وعواملُ دافعة في العمل ذاته تصنع الدافعية.</w:t>
            </w:r>
          </w:p>
        </w:tc>
        <w:tc>
          <w:tcPr>
            <w:tcW w:w="34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1E27858A" w14:textId="77777777" w:rsidR="009A2F7A" w:rsidRDefault="009A2F7A" w:rsidP="00F206C8">
            <w:pPr>
              <w:spacing w:before="40" w:after="40"/>
              <w:jc w:val="center"/>
            </w:pPr>
            <w:r>
              <w:rPr>
                <w:szCs w:val="24"/>
                <w:rtl/>
              </w:rPr>
              <w:t>إثراء معنى العمل والتقدير وفرص النمو أجدى من تحسين المحيط وحده.</w:t>
            </w:r>
          </w:p>
        </w:tc>
      </w:tr>
      <w:tr w:rsidR="009A2F7A" w14:paraId="70A05236" w14:textId="77777777" w:rsidTr="00F206C8">
        <w:trPr>
          <w:cantSplit/>
          <w:trHeight w:val="450"/>
          <w:jc w:val="center"/>
        </w:trPr>
        <w:tc>
          <w:tcPr>
            <w:tcW w:w="22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7F618229" w14:textId="77777777" w:rsidR="009A2F7A" w:rsidRDefault="009A2F7A" w:rsidP="00F206C8">
            <w:pPr>
              <w:spacing w:before="40" w:after="40"/>
              <w:jc w:val="center"/>
            </w:pPr>
            <w:r>
              <w:rPr>
                <w:szCs w:val="24"/>
                <w:rtl/>
              </w:rPr>
              <w:lastRenderedPageBreak/>
              <w:t>الحاجات المكتسبة</w:t>
            </w:r>
            <w:r>
              <w:rPr>
                <w:rFonts w:cs="Times New Roman"/>
                <w:szCs w:val="24"/>
              </w:rPr>
              <w:t xml:space="preserve"> (McClelland, 1961)</w:t>
            </w:r>
          </w:p>
        </w:tc>
        <w:tc>
          <w:tcPr>
            <w:tcW w:w="34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5ACB585A" w14:textId="77777777" w:rsidR="009A2F7A" w:rsidRDefault="009A2F7A" w:rsidP="00F206C8">
            <w:pPr>
              <w:spacing w:before="40" w:after="40"/>
              <w:jc w:val="center"/>
            </w:pPr>
            <w:r>
              <w:rPr>
                <w:szCs w:val="24"/>
                <w:rtl/>
              </w:rPr>
              <w:t>حاجاتٌ مكتسبة إلى الإنجاز والانتماء والقوة تتفاوت بين الأفراد.</w:t>
            </w:r>
          </w:p>
        </w:tc>
        <w:tc>
          <w:tcPr>
            <w:tcW w:w="34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46095F78" w14:textId="77777777" w:rsidR="009A2F7A" w:rsidRDefault="009A2F7A" w:rsidP="00F206C8">
            <w:pPr>
              <w:spacing w:before="40" w:after="40"/>
              <w:jc w:val="center"/>
            </w:pPr>
            <w:r>
              <w:rPr>
                <w:szCs w:val="24"/>
                <w:rtl/>
              </w:rPr>
              <w:t>الأصل النظري لبُعد دافعية الإنجاز في أداة الدراسة.</w:t>
            </w:r>
          </w:p>
        </w:tc>
      </w:tr>
      <w:tr w:rsidR="009A2F7A" w14:paraId="0C51C096" w14:textId="77777777" w:rsidTr="00F206C8">
        <w:trPr>
          <w:cantSplit/>
          <w:trHeight w:val="450"/>
          <w:jc w:val="center"/>
        </w:trPr>
        <w:tc>
          <w:tcPr>
            <w:tcW w:w="22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517ED6BB" w14:textId="77777777" w:rsidR="009A2F7A" w:rsidRDefault="009A2F7A" w:rsidP="00F206C8">
            <w:pPr>
              <w:spacing w:before="40" w:after="40"/>
              <w:jc w:val="center"/>
            </w:pPr>
            <w:r>
              <w:rPr>
                <w:szCs w:val="24"/>
                <w:rtl/>
              </w:rPr>
              <w:t>التقرير الذاتي</w:t>
            </w:r>
            <w:r>
              <w:rPr>
                <w:rFonts w:cs="Times New Roman"/>
                <w:szCs w:val="24"/>
              </w:rPr>
              <w:t xml:space="preserve"> (Deci &amp; Ryan, 2000)</w:t>
            </w:r>
          </w:p>
        </w:tc>
        <w:tc>
          <w:tcPr>
            <w:tcW w:w="34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0A009A2E" w14:textId="77777777" w:rsidR="009A2F7A" w:rsidRDefault="009A2F7A" w:rsidP="00F206C8">
            <w:pPr>
              <w:spacing w:before="40" w:after="40"/>
              <w:jc w:val="center"/>
            </w:pPr>
            <w:r>
              <w:rPr>
                <w:szCs w:val="24"/>
                <w:rtl/>
              </w:rPr>
              <w:t>إشباع الاستقلالية والكفاءة والانتماء يُنمّي الدافعية الداخلية ويستدمج الخارجية.</w:t>
            </w:r>
          </w:p>
        </w:tc>
        <w:tc>
          <w:tcPr>
            <w:tcW w:w="3400" w:type="dxa"/>
            <w:tcBorders>
              <w:top w:val="single" w:sz="4" w:space="0" w:color="A7C9B9"/>
              <w:left w:val="single" w:sz="4" w:space="0" w:color="A7C9B9"/>
              <w:bottom w:val="single" w:sz="4" w:space="0" w:color="A7C9B9"/>
              <w:right w:val="single" w:sz="4" w:space="0" w:color="A7C9B9"/>
            </w:tcBorders>
            <w:tcMar>
              <w:left w:w="60" w:type="dxa"/>
              <w:right w:w="60" w:type="dxa"/>
            </w:tcMar>
            <w:vAlign w:val="center"/>
          </w:tcPr>
          <w:p w14:paraId="54278CCF" w14:textId="77777777" w:rsidR="009A2F7A" w:rsidRDefault="009A2F7A" w:rsidP="00F206C8">
            <w:pPr>
              <w:spacing w:before="40" w:after="40"/>
              <w:jc w:val="center"/>
            </w:pPr>
            <w:r>
              <w:rPr>
                <w:szCs w:val="24"/>
                <w:rtl/>
              </w:rPr>
              <w:t>الإطار المؤسِّس لبُعدَي الدافعية الداخلية والخارجية وللفرضية الفرعية الأولى.</w:t>
            </w:r>
          </w:p>
        </w:tc>
      </w:tr>
    </w:tbl>
    <w:p w14:paraId="3755F6BC" w14:textId="77777777" w:rsidR="009A2F7A" w:rsidRDefault="009A2F7A" w:rsidP="009A2F7A">
      <w:pPr>
        <w:spacing w:after="120"/>
        <w:jc w:val="center"/>
      </w:pPr>
      <w:r>
        <w:rPr>
          <w:sz w:val="22"/>
          <w:szCs w:val="22"/>
          <w:rtl/>
        </w:rPr>
        <w:t>المصدر: من إعداد الباحثة بالاستناد إلى المراجع الواردة في الجدول.</w:t>
      </w:r>
    </w:p>
    <w:p w14:paraId="77E765A2" w14:textId="77777777" w:rsidR="009A2F7A" w:rsidRPr="00535B76" w:rsidRDefault="009A2F7A" w:rsidP="009A2F7A">
      <w:pPr>
        <w:spacing w:before="120" w:after="120"/>
        <w:outlineLvl w:val="2"/>
        <w:rPr>
          <w:sz w:val="32"/>
          <w:szCs w:val="32"/>
        </w:rPr>
      </w:pPr>
      <w:bookmarkStart w:id="37" w:name="_Toc234589629"/>
      <w:r>
        <w:rPr>
          <w:b/>
          <w:bCs/>
          <w:sz w:val="32"/>
          <w:szCs w:val="32"/>
          <w:rtl/>
        </w:rPr>
        <w:t>4- أبعاد الدافعية في الدراسة الحالية</w:t>
      </w:r>
      <w:bookmarkEnd w:id="37"/>
    </w:p>
    <w:p w14:paraId="0332E1CE" w14:textId="77777777" w:rsidR="009A2F7A" w:rsidRDefault="009A2F7A" w:rsidP="009A2F7A">
      <w:pPr>
        <w:spacing w:after="120"/>
        <w:ind w:firstLine="283"/>
        <w:jc w:val="both"/>
      </w:pPr>
      <w:r>
        <w:rPr>
          <w:sz w:val="28"/>
          <w:rtl/>
        </w:rPr>
        <w:t>ويتبيّن من هذا العرض أنّ النظريات لا تتنافس بقدر ما تتكامل؛ فنظريات المحتوى تجيب عن سؤال «ما الذي يدفع؟» بتحديد الحاجات، ونظريات العمليات تجيب عن سؤال «كيف يُدفع؟» بتحليل الإدراكات، وتجمع نظرية التقرير الذاتي بين السؤالين بتمييز أنواع الدافعية وشروط جودتها. وقد استثمرت الدراسة الحالية هذا التكامل في بناء متغيرها؛ فاستمدت بُعدَي الداخلية والخارجية من التقرير الذاتي، وبُعد الإنجاز من الحاجات المكتسبة، واستعانت بنظريتَي ماسلو وهيرزبرغ في تفسير آلية تأثير السلوك القيادي في هذه الأبعاد.</w:t>
      </w:r>
    </w:p>
    <w:p w14:paraId="520D4951" w14:textId="77777777" w:rsidR="009A2F7A" w:rsidRDefault="009A2F7A" w:rsidP="009A2F7A">
      <w:pPr>
        <w:spacing w:after="120"/>
        <w:ind w:firstLine="283"/>
        <w:jc w:val="both"/>
      </w:pPr>
      <w:r>
        <w:rPr>
          <w:sz w:val="28"/>
          <w:rtl/>
        </w:rPr>
        <w:t>في ضوء الدراسات، بُني المتغير التابع الأول على ثلاثة أبعادٍ متكاملة تغطي مصادر الدافعية الكبرى. فالبُعد الأول، الدافعية الداخلية، يشير إلى ممارسة الفرد عمله لِما يجده فيه من متعةٍ ومعنًى وقيمة، وهو أرقى صور الدافعية وأكثرها ارتباطًا بجودة الأداء والإبداع والرفاه النفسي</w:t>
      </w:r>
      <w:r>
        <w:rPr>
          <w:rFonts w:cs="Times New Roman"/>
          <w:szCs w:val="24"/>
        </w:rPr>
        <w:t xml:space="preserve"> (Ryan &amp; Deci, 2017). </w:t>
      </w:r>
      <w:r>
        <w:rPr>
          <w:sz w:val="28"/>
          <w:rtl/>
        </w:rPr>
        <w:t>والبُعد الثاني، الدافعية الخارجية، يشير إلى ممارسة العمل وسيلةً لعوائد منفصلة عنه، من حوافز وترقياتٍ وتقدير؛ وهي دافعيةٌ مشروعة وفاعلة متى أُحسن ربطها بالأداء، وتزداد جودتها كلما طبّقها الفرد في منظومة قيمه</w:t>
      </w:r>
      <w:r>
        <w:rPr>
          <w:szCs w:val="24"/>
        </w:rPr>
        <w:t xml:space="preserve">(Gagné </w:t>
      </w:r>
      <w:r>
        <w:rPr>
          <w:rFonts w:cs="Times New Roman"/>
          <w:szCs w:val="24"/>
        </w:rPr>
        <w:t xml:space="preserve">&amp; Deci, 2005). </w:t>
      </w:r>
      <w:r>
        <w:rPr>
          <w:sz w:val="28"/>
          <w:rtl/>
        </w:rPr>
        <w:t>والبُعد الثالث، دافعية الإنجاز، يشير إلى نزوع الفرد إلى بلوغ معايير التميز وتفضيل المهام المتحدية والمثابرة عليها</w:t>
      </w:r>
      <w:r>
        <w:rPr>
          <w:rFonts w:cs="Times New Roman"/>
          <w:szCs w:val="24"/>
        </w:rPr>
        <w:t xml:space="preserve"> (McClelland, 1961).</w:t>
      </w:r>
    </w:p>
    <w:p w14:paraId="62C28C15" w14:textId="77777777" w:rsidR="009A2F7A" w:rsidRDefault="009A2F7A" w:rsidP="009A2F7A">
      <w:pPr>
        <w:spacing w:after="120"/>
        <w:ind w:firstLine="283"/>
        <w:jc w:val="both"/>
      </w:pPr>
      <w:r>
        <w:rPr>
          <w:sz w:val="28"/>
          <w:rtl/>
        </w:rPr>
        <w:t>وتتجلى هذه الأبعاد في مؤشراتٍ سلوكية يمكن للإدارة رصدها؛ فارتفاع الدافعية يظهر في المبادرة دون انتظار التكليف، والمثابرة أمام العقبات، والجهد الطوعي الذي يتجاوز الوصف الوظيفي، والانضباط الذاتي في الحضور والإنجاز؛ فيما ينذر انخفاضُها بعكس ذلك، من تكاسلٍ وتأجيلٍ واكتفاءٍ بالحد الأدنى وتذمّرٍ متصاعد، وقد يتفاقم إلى غيابٍ وتسرّبٍ وظيفي</w:t>
      </w:r>
      <w:r>
        <w:rPr>
          <w:rFonts w:cs="Times New Roman"/>
          <w:szCs w:val="24"/>
        </w:rPr>
        <w:t xml:space="preserve"> (Pinder, 2008). </w:t>
      </w:r>
      <w:r>
        <w:rPr>
          <w:sz w:val="28"/>
          <w:rtl/>
        </w:rPr>
        <w:t>وتكتسب هذه المؤشرات في الإدارات التعليمية حساسيةً خاصة؛ لأنّ ضعف دافعية موظف الإدارة لا يقف أثره عند مكتبه، بل يمتد إلى مدارس ومستفيدين تعتمد خدماتهم على إنجازه.</w:t>
      </w:r>
    </w:p>
    <w:p w14:paraId="5C84E26F" w14:textId="77777777" w:rsidR="009A2F7A" w:rsidRDefault="009A2F7A" w:rsidP="009A2F7A">
      <w:pPr>
        <w:spacing w:after="120"/>
        <w:ind w:firstLine="283"/>
        <w:jc w:val="both"/>
      </w:pPr>
      <w:r>
        <w:rPr>
          <w:sz w:val="28"/>
          <w:rtl/>
        </w:rPr>
        <w:lastRenderedPageBreak/>
        <w:t>وقد رُوعي في اختيار هذه الأبعاد الثلاثة أن تجمع بين منظورَي النوع (داخلية/خارجية) والمحتوى (الإنجاز)، وأن تكون قابلةً للقياس بإدراك الموظف نفسه في أداة الدراسة، وأن تتسق مع التعريف الإجرائي للمتغير كما تحرر في الفصل الأول.</w:t>
      </w:r>
    </w:p>
    <w:p w14:paraId="70EFB03C" w14:textId="77777777" w:rsidR="009A2F7A" w:rsidRDefault="009A2F7A" w:rsidP="009A2F7A">
      <w:pPr>
        <w:spacing w:after="120"/>
        <w:ind w:firstLine="283"/>
        <w:jc w:val="both"/>
      </w:pPr>
      <w:r>
        <w:rPr>
          <w:sz w:val="28"/>
          <w:rtl/>
        </w:rPr>
        <w:t>وتجدر الإشارة، قبل مغادرة هذا المبحث، إلى الوشيجة النظرية بين الدافعية ومقاومة التغيير بوصفهما متغيرَي الدراسة التابعين. فالدافعية العالية، ولا سيما الداخلية منها، تقترن باتساع أفق الفرد المهني وثقته بكفاءته، وهما من أهم مضادات القلق الذي تتغذى عليه المقاومة الوجدانية، كما أنّ صاحب دافعية الإنجاز المرتفعة أميل إلى قراءة التغيير تحديًا يستثيره لا تهديدًا يستنفره</w:t>
      </w:r>
      <w:r>
        <w:rPr>
          <w:rFonts w:cs="Times New Roman"/>
          <w:szCs w:val="24"/>
        </w:rPr>
        <w:t xml:space="preserve"> (Ryan &amp; Deci, 2017). </w:t>
      </w:r>
      <w:r>
        <w:rPr>
          <w:sz w:val="28"/>
          <w:rtl/>
        </w:rPr>
        <w:t>وفي المقابل، فإنّ فتور الدافعية يهيّئ تربةً خصبة للمقاومة بمكوّناتها؛ إذ يفقد التغيير لدى الموظف الفاتر مبرّره ومعناه معًا. وهذه الوشيجة تسند تماسك نموذج الدراسة الذي يجمع المتغيرين تحت مؤثرٍ واحد، وإن ظلّ اختبار العلاقة المباشرة بينهما خارج حدود فرضياتها الحالية ومقترحًا مشروعًا لدراساتٍ لاحقة.</w:t>
      </w:r>
    </w:p>
    <w:p w14:paraId="3648EDED" w14:textId="77777777" w:rsidR="009A2F7A" w:rsidRPr="00535B76" w:rsidRDefault="009A2F7A" w:rsidP="009A2F7A">
      <w:pPr>
        <w:spacing w:before="120" w:after="120"/>
        <w:outlineLvl w:val="2"/>
        <w:rPr>
          <w:sz w:val="32"/>
          <w:szCs w:val="32"/>
        </w:rPr>
      </w:pPr>
      <w:bookmarkStart w:id="38" w:name="_Toc234589630"/>
      <w:r>
        <w:rPr>
          <w:b/>
          <w:bCs/>
          <w:sz w:val="32"/>
          <w:szCs w:val="32"/>
          <w:rtl/>
        </w:rPr>
        <w:t>5- دور القيادة التحويلية في تعزيز الدافعية</w:t>
      </w:r>
      <w:bookmarkEnd w:id="38"/>
    </w:p>
    <w:p w14:paraId="26DC67F4" w14:textId="77777777" w:rsidR="009A2F7A" w:rsidRDefault="009A2F7A" w:rsidP="009A2F7A">
      <w:pPr>
        <w:spacing w:after="120"/>
        <w:ind w:firstLine="283"/>
        <w:jc w:val="both"/>
      </w:pPr>
      <w:r>
        <w:rPr>
          <w:sz w:val="28"/>
          <w:rtl/>
        </w:rPr>
        <w:t>تلتقي خيوط التأصيل المتقدم عند علاقةٍ نظرية واضحة: فسلوكيات القائد التحويلي تُشبع، كلٌّ من جهته، الحاجات التي تنهض عليها الدافعية. فالاعتبارية الفردية تُشبع الانتماء والكفاءة بالرعاية والتطوير، والاستثارة الفكرية تُشبع الاستقلالية بفتح باب الاجتهاد، والحفز الإلهامي يمنح العمل معناه فيغذّي الدافعية الداخلية، والتأثير المثالي يجعل الالتزام بالأهداف تعبيرًا عن هويةٍ مشتركة لا امتثالًا لسلطة</w:t>
      </w:r>
      <w:r>
        <w:rPr>
          <w:rFonts w:cs="Times New Roman"/>
          <w:szCs w:val="24"/>
        </w:rPr>
        <w:t xml:space="preserve"> (Deci &amp; Ryan, 2000; Shamir et al., 1993). </w:t>
      </w:r>
      <w:r>
        <w:rPr>
          <w:sz w:val="28"/>
          <w:rtl/>
        </w:rPr>
        <w:t>كما تخاطب هذه السلوكيات دافعية الإنجاز تحديدًا؛ إذ يرفع القائد التحويلي سقف التوقعات ويقرنه بالثقة في قدرة أتباعه على بلوغه، فيتحوّل التحدي من مصدر قلقٍ إلى مصدر استثارة</w:t>
      </w:r>
      <w:r>
        <w:rPr>
          <w:rFonts w:cs="Times New Roman"/>
          <w:szCs w:val="24"/>
        </w:rPr>
        <w:t xml:space="preserve"> (Bass &amp; Riggio, 2006).</w:t>
      </w:r>
    </w:p>
    <w:p w14:paraId="708CC0B9" w14:textId="77777777" w:rsidR="009A2F7A" w:rsidRDefault="009A2F7A" w:rsidP="009A2F7A">
      <w:pPr>
        <w:spacing w:after="120"/>
        <w:ind w:firstLine="283"/>
        <w:jc w:val="both"/>
      </w:pPr>
      <w:r>
        <w:rPr>
          <w:sz w:val="28"/>
          <w:rtl/>
        </w:rPr>
        <w:t>ويمكن تفصيل هذه الآلية على مستوى الأبعاد تفصيلًا يهيّئ لقراءة نتائج الفصل الرابع. فالتأثير المثالي يُتوقع أن يرفع الدافعية الداخلية خاصة، لأنّ القدوة تمنح العمل قيمته لا عائده؛ والحفز الإلهامي يُتوقع أن يغذّي الداخلية ودافعية الإنجاز معًا، لأنّ الرؤية تمنح المعنى وترفع سقف الطموح؛ والاستثارة الفكرية تخاطب الداخلية بإشباع الحاجة إلى الكفاءة والاستقلال؛ فيما تعمل الاعتبارية الفردية في الجبهات الثلاث، لأنّ الرعاية الفردية تُشبع الانتماء وتحسّن إدراك العدالة وتفتح مسارات الإنجاز الشخصية. وبهذا التفصيل تتحول الفرضية الأولى من افتراضٍ إجمالي إلى شبكة توقعاتٍ قابلة للفحص البُعدي.</w:t>
      </w:r>
    </w:p>
    <w:p w14:paraId="62CA652D" w14:textId="77777777" w:rsidR="009A2F7A" w:rsidRDefault="009A2F7A" w:rsidP="009A2F7A">
      <w:pPr>
        <w:spacing w:after="120"/>
        <w:ind w:firstLine="283"/>
        <w:jc w:val="both"/>
      </w:pPr>
      <w:r>
        <w:rPr>
          <w:sz w:val="28"/>
          <w:rtl/>
        </w:rPr>
        <w:t>وتسند الشواهد التجريبية هذا التصوّر. فقد أظهرت التحليلات البعدية اتساق ارتباط القيادة التحويلية بدافعية الأتباع ورضاهم عبر السياقات</w:t>
      </w:r>
      <w:r>
        <w:rPr>
          <w:rFonts w:cs="Times New Roman"/>
          <w:szCs w:val="24"/>
        </w:rPr>
        <w:t xml:space="preserve"> (Judge &amp; Piccolo, 2004)</w:t>
      </w:r>
      <w:r>
        <w:rPr>
          <w:sz w:val="28"/>
          <w:rtl/>
        </w:rPr>
        <w:t xml:space="preserve">، ووجدت الدراسات </w:t>
      </w:r>
      <w:r>
        <w:rPr>
          <w:sz w:val="28"/>
          <w:rtl/>
        </w:rPr>
        <w:lastRenderedPageBreak/>
        <w:t>العربية علاقةً موجبة بين السلوك القيادي التحويلي ودافعية الإنجاز لدى المرؤوسين (بن عبد الرحمن، 2011). بل تذهب أحدث الأدلة إلى أدقّ من ذلك؛ فقد أثبتت دراسة يومياتٍ متعددة المستويات أنّ أثر السلوك التحويلي يتجدد يومًا بيوم: ففي الأيام التي يمارس فيها القادة الاستثارة الفكرية والاعتبارية الفردية تحديدًا، يزداد توظيف الأتباع لنقاط قوتهم ومبادرتهم الشخصية واندماجهم في العمل وأداؤهم</w:t>
      </w:r>
      <w:r>
        <w:rPr>
          <w:rFonts w:cs="Times New Roman"/>
          <w:szCs w:val="24"/>
        </w:rPr>
        <w:t xml:space="preserve"> (Bakker et al., 2023)</w:t>
      </w:r>
      <w:r>
        <w:rPr>
          <w:sz w:val="28"/>
          <w:rtl/>
        </w:rPr>
        <w:t>؛ مما يؤكد أنّ العلاقة ليست سمةً ساكنة بل عمليةً حيّة يصنعها السلوك القيادي المتكرر. وعلى هذا الأساس النظري والتجريبي تنهض الفرضية الفرعية الأولى للدراسة، القائلة بوجود أثرٍ ذي دلالة إحصائية للقيادة التحويلية في الدافعية لدى موظفي إدارة التعليم بمنطقة عسير، وهي فرضيةٌ يتكفّل الفصل الرابع باختبارها ميدانيًا.</w:t>
      </w:r>
    </w:p>
    <w:p w14:paraId="099865D0" w14:textId="77777777" w:rsidR="009A2F7A" w:rsidRDefault="009A2F7A" w:rsidP="009A2F7A">
      <w:pPr>
        <w:spacing w:after="120"/>
        <w:ind w:firstLine="283"/>
        <w:jc w:val="both"/>
      </w:pPr>
      <w:r>
        <w:rPr>
          <w:sz w:val="28"/>
          <w:rtl/>
        </w:rPr>
        <w:t>وبناءً على ما تقدم، يخلص هذا المحور إلى أنّ الدافعية بناءٌ متعدد المصادر تلتقي روافده الكبرى، من إشباع الحاجات وصناعة المعنى وعدالة الإدراك، عند السلوك القيادي بوصفه أهم متغيرات السياق قابليةً للتدخل؛ وأنّ أبعادها الثلاثة المعتمدة تمنح الدراسة قدرةً تشخيصية تتجاوز السؤال عن مقدار الدافعية إلى السؤال عن نوعها ومصدرها. وإذا كان هذا المحور قد تناول الوجه البنّاء لأثر القيادة التحويلية، وهو ما تعزّزه في نفوس العاملين من طاقةٍ دافعة، فإنّ للأثر وجهًا آخر لا يقلّ حسمًا في زمن التحولات: ما تُطفئه من قوى الممانعة حين يطرق التغيير أبواب المنظمة؛ وهو ما يتولاه المحور التالي.</w:t>
      </w:r>
    </w:p>
    <w:p w14:paraId="368696B5" w14:textId="77777777" w:rsidR="009A2F7A" w:rsidRPr="00535B76" w:rsidRDefault="009A2F7A" w:rsidP="009A2F7A">
      <w:pPr>
        <w:spacing w:before="120" w:after="120"/>
        <w:outlineLvl w:val="1"/>
        <w:rPr>
          <w:sz w:val="36"/>
          <w:szCs w:val="36"/>
        </w:rPr>
      </w:pPr>
      <w:bookmarkStart w:id="39" w:name="_Toc234589631"/>
      <w:r>
        <w:rPr>
          <w:b/>
          <w:bCs/>
          <w:sz w:val="36"/>
          <w:szCs w:val="36"/>
          <w:u w:val="single"/>
          <w:rtl/>
        </w:rPr>
        <w:t xml:space="preserve">ثالثًا: </w:t>
      </w:r>
      <w:r>
        <w:rPr>
          <w:rFonts w:hint="cs"/>
          <w:b/>
          <w:bCs/>
          <w:sz w:val="36"/>
          <w:szCs w:val="36"/>
          <w:u w:val="single"/>
          <w:rtl/>
        </w:rPr>
        <w:t xml:space="preserve">المحور الثالث </w:t>
      </w:r>
      <w:r>
        <w:rPr>
          <w:b/>
          <w:bCs/>
          <w:sz w:val="36"/>
          <w:szCs w:val="36"/>
          <w:u w:val="single"/>
          <w:rtl/>
        </w:rPr>
        <w:t>مقاومة التغيير</w:t>
      </w:r>
      <w:bookmarkEnd w:id="39"/>
    </w:p>
    <w:p w14:paraId="645075CB" w14:textId="77777777" w:rsidR="009A2F7A" w:rsidRPr="00535B76" w:rsidRDefault="009A2F7A" w:rsidP="009A2F7A">
      <w:pPr>
        <w:spacing w:before="120" w:after="120"/>
        <w:outlineLvl w:val="2"/>
        <w:rPr>
          <w:sz w:val="32"/>
          <w:szCs w:val="32"/>
        </w:rPr>
      </w:pPr>
      <w:bookmarkStart w:id="40" w:name="_Toc234589632"/>
      <w:r>
        <w:rPr>
          <w:b/>
          <w:bCs/>
          <w:sz w:val="32"/>
          <w:szCs w:val="32"/>
          <w:rtl/>
        </w:rPr>
        <w:t>1- مفهوم مقاومة التغيير وتطوّر النظرة إليها</w:t>
      </w:r>
      <w:bookmarkEnd w:id="40"/>
    </w:p>
    <w:p w14:paraId="7DC3D6FE" w14:textId="77777777" w:rsidR="009A2F7A" w:rsidRDefault="009A2F7A" w:rsidP="009A2F7A">
      <w:pPr>
        <w:spacing w:after="120"/>
        <w:ind w:firstLine="283"/>
        <w:jc w:val="both"/>
      </w:pPr>
      <w:r>
        <w:rPr>
          <w:sz w:val="28"/>
          <w:rtl/>
        </w:rPr>
        <w:t>يمثّل التغيير سمة العصر المنظمي، غير أنّ نصيبًا وافرًا من مبادراته يتعثر، لا لخللٍ في تصميمها بل لمقاومة العاملين لها؛ ومن هنا احتلت مقاومة التغيير موقعها موضوعًا مركزيًا في السلوك التنظيمي. وتعود جذور دراستها إلى أعمال لوين الذي صوّر سلوك الجماعة توازنًا بين قوًى دافعة للتغيير وقوًى مقيّدة له، وعدّ المقاومة أبرز القوى المقيّدة</w:t>
      </w:r>
      <w:r>
        <w:rPr>
          <w:rFonts w:cs="Times New Roman"/>
          <w:szCs w:val="24"/>
        </w:rPr>
        <w:t xml:space="preserve"> (Lewin, 1947)</w:t>
      </w:r>
      <w:r>
        <w:rPr>
          <w:sz w:val="28"/>
          <w:rtl/>
        </w:rPr>
        <w:t>، وإلى الدراسة الميدانية الرائدة التي أثبتت أنّ مشاركة العاملين في تصميم التغيير تخفض مقاومتهم له خفضًا ملموسًا</w:t>
      </w:r>
      <w:r>
        <w:rPr>
          <w:rFonts w:cs="Times New Roman"/>
          <w:szCs w:val="24"/>
        </w:rPr>
        <w:t xml:space="preserve"> (Coch &amp; French, 1948).</w:t>
      </w:r>
    </w:p>
    <w:p w14:paraId="5D1BBDD7" w14:textId="77777777" w:rsidR="009A2F7A" w:rsidRDefault="009A2F7A" w:rsidP="009A2F7A">
      <w:pPr>
        <w:spacing w:after="120"/>
        <w:ind w:firstLine="283"/>
        <w:jc w:val="both"/>
      </w:pPr>
      <w:r>
        <w:rPr>
          <w:sz w:val="28"/>
          <w:rtl/>
        </w:rPr>
        <w:t>ويستلزم ضبط المفهوم تمييزًا دقيقًا بين مستويين: الاستعداد للمقاومة، بوصفه سمةً شخصية ثابتة نسبيًا تجعل صاحبها أميل إلى النفور من التغيير أيًّا كان مضمونه؛ والمقاومة الموقفية، بوصفها استجابةً لتغييرٍ بعينه تتشكل من تقييم الفرد لذلك التغيير وسياقه</w:t>
      </w:r>
      <w:r>
        <w:rPr>
          <w:rFonts w:cs="Times New Roman"/>
          <w:szCs w:val="24"/>
        </w:rPr>
        <w:t xml:space="preserve"> (Oreg, 2003; Oreg, 2006). </w:t>
      </w:r>
      <w:r>
        <w:rPr>
          <w:sz w:val="28"/>
          <w:rtl/>
        </w:rPr>
        <w:t xml:space="preserve">والدراسة الحالية معنيّةٌ بالمستوى الثاني تحديدًا؛ إذ تقيس مقاومة موظفي إدارة التعليم </w:t>
      </w:r>
      <w:r>
        <w:rPr>
          <w:sz w:val="28"/>
          <w:rtl/>
        </w:rPr>
        <w:lastRenderedPageBreak/>
        <w:t>للتغييرات التنظيمية التي تشهدها إدارتهم، وهو المستوى الذي يملك السلوك القيادي التأثير فيه، بخلاف السمة الاستعدادية الأبعد عن متناوله.</w:t>
      </w:r>
    </w:p>
    <w:p w14:paraId="0C4ECCC8" w14:textId="77777777" w:rsidR="009A2F7A" w:rsidRDefault="009A2F7A" w:rsidP="009A2F7A">
      <w:pPr>
        <w:spacing w:after="120"/>
        <w:ind w:firstLine="283"/>
        <w:jc w:val="both"/>
      </w:pPr>
      <w:r>
        <w:rPr>
          <w:sz w:val="28"/>
          <w:rtl/>
        </w:rPr>
        <w:t>ثم تطورت النظرة إلى المفهوم في اتجاهين. أولهما تجاوز النظرة السلوكية الضيقة إلى تصوّر المقاومة اتجاهًا نفسيًا مركّبًا يجمع مكوّناتٍ معرفية ووجدانية وسلوكية قد تتفاوت في اتساقها، حتى إنّ الفرد قد يتقبل التغيير عقلًا وينفر منه وجدانًا</w:t>
      </w:r>
      <w:r>
        <w:rPr>
          <w:rFonts w:cs="Times New Roman"/>
          <w:szCs w:val="24"/>
        </w:rPr>
        <w:t xml:space="preserve"> (Piderit, 2000). </w:t>
      </w:r>
      <w:r>
        <w:rPr>
          <w:sz w:val="28"/>
          <w:rtl/>
        </w:rPr>
        <w:t>وثانيهما إخضاع الاستعداد للمقاومة للقياس الفردي؛ إذ طوّر أوريغ مقياسًا للمقاومة الاستعدادية بوصفها سمةً شخصية تتوزع على البحث عن الروتين ورد الفعل الانفعالي والتركيز قصير المدى والجمود المعرفي</w:t>
      </w:r>
      <w:r>
        <w:rPr>
          <w:rFonts w:cs="Times New Roman"/>
          <w:szCs w:val="24"/>
        </w:rPr>
        <w:t xml:space="preserve"> (Oreg, 2003)</w:t>
      </w:r>
      <w:r>
        <w:rPr>
          <w:sz w:val="28"/>
          <w:rtl/>
        </w:rPr>
        <w:t>، ثم بيّن أنّ الاستجابة للتغيير في المواقف المحددة تتجلى في المكوّنات الثلاثة المعرفية والوجدانية والسلوكية</w:t>
      </w:r>
      <w:r>
        <w:rPr>
          <w:rFonts w:cs="Times New Roman"/>
          <w:szCs w:val="24"/>
        </w:rPr>
        <w:t xml:space="preserve"> (Oreg, 2006). </w:t>
      </w:r>
      <w:r>
        <w:rPr>
          <w:sz w:val="28"/>
          <w:rtl/>
        </w:rPr>
        <w:t>وقد تبنّت الدراسة الحالية، كما تقرّر في الفصل الأول، تعريف أوريغ أساسًا للقياس لِما يوفره من مكوّناتٍ قابلة للتفعيل في الأداة</w:t>
      </w:r>
      <w:r>
        <w:rPr>
          <w:rFonts w:cs="Times New Roman"/>
          <w:szCs w:val="24"/>
        </w:rPr>
        <w:t xml:space="preserve"> (Oreg, 2006).</w:t>
      </w:r>
    </w:p>
    <w:p w14:paraId="4612C8CE" w14:textId="77777777" w:rsidR="009A2F7A" w:rsidRPr="00535B76" w:rsidRDefault="009A2F7A" w:rsidP="009A2F7A">
      <w:pPr>
        <w:spacing w:before="120" w:after="120"/>
        <w:outlineLvl w:val="2"/>
        <w:rPr>
          <w:sz w:val="32"/>
          <w:szCs w:val="32"/>
        </w:rPr>
      </w:pPr>
      <w:bookmarkStart w:id="41" w:name="_Toc234589633"/>
      <w:r>
        <w:rPr>
          <w:b/>
          <w:bCs/>
          <w:sz w:val="28"/>
          <w:rtl/>
        </w:rPr>
        <w:t>2</w:t>
      </w:r>
      <w:r>
        <w:rPr>
          <w:b/>
          <w:bCs/>
          <w:sz w:val="32"/>
          <w:szCs w:val="32"/>
          <w:rtl/>
        </w:rPr>
        <w:t>- أسباب مقاومة التغيير ومصادرها</w:t>
      </w:r>
      <w:bookmarkEnd w:id="41"/>
    </w:p>
    <w:p w14:paraId="59AE70DC" w14:textId="77777777" w:rsidR="009A2F7A" w:rsidRDefault="009A2F7A" w:rsidP="009A2F7A">
      <w:pPr>
        <w:spacing w:after="120"/>
        <w:ind w:firstLine="283"/>
        <w:jc w:val="both"/>
      </w:pPr>
      <w:r>
        <w:rPr>
          <w:sz w:val="28"/>
          <w:rtl/>
        </w:rPr>
        <w:t>حدّد كوتر وشليزنجر، في تحليلٍ غدا مرجعًا كلاسيكيًا، أربعة أسبابٍ كبرى تقف وراء مقاومة الأفراد للتغيير: المصلحة الذاتية الضيقة حين يتوقع الفرد خسارة شيءٍ ذي قيمة؛ وسوء الفهم وانعدام الثقة حين تغيب المعلومات أو تُساء قراءة النوايا؛ واختلاف التقييم حين يرى الفرد كلفة التغيير أرجح من عوائده؛ وتدنّي تحمّل التغيير حين يشك الفرد في قدرته على اكتساب ما يتطلبه من مهاراتٍ وسلوكيات</w:t>
      </w:r>
      <w:r>
        <w:rPr>
          <w:rFonts w:cs="Times New Roman"/>
          <w:szCs w:val="24"/>
        </w:rPr>
        <w:t xml:space="preserve"> (Kotter &amp; Schlesinger, 2008). </w:t>
      </w:r>
      <w:r>
        <w:rPr>
          <w:sz w:val="28"/>
          <w:rtl/>
        </w:rPr>
        <w:t>وتضيف الأدبيات مصادر تنظيمية تغذّي هذه الأسباب: كضعف التواصل حول دواعي التغيير، وإقصاء المعنيين عن تصميمه، وتراكم تجارب تغييرٍ سابقة مخفقة استنزفت رصيد الثقة</w:t>
      </w:r>
      <w:r>
        <w:rPr>
          <w:rFonts w:cs="Times New Roman"/>
          <w:szCs w:val="24"/>
        </w:rPr>
        <w:t xml:space="preserve"> (Armenakis &amp; Bedeian, 1999).</w:t>
      </w:r>
    </w:p>
    <w:p w14:paraId="142C8297" w14:textId="77777777" w:rsidR="009A2F7A" w:rsidRDefault="009A2F7A" w:rsidP="009A2F7A">
      <w:pPr>
        <w:spacing w:after="120"/>
        <w:ind w:firstLine="283"/>
        <w:jc w:val="both"/>
      </w:pPr>
      <w:r>
        <w:rPr>
          <w:sz w:val="28"/>
          <w:rtl/>
        </w:rPr>
        <w:t>وتضيف البيئة التعليمية مصادرها الخاصة. فطول عهد كثيرٍ من موظفي الإدارات التعليمية بإجراءاتٍ مستقرة يرسّخ الألفة التي يهدّدها التغيير، وتعاقب المبادرات التطويرية في فتراتٍ متقاربة قد يولّد ما يشبه إجهاد التغيير، فيستقبل الموظف كل مبادرةٍ جديدة بفتورٍ وقائي، كما أنّ الطابع الرقمي لكثيرٍ من تحولات القطاع يثير لدى بعض الموظفين قلق الكفاءة، خشية عجزٍ متوقَّع عن مجاراة المتطلبات التقنية؛ وكلها مصادر تتعامل معها الاعتبارية الفردية والتيسير والدعم أكثر مما تتعامل معها التعليمات.</w:t>
      </w:r>
    </w:p>
    <w:p w14:paraId="0A9A8618" w14:textId="77777777" w:rsidR="009A2F7A" w:rsidRDefault="009A2F7A" w:rsidP="009A2F7A">
      <w:pPr>
        <w:spacing w:after="120"/>
        <w:ind w:firstLine="283"/>
        <w:jc w:val="both"/>
      </w:pPr>
      <w:r>
        <w:rPr>
          <w:sz w:val="28"/>
          <w:rtl/>
        </w:rPr>
        <w:t>ويلفت تيارٌ حديث في الأدبيات إلى ضرورة إنصاف الظاهرة. فالمقاومة ليست دومًا عنادًا غير عقلاني، بل كثيرًا ما تكون تغذيةً راجعة صادقة تكشف عيوبًا حقيقية في التغيير أو في طريقة قيادته، ويكون قادة التغيير أنفسهم، بسوء تواصلهم أو نقضهم لالتزاماتهم، شركاء في صناعتها</w:t>
      </w:r>
      <w:r>
        <w:rPr>
          <w:rFonts w:cs="Times New Roman"/>
          <w:szCs w:val="24"/>
        </w:rPr>
        <w:t xml:space="preserve"> (Ford et al., 2008). </w:t>
      </w:r>
      <w:r>
        <w:rPr>
          <w:sz w:val="28"/>
          <w:rtl/>
        </w:rPr>
        <w:t xml:space="preserve">وتنعكس هذه النظرة على الدراسة الحالية في موضعين: تفسير مستويات </w:t>
      </w:r>
      <w:r>
        <w:rPr>
          <w:sz w:val="28"/>
          <w:rtl/>
        </w:rPr>
        <w:lastRenderedPageBreak/>
        <w:t>المقاومة المرصودة بوصفها مؤشرًا تشخيصيًا لا وصمةً للموظفين، وإبراز مسؤولية السلوك القيادي عن تشكيل تلك المستويات.</w:t>
      </w:r>
    </w:p>
    <w:p w14:paraId="6516F2C6" w14:textId="77777777" w:rsidR="009A2F7A" w:rsidRDefault="009A2F7A" w:rsidP="009A2F7A">
      <w:pPr>
        <w:spacing w:before="120" w:after="120"/>
        <w:outlineLvl w:val="2"/>
      </w:pPr>
      <w:bookmarkStart w:id="42" w:name="_Toc234589634"/>
      <w:r>
        <w:rPr>
          <w:b/>
          <w:bCs/>
          <w:sz w:val="28"/>
          <w:rtl/>
        </w:rPr>
        <w:t>3</w:t>
      </w:r>
      <w:r>
        <w:rPr>
          <w:b/>
          <w:bCs/>
          <w:sz w:val="32"/>
          <w:szCs w:val="32"/>
          <w:rtl/>
        </w:rPr>
        <w:t>- أشكال مقاومة التغيير وأبعادها</w:t>
      </w:r>
      <w:bookmarkEnd w:id="42"/>
    </w:p>
    <w:p w14:paraId="3C6C8EA4" w14:textId="77777777" w:rsidR="009A2F7A" w:rsidRDefault="009A2F7A" w:rsidP="009A2F7A">
      <w:pPr>
        <w:spacing w:after="120"/>
        <w:ind w:firstLine="283"/>
        <w:jc w:val="both"/>
      </w:pPr>
      <w:r>
        <w:rPr>
          <w:sz w:val="28"/>
          <w:rtl/>
        </w:rPr>
        <w:t>تتخذ المقاومة أشكالًا تتراوح بين الصريح والمستتر، وبين الفعّال والسلبي؛ فمنها الاعتراض المعلن والجدل المستمر، ومنها التباطؤ الصامت وتأجيل التنفيذ والامتثال الشكلي الذي يفرغ التغيير من مضمونه. غير أنّ الدراسة الحالية تتجاوز حصر الأشكال الظاهرة إلى قياس البنية النفسية للمقاومة وفق النموذج الثلاثي للاتجاهات، الذي يحلّلها إلى ثلاثة مكوّناتٍ متمايزة</w:t>
      </w:r>
      <w:r>
        <w:rPr>
          <w:rFonts w:cs="Times New Roman"/>
          <w:szCs w:val="24"/>
        </w:rPr>
        <w:t xml:space="preserve"> (Oreg, 2006; Piderit, 2000):</w:t>
      </w:r>
    </w:p>
    <w:p w14:paraId="2BA8F4F5" w14:textId="77777777" w:rsidR="009A2F7A" w:rsidRPr="001C288F" w:rsidRDefault="009A2F7A" w:rsidP="009A2F7A">
      <w:pPr>
        <w:spacing w:after="120"/>
        <w:ind w:firstLine="283"/>
        <w:jc w:val="both"/>
      </w:pPr>
      <w:r w:rsidRPr="001C288F">
        <w:rPr>
          <w:b/>
          <w:bCs/>
          <w:sz w:val="32"/>
          <w:szCs w:val="32"/>
          <w:rtl/>
        </w:rPr>
        <w:t>المكوّن المعرفي (المقاومة المعرفية):</w:t>
      </w:r>
      <w:r>
        <w:rPr>
          <w:b/>
          <w:bCs/>
          <w:sz w:val="28"/>
          <w:rtl/>
        </w:rPr>
        <w:t xml:space="preserve"> </w:t>
      </w:r>
      <w:r w:rsidRPr="001C288F">
        <w:rPr>
          <w:sz w:val="28"/>
          <w:rtl/>
        </w:rPr>
        <w:t>ويتمثل في التقييم السلبي لجدوى التغيير؛ من اعتقادٍ بعدم ضرورته، أو بترجّح كلفته على عوائده، أو بخطأ توقيته وأسلوبه. وهو المخاطَب الأول بالاستثارة الفكرية وبالتواصل المقنع حول دواعي التغيير.</w:t>
      </w:r>
    </w:p>
    <w:p w14:paraId="0BCA2A82" w14:textId="77777777" w:rsidR="009A2F7A" w:rsidRPr="001C288F" w:rsidRDefault="009A2F7A" w:rsidP="009A2F7A">
      <w:pPr>
        <w:spacing w:after="120"/>
        <w:ind w:firstLine="283"/>
        <w:jc w:val="both"/>
      </w:pPr>
      <w:r w:rsidRPr="001C288F">
        <w:rPr>
          <w:b/>
          <w:bCs/>
          <w:sz w:val="32"/>
          <w:szCs w:val="32"/>
          <w:rtl/>
        </w:rPr>
        <w:t>المكوّن الوجداني (المقاومة الوجدانية):</w:t>
      </w:r>
      <w:r>
        <w:rPr>
          <w:b/>
          <w:bCs/>
          <w:sz w:val="28"/>
          <w:rtl/>
        </w:rPr>
        <w:t xml:space="preserve"> </w:t>
      </w:r>
      <w:r w:rsidRPr="001C288F">
        <w:rPr>
          <w:sz w:val="28"/>
          <w:rtl/>
        </w:rPr>
        <w:t>ويتمثل فيما يثيره التغيير من مشاعر قلقٍ وتوجّسٍ وضيقٍ وفقدانٍ للطمأنينة، وهي مشاعر قد تعمل مستقلةً عن التقييم العقلي، بل قد تسبقه وتوجّهه. وهو المخاطَب الأول بالتأثير المثالي والاعتبارية الفردية بما يبثّانه من ثقةٍ وطمأنينة.</w:t>
      </w:r>
    </w:p>
    <w:p w14:paraId="65CD65FC" w14:textId="77777777" w:rsidR="009A2F7A" w:rsidRPr="001C288F" w:rsidRDefault="009A2F7A" w:rsidP="009A2F7A">
      <w:pPr>
        <w:spacing w:after="120"/>
        <w:ind w:firstLine="283"/>
        <w:jc w:val="both"/>
      </w:pPr>
      <w:r w:rsidRPr="001C288F">
        <w:rPr>
          <w:b/>
          <w:bCs/>
          <w:sz w:val="32"/>
          <w:szCs w:val="32"/>
          <w:rtl/>
        </w:rPr>
        <w:t>المكوّن السلوكي (المقاومة السلوكية</w:t>
      </w:r>
      <w:r w:rsidRPr="001C288F">
        <w:rPr>
          <w:sz w:val="32"/>
          <w:szCs w:val="32"/>
          <w:rtl/>
        </w:rPr>
        <w:t>):</w:t>
      </w:r>
      <w:r w:rsidRPr="001C288F">
        <w:rPr>
          <w:sz w:val="28"/>
          <w:rtl/>
        </w:rPr>
        <w:t xml:space="preserve"> ويتمثل في الأفعال أو النوايا السلوكية المناهضة للتغيير؛ من اعتراضٍ وشكوى وتباطؤٍ وإحجامٍ عن التعاون. وهو المحصلة الظاهرة للمكوّنين السابقين، وبه تُقاس الكلفة العملية للمقاومة على مبادرات التطوير.</w:t>
      </w:r>
    </w:p>
    <w:p w14:paraId="13CE6D8F" w14:textId="77777777" w:rsidR="009A2F7A" w:rsidRDefault="009A2F7A" w:rsidP="009A2F7A">
      <w:pPr>
        <w:spacing w:after="120"/>
        <w:ind w:firstLine="283"/>
        <w:jc w:val="both"/>
      </w:pPr>
      <w:r>
        <w:rPr>
          <w:sz w:val="28"/>
          <w:rtl/>
        </w:rPr>
        <w:t>ولا تقف كلفة المقاومة عند تعطيل مبادرةٍ بعينها؛ فهي تستنزف وقت القيادات وجهدها في الاحتواء والإقناع، وترفع كلفة التنفيذ المادية والزمنية، وتشيع مناخًا من الاستقطاب بين مؤيدي التغيير ومعارضيه، وقد ترتد على المقاوِم نفسه توترًا وإنهاكًا وتراجعًا في حضوره المهني. وفي المقابل، فإنّ قمعها دون فهم أسبابها يدفعها إلى الاستتار حيث تشتد خطورتها؛ ولهذا تميل الأدبيات المعاصرة إلى التعامل معها بوصفها بياناتٍ تشخيصية تستوجب الإصغاء قبل أي شيء</w:t>
      </w:r>
      <w:r>
        <w:rPr>
          <w:rFonts w:cs="Times New Roman"/>
          <w:szCs w:val="24"/>
        </w:rPr>
        <w:t xml:space="preserve"> (Ford et al., 2008).</w:t>
      </w:r>
      <w:r>
        <w:rPr>
          <w:sz w:val="28"/>
          <w:rtl/>
        </w:rPr>
        <w:t>وإلى جانب مكوّناتها النفسية، تتوزع المقاومة على ثلاثة مستوياتٍ متفاعلة: مستوى الفرد حيث تعمل الإدراكات والمشاعر المتقدمة؛ ومستوى الجماعة حيث تتحول المواقف الفردية، عبر التفاعل والمعايير المشتركة، إلى موقفٍ جمعي أشد تماسكًا وأصعب اختراقًا، وهو ما كشفته الدراسات المبكرة من أنّ قرار الجماعة المشارِكة في التغيير يذيب مقاومة أفرادها</w:t>
      </w:r>
      <w:r>
        <w:rPr>
          <w:rFonts w:cs="Times New Roman"/>
          <w:szCs w:val="24"/>
        </w:rPr>
        <w:t xml:space="preserve"> (Coch &amp; French, 1948)</w:t>
      </w:r>
      <w:r>
        <w:rPr>
          <w:sz w:val="28"/>
          <w:rtl/>
        </w:rPr>
        <w:t xml:space="preserve">؛ ومستوى المنظمة حيث تتجسد المقاومة في بطء الإجراءات وتحصّن الوحدات خلف صلاحياتها وثقافةٍ تنظيمية تُعلي الاستقرار. ودلالة هذا التمييز للدراسة أنّ القائد التحويلي </w:t>
      </w:r>
      <w:r>
        <w:rPr>
          <w:sz w:val="28"/>
          <w:rtl/>
        </w:rPr>
        <w:lastRenderedPageBreak/>
        <w:t>يؤثر في المستويات الثلاثة: في الفرد بالرعاية والإقناع، وفي الجماعة ببناء رؤيةٍ مشتركة، وفي المنظمة ببثّ ثقافةٍ مرحّبة بالتجديد.</w:t>
      </w:r>
      <w:r>
        <w:rPr>
          <w:rFonts w:hint="cs"/>
          <w:rtl/>
        </w:rPr>
        <w:t xml:space="preserve"> </w:t>
      </w:r>
      <w:r>
        <w:rPr>
          <w:sz w:val="28"/>
          <w:rtl/>
        </w:rPr>
        <w:t>ويوضّح الشكل (2-2) هذه المكوّنات الثلاثة في بنائها الواحد:</w:t>
      </w:r>
    </w:p>
    <w:p w14:paraId="714DC7D6" w14:textId="77777777" w:rsidR="009A2F7A" w:rsidRDefault="009A2F7A" w:rsidP="009A2F7A">
      <w:pPr>
        <w:spacing w:before="120" w:after="60"/>
        <w:jc w:val="center"/>
      </w:pPr>
      <w:r>
        <w:rPr>
          <w:noProof/>
        </w:rPr>
        <mc:AlternateContent>
          <mc:Choice Requires="wpg">
            <w:drawing>
              <wp:inline distT="0" distB="0" distL="0" distR="0" wp14:anchorId="054B1AC7" wp14:editId="2D4EFBD1">
                <wp:extent cx="5472000" cy="2000000"/>
                <wp:effectExtent l="19050" t="0" r="27940" b="46990"/>
                <wp:docPr id="3" name="شكل 2-2: المكوّنات الثلاثة لمقاومة التغيير"/>
                <wp:cNvGraphicFramePr/>
                <a:graphic xmlns:a="http://schemas.openxmlformats.org/drawingml/2006/main">
                  <a:graphicData uri="http://schemas.microsoft.com/office/word/2010/wordprocessingGroup">
                    <wpg:wgp>
                      <wpg:cNvGrpSpPr/>
                      <wpg:grpSpPr>
                        <a:xfrm>
                          <a:off x="0" y="0"/>
                          <a:ext cx="5472000" cy="2000000"/>
                          <a:chOff x="0" y="0"/>
                          <a:chExt cx="5472000" cy="2000000"/>
                        </a:xfrm>
                      </wpg:grpSpPr>
                      <wps:wsp>
                        <wps:cNvPr id="1040203206" name="مقاومة التغيير"/>
                        <wps:cNvSpPr/>
                        <wps:spPr>
                          <a:xfrm>
                            <a:off x="1686000" y="0"/>
                            <a:ext cx="2100000" cy="560000"/>
                          </a:xfrm>
                          <a:prstGeom prst="roundRect">
                            <a:avLst>
                              <a:gd name="adj" fmla="val 16000"/>
                            </a:avLst>
                          </a:prstGeom>
                          <a:solidFill>
                            <a:srgbClr val="8FB8C9"/>
                          </a:solidFill>
                          <a:ln w="19050">
                            <a:solidFill>
                              <a:srgbClr val="7AA6B9"/>
                            </a:solidFill>
                          </a:ln>
                        </wps:spPr>
                        <wps:txbx>
                          <w:txbxContent>
                            <w:p w14:paraId="2DE18FB4" w14:textId="77777777" w:rsidR="009A2F7A" w:rsidRDefault="009A2F7A" w:rsidP="009A2F7A">
                              <w:pPr>
                                <w:jc w:val="center"/>
                              </w:pPr>
                              <w:r>
                                <w:rPr>
                                  <w:rFonts w:ascii="Simplified Arabic" w:hAnsi="Simplified Arabic"/>
                                  <w:b/>
                                  <w:bCs/>
                                  <w:color w:val="304652"/>
                                  <w:sz w:val="28"/>
                                  <w:rtl/>
                                </w:rPr>
                                <w:t>مقاومة التغيير</w:t>
                              </w:r>
                            </w:p>
                          </w:txbxContent>
                        </wps:txbx>
                        <wps:bodyPr rot="0" spcFirstLastPara="0" vert="horz" wrap="square" lIns="36000" tIns="18000" rIns="36000" bIns="18000" anchor="ctr" anchorCtr="0">
                          <a:noAutofit/>
                        </wps:bodyPr>
                      </wps:wsp>
                      <wps:wsp>
                        <wps:cNvPr id="3906584" name="سهم 11"/>
                        <wps:cNvCnPr/>
                        <wps:spPr>
                          <a:xfrm flipH="1">
                            <a:off x="800000" y="560000"/>
                            <a:ext cx="1936000" cy="800000"/>
                          </a:xfrm>
                          <a:prstGeom prst="straightConnector1">
                            <a:avLst/>
                          </a:prstGeom>
                          <a:ln w="15875" cap="rnd">
                            <a:solidFill>
                              <a:srgbClr val="8FB8C9"/>
                            </a:solidFill>
                            <a:round/>
                            <a:tailEnd type="triangle" w="med" len="med"/>
                          </a:ln>
                        </wps:spPr>
                        <wps:bodyPr/>
                      </wps:wsp>
                      <wps:wsp>
                        <wps:cNvPr id="1521913006" name="سهم 12"/>
                        <wps:cNvCnPr/>
                        <wps:spPr>
                          <a:xfrm>
                            <a:off x="2736000" y="560000"/>
                            <a:ext cx="0" cy="800000"/>
                          </a:xfrm>
                          <a:prstGeom prst="straightConnector1">
                            <a:avLst/>
                          </a:prstGeom>
                          <a:ln w="15875" cap="rnd">
                            <a:solidFill>
                              <a:srgbClr val="8FB8C9"/>
                            </a:solidFill>
                            <a:round/>
                            <a:tailEnd type="triangle" w="med" len="med"/>
                          </a:ln>
                        </wps:spPr>
                        <wps:bodyPr/>
                      </wps:wsp>
                      <wps:wsp>
                        <wps:cNvPr id="1835459420" name="سهم 13"/>
                        <wps:cNvCnPr/>
                        <wps:spPr>
                          <a:xfrm>
                            <a:off x="2736000" y="560000"/>
                            <a:ext cx="1936000" cy="800000"/>
                          </a:xfrm>
                          <a:prstGeom prst="straightConnector1">
                            <a:avLst/>
                          </a:prstGeom>
                          <a:ln w="15875" cap="rnd">
                            <a:solidFill>
                              <a:srgbClr val="8FB8C9"/>
                            </a:solidFill>
                            <a:round/>
                            <a:tailEnd type="triangle" w="med" len="med"/>
                          </a:ln>
                        </wps:spPr>
                        <wps:bodyPr/>
                      </wps:wsp>
                      <wps:wsp>
                        <wps:cNvPr id="81772339" name="المقاومة السلوكية"/>
                        <wps:cNvSpPr/>
                        <wps:spPr>
                          <a:xfrm>
                            <a:off x="0" y="1360000"/>
                            <a:ext cx="1600000" cy="640000"/>
                          </a:xfrm>
                          <a:prstGeom prst="roundRect">
                            <a:avLst>
                              <a:gd name="adj" fmla="val 16000"/>
                            </a:avLst>
                          </a:prstGeom>
                          <a:solidFill>
                            <a:srgbClr val="D6EEDF"/>
                          </a:solidFill>
                          <a:ln w="12700">
                            <a:solidFill>
                              <a:srgbClr val="C3D2D9"/>
                            </a:solidFill>
                          </a:ln>
                        </wps:spPr>
                        <wps:txbx>
                          <w:txbxContent>
                            <w:p w14:paraId="1CA5F879" w14:textId="77777777" w:rsidR="009A2F7A" w:rsidRDefault="009A2F7A" w:rsidP="009A2F7A">
                              <w:pPr>
                                <w:jc w:val="center"/>
                              </w:pPr>
                              <w:r>
                                <w:rPr>
                                  <w:rFonts w:ascii="Simplified Arabic" w:hAnsi="Simplified Arabic"/>
                                  <w:b/>
                                  <w:bCs/>
                                  <w:color w:val="304652"/>
                                  <w:sz w:val="28"/>
                                  <w:rtl/>
                                </w:rPr>
                                <w:t>المقاومة السلوكية</w:t>
                              </w:r>
                            </w:p>
                          </w:txbxContent>
                        </wps:txbx>
                        <wps:bodyPr rot="0" spcFirstLastPara="0" vert="horz" wrap="square" lIns="36000" tIns="18000" rIns="36000" bIns="18000" anchor="ctr" anchorCtr="0">
                          <a:noAutofit/>
                        </wps:bodyPr>
                      </wps:wsp>
                      <wps:wsp>
                        <wps:cNvPr id="1197641826" name="المقاومة الوجدانية"/>
                        <wps:cNvSpPr/>
                        <wps:spPr>
                          <a:xfrm>
                            <a:off x="1936000" y="1360000"/>
                            <a:ext cx="1600000" cy="640000"/>
                          </a:xfrm>
                          <a:prstGeom prst="roundRect">
                            <a:avLst>
                              <a:gd name="adj" fmla="val 16000"/>
                            </a:avLst>
                          </a:prstGeom>
                          <a:solidFill>
                            <a:srgbClr val="C7E8E4"/>
                          </a:solidFill>
                          <a:ln w="12700">
                            <a:solidFill>
                              <a:srgbClr val="C3D2D9"/>
                            </a:solidFill>
                          </a:ln>
                        </wps:spPr>
                        <wps:txbx>
                          <w:txbxContent>
                            <w:p w14:paraId="1B615E71" w14:textId="77777777" w:rsidR="009A2F7A" w:rsidRDefault="009A2F7A" w:rsidP="009A2F7A">
                              <w:pPr>
                                <w:jc w:val="center"/>
                              </w:pPr>
                              <w:r>
                                <w:rPr>
                                  <w:rFonts w:ascii="Simplified Arabic" w:hAnsi="Simplified Arabic"/>
                                  <w:b/>
                                  <w:bCs/>
                                  <w:color w:val="304652"/>
                                  <w:sz w:val="28"/>
                                  <w:rtl/>
                                </w:rPr>
                                <w:t>المقاومة الوجدانية</w:t>
                              </w:r>
                            </w:p>
                          </w:txbxContent>
                        </wps:txbx>
                        <wps:bodyPr rot="0" spcFirstLastPara="0" vert="horz" wrap="square" lIns="36000" tIns="18000" rIns="36000" bIns="18000" anchor="ctr" anchorCtr="0">
                          <a:noAutofit/>
                        </wps:bodyPr>
                      </wps:wsp>
                      <wps:wsp>
                        <wps:cNvPr id="1435625990" name="المقاومة المعرفية"/>
                        <wps:cNvSpPr/>
                        <wps:spPr>
                          <a:xfrm>
                            <a:off x="3872000" y="1360000"/>
                            <a:ext cx="1600000" cy="640000"/>
                          </a:xfrm>
                          <a:prstGeom prst="roundRect">
                            <a:avLst>
                              <a:gd name="adj" fmla="val 16000"/>
                            </a:avLst>
                          </a:prstGeom>
                          <a:solidFill>
                            <a:srgbClr val="BDDDEB"/>
                          </a:solidFill>
                          <a:ln w="12700">
                            <a:solidFill>
                              <a:srgbClr val="C3D2D9"/>
                            </a:solidFill>
                          </a:ln>
                        </wps:spPr>
                        <wps:txbx>
                          <w:txbxContent>
                            <w:p w14:paraId="609B5FC3" w14:textId="77777777" w:rsidR="009A2F7A" w:rsidRDefault="009A2F7A" w:rsidP="009A2F7A">
                              <w:pPr>
                                <w:jc w:val="center"/>
                              </w:pPr>
                              <w:r>
                                <w:rPr>
                                  <w:rFonts w:ascii="Simplified Arabic" w:hAnsi="Simplified Arabic"/>
                                  <w:b/>
                                  <w:bCs/>
                                  <w:color w:val="304652"/>
                                  <w:sz w:val="28"/>
                                  <w:rtl/>
                                </w:rPr>
                                <w:t>المقاومة المعرفية</w:t>
                              </w:r>
                            </w:p>
                          </w:txbxContent>
                        </wps:txbx>
                        <wps:bodyPr rot="0" spcFirstLastPara="0" vert="horz" wrap="square" lIns="36000" tIns="18000" rIns="36000" bIns="18000" anchor="ctr" anchorCtr="0">
                          <a:noAutofit/>
                        </wps:bodyPr>
                      </wps:wsp>
                    </wpg:wgp>
                  </a:graphicData>
                </a:graphic>
              </wp:inline>
            </w:drawing>
          </mc:Choice>
          <mc:Fallback>
            <w:pict>
              <v:group w14:anchorId="054B1AC7" id="شكل 2-2: المكوّنات الثلاثة لمقاومة التغيير" o:spid="_x0000_s1047" style="width:430.85pt;height:157.5pt;mso-position-horizontal-relative:char;mso-position-vertical-relative:line" coordsize="5472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">
                <v:roundrect id="مقاومة التغيير" o:spid="_x0000_s1048" style="position:absolute;left:16860;width:21000;height:5600;visibility:visible;mso-wrap-style:square;v-text-anchor:middle" arcsize="1048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" fillcolor="#8fb8c9" strokecolor="#7aa6b9" strokeweight="1.5pt">
                  <v:textbox inset="1mm,.5mm,1mm,.5mm">
                    <w:txbxContent>
                      <w:p w14:paraId="2DE18FB4" w14:textId="77777777" w:rsidR="009A2F7A" w:rsidRDefault="009A2F7A" w:rsidP="009A2F7A">
                        <w:pPr>
                          <w:jc w:val="center"/>
                        </w:pPr>
                        <w:r>
                          <w:rPr>
                            <w:rFonts w:ascii="Simplified Arabic" w:hAnsi="Simplified Arabic"/>
                            <w:b/>
                            <w:bCs/>
                            <w:color w:val="304652"/>
                            <w:sz w:val="28"/>
                            <w:rtl/>
                          </w:rPr>
                          <w:t>مقاومة التغيير</w:t>
                        </w:r>
                      </w:p>
                    </w:txbxContent>
                  </v:textbox>
                </v:roundrect>
                <v:shape id="سهم 11" o:spid="_x0000_s1049" type="#_x0000_t32" style="position:absolute;left:8000;top:5600;width:19360;height:800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" strokecolor="#8fb8c9" strokeweight="1.25pt">
                  <v:stroke endarrow="block" endcap="round"/>
                </v:shape>
                <v:shape id="سهم 12" o:spid="_x0000_s1050" type="#_x0000_t32" style="position:absolute;left:27360;top:5600;width:0;height:8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" strokecolor="#8fb8c9" strokeweight="1.25pt">
                  <v:stroke endarrow="block" endcap="round"/>
                </v:shape>
                <v:shape id="سهم 13" o:spid="_x0000_s1051" type="#_x0000_t32" style="position:absolute;left:27360;top:5600;width:19360;height:80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" strokecolor="#8fb8c9" strokeweight="1.25pt">
                  <v:stroke endarrow="block" endcap="round"/>
                </v:shape>
                <v:roundrect id="المقاومة السلوكية" o:spid="_x0000_s1052" style="position:absolute;top:13600;width:16000;height:6400;visibility:visible;mso-wrap-style:square;v-text-anchor:middle" arcsize="1048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" fillcolor="#d6eedf" strokecolor="#c3d2d9" strokeweight="1pt">
                  <v:textbox inset="1mm,.5mm,1mm,.5mm">
                    <w:txbxContent>
                      <w:p w14:paraId="1CA5F879" w14:textId="77777777" w:rsidR="009A2F7A" w:rsidRDefault="009A2F7A" w:rsidP="009A2F7A">
                        <w:pPr>
                          <w:jc w:val="center"/>
                        </w:pPr>
                        <w:r>
                          <w:rPr>
                            <w:rFonts w:ascii="Simplified Arabic" w:hAnsi="Simplified Arabic"/>
                            <w:b/>
                            <w:bCs/>
                            <w:color w:val="304652"/>
                            <w:sz w:val="28"/>
                            <w:rtl/>
                          </w:rPr>
                          <w:t>المقاومة السلوكية</w:t>
                        </w:r>
                      </w:p>
                    </w:txbxContent>
                  </v:textbox>
                </v:roundrect>
                <v:roundrect id="المقاومة الوجدانية" o:spid="_x0000_s1053" style="position:absolute;left:19360;top:13600;width:16000;height:6400;visibility:visible;mso-wrap-style:square;v-text-anchor:middle" arcsize="1048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" fillcolor="#c7e8e4" strokecolor="#c3d2d9" strokeweight="1pt">
                  <v:textbox inset="1mm,.5mm,1mm,.5mm">
                    <w:txbxContent>
                      <w:p w14:paraId="1B615E71" w14:textId="77777777" w:rsidR="009A2F7A" w:rsidRDefault="009A2F7A" w:rsidP="009A2F7A">
                        <w:pPr>
                          <w:jc w:val="center"/>
                        </w:pPr>
                        <w:r>
                          <w:rPr>
                            <w:rFonts w:ascii="Simplified Arabic" w:hAnsi="Simplified Arabic"/>
                            <w:b/>
                            <w:bCs/>
                            <w:color w:val="304652"/>
                            <w:sz w:val="28"/>
                            <w:rtl/>
                          </w:rPr>
                          <w:t>المقاومة الوجدانية</w:t>
                        </w:r>
                      </w:p>
                    </w:txbxContent>
                  </v:textbox>
                </v:roundrect>
                <v:roundrect id="المقاومة المعرفية" o:spid="_x0000_s1054" style="position:absolute;left:38720;top:13600;width:16000;height:6400;visibility:visible;mso-wrap-style:square;v-text-anchor:middle" arcsize="10486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" fillcolor="#bdddeb" strokecolor="#c3d2d9" strokeweight="1pt">
                  <v:textbox inset="1mm,.5mm,1mm,.5mm">
                    <w:txbxContent>
                      <w:p w14:paraId="609B5FC3" w14:textId="77777777" w:rsidR="009A2F7A" w:rsidRDefault="009A2F7A" w:rsidP="009A2F7A">
                        <w:pPr>
                          <w:jc w:val="center"/>
                        </w:pPr>
                        <w:r>
                          <w:rPr>
                            <w:rFonts w:ascii="Simplified Arabic" w:hAnsi="Simplified Arabic"/>
                            <w:b/>
                            <w:bCs/>
                            <w:color w:val="304652"/>
                            <w:sz w:val="28"/>
                            <w:rtl/>
                          </w:rPr>
                          <w:t>المقاومة المعرفية</w:t>
                        </w:r>
                      </w:p>
                    </w:txbxContent>
                  </v:textbox>
                </v:roundrect>
                <w10:wrap anchorx="page"/>
                <w10:anchorlock/>
              </v:group>
            </w:pict>
          </mc:Fallback>
        </mc:AlternateContent>
      </w:r>
    </w:p>
    <w:p w14:paraId="4FF8421F" w14:textId="77777777" w:rsidR="009A2F7A" w:rsidRDefault="009A2F7A" w:rsidP="009A2F7A">
      <w:pPr>
        <w:spacing w:before="60" w:after="60"/>
        <w:jc w:val="center"/>
      </w:pPr>
      <w:r>
        <w:rPr>
          <w:b/>
          <w:bCs/>
          <w:szCs w:val="24"/>
          <w:rtl/>
        </w:rPr>
        <w:t>شكل (2-2): المكوّنات الثلاثة لمقاومة التغيير وفق النموذج الثلاثي للاتجاهات</w:t>
      </w:r>
    </w:p>
    <w:p w14:paraId="020D6FF7" w14:textId="77777777" w:rsidR="009A2F7A" w:rsidRDefault="009A2F7A" w:rsidP="009A2F7A">
      <w:pPr>
        <w:spacing w:after="120"/>
        <w:jc w:val="center"/>
      </w:pPr>
      <w:r>
        <w:rPr>
          <w:sz w:val="22"/>
          <w:szCs w:val="22"/>
          <w:rtl/>
        </w:rPr>
        <w:t>المصدر: من إعداد الباحثة بالاستناد إلى</w:t>
      </w:r>
      <w:r>
        <w:rPr>
          <w:rFonts w:cs="Times New Roman"/>
          <w:sz w:val="22"/>
          <w:szCs w:val="22"/>
        </w:rPr>
        <w:t xml:space="preserve"> (Oreg, 2006; Piderit, 2000).</w:t>
      </w:r>
    </w:p>
    <w:p w14:paraId="588CFBE5" w14:textId="77777777" w:rsidR="009A2F7A" w:rsidRDefault="009A2F7A" w:rsidP="009A2F7A">
      <w:pPr>
        <w:spacing w:after="120"/>
        <w:ind w:firstLine="283"/>
        <w:jc w:val="both"/>
      </w:pPr>
      <w:r>
        <w:rPr>
          <w:sz w:val="28"/>
          <w:rtl/>
        </w:rPr>
        <w:t>وهذه المكوّنات الثلاثة هي نفسها أبعاد المتغير التابع الثاني في نموذج الدراسة وأداتها، بما يضمن اتساق القياس مع التأصيل، ويتيح تشخيص المقاومة تشخيصًا تفصيليًا يحدّد أيّ مكوّناتها أشدّ حضورًا لدى موظفي إدارة التعليم بمنطقة عسير.</w:t>
      </w:r>
    </w:p>
    <w:p w14:paraId="33A85DA1" w14:textId="77777777" w:rsidR="009A2F7A" w:rsidRPr="00535B76" w:rsidRDefault="009A2F7A" w:rsidP="009A2F7A">
      <w:pPr>
        <w:spacing w:before="120" w:after="120"/>
        <w:outlineLvl w:val="2"/>
        <w:rPr>
          <w:sz w:val="32"/>
          <w:szCs w:val="32"/>
        </w:rPr>
      </w:pPr>
      <w:bookmarkStart w:id="43" w:name="_Toc234589635"/>
      <w:r>
        <w:rPr>
          <w:b/>
          <w:bCs/>
          <w:sz w:val="28"/>
          <w:rtl/>
        </w:rPr>
        <w:t>4</w:t>
      </w:r>
      <w:r>
        <w:rPr>
          <w:b/>
          <w:bCs/>
          <w:sz w:val="32"/>
          <w:szCs w:val="32"/>
          <w:rtl/>
        </w:rPr>
        <w:t>- نماذج إدارة التغيير واستراتيجيات التعامل مع المقاومة</w:t>
      </w:r>
      <w:bookmarkEnd w:id="43"/>
    </w:p>
    <w:p w14:paraId="5D1CC75F" w14:textId="77777777" w:rsidR="009A2F7A" w:rsidRDefault="009A2F7A" w:rsidP="009A2F7A">
      <w:pPr>
        <w:spacing w:after="120"/>
        <w:ind w:firstLine="283"/>
        <w:jc w:val="both"/>
      </w:pPr>
      <w:r>
        <w:rPr>
          <w:sz w:val="28"/>
          <w:rtl/>
        </w:rPr>
        <w:t>تتفرع نماذج إدارة التغيير من الأصل اللويني الذي صوّر التغيير الناجح عمليةً ثلاثية المراحل: إذابة الوضع القائم بإضعاف القوى المقيّدة، ثم إحداث التغيير، ثم إعادة التجميد على الوضع الجديد حتى لا يرتدّ</w:t>
      </w:r>
      <w:r>
        <w:rPr>
          <w:rFonts w:cs="Times New Roman"/>
          <w:szCs w:val="24"/>
        </w:rPr>
        <w:t xml:space="preserve"> (Lewin, 1947). </w:t>
      </w:r>
      <w:r>
        <w:rPr>
          <w:sz w:val="28"/>
          <w:rtl/>
        </w:rPr>
        <w:t>وقد فصّل كوتر هذا الأصل في نموذجه ذي الخطوات الثماني: بثّ الشعور بإلحاح التغيير، ثم بناء التحالف القائد له، فصياغة رؤيته واستراتيجيته، فإيصال الرؤية بكل قناة، فتمكين العاملين من التصرف بإزالة العوائق، فتحقيق مكاسب قصيرة المدى تُثبت الجدوى، فتعزيز المكاسب لتوليد مزيدٍ من التغيير، وأخيرًا ترسيخ المداخل الجديدة في ثقافة المنظمة؛ محذّرًا من أنّ إخفاق أغلب مبادرات التغيير يعود إلى القفز على هذه الخطوات أو الاكتفاء بظواهرها لا إلى مقاومةٍ قدرية لا سبيل إلى ردّها</w:t>
      </w:r>
      <w:r>
        <w:rPr>
          <w:rFonts w:cs="Times New Roman"/>
          <w:szCs w:val="24"/>
        </w:rPr>
        <w:t xml:space="preserve"> (Kotter, 1996). </w:t>
      </w:r>
      <w:r>
        <w:rPr>
          <w:sz w:val="28"/>
          <w:rtl/>
        </w:rPr>
        <w:t>ويلفت النظر أنّ نصف هذه الخطوات على الأقل، من بثّ الإلحاح إلى إيصال الرؤية وتمكين العاملين، من صميم السلوك التحويلي بأبعاده؛ مما يجعل النموذجين وجهين لعملةٍ واحدة: أحدهما يصف خريطة التغيير، والآخر يصف قائده.</w:t>
      </w:r>
    </w:p>
    <w:p w14:paraId="34197834" w14:textId="77777777" w:rsidR="009A2F7A" w:rsidRDefault="009A2F7A" w:rsidP="009A2F7A">
      <w:pPr>
        <w:spacing w:after="120"/>
        <w:ind w:firstLine="283"/>
        <w:jc w:val="both"/>
      </w:pPr>
      <w:r>
        <w:rPr>
          <w:sz w:val="28"/>
          <w:rtl/>
        </w:rPr>
        <w:t xml:space="preserve">أمّا على مستوى الاستراتيجيات المباشرة، فيقدّم كوتر وشليزنجر ستّ استراتيجياتٍ متدرجة للتعامل مع المقاومة: التثقيف والتواصل، والمشاركة والإشراك، والتيسير والدعم، والتفاوض والاتفاق، والاستمالة والاحتواء، والإكراه الصريح أو الضمني؛ مبيّنَين أنّ اختيار الاستراتيجية رهنٌ </w:t>
      </w:r>
      <w:r>
        <w:rPr>
          <w:sz w:val="28"/>
          <w:rtl/>
        </w:rPr>
        <w:lastRenderedPageBreak/>
        <w:t>بموقف كل حالة، وأنّ الاستراتيجيات التشاركية أبقى أثرًا وإن كانت أبطأ</w:t>
      </w:r>
      <w:r>
        <w:rPr>
          <w:rFonts w:cs="Times New Roman"/>
          <w:szCs w:val="24"/>
        </w:rPr>
        <w:t xml:space="preserve"> (Kotter &amp; Schlesinger, 2008). </w:t>
      </w:r>
      <w:r>
        <w:rPr>
          <w:sz w:val="28"/>
          <w:rtl/>
        </w:rPr>
        <w:t>وتتسق هذه الخلاصة مع ما انتهت إليه الدراسات الميدانية في البيئة الحكومية السعودية من غلبة استراتيجيتَي الاحتواء والمشاركة والإقناع على ممارسات المديرين في مواجهة المقاومة (العامري والفوزان، 1998).</w:t>
      </w:r>
    </w:p>
    <w:p w14:paraId="502543EC" w14:textId="77777777" w:rsidR="009A2F7A" w:rsidRDefault="009A2F7A" w:rsidP="009A2F7A">
      <w:pPr>
        <w:spacing w:after="120"/>
        <w:ind w:firstLine="283"/>
        <w:jc w:val="both"/>
      </w:pPr>
      <w:r>
        <w:rPr>
          <w:sz w:val="28"/>
          <w:rtl/>
        </w:rPr>
        <w:t>ويكشف تأمل هذه الاستراتيجيات عن تقاطعها العميق مع أبعاد القيادة التحويلية: فالتثقيف والتواصل هما مادة الحفز الإلهامي، والمشاركة والإشراك جوهر الاستثارة الفكرية، والتيسير والدعم صميم الاعتبارية الفردية، فيما يوفّر التأثير المثالي رصيد الثقة الذي تحتاجه الاستراتيجيات جميعًا لتُصدَّق. أمّا الاستمالة والإكراه فتقعان خارج المنظومة التحويلية، وتحذّر الأدبيات من كلفتهما المؤجلة على الثقة والالتزام</w:t>
      </w:r>
      <w:r>
        <w:rPr>
          <w:rFonts w:cs="Times New Roman"/>
          <w:szCs w:val="24"/>
        </w:rPr>
        <w:t xml:space="preserve"> (Kotter &amp; Schlesinger, 2008)</w:t>
      </w:r>
      <w:r>
        <w:rPr>
          <w:sz w:val="28"/>
          <w:rtl/>
        </w:rPr>
        <w:t>؛ وبهذا التقاطع يتضح أنّ القائد التحويلي لا يضيف استراتيجيةً سابعة بقدر ما يجسّد أفضل الاستراتيجيات الست تجسيدًا متكاملًا.</w:t>
      </w:r>
    </w:p>
    <w:p w14:paraId="40AB9731" w14:textId="77777777" w:rsidR="009A2F7A" w:rsidRPr="00535B76" w:rsidRDefault="009A2F7A" w:rsidP="009A2F7A">
      <w:pPr>
        <w:spacing w:before="120" w:after="120"/>
        <w:outlineLvl w:val="2"/>
        <w:rPr>
          <w:sz w:val="32"/>
          <w:szCs w:val="32"/>
        </w:rPr>
      </w:pPr>
      <w:bookmarkStart w:id="44" w:name="_Toc234589636"/>
      <w:r>
        <w:rPr>
          <w:b/>
          <w:bCs/>
          <w:sz w:val="32"/>
          <w:szCs w:val="32"/>
          <w:rtl/>
        </w:rPr>
        <w:t>5- دور القيادة التحويلية في تقليل مقاومة التغيير</w:t>
      </w:r>
      <w:bookmarkEnd w:id="44"/>
    </w:p>
    <w:p w14:paraId="11D40034" w14:textId="77777777" w:rsidR="009A2F7A" w:rsidRDefault="009A2F7A" w:rsidP="009A2F7A">
      <w:pPr>
        <w:spacing w:after="120"/>
        <w:ind w:firstLine="283"/>
        <w:jc w:val="both"/>
      </w:pPr>
      <w:r>
        <w:rPr>
          <w:sz w:val="28"/>
          <w:rtl/>
        </w:rPr>
        <w:t>إذا كانت المقاومة، في جوهرها اللويني، قوًى مقيّدة تحتاج إلى إذابة، فإنّ سلوكيات القائد التحويلي هي أدوات هذه الإذابة بامتياز؛ إذ يخاطب كلُّ بُعدٍ منها مكوّنًا من مكوّنات المقاومة: فالتواصل الرؤيوي في الحفز الإلهامي يعالج سوء الفهم واختلاف التقييم فيخفض المقاومة المعرفية، والثقة التي يبنيها التأثير المثالي والطمأنينة التي تبثّها الاعتبارية الفردية تعالجان القلق وفقدان الأمان فتخفضان المقاومة الوجدانية، والاستثارة الفكرية تحوّل مساءلة المألوف من تهديدٍ إلى ممارسةٍ محمودة فتنزع فتيل المقاومة السلوكية قبل اشتعاله</w:t>
      </w:r>
      <w:r>
        <w:rPr>
          <w:rFonts w:cs="Times New Roman"/>
          <w:szCs w:val="24"/>
        </w:rPr>
        <w:t xml:space="preserve"> (Bass &amp; Riggio, 2006; Kotter &amp; Schlesinger, 2008).</w:t>
      </w:r>
    </w:p>
    <w:p w14:paraId="0D1896B9" w14:textId="77777777" w:rsidR="009A2F7A" w:rsidRDefault="009A2F7A" w:rsidP="009A2F7A">
      <w:pPr>
        <w:spacing w:after="120"/>
        <w:ind w:firstLine="283"/>
        <w:jc w:val="both"/>
      </w:pPr>
      <w:r>
        <w:rPr>
          <w:sz w:val="28"/>
          <w:rtl/>
        </w:rPr>
        <w:t>على أنّ هذا الدور مشروطٌ بشرطين تُنبّه إليهما الأدبيات. أولهما المصداقية؛ فالسلوك التحويلي الذي لا يسنده اتساقٌ بين القول والفعل ينقلب أثره، إذ يقرؤه الموظفون تسويقًا للتغيير لا قيادةً له، فتزداد الريبة بدل أن تنحسر</w:t>
      </w:r>
      <w:r>
        <w:rPr>
          <w:rFonts w:cs="Times New Roman"/>
          <w:szCs w:val="24"/>
        </w:rPr>
        <w:t xml:space="preserve"> (Ford et al., 2008). </w:t>
      </w:r>
      <w:r>
        <w:rPr>
          <w:sz w:val="28"/>
          <w:rtl/>
        </w:rPr>
        <w:t>وثانيهما الاستمرارية؛ فالمقاومة الوجدانية خاصةً لا تُذاب بخطابٍ افتتاحي مهما بلغت بلاغته، بل بحضورٍ قيادي متصل يرافق مراحل التغيير جميعها كما يقضي نموذج كوتر</w:t>
      </w:r>
      <w:r>
        <w:rPr>
          <w:rFonts w:cs="Times New Roman"/>
          <w:szCs w:val="24"/>
        </w:rPr>
        <w:t xml:space="preserve"> (Kotter, 1996). </w:t>
      </w:r>
      <w:r>
        <w:rPr>
          <w:sz w:val="28"/>
          <w:rtl/>
        </w:rPr>
        <w:t>وهذان الشرطان يفسّران لماذا تقيس الدراسة الحالية الممارسة الفعلية المدرَكة للقيادة التحويلية من وجهة نظر الموظفين أنفسهم، لا التصور الذاتي للقيادات عن ممارستها.</w:t>
      </w:r>
    </w:p>
    <w:p w14:paraId="035AE3CB" w14:textId="77777777" w:rsidR="009A2F7A" w:rsidRDefault="009A2F7A" w:rsidP="009A2F7A">
      <w:pPr>
        <w:spacing w:after="120"/>
        <w:ind w:firstLine="283"/>
        <w:jc w:val="both"/>
      </w:pPr>
      <w:r>
        <w:rPr>
          <w:sz w:val="28"/>
          <w:rtl/>
        </w:rPr>
        <w:t xml:space="preserve">ويتضح مما سبق أنّ مقاومة التغيير ظاهرةٌ مركّبة لا تُختزل في عنادٍ فردي؛ فهي اتجاهٌ ثلاثي المكوّنات، متعدد المستويات والأسباب، يحمل في طياته وظيفةً تشخيصية إلى جانب كلفته المعطِّلة؛ وأنّ أقرب مفاتيحها إلى يد المنظمة هو سلوك قادتها، بشرطَي المصداقية والاستمرارية. وينعكس ذلك على الدراسة الحالية في أمرين: اعتماد القياس الثلاثي الذي يحدّد أيّ المكوّنات أولى </w:t>
      </w:r>
      <w:r>
        <w:rPr>
          <w:sz w:val="28"/>
          <w:rtl/>
        </w:rPr>
        <w:lastRenderedPageBreak/>
        <w:t>بالمعالجة، وصياغة الفرضية الثانية على أثر النمط القيادي لا على إجراءات التغيير وحدها. وبهذا يكتمل التأصيل النظري لمتغيرات الدراسة الثلاثة وللعلاقات التي يفترضها نموذجها؛ ويبقى أن يوضع هذا التأصيل في ميزان ما أنجزته الدراسات الميدانية السابقة، وهو ما ينهض به المحور الأخير.</w:t>
      </w:r>
    </w:p>
    <w:p w14:paraId="50E19925" w14:textId="77777777" w:rsidR="009A2F7A" w:rsidRDefault="009A2F7A" w:rsidP="009A2F7A">
      <w:pPr>
        <w:spacing w:after="120"/>
        <w:ind w:firstLine="283"/>
        <w:jc w:val="both"/>
        <w:rPr>
          <w:rtl/>
        </w:rPr>
      </w:pPr>
      <w:r>
        <w:rPr>
          <w:sz w:val="28"/>
          <w:rtl/>
        </w:rPr>
        <w:t>وتسند الشواهد التجريبية هذه الآلية النظرية إسنادًا قويًا. فقد بيّنت دراسةٌ طولية أنّ سلوكيات القيادة التحويلية تخفض بمرور الوقت تشاؤم العاملين من التغيير التنظيمي</w:t>
      </w:r>
      <w:r>
        <w:rPr>
          <w:rFonts w:cs="Times New Roman"/>
          <w:szCs w:val="24"/>
        </w:rPr>
        <w:t xml:space="preserve"> (Bommer et al., 2005)</w:t>
      </w:r>
      <w:r>
        <w:rPr>
          <w:sz w:val="28"/>
          <w:rtl/>
        </w:rPr>
        <w:t>، ووجدت دراسةٌ ميدانية في المؤسسات التعليمية أنّ النمط التحويلي لمديري المدارس يخفّف العلاقة بين استعداد المعلمين للمقاومة ونواياهم الفعلية في مقاومة إصلاحٍ تربوي وشيك</w:t>
      </w:r>
      <w:r>
        <w:rPr>
          <w:rFonts w:cs="Times New Roman"/>
          <w:szCs w:val="24"/>
        </w:rPr>
        <w:t xml:space="preserve"> (Oreg &amp; Berson, 2011)</w:t>
      </w:r>
      <w:r>
        <w:rPr>
          <w:sz w:val="28"/>
          <w:rtl/>
        </w:rPr>
        <w:t>، وأثبتت دراسةٌ واسعة أنّ القيادة التحويلية أقوى ارتباطًا بالتزام العاملين بالتغيير من ممارسات قيادة التغيير الموقفية نفسها</w:t>
      </w:r>
      <w:r>
        <w:rPr>
          <w:rFonts w:cs="Times New Roman"/>
          <w:szCs w:val="24"/>
        </w:rPr>
        <w:t xml:space="preserve"> (Herold et al., 2008)</w:t>
      </w:r>
      <w:r>
        <w:rPr>
          <w:sz w:val="28"/>
          <w:rtl/>
        </w:rPr>
        <w:t>، وحسم تحليلٌ بعدي حديث اتساق هذه العلاقة عبر السياقات: ارتباطًا موجبًا بردود الفعل الداعمة للتغيير وسالبًا بمقاومته</w:t>
      </w:r>
      <w:r>
        <w:rPr>
          <w:rFonts w:cs="Times New Roman"/>
          <w:szCs w:val="24"/>
        </w:rPr>
        <w:t xml:space="preserve"> (Peng et al., 2021). </w:t>
      </w:r>
      <w:r>
        <w:rPr>
          <w:sz w:val="28"/>
          <w:rtl/>
        </w:rPr>
        <w:t>وقد انتهت المراجعة المرجعية لهذا الحقل إلى أنّ القادة هم البوابة الرئيسة التي تعبر منها مبادرات التغيير إلى استجابات العاملين، وأنّ فهم هذه الاستجابات لا يكتمل بمعزلٍ عن سمات القادة وسلوكهم</w:t>
      </w:r>
      <w:r>
        <w:rPr>
          <w:rFonts w:cs="Times New Roman"/>
          <w:szCs w:val="24"/>
        </w:rPr>
        <w:t xml:space="preserve"> (Oreg &amp; Berson, 2019). </w:t>
      </w:r>
      <w:r>
        <w:rPr>
          <w:sz w:val="28"/>
          <w:rtl/>
        </w:rPr>
        <w:t>وعلى هذا الأساس تنهض الفرضية الفرعية الثانية للدراسة، القائلة بوجود أثرٍ ذي دلالة إحصائية للقيادة التحويلية في مقاومة التغيير لدى موظفي إدارة التعليم بمنطقة عسير، ويتكفّل الفصل الرابع باختبارها ميدانيًا.</w:t>
      </w:r>
    </w:p>
    <w:p w14:paraId="79BCF555" w14:textId="77777777" w:rsidR="009A2F7A" w:rsidRDefault="009A2F7A" w:rsidP="009A2F7A">
      <w:pPr>
        <w:spacing w:after="120"/>
        <w:ind w:firstLine="283"/>
        <w:jc w:val="both"/>
        <w:rPr>
          <w:rtl/>
        </w:rPr>
      </w:pPr>
    </w:p>
    <w:p w14:paraId="611CB65D" w14:textId="77777777" w:rsidR="009A2F7A" w:rsidRDefault="009A2F7A" w:rsidP="009A2F7A">
      <w:pPr>
        <w:spacing w:after="120"/>
        <w:ind w:firstLine="283"/>
        <w:jc w:val="both"/>
      </w:pPr>
    </w:p>
    <w:p w14:paraId="258CEAA0" w14:textId="77777777" w:rsidR="009A2F7A" w:rsidRPr="00535B76" w:rsidRDefault="009A2F7A" w:rsidP="009A2F7A">
      <w:pPr>
        <w:spacing w:before="120" w:after="120"/>
        <w:outlineLvl w:val="1"/>
        <w:rPr>
          <w:sz w:val="36"/>
          <w:szCs w:val="36"/>
        </w:rPr>
      </w:pPr>
      <w:bookmarkStart w:id="45" w:name="_Toc234589637"/>
      <w:r>
        <w:rPr>
          <w:b/>
          <w:bCs/>
          <w:sz w:val="36"/>
          <w:szCs w:val="36"/>
          <w:u w:val="single"/>
          <w:rtl/>
        </w:rPr>
        <w:t>رابعًا: الدراسات السابقة والتعقيب عليها</w:t>
      </w:r>
      <w:bookmarkEnd w:id="45"/>
    </w:p>
    <w:p w14:paraId="2A11B1A0" w14:textId="77777777" w:rsidR="009A2F7A" w:rsidRDefault="009A2F7A" w:rsidP="009A2F7A">
      <w:pPr>
        <w:spacing w:after="120"/>
        <w:ind w:firstLine="283"/>
        <w:jc w:val="both"/>
      </w:pPr>
      <w:r>
        <w:rPr>
          <w:sz w:val="28"/>
          <w:rtl/>
        </w:rPr>
        <w:t>لا يكتمل الإطار النظري للدراسة ما لم يُوضَع في سياق ما سبقه من جهودٍ بحثية تناولت متغيراته أو العلاقة بينها؛ فالدراسات السابقة تكشف عن مواطن الاتفاق والاختلاف، وتُبرز الفجوة التي تنهض الدراسة الحالية لسدّها. ويعرض هذا المحور عددًا من تلك الدراسات، عربيةً ثم أجنبية، مرتّبةً في كل قسمٍ من الأحدث إلى الأقدم، ومناقَشةً مناقشةً تحليلية تربط كلًّا منها بموضوع الرسالة، ثم يُعقّب عليها تعقيبًا يستخلص اتجاهاتها ويحدّد موقع الدراسة الحالية بينها.</w:t>
      </w:r>
    </w:p>
    <w:p w14:paraId="03D81521" w14:textId="77777777" w:rsidR="009A2F7A" w:rsidRDefault="009A2F7A" w:rsidP="009A2F7A">
      <w:pPr>
        <w:spacing w:after="120"/>
        <w:ind w:firstLine="283"/>
        <w:jc w:val="both"/>
      </w:pPr>
      <w:r>
        <w:rPr>
          <w:sz w:val="28"/>
          <w:rtl/>
        </w:rPr>
        <w:t>وقد رُوعي في انتقاء هذه الدراسات ثلاثة معايير: صلتها المباشرة بمتغيرات الدراسة منفردةً أو مجتمعة، وتنوّع بيئاتها بين المحلية والعربية والأجنبية بما يتيح المقارنة عبر السياقات، وتفاوت مستويات أدلتها من الدراسة الميدانية المفردة إلى التحليل البعدي التجميعي بما يتيح تقدير رسوخ العلاقات المدروسة.</w:t>
      </w:r>
    </w:p>
    <w:p w14:paraId="13AF49D7" w14:textId="77777777" w:rsidR="009A2F7A" w:rsidRPr="00535B76" w:rsidRDefault="009A2F7A" w:rsidP="009A2F7A">
      <w:pPr>
        <w:spacing w:before="120" w:after="120"/>
        <w:outlineLvl w:val="2"/>
        <w:rPr>
          <w:sz w:val="32"/>
          <w:szCs w:val="32"/>
        </w:rPr>
      </w:pPr>
      <w:bookmarkStart w:id="46" w:name="_Toc234589638"/>
      <w:r>
        <w:rPr>
          <w:b/>
          <w:bCs/>
          <w:sz w:val="32"/>
          <w:szCs w:val="32"/>
          <w:rtl/>
        </w:rPr>
        <w:lastRenderedPageBreak/>
        <w:t>1- الدراسات العربية</w:t>
      </w:r>
      <w:bookmarkEnd w:id="46"/>
    </w:p>
    <w:p w14:paraId="46B06F15" w14:textId="77777777" w:rsidR="009A2F7A" w:rsidRDefault="009A2F7A" w:rsidP="009A2F7A">
      <w:pPr>
        <w:spacing w:after="120"/>
        <w:ind w:firstLine="283"/>
        <w:jc w:val="both"/>
      </w:pPr>
      <w:r>
        <w:rPr>
          <w:sz w:val="28"/>
          <w:rtl/>
        </w:rPr>
        <w:t xml:space="preserve">تأتي في طليعتها </w:t>
      </w:r>
      <w:r>
        <w:rPr>
          <w:b/>
          <w:bCs/>
          <w:sz w:val="28"/>
          <w:rtl/>
        </w:rPr>
        <w:t>دراسة القحطاني وآخرين (2023)</w:t>
      </w:r>
      <w:r>
        <w:rPr>
          <w:sz w:val="28"/>
          <w:rtl/>
        </w:rPr>
        <w:t xml:space="preserve"> بعنوان «أثر القيادة التحويلية على الإبداع الإداري: دراسة تطبيقية على الإدارة العامة لعمليات الموارد البشرية بديوان وزارة التعليم بالمملكة العربية السعودية»، وقد هدفت إلى الكشف عن أثر القيادة التحويلية في الإبداع الإداري لدى العاملين. اعتمدت المنهج الوصفي التحليلي، وطبّقت استبانةً على منسوبي الإدارة العامة لعمليات الموارد البشرية بديوان الوزارة بالرياض في مستوياتهم الإدارية المختلفة، وقد بلغ مجتمعها (266) موظفًا وموظفة، فخلصت إلى وجود أثرٍ ذي دلالة إحصائية للقيادة التحويلية في الإبداع الإداري. وتنتفع الدراسة الحالية بها في تأكيد فاعلية المتغير المستقل في البيئة الإدارية لوزارة التعليم تحديدًا، وفي بناء محور القيادة التحويلية في الأداة؛ غير أنها قِيست على جهازٍ مركزي بالرياض، ومتغيرها التابع هو الإبداع الإداري، في حين تنتقل الدراسة الحالية إلى إدارة تعليمٍ إقليمية بعسير وتقيس أثرين سلوكيين مختلفين هما الدافعية ومقاومة التغيير.</w:t>
      </w:r>
    </w:p>
    <w:p w14:paraId="79A25862" w14:textId="77777777" w:rsidR="009A2F7A" w:rsidRDefault="009A2F7A" w:rsidP="009A2F7A">
      <w:pPr>
        <w:spacing w:after="120"/>
        <w:ind w:firstLine="283"/>
        <w:jc w:val="both"/>
      </w:pPr>
      <w:r>
        <w:rPr>
          <w:sz w:val="28"/>
          <w:rtl/>
        </w:rPr>
        <w:t xml:space="preserve">وتليها </w:t>
      </w:r>
      <w:r>
        <w:rPr>
          <w:b/>
          <w:bCs/>
          <w:sz w:val="28"/>
          <w:rtl/>
        </w:rPr>
        <w:t>دراسة محمد وآخرين (2022)</w:t>
      </w:r>
      <w:r>
        <w:rPr>
          <w:sz w:val="28"/>
          <w:rtl/>
        </w:rPr>
        <w:t xml:space="preserve"> بعنوان «القيادة التحويلية ودورها في تحسين المهارات الناعمة للعاملين: دراسة ميدانية»، وقد هدفت إلى تعرّف دور القيادة التحويلية بأبعادها الأربعة (التأثير المثالي، والتحفيز الإلهامي، والاستثارة الفكرية، والاعتبارات الفردية) في تحسين المهارات الناعمة للعاملين. اعتمدت المنهج الوصفي، وجمعت بياناتها بالاستبانة بعد دراسةٍ استطلاعية ميدانية، وانتهت إلى وجود دورٍ دالٍّ للقيادة التحويلية في تحسين تلك المهارات. وموضع إفادة الدراسة الحالية منها في تحرير الأبعاد الأربعة للمتغير المستقل وصياغة عباراتها؛ بيد أنّ متغيرها التابع مهاريٌّ لا دافعي، وميدانها غير تعليمي، فتبقى العلاقة التي تختبرها الدراسة الحالية خارج نطاقها.</w:t>
      </w:r>
    </w:p>
    <w:p w14:paraId="6425AD0C" w14:textId="77777777" w:rsidR="009A2F7A" w:rsidRDefault="009A2F7A" w:rsidP="009A2F7A">
      <w:pPr>
        <w:spacing w:after="120"/>
        <w:ind w:firstLine="283"/>
        <w:jc w:val="both"/>
      </w:pPr>
      <w:r>
        <w:rPr>
          <w:sz w:val="28"/>
          <w:rtl/>
        </w:rPr>
        <w:t xml:space="preserve">وفي حقل إدارة التغيير، جاءت </w:t>
      </w:r>
      <w:r>
        <w:rPr>
          <w:b/>
          <w:bCs/>
          <w:sz w:val="28"/>
          <w:rtl/>
        </w:rPr>
        <w:t>دراسة إبراهيم (2017)</w:t>
      </w:r>
      <w:r>
        <w:rPr>
          <w:sz w:val="28"/>
          <w:rtl/>
        </w:rPr>
        <w:t xml:space="preserve"> بعنوان «أثر إدارة التغيير في التطوير التنظيمي للمؤسسات الحكومية بالمملكة العربية السعودية: دراسة تطبيقية»، بهدف قياس أثر إدارة التغيير في التطوير التنظيمي بالمؤسسات الحكومية. اعتمدت المنهج الوصفي التحليلي وأداة الاستبانة، وخلصت إلى أثرٍ ذي دلالة إحصائية لإدارة التغيير في التطوير التنظيمي. وتنتفع بها الدراسة الحالية في تأكيد أنّ نجاح التغيير في البيئة الحكومية السعودية مشروطٌ بكيفية قيادته وإدارته، وهو المنطلق الذي تبني عليه فرضيتها الثانية؛ غير أنها تناولت إدارة التغيير عمليةً تنظيمية عامة، دون أن تفرد النمط القيادي التحويلي متغيرًا مستقلًا أو تقيس مقاومة التغيير بمكوّناتها النفسية كما تفعل الدراسة الحالية.</w:t>
      </w:r>
    </w:p>
    <w:p w14:paraId="146C9288" w14:textId="77777777" w:rsidR="009A2F7A" w:rsidRDefault="009A2F7A" w:rsidP="009A2F7A">
      <w:pPr>
        <w:spacing w:after="120"/>
        <w:ind w:firstLine="283"/>
        <w:jc w:val="both"/>
      </w:pPr>
      <w:r>
        <w:rPr>
          <w:sz w:val="28"/>
          <w:rtl/>
        </w:rPr>
        <w:lastRenderedPageBreak/>
        <w:t xml:space="preserve">وأمّا دراسة </w:t>
      </w:r>
      <w:r>
        <w:rPr>
          <w:b/>
          <w:bCs/>
          <w:sz w:val="28"/>
          <w:rtl/>
        </w:rPr>
        <w:t>بن عبد الرحمن (2011)</w:t>
      </w:r>
      <w:r>
        <w:rPr>
          <w:sz w:val="28"/>
          <w:rtl/>
        </w:rPr>
        <w:t xml:space="preserve"> بعنوان «القيادة التحويلية والتبادلية وعلاقتها بدافعية الإنجاز لدى العاملين»، فقد هدفت إلى اختبار فاعلية السلوكين القياديين التحويلي والتبادلي في تحفيز العاملين من زاوية دافعية الإنجاز، في إطار نموذج القيادة كامل المدى لباس وأفوليو. اعتمدت المنهج الوصفي الارتباطي، وحلّلت طبيعة العلاقة وقوتها بين مستوى السلوك القيادي لدى الرؤساء ومستوى دافعية الإنجاز لدى المرؤوسين، فخلصت إلى علاقةٍ ارتباطية موجبة بين السلوك القيادي التحويلي ودافعية الإنجاز. وتُفيد منها الدراسة الحالية إفادةً مباشرة في تأصيل العلاقة التي تقوم عليها فرضيتها الأولى، وفي اعتماد إطار القيادة كامل المدى؛ غير أنها وقفت عند دافعية الإنجاز بُعدًا وحيدًا وعند علاقة الارتباط دون الأثر، في حين توسّع الدراسة الحالية الدافعية إلى ثلاثة أبعاد، وتضيف متغيرًا تابعًا ثانيًا، وتختبر الأثر انحداريًا.</w:t>
      </w:r>
    </w:p>
    <w:p w14:paraId="243E37D6" w14:textId="77777777" w:rsidR="009A2F7A" w:rsidRDefault="009A2F7A" w:rsidP="009A2F7A">
      <w:pPr>
        <w:spacing w:after="120"/>
        <w:ind w:firstLine="283"/>
        <w:jc w:val="both"/>
        <w:rPr>
          <w:rtl/>
        </w:rPr>
      </w:pPr>
      <w:r>
        <w:rPr>
          <w:sz w:val="28"/>
          <w:rtl/>
        </w:rPr>
        <w:t xml:space="preserve">وتُختم الدراسات العربية بالدراسة الرائدة </w:t>
      </w:r>
      <w:r>
        <w:rPr>
          <w:b/>
          <w:bCs/>
          <w:sz w:val="28"/>
          <w:rtl/>
        </w:rPr>
        <w:t>للعامري والفوزان (1998)</w:t>
      </w:r>
      <w:r>
        <w:rPr>
          <w:sz w:val="28"/>
          <w:rtl/>
        </w:rPr>
        <w:t xml:space="preserve"> بعنوان «مقاومة الموظفين للتغيير في الأجهزة الحكومية بالمملكة العربية السعودية: أسبابها وسبل علاجها»، وقد هدفت إلى استقصاء واقع مقاومة الموظفين للتغيير في الأجهزة الحكومية وأسبابها والاستراتيجيات المتبعة في مواجهتها. اعتمدت المنهج الوصفي المسحي على عينةٍ من موظفي الأجهزة الحكومية، فكشفت عن حضور المقاومة وتعدد أسبابها، وعن أربع استراتيجياتٍ يتبعها المديرون في مواجهتها هي الاحتواء، والمشاركة والإقناع، والتمويه والمراوغة، والإكراه القسري، وكانت الأوليان أكثرها استخدامًا. وتنتفع بها الدراسة الحالية في توطين ظاهرة المقاومة في البيئة الحكومية السعودية وتبرير قياسها ميدانيًا؛ غير أنها سبقت رؤية 2030 وتحولاتها بعقود، ولم تربط المقاومة بالنمط القيادي التحويلي ولا حلّلتها بمكوّناتها الثلاثة، وهي الإضافات التي تنهض بها الدراسة الحالية.</w:t>
      </w:r>
    </w:p>
    <w:p w14:paraId="01F0CAB6" w14:textId="77777777" w:rsidR="009A2F7A" w:rsidRDefault="009A2F7A" w:rsidP="009A2F7A">
      <w:pPr>
        <w:spacing w:after="120"/>
        <w:ind w:firstLine="283"/>
        <w:jc w:val="both"/>
      </w:pPr>
    </w:p>
    <w:p w14:paraId="0D9D63EA" w14:textId="77777777" w:rsidR="009A2F7A" w:rsidRPr="00623C4E" w:rsidRDefault="009A2F7A" w:rsidP="009A2F7A">
      <w:pPr>
        <w:spacing w:before="120" w:after="120"/>
        <w:outlineLvl w:val="2"/>
        <w:rPr>
          <w:sz w:val="32"/>
          <w:szCs w:val="32"/>
        </w:rPr>
      </w:pPr>
      <w:bookmarkStart w:id="47" w:name="_Toc234589639"/>
      <w:r>
        <w:rPr>
          <w:b/>
          <w:bCs/>
          <w:sz w:val="32"/>
          <w:szCs w:val="32"/>
          <w:rtl/>
        </w:rPr>
        <w:t>2- الدراسات الأجنبية</w:t>
      </w:r>
      <w:bookmarkEnd w:id="47"/>
    </w:p>
    <w:p w14:paraId="6A0EB989" w14:textId="77777777" w:rsidR="009A2F7A" w:rsidRDefault="009A2F7A" w:rsidP="009A2F7A">
      <w:pPr>
        <w:spacing w:after="120"/>
        <w:ind w:firstLine="283"/>
        <w:jc w:val="both"/>
      </w:pPr>
      <w:r>
        <w:rPr>
          <w:sz w:val="28"/>
          <w:rtl/>
        </w:rPr>
        <w:t xml:space="preserve">تأتي في مقدمتها </w:t>
      </w:r>
      <w:r>
        <w:rPr>
          <w:b/>
          <w:bCs/>
          <w:sz w:val="28"/>
          <w:rtl/>
        </w:rPr>
        <w:t>دراسة بنغ وآخرين</w:t>
      </w:r>
      <w:r>
        <w:rPr>
          <w:rFonts w:cs="Times New Roman"/>
          <w:b/>
          <w:bCs/>
          <w:szCs w:val="24"/>
        </w:rPr>
        <w:t xml:space="preserve"> (Peng et al., 2021)</w:t>
      </w:r>
      <w:r>
        <w:rPr>
          <w:sz w:val="28"/>
          <w:rtl/>
        </w:rPr>
        <w:t xml:space="preserve"> بعنوان «القيادة التحويلية وردود فعل العاملين تجاه التغيير التنظيمي: شواهد من تحليلٍ بعدي»، وقد هدفت إلى التحقق الكمّي التجميعي من علاقة القيادة التحويلية باستجابات العاملين للتغيير. اعتمدت منهج التحليل البعدي لعشرات الدراسات التجريبية المنشورة عبر سياقاتٍ وثقافاتٍ متعددة، فخلصت إلى ارتباط القيادة التحويلية ارتباطًا موجبًا بردود الفعل الداعمة للتغيير وسالبًا بمقاومته. وتنتفع بها الدراسة الحالية في إسناد فرضيتها الثانية بأقوى مستويات الأدلة التجميعية؛ غير أنّ التحليل البعدي، بطبيعته، يجمّع سياقاتٍ متباينة، فتبقى الحاجة قائمة إلى تحققٍ ميداني مباشر في البيئة الإدارية التعليمية السعودية التي لم تكن ممثَّلة فيه.</w:t>
      </w:r>
    </w:p>
    <w:p w14:paraId="51F0B015" w14:textId="77777777" w:rsidR="009A2F7A" w:rsidRDefault="009A2F7A" w:rsidP="009A2F7A">
      <w:pPr>
        <w:spacing w:after="120"/>
        <w:ind w:firstLine="283"/>
        <w:jc w:val="both"/>
      </w:pPr>
      <w:r>
        <w:rPr>
          <w:sz w:val="28"/>
          <w:rtl/>
        </w:rPr>
        <w:lastRenderedPageBreak/>
        <w:t xml:space="preserve">وتليها </w:t>
      </w:r>
      <w:r>
        <w:rPr>
          <w:b/>
          <w:bCs/>
          <w:sz w:val="28"/>
          <w:rtl/>
        </w:rPr>
        <w:t>دراسة أوريغ وبيرسون</w:t>
      </w:r>
      <w:r>
        <w:rPr>
          <w:rFonts w:cs="Times New Roman"/>
          <w:b/>
          <w:bCs/>
          <w:szCs w:val="24"/>
        </w:rPr>
        <w:t xml:space="preserve"> (Oreg &amp; Berson, 2011)</w:t>
      </w:r>
      <w:r>
        <w:rPr>
          <w:sz w:val="28"/>
          <w:rtl/>
        </w:rPr>
        <w:t xml:space="preserve"> بعنوان «القيادة وردود فعل العاملين تجاه التغيير: دور السمات الشخصية للقادة ونمط القيادة التحويلية»، وقد هدفت إلى اختبار أثر سمات القادة ونمطهم التحويلي في نوايا مقاومة العاملين لتغييرٍ وشيك. أُجريت في ميدانٍ تعليمي على مديري مدارس ومعلميها في مواجهة إصلاحٍ تربوي وطني، بمنهجٍ كمّي متعدد المستويات، فوجدت أنّ مقاومة القادة الاستعدادية تنبأت بنوايا مقاومة معلميهم، وأنّ النمط التحويلي للمديرين خفّف العلاقة بين استعداد المعلمين للمقاومة ونواياهم الفعلية. وتُفيد منها الدراسة الحالية إفادةً خاصة لكون ميدانها تعليميًا ونتيجتها تمسّ جوهر فرضيتها الثانية؛ غير أنها أُجريت في سياقٍ ثقافي مغاير وعلى مستوى المدرسة لا الإدارة التعليمية، ولم تتناول الدافعية متغيرًا تابعًا موازيًا.</w:t>
      </w:r>
    </w:p>
    <w:p w14:paraId="19A00460" w14:textId="77777777" w:rsidR="009A2F7A" w:rsidRDefault="009A2F7A" w:rsidP="009A2F7A">
      <w:pPr>
        <w:spacing w:after="120"/>
        <w:ind w:firstLine="283"/>
        <w:jc w:val="both"/>
      </w:pPr>
      <w:r>
        <w:rPr>
          <w:sz w:val="28"/>
          <w:rtl/>
        </w:rPr>
        <w:t xml:space="preserve">وأمّا </w:t>
      </w:r>
      <w:r>
        <w:rPr>
          <w:b/>
          <w:bCs/>
          <w:sz w:val="28"/>
          <w:rtl/>
        </w:rPr>
        <w:t>دراسة هيرولد وآخرين</w:t>
      </w:r>
      <w:r>
        <w:rPr>
          <w:rFonts w:cs="Times New Roman"/>
          <w:b/>
          <w:bCs/>
          <w:szCs w:val="24"/>
        </w:rPr>
        <w:t xml:space="preserve"> (Herold et al., 2008)</w:t>
      </w:r>
      <w:r>
        <w:rPr>
          <w:sz w:val="28"/>
          <w:rtl/>
        </w:rPr>
        <w:t xml:space="preserve"> بعنوان «أثر القيادة التحويلية وقيادة التغيير في التزام العاملين بالتغيير»، فقد هدفت إلى المقارنة بين القوة التنبؤية للقيادة التحويلية بوصفها نمطًا عامًا وممارسات قيادة التغيير الخاصة بمبادرةٍ بعينها. اعتمدت منهجًا كمّيًا ميدانيًا على عينةٍ بلغت (343) موظفًا في (30) منظمة تمر بتغييرات، فخلصت إلى أنّ القيادة التحويلية ارتبطت بالتزام العاملين بالتغيير ارتباطًا فاق ممارسات قيادة التغيير الموقفية نفسها. وتنتفع بها الدراسة الحالية في ترجيح النمط القيادي العام متغيرًا مستقلًا على الممارسات الموقفية؛ غير أنّ متغيرها التابع هو الالتزام بالتغيير لا مقاومته بمكوّناتها، وميدانها منظماتٌ متنوعة غير تعليمية.</w:t>
      </w:r>
    </w:p>
    <w:p w14:paraId="2AD49C2F" w14:textId="77777777" w:rsidR="009A2F7A" w:rsidRDefault="009A2F7A" w:rsidP="009A2F7A">
      <w:pPr>
        <w:spacing w:after="120"/>
        <w:ind w:firstLine="283"/>
        <w:jc w:val="both"/>
      </w:pPr>
      <w:r>
        <w:rPr>
          <w:sz w:val="28"/>
          <w:rtl/>
        </w:rPr>
        <w:t xml:space="preserve">وتليها الدراسة الطولية </w:t>
      </w:r>
      <w:r>
        <w:rPr>
          <w:b/>
          <w:bCs/>
          <w:sz w:val="28"/>
          <w:rtl/>
        </w:rPr>
        <w:t>لبومر وآخرين</w:t>
      </w:r>
      <w:r>
        <w:rPr>
          <w:rFonts w:cs="Times New Roman"/>
          <w:b/>
          <w:bCs/>
          <w:szCs w:val="24"/>
        </w:rPr>
        <w:t xml:space="preserve"> (Bommer et al., 2005)</w:t>
      </w:r>
      <w:r>
        <w:rPr>
          <w:sz w:val="28"/>
          <w:rtl/>
        </w:rPr>
        <w:t xml:space="preserve"> بعنوان «تغيير الاتجاهات نحو التغيير: الآثار الطولية لسلوك القائد التحويلي في تشاؤم العاملين من التغيير التنظيمي»، وقد هدفت إلى اختبار أثر السلوك التحويلي في خفض التشاؤم من التغيير عبر الزمن. اعتمدت تصميمًا طوليًا بقياساتٍ متكررة في بيئة عملٍ فعلية، فأثبتت أنّ سلوكيات القيادة التحويلية تُحدث انخفاضًا دالًّا في تشاؤم العاملين من التغيير بمرور الوقت. وتُفيد منها الدراسة الحالية في إسناد الاتجاه السببي للعلاقة التي تفترضها؛ غير أنّ التشاؤم من التغيير مفهومٌ أضيق من المقاومة بمكوّناتها الثلاثة التي تقيسها الدراسة الحالية.</w:t>
      </w:r>
    </w:p>
    <w:p w14:paraId="39789197" w14:textId="77777777" w:rsidR="009A2F7A" w:rsidRDefault="009A2F7A" w:rsidP="009A2F7A">
      <w:pPr>
        <w:spacing w:after="120"/>
        <w:ind w:firstLine="283"/>
        <w:jc w:val="both"/>
        <w:rPr>
          <w:rtl/>
        </w:rPr>
      </w:pPr>
      <w:r>
        <w:rPr>
          <w:sz w:val="28"/>
          <w:rtl/>
        </w:rPr>
        <w:t xml:space="preserve">وتُختم الدراسات الأجنبية بالتحليل البعدي المرجعي </w:t>
      </w:r>
      <w:r>
        <w:rPr>
          <w:b/>
          <w:bCs/>
          <w:sz w:val="28"/>
          <w:rtl/>
        </w:rPr>
        <w:t>لجدج وبيكولو</w:t>
      </w:r>
      <w:r>
        <w:rPr>
          <w:rFonts w:cs="Times New Roman"/>
          <w:b/>
          <w:bCs/>
          <w:szCs w:val="24"/>
        </w:rPr>
        <w:t xml:space="preserve"> (Judge &amp; Piccolo, 2004</w:t>
      </w:r>
      <w:r>
        <w:rPr>
          <w:sz w:val="28"/>
          <w:rtl/>
        </w:rPr>
        <w:t xml:space="preserve">) بعنوان «القيادة التحويلية والتبادلية: اختبارٌ بعدي لصدقهما النسبي»، وقد هدف إلى الحسم التجميعي في القوة التنبؤية للنمطين. اعتمد منهج التحليل البعدي لعشرات الدراسات المنشورة، فخلص إلى أنّ القيادة التحويلية أظهرت صدقًا إجماليًا مرتفعًا وعلاقاتٍ متسقة بمخرجات الأتباع، وفي مقدمتها رضاهم ودافعيتهم، متفوقةً في عمومها على المكوّنات التبادلية عدا المكافأة المشروطة التي جاورتها قوة. وتُفيد منه الدراسة الحالية في إسناد فرضيتها الأولى وتبرير اختيار النمط التحويلي </w:t>
      </w:r>
      <w:r>
        <w:rPr>
          <w:sz w:val="28"/>
          <w:rtl/>
        </w:rPr>
        <w:lastRenderedPageBreak/>
        <w:t>دون سواه متغيرًا مستقلًا؛ غير أنه تحليلٌ تجميعي لا يغني عن القياس الميداني المباشر في سياق الدراسة.</w:t>
      </w:r>
    </w:p>
    <w:p w14:paraId="61761184" w14:textId="77777777" w:rsidR="009A2F7A" w:rsidRDefault="009A2F7A" w:rsidP="009A2F7A">
      <w:pPr>
        <w:spacing w:after="120"/>
        <w:ind w:firstLine="283"/>
        <w:jc w:val="both"/>
        <w:rPr>
          <w:rtl/>
        </w:rPr>
      </w:pPr>
    </w:p>
    <w:p w14:paraId="098ACF9F" w14:textId="77777777" w:rsidR="009A2F7A" w:rsidRDefault="009A2F7A" w:rsidP="009A2F7A">
      <w:pPr>
        <w:spacing w:after="120"/>
        <w:ind w:firstLine="283"/>
        <w:jc w:val="both"/>
      </w:pPr>
    </w:p>
    <w:p w14:paraId="2D4BB1FF" w14:textId="77777777" w:rsidR="009A2F7A" w:rsidRPr="00623C4E" w:rsidRDefault="009A2F7A" w:rsidP="009A2F7A">
      <w:pPr>
        <w:spacing w:before="120" w:after="120"/>
        <w:outlineLvl w:val="2"/>
        <w:rPr>
          <w:sz w:val="32"/>
          <w:szCs w:val="32"/>
        </w:rPr>
      </w:pPr>
      <w:bookmarkStart w:id="48" w:name="_Toc234589640"/>
      <w:r>
        <w:rPr>
          <w:b/>
          <w:bCs/>
          <w:sz w:val="32"/>
          <w:szCs w:val="32"/>
          <w:rtl/>
        </w:rPr>
        <w:t>3- التعقيب التحليلي على الدراسات السابقة</w:t>
      </w:r>
      <w:bookmarkEnd w:id="48"/>
    </w:p>
    <w:p w14:paraId="4BF8560F" w14:textId="77777777" w:rsidR="009A2F7A" w:rsidRDefault="009A2F7A" w:rsidP="009A2F7A">
      <w:pPr>
        <w:spacing w:after="120"/>
        <w:ind w:firstLine="283"/>
        <w:jc w:val="both"/>
      </w:pPr>
      <w:r>
        <w:rPr>
          <w:sz w:val="28"/>
          <w:rtl/>
        </w:rPr>
        <w:t>يكشف استقراء الدراسات المتقدمة عن اتجاهاتٍ عامة واضحة. فمن جهة النتائج، تتقاطع الدراسات، على اختلاف بيئاتها ومناهجها، عند خلاصةٍ متسقة: أنّ للقيادة التحويلية أثرًا موجبًا مطّردًا في المخرجات الاتجاهية والدافعية للعاملين، وأثرًا مخفِّضًا لاستجاباتهم السلبية نحو التغيير؛ وهو اتساقٌ بلغ مستوى الحسم التجميعي في التحليلين البعديين</w:t>
      </w:r>
      <w:r>
        <w:rPr>
          <w:rFonts w:cs="Times New Roman"/>
          <w:szCs w:val="24"/>
        </w:rPr>
        <w:t xml:space="preserve"> (Judge &amp; Piccolo, 2004; Peng et al., 2021). </w:t>
      </w:r>
      <w:r>
        <w:rPr>
          <w:sz w:val="28"/>
          <w:rtl/>
        </w:rPr>
        <w:t>ومن جهة المنهج، تغلب على الدراسات المنزعة الكمّية الوصفية القائمة على الاستبانة، مع حضورٍ متميز للتصميمات الأرقى استدلالًا كالطولي</w:t>
      </w:r>
      <w:r>
        <w:rPr>
          <w:rFonts w:cs="Times New Roman"/>
          <w:szCs w:val="24"/>
        </w:rPr>
        <w:t xml:space="preserve"> (Bommer et al., 2005) </w:t>
      </w:r>
      <w:r>
        <w:rPr>
          <w:sz w:val="28"/>
          <w:rtl/>
        </w:rPr>
        <w:t>ومتعدد المستويات</w:t>
      </w:r>
      <w:r>
        <w:rPr>
          <w:rFonts w:cs="Times New Roman"/>
          <w:szCs w:val="24"/>
        </w:rPr>
        <w:t xml:space="preserve"> (Oreg &amp; Berson, 2011). </w:t>
      </w:r>
      <w:r>
        <w:rPr>
          <w:sz w:val="28"/>
          <w:rtl/>
        </w:rPr>
        <w:t>ومن جهة الميادين، توزعت بين أجهزةٍ مركزية وقطاعاتٍ متنوعة، ولم تحضر البيئة الإدارية لإدارات التعليم السعودية في المناطق إلا نادرًا. ومن جهة المتغيرات الشخصية والوظيفية، تفاوتت الدراسات في فحص أثرها؛ فبينما اختبرت بعض الدراسات المحلية الفروق تبعًا لخصائص أفراد العينة، أغفلتها دراساتٌ أخرى أو لم تجد لها أثرًا حاسمًا، مما يُبقي المسألة مفتوحةً في البيئة السعودية التعليمية ويسند حاجة الدراسة الحالية إلى فرضيتها الثالثة الخاصة بالفروق تبعًا للجنس والمؤهل وسنوات الخبرة.</w:t>
      </w:r>
    </w:p>
    <w:p w14:paraId="110A4FCC" w14:textId="77777777" w:rsidR="009A2F7A" w:rsidRDefault="009A2F7A" w:rsidP="009A2F7A">
      <w:pPr>
        <w:spacing w:after="120"/>
        <w:ind w:firstLine="283"/>
        <w:jc w:val="both"/>
      </w:pPr>
      <w:r>
        <w:rPr>
          <w:sz w:val="28"/>
          <w:rtl/>
        </w:rPr>
        <w:t>وتتفق الدراسة الحالية مع سابقاتها في اعتماد المنهج الوصفي والاستبانة أداةً، وفي تبنّي أبعاد باس وأفوليو الأربعة للمتغير المستقل كما في دراستَي القحطاني وآخرين (2023) ومحمد وآخرين (2022)، وفي الانطلاق من إطار القيادة كامل المدى كما في دراسة بن عبد الرحمن (2011). وتختلف عنها في ثلاثة مواضع جوهرية. فمن جهة المتغيرات، لم تجمع أيٌّ من الدراسات المستعرَضة بين الدافعية ومقاومة التغيير متغيرين تابعين في نموذجٍ واحد؛ إذ وقفت كلٌّ منها عند مخرجٍ واحد كالإبداع أو المهارات أو الالتزام أو التشاؤم. ومن جهة القياس، تقيس الدراسة الحالية المقاومة بمكوّناتها الثلاثة المعرفية والوجدانية والسلوكية، في حين اكتفت الدراسات المحلية بمقاربة المقاومة وصفًا عامًا أو بأسبابها واستراتيجياتها. ومن جهة الميدان، تنفرد الدراسة الحالية بإدارة التعليم بمنطقة عسير ميدانًا لم تتناوله أيٌّ من الدراسات السابقة، في لحظةٍ تشهد فيها إدارات التعليم تحولاتٍ متسارعة تجعل متغيرات الدراسة في ذروة راهنيتها.</w:t>
      </w:r>
    </w:p>
    <w:p w14:paraId="53A4107D" w14:textId="77777777" w:rsidR="009A2F7A" w:rsidRDefault="009A2F7A" w:rsidP="009A2F7A">
      <w:pPr>
        <w:spacing w:after="120"/>
        <w:ind w:firstLine="283"/>
        <w:jc w:val="both"/>
      </w:pPr>
      <w:r>
        <w:rPr>
          <w:sz w:val="28"/>
          <w:rtl/>
        </w:rPr>
        <w:lastRenderedPageBreak/>
        <w:t>ويكشف الميزان النقدي لهذه الدراسات عن جوانب قوةٍ وقصورٍ معًا. فمن جوانب قوتها تدرّجُ أدلتها عبر مستويات الاستدلال، من الدراسة الميدانية المفردة إلى التصميم الطولي</w:t>
      </w:r>
      <w:r>
        <w:rPr>
          <w:rFonts w:cs="Times New Roman"/>
          <w:szCs w:val="24"/>
        </w:rPr>
        <w:t xml:space="preserve"> (Bommer et al., 2005) </w:t>
      </w:r>
      <w:r>
        <w:rPr>
          <w:sz w:val="28"/>
          <w:rtl/>
        </w:rPr>
        <w:t>والنمذجة متعددة المستويات</w:t>
      </w:r>
      <w:r>
        <w:rPr>
          <w:rFonts w:cs="Times New Roman"/>
          <w:szCs w:val="24"/>
        </w:rPr>
        <w:t xml:space="preserve"> (Oreg &amp; Berson, 2011) </w:t>
      </w:r>
      <w:r>
        <w:rPr>
          <w:sz w:val="28"/>
          <w:rtl/>
        </w:rPr>
        <w:t>فالتحليل البعدي التجميعي</w:t>
      </w:r>
      <w:r>
        <w:rPr>
          <w:rFonts w:cs="Times New Roman"/>
          <w:szCs w:val="24"/>
        </w:rPr>
        <w:t xml:space="preserve"> (Judge &amp; Piccolo, 2004; Peng et al., 2021)</w:t>
      </w:r>
      <w:r>
        <w:rPr>
          <w:sz w:val="28"/>
          <w:rtl/>
        </w:rPr>
        <w:t>، وأصالةُ الدراسات المحلية في توطين الظواهر بالبيئة الحكومية السعودية منذ وقتٍ مبكر (العامري والفوزان، 1998). ومن جوانب قصورها غلبةُ التصميم المقطعي الذي يرصد العلاقة في لحظةٍ واحدة، والاعتمادُ على الاستبانة ذاتية التقرير مصدرًا وحيدًا للبيانات بما يحتمله من تحيّز المصدر المشترك، ووقوفُ كلٍّ منها عند مخرجٍ تابع واحد، وندرةُ تمثيل البيئة الإدارية التعليمية الإقليمية. وتتعامل الدراسة الحالية مع هذا الميزان بوعي؛ فتوسّع المخرجات إلى متغيرين تابعين متعددي الأبعاد بما يخفف قصور الانفراد، وتقيس الإدراك من جمهور الموظفين لا من القيادات بما يحدّ من تحيّز التجميل الذاتي، وإن ظلت، شأن أغلب سابقاتها، مقطعية التصميم استبانية الأداة؛ وهو حدٌّ تُقرّ به وتقترح تجاوزه في الدراسات المقترحة بتصميماتٍ طولية ومصادر بياناتٍ متعددة.</w:t>
      </w:r>
    </w:p>
    <w:p w14:paraId="58195AE8" w14:textId="77777777" w:rsidR="009A2F7A" w:rsidRDefault="009A2F7A" w:rsidP="009A2F7A">
      <w:pPr>
        <w:spacing w:after="120"/>
        <w:ind w:firstLine="283"/>
        <w:jc w:val="both"/>
      </w:pPr>
      <w:r>
        <w:rPr>
          <w:sz w:val="28"/>
          <w:rtl/>
        </w:rPr>
        <w:t>ويقود ما تقدم إلى تحرير الفجوة البحثية التي تنهض الدراسة الحالية لسدّها، وهي فجوةٌ ثلاثية الوجوه تتكامل مع ما حُرر في الفصل الأول. فمن جهة المتغيرات، انصرفت الدراسات إلى فحص أثر القيادة التحويلية في مخرجٍ واحد في كل مرة، ولم يختبر أيٌّ منها نموذجًا يجمع الدافعية ومقاومة التغيير معًا، مع أنّ التأصيل النظري المتقدم يرجّح أنهما وجهان لاستجابةٍ واحدة يحدثها السلوك التحويلي في الأتباع. ومن جهة القياس، ظل قياس المقاومة في الدراسات المحلية إجماليًا أو سببيًا استراتيجيًا، ولم يوظَّف النموذج الثلاثي للمكوّنات المعرفية والوجدانية والسلوكية توظيفًا ميدانيًا في البيئة الإدارية التعليمية السعودية. ومن جهة الميدان والتوقيت، غابت إدارات التعليم في المناطق عن خريطة هذه الدراسات، مع أنها اليوم في قلب تحولات الرؤية؛ فجاءت الدراسة الحالية لتضع إدارة التعليم بمنطقة عسير، بحجمها واتساع خدماتها، موضعَ الفحص في اللحظة الأنسب لذلك.</w:t>
      </w:r>
    </w:p>
    <w:p w14:paraId="5FC16BC4" w14:textId="77777777" w:rsidR="009A2F7A" w:rsidRDefault="009A2F7A" w:rsidP="009A2F7A">
      <w:pPr>
        <w:spacing w:after="120"/>
        <w:ind w:firstLine="283"/>
        <w:jc w:val="both"/>
      </w:pPr>
      <w:r>
        <w:rPr>
          <w:sz w:val="28"/>
          <w:rtl/>
        </w:rPr>
        <w:t xml:space="preserve">وبسدّ هذه الفجوة بوجوهها الثلاثة، لا تكتفي الدراسة الحالية بملء فراغٍ في الأدبيات، بل تقدّم قيمةً علمية وتطبيقية مضافة تتحدد في أربعة مواضع. أولها بناء نموذجٍ بحثي واحد يجمع القيادة التحويلية بالدافعية ومقاومة التغيير، فيتيح لأول مرة في هذه البيئة فحص الأثر المزدوج للنمط القيادي في الوجهين الإيجابي والسلبي لاستجابة العاملين معًا، وموازنة قوة الأثرين ببياناتٍ واحدة من عينةٍ واحدة. وثانيها توطين القياس الثلاثي لمقاومة التغيير، بمكوّناتها المعرفية والوجدانية والسلوكية، في البيئة الإدارية التعليمية السعودية، بما يوفّر للباحثين اللاحقين أداةً محكّمة، ولمتخذي القرار تشخيصًا يفرّق بين مقاومة الاقتناع ومقاومة القلق ومقاومة السلوك، لكلٍّ منها علاجها المختلف. وثالثها التطبيق الميداني على إدارة التعليم بمنطقة عسير، بما يمثّله ذلك من نقل البحث </w:t>
      </w:r>
      <w:r>
        <w:rPr>
          <w:sz w:val="28"/>
          <w:rtl/>
        </w:rPr>
        <w:lastRenderedPageBreak/>
        <w:t>إلى إحدى كبريات إدارات التعليم في لحظة تحوّلها. ورابعها إثمار نتائج قابلة للتوظيف المباشر لدى متخذي القرار في وزارة التعليم وإداراتها، في تطوير برامج إعداد القيادات، وتصميم خطط إدارة التغيير المصاحبة للمبادرات، وترتيب أولويات التدخل بحسب أشد أبعاد القيادة أثرًا وأكثر مكونات المقاومة حضورًا.</w:t>
      </w:r>
    </w:p>
    <w:p w14:paraId="1A503737" w14:textId="77777777" w:rsidR="009A2F7A" w:rsidRDefault="009A2F7A" w:rsidP="009A2F7A">
      <w:pPr>
        <w:spacing w:after="120"/>
        <w:ind w:firstLine="283"/>
        <w:jc w:val="both"/>
      </w:pPr>
      <w:r>
        <w:rPr>
          <w:sz w:val="28"/>
          <w:rtl/>
        </w:rPr>
        <w:t>وقد أفادت الدراسة الحالية من هذا التراكم إفاداتٍ محددة: في بلورة مشكلتها وفجوتها البحثية كما تحرر في الفصل الأول، وفي بناء أداتها بالاستئناس بأدوات الدراسات ذات الصلة ولا سيما في محور القيادة التحويلية، وفي اختيار معالجاتها الإحصائية من وصفٍ وارتباطٍ وانحدار، وفي تهيئة إطارٍ تفسيري تُقرأ به نتائجها الميدانية في الفصل الرابع مقارنةً بما انتهت إليه سابقاتها. وبهذا يكون المحور قد حدّد موقع الدراسة الحالية بين سابقاتها وأبرز إضافتها العلمية، مكمّلًا الإطار النظري الذي أرسته المحاور الثلاثة قبله.</w:t>
      </w:r>
    </w:p>
    <w:p w14:paraId="1262F9DF" w14:textId="77777777" w:rsidR="009A2F7A" w:rsidRDefault="009A2F7A" w:rsidP="009A2F7A">
      <w:pPr>
        <w:spacing w:after="120"/>
        <w:ind w:firstLine="283"/>
        <w:jc w:val="both"/>
      </w:pPr>
      <w:r>
        <w:rPr>
          <w:sz w:val="28"/>
          <w:rtl/>
        </w:rPr>
        <w:t>وبناءً على ما تقدم، يكون هذا المحور قد وضع الدراسة الحالية في خريطة حقلها: متفقةً مع التراكم في منهجه وأبعاده المؤسِّسة، متجاوزةً إياه في نموذجها وقياسها وميدانها، مستفيدةً من قوته ومتيقظةً لمواطن قصوره؛ وبذلك اكتمل للدراسة إطارها النظري وسندها الميداني معًا، وتهيأت للانتقال إلى إجراءاتها المنهجية في الفصل الثالث.</w:t>
      </w:r>
    </w:p>
    <w:p w14:paraId="7A189F06" w14:textId="77777777" w:rsidR="009A2F7A" w:rsidRPr="00623C4E" w:rsidRDefault="009A2F7A" w:rsidP="009A2F7A">
      <w:pPr>
        <w:spacing w:before="120" w:after="120"/>
        <w:outlineLvl w:val="1"/>
        <w:rPr>
          <w:sz w:val="36"/>
          <w:szCs w:val="36"/>
        </w:rPr>
      </w:pPr>
      <w:bookmarkStart w:id="49" w:name="_Toc234589641"/>
      <w:r>
        <w:rPr>
          <w:b/>
          <w:bCs/>
          <w:sz w:val="36"/>
          <w:szCs w:val="36"/>
          <w:u w:val="single"/>
          <w:rtl/>
        </w:rPr>
        <w:t>خاتمة الفصل</w:t>
      </w:r>
      <w:bookmarkEnd w:id="49"/>
    </w:p>
    <w:p w14:paraId="1D99A02B" w14:textId="77777777" w:rsidR="009A2F7A" w:rsidRDefault="009A2F7A" w:rsidP="009A2F7A">
      <w:pPr>
        <w:spacing w:after="120"/>
        <w:ind w:firstLine="283"/>
        <w:jc w:val="both"/>
      </w:pPr>
      <w:r>
        <w:rPr>
          <w:sz w:val="28"/>
          <w:rtl/>
        </w:rPr>
        <w:t>تناول هذا الفصل الإطار النظري للدراسة ودراساتها السابقة. فبدأ بتأصيل المتغير المستقل، القيادة التحويلية، مفهومًا ونشأةً وأهميةً وخصائصَ وأبعادًا، وموقعًا في نموذج القيادة كامل المدى ومقارنةً بالتبادلية، ومعوقاتٍ وسبلَ تعزيز؛ ثم انتقل إلى المتغير التابع الأول، الدافعية، فحرّر مفهومها ونظرياتها وأبعادها الثلاثة، وبيّن دور القيادة التحويلية في تعزيزها؛ ثم إلى المتغير التابع الثاني، مقاومة التغيير، فتتبّع تطور النظرة إليها وأسبابها وأشكالها ومكوّناتها الثلاثة ونماذج إدارتها، وبيّن دور القيادة التحويلية في تقليلها؛ وختم باستعراض الدراسات السابقة عربيةً وأجنبية والتعقيب التحليلي عليها.</w:t>
      </w:r>
    </w:p>
    <w:p w14:paraId="29A2562F" w14:textId="77777777" w:rsidR="009A2F7A" w:rsidRDefault="009A2F7A" w:rsidP="009A2F7A">
      <w:pPr>
        <w:spacing w:after="120"/>
        <w:ind w:firstLine="283"/>
        <w:jc w:val="both"/>
      </w:pPr>
      <w:r>
        <w:rPr>
          <w:sz w:val="28"/>
          <w:rtl/>
        </w:rPr>
        <w:t xml:space="preserve">وقد تكاملت محاور الفصل في بناءٍ واحد انتقل من المؤثِّر إلى المتأثِّر، ومن التأصيل النظري إلى موقع الدراسة بين سابقاتها؛ فأرسى الأساس الذي تقوم عليه فرضيتا الأثر، وثبّت الأبعاد التي ستُشتق منها أداة الدراسة: أربعةً للقيادة التحويلية، وثلاثةً للدافعية، وثلاثةً لمقاومة التغيير، على وفاق نموذج الدراسة في الفصل الأول. وبهذا يكون الفصل قد هيّأ المنطلق النظري والمنهجي للانتقال إلى الفصل الثالث، الذي يتناول إجراءات الدراسة الميدانية من منهجٍ ومجتمعٍ وعينةٍ وأداةٍ وأساليب إحصائية. كما هيّأ الفصل، بما حرّره من فروقٍ بين المفاهيم ومساراتٍ للتأثير وشروطٍ </w:t>
      </w:r>
      <w:r>
        <w:rPr>
          <w:sz w:val="28"/>
          <w:rtl/>
        </w:rPr>
        <w:lastRenderedPageBreak/>
        <w:t>لفاعلية السلوك القيادي، عدّةً تفسيرية ستُستدعى عند مناقشة النتائج؛ فبها يمكن تعليل ما قد يظهر من تفاوتٍ في أثر الأبعاد، أو من فروقٍ بين فئات العينة، أو من مفارقاتٍ بين مستوى الممارسة المدرَكة ومستوى المتغيرين التابعين.</w:t>
      </w:r>
    </w:p>
    <w:p w14:paraId="53D10444" w14:textId="77777777" w:rsidR="009A2F7A" w:rsidRDefault="009A2F7A" w:rsidP="009A2F7A">
      <w:pPr>
        <w:spacing w:before="120" w:after="120"/>
        <w:outlineLvl w:val="1"/>
        <w:rPr>
          <w:b/>
          <w:bCs/>
          <w:sz w:val="36"/>
          <w:szCs w:val="36"/>
          <w:u w:val="single"/>
          <w:rtl/>
        </w:rPr>
      </w:pPr>
    </w:p>
    <w:p w14:paraId="3DF5560B" w14:textId="77777777" w:rsidR="009A2F7A" w:rsidRDefault="009A2F7A"/>
    <w:sectPr w:rsidR="009A2F7A" w:rsidSect="002D34C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F7A"/>
    <w:rsid w:val="002D34CA"/>
    <w:rsid w:val="00702C68"/>
    <w:rsid w:val="009A2F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B053D"/>
  <w15:chartTrackingRefBased/>
  <w15:docId w15:val="{4B6A7B91-BCA4-43DA-90D6-00E1C6154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2F7A"/>
    <w:pPr>
      <w:bidi/>
      <w:spacing w:after="0" w:line="240" w:lineRule="auto"/>
    </w:pPr>
    <w:rPr>
      <w:rFonts w:ascii="Times New Roman" w:eastAsia="Times New Roman" w:hAnsi="Times New Roman" w:cs="Simplified Arabic"/>
      <w:kern w:val="0"/>
      <w:szCs w:val="28"/>
      <w14:ligatures w14:val="none"/>
    </w:rPr>
  </w:style>
  <w:style w:type="paragraph" w:styleId="1">
    <w:name w:val="heading 1"/>
    <w:basedOn w:val="a"/>
    <w:next w:val="a"/>
    <w:link w:val="1Char"/>
    <w:uiPriority w:val="9"/>
    <w:qFormat/>
    <w:rsid w:val="009A2F7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9A2F7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9A2F7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14:ligatures w14:val="standardContextual"/>
    </w:rPr>
  </w:style>
  <w:style w:type="paragraph" w:styleId="4">
    <w:name w:val="heading 4"/>
    <w:basedOn w:val="a"/>
    <w:next w:val="a"/>
    <w:link w:val="4Char"/>
    <w:uiPriority w:val="9"/>
    <w:semiHidden/>
    <w:unhideWhenUsed/>
    <w:qFormat/>
    <w:rsid w:val="009A2F7A"/>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5">
    <w:name w:val="heading 5"/>
    <w:basedOn w:val="a"/>
    <w:next w:val="a"/>
    <w:link w:val="5Char"/>
    <w:uiPriority w:val="9"/>
    <w:semiHidden/>
    <w:unhideWhenUsed/>
    <w:qFormat/>
    <w:rsid w:val="009A2F7A"/>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6">
    <w:name w:val="heading 6"/>
    <w:basedOn w:val="a"/>
    <w:next w:val="a"/>
    <w:link w:val="6Char"/>
    <w:uiPriority w:val="9"/>
    <w:semiHidden/>
    <w:unhideWhenUsed/>
    <w:qFormat/>
    <w:rsid w:val="009A2F7A"/>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7">
    <w:name w:val="heading 7"/>
    <w:basedOn w:val="a"/>
    <w:next w:val="a"/>
    <w:link w:val="7Char"/>
    <w:uiPriority w:val="9"/>
    <w:semiHidden/>
    <w:unhideWhenUsed/>
    <w:qFormat/>
    <w:rsid w:val="009A2F7A"/>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8">
    <w:name w:val="heading 8"/>
    <w:basedOn w:val="a"/>
    <w:next w:val="a"/>
    <w:link w:val="8Char"/>
    <w:uiPriority w:val="9"/>
    <w:semiHidden/>
    <w:unhideWhenUsed/>
    <w:qFormat/>
    <w:rsid w:val="009A2F7A"/>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9">
    <w:name w:val="heading 9"/>
    <w:basedOn w:val="a"/>
    <w:next w:val="a"/>
    <w:link w:val="9Char"/>
    <w:uiPriority w:val="9"/>
    <w:semiHidden/>
    <w:unhideWhenUsed/>
    <w:qFormat/>
    <w:rsid w:val="009A2F7A"/>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A2F7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A2F7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A2F7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A2F7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A2F7A"/>
    <w:rPr>
      <w:rFonts w:eastAsiaTheme="majorEastAsia" w:cstheme="majorBidi"/>
      <w:color w:val="2F5496" w:themeColor="accent1" w:themeShade="BF"/>
    </w:rPr>
  </w:style>
  <w:style w:type="character" w:customStyle="1" w:styleId="6Char">
    <w:name w:val="عنوان 6 Char"/>
    <w:basedOn w:val="a0"/>
    <w:link w:val="6"/>
    <w:uiPriority w:val="9"/>
    <w:semiHidden/>
    <w:rsid w:val="009A2F7A"/>
    <w:rPr>
      <w:rFonts w:eastAsiaTheme="majorEastAsia" w:cstheme="majorBidi"/>
      <w:i/>
      <w:iCs/>
      <w:color w:val="595959" w:themeColor="text1" w:themeTint="A6"/>
    </w:rPr>
  </w:style>
  <w:style w:type="character" w:customStyle="1" w:styleId="7Char">
    <w:name w:val="عنوان 7 Char"/>
    <w:basedOn w:val="a0"/>
    <w:link w:val="7"/>
    <w:uiPriority w:val="9"/>
    <w:semiHidden/>
    <w:rsid w:val="009A2F7A"/>
    <w:rPr>
      <w:rFonts w:eastAsiaTheme="majorEastAsia" w:cstheme="majorBidi"/>
      <w:color w:val="595959" w:themeColor="text1" w:themeTint="A6"/>
    </w:rPr>
  </w:style>
  <w:style w:type="character" w:customStyle="1" w:styleId="8Char">
    <w:name w:val="عنوان 8 Char"/>
    <w:basedOn w:val="a0"/>
    <w:link w:val="8"/>
    <w:uiPriority w:val="9"/>
    <w:semiHidden/>
    <w:rsid w:val="009A2F7A"/>
    <w:rPr>
      <w:rFonts w:eastAsiaTheme="majorEastAsia" w:cstheme="majorBidi"/>
      <w:i/>
      <w:iCs/>
      <w:color w:val="272727" w:themeColor="text1" w:themeTint="D8"/>
    </w:rPr>
  </w:style>
  <w:style w:type="character" w:customStyle="1" w:styleId="9Char">
    <w:name w:val="عنوان 9 Char"/>
    <w:basedOn w:val="a0"/>
    <w:link w:val="9"/>
    <w:uiPriority w:val="9"/>
    <w:semiHidden/>
    <w:rsid w:val="009A2F7A"/>
    <w:rPr>
      <w:rFonts w:eastAsiaTheme="majorEastAsia" w:cstheme="majorBidi"/>
      <w:color w:val="272727" w:themeColor="text1" w:themeTint="D8"/>
    </w:rPr>
  </w:style>
  <w:style w:type="paragraph" w:styleId="a3">
    <w:name w:val="Title"/>
    <w:basedOn w:val="a"/>
    <w:next w:val="a"/>
    <w:link w:val="Char"/>
    <w:uiPriority w:val="10"/>
    <w:qFormat/>
    <w:rsid w:val="009A2F7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9A2F7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A2F7A"/>
    <w:pPr>
      <w:numPr>
        <w:ilvl w:val="1"/>
      </w:numPr>
      <w:spacing w:after="160" w:line="278" w:lineRule="auto"/>
    </w:pPr>
    <w:rPr>
      <w:rFonts w:asciiTheme="minorHAnsi" w:eastAsiaTheme="majorEastAsia" w:hAnsiTheme="minorHAnsi" w:cstheme="majorBidi"/>
      <w:color w:val="595959" w:themeColor="text1" w:themeTint="A6"/>
      <w:spacing w:val="15"/>
      <w:kern w:val="2"/>
      <w:sz w:val="28"/>
      <w14:ligatures w14:val="standardContextual"/>
    </w:rPr>
  </w:style>
  <w:style w:type="character" w:customStyle="1" w:styleId="Char0">
    <w:name w:val="عنوان فرعي Char"/>
    <w:basedOn w:val="a0"/>
    <w:link w:val="a4"/>
    <w:uiPriority w:val="11"/>
    <w:rsid w:val="009A2F7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A2F7A"/>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har1">
    <w:name w:val="اقتباس Char"/>
    <w:basedOn w:val="a0"/>
    <w:link w:val="a5"/>
    <w:uiPriority w:val="29"/>
    <w:rsid w:val="009A2F7A"/>
    <w:rPr>
      <w:i/>
      <w:iCs/>
      <w:color w:val="404040" w:themeColor="text1" w:themeTint="BF"/>
    </w:rPr>
  </w:style>
  <w:style w:type="paragraph" w:styleId="a6">
    <w:name w:val="List Paragraph"/>
    <w:basedOn w:val="a"/>
    <w:uiPriority w:val="34"/>
    <w:qFormat/>
    <w:rsid w:val="009A2F7A"/>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a7">
    <w:name w:val="Intense Emphasis"/>
    <w:basedOn w:val="a0"/>
    <w:uiPriority w:val="21"/>
    <w:qFormat/>
    <w:rsid w:val="009A2F7A"/>
    <w:rPr>
      <w:i/>
      <w:iCs/>
      <w:color w:val="2F5496" w:themeColor="accent1" w:themeShade="BF"/>
    </w:rPr>
  </w:style>
  <w:style w:type="paragraph" w:styleId="a8">
    <w:name w:val="Intense Quote"/>
    <w:basedOn w:val="a"/>
    <w:next w:val="a"/>
    <w:link w:val="Char2"/>
    <w:uiPriority w:val="30"/>
    <w:qFormat/>
    <w:rsid w:val="009A2F7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Char2">
    <w:name w:val="اقتباس مكثف Char"/>
    <w:basedOn w:val="a0"/>
    <w:link w:val="a8"/>
    <w:uiPriority w:val="30"/>
    <w:rsid w:val="009A2F7A"/>
    <w:rPr>
      <w:i/>
      <w:iCs/>
      <w:color w:val="2F5496" w:themeColor="accent1" w:themeShade="BF"/>
    </w:rPr>
  </w:style>
  <w:style w:type="character" w:styleId="a9">
    <w:name w:val="Intense Reference"/>
    <w:basedOn w:val="a0"/>
    <w:uiPriority w:val="32"/>
    <w:qFormat/>
    <w:rsid w:val="009A2F7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12104</Words>
  <Characters>68997</Characters>
  <Application>Microsoft Office Word</Application>
  <DocSecurity>0</DocSecurity>
  <Lines>574</Lines>
  <Paragraphs>161</Paragraphs>
  <ScaleCrop>false</ScaleCrop>
  <Company/>
  <LinksUpToDate>false</LinksUpToDate>
  <CharactersWithSpaces>80940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Fatimah Abdullah M. Al-Khursan</dc:creator>
  <cp:keywords/>
  <dc:description/>
  <cp:lastModifiedBy>Fatimah Abdullah M. Al-Khursan</cp:lastModifiedBy>
  <cp:revision>1</cp:revision>
  <dcterms:created xsi:type="dcterms:W3CDTF">2026-07-11T10:19:00Z</dcterms:created>
  <dcterms:modified xsi:type="dcterms:W3CDTF">2026-07-11T10:20:00Z</dcterms:modified>
</cp:coreProperties>
</file>