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DCDC1A9" w:rsidR="009125CE" w:rsidRPr="001902DB" w:rsidRDefault="00304D83" w:rsidP="00304D83">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C95C0D7">
            <wp:simplePos x="0" y="0"/>
            <wp:positionH relativeFrom="margin">
              <wp:posOffset>-799497</wp:posOffset>
            </wp:positionH>
            <wp:positionV relativeFrom="margin">
              <wp:posOffset>-530868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A70A098" w:rsidR="00F546CE" w:rsidRPr="001902DB" w:rsidRDefault="009125CE" w:rsidP="00304D83">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EF4C476" w:rsidR="009125CE" w:rsidRPr="009125CE" w:rsidRDefault="009125CE" w:rsidP="00A122CC">
      <w:pPr>
        <w:bidi/>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177F17">
        <w:rPr>
          <w:rFonts w:ascii="Sakkal Majalla" w:hAnsi="Sakkal Majalla" w:cs="Sakkal Majalla"/>
          <w:b/>
          <w:bCs/>
          <w:sz w:val="28"/>
          <w:szCs w:val="28"/>
          <w:lang w:bidi="ar-EG"/>
        </w:rPr>
        <w:t xml:space="preserve"> </w:t>
      </w:r>
      <w:r w:rsidR="00177F17">
        <w:rPr>
          <w:rFonts w:ascii="Sakkal Majalla" w:hAnsi="Sakkal Majalla" w:cs="Sakkal Majalla" w:hint="cs"/>
          <w:b/>
          <w:bCs/>
          <w:sz w:val="28"/>
          <w:szCs w:val="28"/>
          <w:rtl/>
        </w:rPr>
        <w:t>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B15ED79" w14:textId="77777777" w:rsidR="00304D83" w:rsidRDefault="00304D83" w:rsidP="00304D83">
      <w:pPr>
        <w:pStyle w:val="NoSpacing"/>
        <w:bidi/>
        <w:rPr>
          <w:rFonts w:ascii="Sakkal Majalla" w:eastAsiaTheme="minorHAnsi" w:hAnsi="Sakkal Majalla" w:cs="Sakkal Majalla"/>
          <w:b/>
          <w:bCs/>
          <w:sz w:val="28"/>
          <w:szCs w:val="28"/>
          <w:rtl/>
          <w:lang w:val="en-US" w:bidi="ar-EG"/>
        </w:rPr>
      </w:pPr>
    </w:p>
    <w:p w14:paraId="0B8E9BC0" w14:textId="2AAFD04D" w:rsidR="00177F17" w:rsidRPr="00304D83" w:rsidRDefault="00177F17" w:rsidP="00304D83">
      <w:pPr>
        <w:pStyle w:val="NoSpacing"/>
        <w:bidi/>
        <w:jc w:val="center"/>
        <w:rPr>
          <w:rFonts w:ascii="Sakkal Majalla" w:eastAsiaTheme="minorHAnsi" w:hAnsi="Sakkal Majalla" w:cs="Sakkal Majalla"/>
          <w:b/>
          <w:bCs/>
          <w:sz w:val="28"/>
          <w:szCs w:val="28"/>
          <w:lang w:val="en-US" w:bidi="ar-EG"/>
        </w:rPr>
      </w:pPr>
      <w:r w:rsidRPr="00304D83">
        <w:rPr>
          <w:rFonts w:ascii="Sakkal Majalla" w:eastAsiaTheme="minorHAnsi" w:hAnsi="Sakkal Majalla" w:cs="Sakkal Majalla"/>
          <w:b/>
          <w:bCs/>
          <w:sz w:val="28"/>
          <w:szCs w:val="28"/>
          <w:rtl/>
          <w:lang w:val="en-US" w:bidi="ar-EG"/>
        </w:rPr>
        <w:t>تأثير إدارة الموارد البشرية على الاحتفاظ</w:t>
      </w:r>
      <w:r w:rsidR="00304D83" w:rsidRPr="00304D83">
        <w:rPr>
          <w:rFonts w:ascii="Sakkal Majalla" w:eastAsiaTheme="minorHAnsi" w:hAnsi="Sakkal Majalla" w:cs="Sakkal Majalla"/>
          <w:b/>
          <w:bCs/>
          <w:sz w:val="28"/>
          <w:szCs w:val="28"/>
          <w:rtl/>
          <w:lang w:val="en-US" w:bidi="ar-EG"/>
        </w:rPr>
        <w:t xml:space="preserve"> </w:t>
      </w:r>
      <w:r w:rsidRPr="00304D83">
        <w:rPr>
          <w:rFonts w:ascii="Sakkal Majalla" w:eastAsiaTheme="minorHAnsi" w:hAnsi="Sakkal Majalla" w:cs="Sakkal Majalla"/>
          <w:b/>
          <w:bCs/>
          <w:sz w:val="28"/>
          <w:szCs w:val="28"/>
          <w:rtl/>
          <w:lang w:val="en-US" w:bidi="ar-EG"/>
        </w:rPr>
        <w:t>بالكادر الطبي في المستشفيات وأثره</w:t>
      </w:r>
      <w:r w:rsidR="00304D83">
        <w:rPr>
          <w:rFonts w:ascii="Sakkal Majalla" w:eastAsiaTheme="minorHAnsi" w:hAnsi="Sakkal Majalla" w:cs="Sakkal Majalla" w:hint="cs"/>
          <w:b/>
          <w:bCs/>
          <w:sz w:val="28"/>
          <w:szCs w:val="28"/>
          <w:rtl/>
          <w:lang w:val="en-US" w:bidi="ar-EG"/>
        </w:rPr>
        <w:t xml:space="preserve"> </w:t>
      </w:r>
      <w:r w:rsidRPr="00304D83">
        <w:rPr>
          <w:rFonts w:ascii="Sakkal Majalla" w:eastAsiaTheme="minorHAnsi" w:hAnsi="Sakkal Majalla" w:cs="Sakkal Majalla"/>
          <w:b/>
          <w:bCs/>
          <w:sz w:val="28"/>
          <w:szCs w:val="28"/>
          <w:rtl/>
          <w:lang w:val="en-US" w:bidi="ar-EG"/>
        </w:rPr>
        <w:t>على جودة الرعاية</w:t>
      </w:r>
    </w:p>
    <w:p w14:paraId="78F9CFCA" w14:textId="77777777" w:rsidR="00177F17" w:rsidRPr="00177F17" w:rsidRDefault="00177F17" w:rsidP="00177F17"/>
    <w:p w14:paraId="15C28831" w14:textId="77777777" w:rsidR="009125CE" w:rsidRPr="00177F17"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31485E1" w:rsidR="009125CE" w:rsidRPr="001902DB" w:rsidRDefault="00177F1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سلمان الخيبري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2FBCE1F0" w:rsidR="009125CE" w:rsidRPr="001902DB" w:rsidRDefault="00177F17" w:rsidP="00177F17">
      <w:pPr>
        <w:bidi/>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2025 - 2026</w:t>
      </w:r>
    </w:p>
    <w:p w14:paraId="3DCFF3ED" w14:textId="77777777" w:rsidR="00A815A3" w:rsidRDefault="00A815A3" w:rsidP="00177F17">
      <w:pPr>
        <w:bidi/>
        <w:rPr>
          <w:rFonts w:ascii="Sakkal Majalla" w:hAnsi="Sakkal Majalla" w:cs="Sakkal Majalla"/>
          <w:sz w:val="28"/>
          <w:szCs w:val="28"/>
          <w:u w:val="single"/>
          <w:rtl/>
          <w:lang w:bidi="ar-EG"/>
        </w:rPr>
      </w:pPr>
    </w:p>
    <w:p w14:paraId="04884503" w14:textId="77777777" w:rsidR="00A815A3" w:rsidRDefault="00A815A3" w:rsidP="00A815A3">
      <w:pPr>
        <w:bidi/>
        <w:rPr>
          <w:rFonts w:ascii="Sakkal Majalla" w:hAnsi="Sakkal Majalla" w:cs="Sakkal Majalla"/>
          <w:sz w:val="28"/>
          <w:szCs w:val="28"/>
          <w:u w:val="single"/>
          <w:rtl/>
          <w:lang w:bidi="ar-EG"/>
        </w:rPr>
      </w:pPr>
    </w:p>
    <w:p w14:paraId="47258008" w14:textId="77777777" w:rsidR="00A815A3" w:rsidRDefault="00A815A3" w:rsidP="00A815A3">
      <w:pPr>
        <w:bidi/>
        <w:rPr>
          <w:rFonts w:ascii="Sakkal Majalla" w:hAnsi="Sakkal Majalla" w:cs="Sakkal Majalla"/>
          <w:sz w:val="28"/>
          <w:szCs w:val="28"/>
          <w:u w:val="single"/>
          <w:rtl/>
          <w:lang w:bidi="ar-EG"/>
        </w:rPr>
      </w:pPr>
    </w:p>
    <w:p w14:paraId="0FD81A41" w14:textId="77777777" w:rsidR="00A815A3" w:rsidRDefault="00A815A3" w:rsidP="00A815A3">
      <w:pPr>
        <w:bidi/>
        <w:rPr>
          <w:rFonts w:ascii="Sakkal Majalla" w:hAnsi="Sakkal Majalla" w:cs="Sakkal Majalla"/>
          <w:sz w:val="28"/>
          <w:szCs w:val="28"/>
          <w:u w:val="single"/>
          <w:rtl/>
          <w:lang w:bidi="ar-EG"/>
        </w:rPr>
      </w:pPr>
    </w:p>
    <w:p w14:paraId="288B3EA6" w14:textId="77777777" w:rsidR="00A815A3" w:rsidRDefault="00A815A3" w:rsidP="00A815A3">
      <w:pPr>
        <w:bidi/>
        <w:rPr>
          <w:rFonts w:ascii="Sakkal Majalla" w:hAnsi="Sakkal Majalla" w:cs="Sakkal Majalla"/>
          <w:sz w:val="28"/>
          <w:szCs w:val="28"/>
          <w:u w:val="single"/>
          <w:rtl/>
          <w:lang w:bidi="ar-EG"/>
        </w:rPr>
      </w:pPr>
    </w:p>
    <w:p w14:paraId="757C9D1C" w14:textId="77777777" w:rsidR="00A815A3" w:rsidRDefault="00A815A3" w:rsidP="00A815A3">
      <w:pPr>
        <w:bidi/>
        <w:rPr>
          <w:rFonts w:ascii="Sakkal Majalla" w:hAnsi="Sakkal Majalla" w:cs="Sakkal Majalla"/>
          <w:sz w:val="28"/>
          <w:szCs w:val="28"/>
          <w:u w:val="single"/>
          <w:rtl/>
          <w:lang w:bidi="ar-EG"/>
        </w:rPr>
      </w:pPr>
    </w:p>
    <w:p w14:paraId="5F756FEF" w14:textId="77777777" w:rsidR="00A815A3" w:rsidRDefault="00A815A3" w:rsidP="00A815A3">
      <w:pPr>
        <w:bidi/>
        <w:rPr>
          <w:rFonts w:ascii="Sakkal Majalla" w:hAnsi="Sakkal Majalla" w:cs="Sakkal Majalla"/>
          <w:sz w:val="28"/>
          <w:szCs w:val="28"/>
          <w:u w:val="single"/>
          <w:rtl/>
          <w:lang w:bidi="ar-EG"/>
        </w:rPr>
      </w:pPr>
    </w:p>
    <w:p w14:paraId="7F01511C" w14:textId="77777777" w:rsidR="00304D83" w:rsidRDefault="00304D83" w:rsidP="00304D83">
      <w:pPr>
        <w:bidi/>
        <w:rPr>
          <w:rFonts w:ascii="Sakkal Majalla" w:hAnsi="Sakkal Majalla" w:cs="Sakkal Majalla"/>
          <w:sz w:val="28"/>
          <w:szCs w:val="28"/>
          <w:u w:val="single"/>
          <w:rtl/>
          <w:lang w:bidi="ar-EG"/>
        </w:rPr>
      </w:pPr>
    </w:p>
    <w:p w14:paraId="30BDA050" w14:textId="77777777" w:rsidR="00A815A3" w:rsidRDefault="00A815A3" w:rsidP="00A815A3">
      <w:pPr>
        <w:bidi/>
        <w:rPr>
          <w:rFonts w:ascii="Sakkal Majalla" w:hAnsi="Sakkal Majalla" w:cs="Sakkal Majalla"/>
          <w:sz w:val="28"/>
          <w:szCs w:val="28"/>
          <w:u w:val="single"/>
          <w:rtl/>
          <w:lang w:bidi="ar-EG"/>
        </w:rPr>
      </w:pPr>
    </w:p>
    <w:p w14:paraId="453E41A3" w14:textId="77777777" w:rsidR="00A815A3" w:rsidRDefault="00A815A3" w:rsidP="00A815A3">
      <w:pPr>
        <w:bidi/>
        <w:rPr>
          <w:rFonts w:ascii="Sakkal Majalla" w:hAnsi="Sakkal Majalla" w:cs="Sakkal Majalla"/>
          <w:sz w:val="28"/>
          <w:szCs w:val="28"/>
          <w:u w:val="single"/>
          <w:rtl/>
          <w:lang w:bidi="ar-EG"/>
        </w:rPr>
      </w:pPr>
    </w:p>
    <w:p w14:paraId="1F349CD1" w14:textId="75BBEB49" w:rsidR="00177F17" w:rsidRPr="00177F17" w:rsidRDefault="009125CE" w:rsidP="00A815A3">
      <w:pPr>
        <w:bidi/>
        <w:rPr>
          <w:rFonts w:ascii="Sakkal Majalla" w:hAnsi="Sakkal Majalla" w:cs="Sakkal Majalla"/>
          <w:sz w:val="28"/>
          <w:szCs w:val="28"/>
          <w:u w:val="single"/>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W w:w="86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71"/>
        <w:gridCol w:w="1247"/>
      </w:tblGrid>
      <w:tr w:rsidR="00177F17" w14:paraId="603E4370" w14:textId="77777777" w:rsidTr="00A815A3">
        <w:trPr>
          <w:trHeight w:val="283"/>
          <w:tblHeader/>
          <w:jc w:val="right"/>
        </w:trPr>
        <w:tc>
          <w:tcPr>
            <w:tcW w:w="7371" w:type="dxa"/>
            <w:tcMar>
              <w:top w:w="150" w:type="dxa"/>
              <w:left w:w="0" w:type="dxa"/>
              <w:bottom w:w="150" w:type="dxa"/>
              <w:right w:w="240" w:type="dxa"/>
            </w:tcMar>
            <w:vAlign w:val="center"/>
            <w:hideMark/>
          </w:tcPr>
          <w:p w14:paraId="4070C0B0" w14:textId="77777777" w:rsidR="00177F17" w:rsidRDefault="00177F17" w:rsidP="00A815A3">
            <w:pPr>
              <w:spacing w:line="375" w:lineRule="atLeast"/>
              <w:jc w:val="center"/>
              <w:rPr>
                <w:rFonts w:ascii="Segoe UI" w:hAnsi="Segoe UI" w:cs="Segoe UI"/>
                <w:sz w:val="23"/>
                <w:szCs w:val="23"/>
              </w:rPr>
            </w:pPr>
            <w:r>
              <w:rPr>
                <w:rFonts w:ascii="Segoe UI" w:hAnsi="Segoe UI"/>
                <w:sz w:val="23"/>
                <w:szCs w:val="23"/>
                <w:rtl/>
              </w:rPr>
              <w:t>الموضوع</w:t>
            </w:r>
          </w:p>
        </w:tc>
        <w:tc>
          <w:tcPr>
            <w:tcW w:w="1247" w:type="dxa"/>
            <w:tcMar>
              <w:top w:w="150" w:type="dxa"/>
              <w:left w:w="240" w:type="dxa"/>
              <w:bottom w:w="150" w:type="dxa"/>
              <w:right w:w="240" w:type="dxa"/>
            </w:tcMar>
            <w:vAlign w:val="center"/>
            <w:hideMark/>
          </w:tcPr>
          <w:p w14:paraId="409CF3B5" w14:textId="77777777" w:rsidR="00177F17" w:rsidRDefault="00177F17" w:rsidP="00177F17">
            <w:pPr>
              <w:spacing w:line="375" w:lineRule="atLeast"/>
              <w:jc w:val="center"/>
              <w:rPr>
                <w:rFonts w:ascii="Segoe UI" w:hAnsi="Segoe UI" w:cs="Segoe UI"/>
                <w:sz w:val="23"/>
                <w:szCs w:val="23"/>
              </w:rPr>
            </w:pPr>
            <w:r>
              <w:rPr>
                <w:rFonts w:ascii="Segoe UI" w:hAnsi="Segoe UI"/>
                <w:sz w:val="23"/>
                <w:szCs w:val="23"/>
                <w:rtl/>
              </w:rPr>
              <w:t>الصفحة</w:t>
            </w:r>
          </w:p>
        </w:tc>
      </w:tr>
      <w:tr w:rsidR="00177F17" w14:paraId="34772646" w14:textId="77777777" w:rsidTr="00177F17">
        <w:trPr>
          <w:trHeight w:val="283"/>
          <w:jc w:val="right"/>
        </w:trPr>
        <w:tc>
          <w:tcPr>
            <w:tcW w:w="7371" w:type="dxa"/>
            <w:tcMar>
              <w:top w:w="150" w:type="dxa"/>
              <w:left w:w="0" w:type="dxa"/>
              <w:bottom w:w="150" w:type="dxa"/>
              <w:right w:w="240" w:type="dxa"/>
            </w:tcMar>
            <w:vAlign w:val="center"/>
            <w:hideMark/>
          </w:tcPr>
          <w:p w14:paraId="4FAE13FA" w14:textId="77777777" w:rsidR="00177F17" w:rsidRDefault="00177F17" w:rsidP="00177F17">
            <w:pPr>
              <w:spacing w:line="375" w:lineRule="atLeast"/>
              <w:jc w:val="right"/>
              <w:rPr>
                <w:rFonts w:ascii="Segoe UI" w:hAnsi="Segoe UI" w:cs="Segoe UI"/>
                <w:sz w:val="23"/>
                <w:szCs w:val="23"/>
              </w:rPr>
            </w:pPr>
            <w:r>
              <w:rPr>
                <w:rFonts w:ascii="Segoe UI" w:hAnsi="Segoe UI"/>
                <w:sz w:val="23"/>
                <w:szCs w:val="23"/>
                <w:rtl/>
              </w:rPr>
              <w:t>قائمة المحتويات</w:t>
            </w:r>
          </w:p>
        </w:tc>
        <w:tc>
          <w:tcPr>
            <w:tcW w:w="1247" w:type="dxa"/>
            <w:tcMar>
              <w:top w:w="150" w:type="dxa"/>
              <w:left w:w="240" w:type="dxa"/>
              <w:bottom w:w="150" w:type="dxa"/>
              <w:right w:w="0" w:type="dxa"/>
            </w:tcMar>
            <w:vAlign w:val="center"/>
            <w:hideMark/>
          </w:tcPr>
          <w:p w14:paraId="64413410" w14:textId="77777777" w:rsidR="00177F17" w:rsidRDefault="00177F17" w:rsidP="00177F17">
            <w:pPr>
              <w:spacing w:line="375" w:lineRule="atLeast"/>
              <w:jc w:val="center"/>
              <w:rPr>
                <w:rFonts w:ascii="Segoe UI" w:hAnsi="Segoe UI" w:cs="Segoe UI"/>
                <w:sz w:val="23"/>
                <w:szCs w:val="23"/>
              </w:rPr>
            </w:pPr>
            <w:r>
              <w:rPr>
                <w:rFonts w:ascii="Segoe UI" w:hAnsi="Segoe UI"/>
                <w:sz w:val="23"/>
                <w:szCs w:val="23"/>
                <w:rtl/>
              </w:rPr>
              <w:t>أ</w:t>
            </w:r>
          </w:p>
        </w:tc>
      </w:tr>
      <w:tr w:rsidR="00177F17" w14:paraId="1A6F5CF6" w14:textId="77777777" w:rsidTr="00177F17">
        <w:trPr>
          <w:trHeight w:val="283"/>
          <w:jc w:val="right"/>
        </w:trPr>
        <w:tc>
          <w:tcPr>
            <w:tcW w:w="7371" w:type="dxa"/>
            <w:tcMar>
              <w:top w:w="150" w:type="dxa"/>
              <w:left w:w="0" w:type="dxa"/>
              <w:bottom w:w="150" w:type="dxa"/>
              <w:right w:w="240" w:type="dxa"/>
            </w:tcMar>
            <w:vAlign w:val="center"/>
            <w:hideMark/>
          </w:tcPr>
          <w:p w14:paraId="5A042AD0" w14:textId="77777777" w:rsidR="00177F17" w:rsidRDefault="00177F17" w:rsidP="00177F17">
            <w:pPr>
              <w:spacing w:line="375" w:lineRule="atLeast"/>
              <w:jc w:val="right"/>
              <w:rPr>
                <w:rFonts w:ascii="Segoe UI" w:hAnsi="Segoe UI" w:cs="Segoe UI"/>
                <w:sz w:val="23"/>
                <w:szCs w:val="23"/>
              </w:rPr>
            </w:pPr>
            <w:r>
              <w:rPr>
                <w:rFonts w:ascii="Segoe UI" w:hAnsi="Segoe UI"/>
                <w:sz w:val="23"/>
                <w:szCs w:val="23"/>
                <w:rtl/>
              </w:rPr>
              <w:t>قائمة الجداول</w:t>
            </w:r>
          </w:p>
        </w:tc>
        <w:tc>
          <w:tcPr>
            <w:tcW w:w="1247" w:type="dxa"/>
            <w:tcMar>
              <w:top w:w="150" w:type="dxa"/>
              <w:left w:w="240" w:type="dxa"/>
              <w:bottom w:w="150" w:type="dxa"/>
              <w:right w:w="0" w:type="dxa"/>
            </w:tcMar>
            <w:vAlign w:val="center"/>
            <w:hideMark/>
          </w:tcPr>
          <w:p w14:paraId="6CEB502A" w14:textId="77777777" w:rsidR="00177F17" w:rsidRDefault="00177F17" w:rsidP="00177F17">
            <w:pPr>
              <w:spacing w:line="375" w:lineRule="atLeast"/>
              <w:jc w:val="center"/>
              <w:rPr>
                <w:rFonts w:ascii="Segoe UI" w:hAnsi="Segoe UI" w:cs="Segoe UI"/>
                <w:sz w:val="23"/>
                <w:szCs w:val="23"/>
              </w:rPr>
            </w:pPr>
            <w:r>
              <w:rPr>
                <w:rFonts w:ascii="Segoe UI" w:hAnsi="Segoe UI"/>
                <w:sz w:val="23"/>
                <w:szCs w:val="23"/>
                <w:rtl/>
              </w:rPr>
              <w:t>د</w:t>
            </w:r>
          </w:p>
        </w:tc>
      </w:tr>
      <w:tr w:rsidR="00177F17" w14:paraId="744CE2D9" w14:textId="77777777" w:rsidTr="00177F17">
        <w:trPr>
          <w:trHeight w:val="283"/>
          <w:jc w:val="right"/>
        </w:trPr>
        <w:tc>
          <w:tcPr>
            <w:tcW w:w="7371" w:type="dxa"/>
            <w:tcMar>
              <w:top w:w="150" w:type="dxa"/>
              <w:left w:w="0" w:type="dxa"/>
              <w:bottom w:w="150" w:type="dxa"/>
              <w:right w:w="240" w:type="dxa"/>
            </w:tcMar>
            <w:vAlign w:val="center"/>
            <w:hideMark/>
          </w:tcPr>
          <w:p w14:paraId="3D4E0D07" w14:textId="77777777" w:rsidR="00177F17" w:rsidRDefault="00177F17" w:rsidP="00177F17">
            <w:pPr>
              <w:spacing w:line="375" w:lineRule="atLeast"/>
              <w:jc w:val="right"/>
              <w:rPr>
                <w:rFonts w:ascii="Segoe UI" w:hAnsi="Segoe UI" w:cs="Segoe UI"/>
                <w:sz w:val="23"/>
                <w:szCs w:val="23"/>
              </w:rPr>
            </w:pPr>
            <w:r>
              <w:rPr>
                <w:rFonts w:ascii="Segoe UI" w:hAnsi="Segoe UI"/>
                <w:sz w:val="23"/>
                <w:szCs w:val="23"/>
                <w:rtl/>
              </w:rPr>
              <w:t>قائمة الأشكال</w:t>
            </w:r>
          </w:p>
        </w:tc>
        <w:tc>
          <w:tcPr>
            <w:tcW w:w="1247" w:type="dxa"/>
            <w:tcMar>
              <w:top w:w="150" w:type="dxa"/>
              <w:left w:w="240" w:type="dxa"/>
              <w:bottom w:w="150" w:type="dxa"/>
              <w:right w:w="0" w:type="dxa"/>
            </w:tcMar>
            <w:vAlign w:val="center"/>
            <w:hideMark/>
          </w:tcPr>
          <w:p w14:paraId="7656A034" w14:textId="77777777" w:rsidR="00177F17" w:rsidRDefault="00177F17" w:rsidP="00177F17">
            <w:pPr>
              <w:spacing w:line="375" w:lineRule="atLeast"/>
              <w:jc w:val="center"/>
              <w:rPr>
                <w:rFonts w:ascii="Segoe UI" w:hAnsi="Segoe UI" w:cs="Segoe UI"/>
                <w:sz w:val="23"/>
                <w:szCs w:val="23"/>
              </w:rPr>
            </w:pPr>
            <w:r>
              <w:rPr>
                <w:rFonts w:ascii="Segoe UI" w:hAnsi="Segoe UI"/>
                <w:sz w:val="23"/>
                <w:szCs w:val="23"/>
                <w:rtl/>
              </w:rPr>
              <w:t>هـ</w:t>
            </w:r>
          </w:p>
        </w:tc>
      </w:tr>
      <w:tr w:rsidR="00177F17" w14:paraId="1B9F6687" w14:textId="77777777" w:rsidTr="00177F17">
        <w:trPr>
          <w:trHeight w:val="283"/>
          <w:jc w:val="right"/>
        </w:trPr>
        <w:tc>
          <w:tcPr>
            <w:tcW w:w="7371" w:type="dxa"/>
            <w:tcMar>
              <w:top w:w="150" w:type="dxa"/>
              <w:left w:w="0" w:type="dxa"/>
              <w:bottom w:w="150" w:type="dxa"/>
              <w:right w:w="240" w:type="dxa"/>
            </w:tcMar>
            <w:vAlign w:val="center"/>
            <w:hideMark/>
          </w:tcPr>
          <w:p w14:paraId="44A797B1" w14:textId="77777777" w:rsidR="00177F17" w:rsidRDefault="00177F17" w:rsidP="00177F17">
            <w:pPr>
              <w:spacing w:line="375" w:lineRule="atLeast"/>
              <w:jc w:val="right"/>
              <w:rPr>
                <w:rFonts w:ascii="Segoe UI" w:hAnsi="Segoe UI" w:cs="Segoe UI"/>
                <w:sz w:val="23"/>
                <w:szCs w:val="23"/>
              </w:rPr>
            </w:pPr>
            <w:r>
              <w:rPr>
                <w:rFonts w:ascii="Segoe UI" w:hAnsi="Segoe UI"/>
                <w:sz w:val="23"/>
                <w:szCs w:val="23"/>
                <w:rtl/>
              </w:rPr>
              <w:t>الملخص</w:t>
            </w:r>
          </w:p>
        </w:tc>
        <w:tc>
          <w:tcPr>
            <w:tcW w:w="1247" w:type="dxa"/>
            <w:tcMar>
              <w:top w:w="150" w:type="dxa"/>
              <w:left w:w="240" w:type="dxa"/>
              <w:bottom w:w="150" w:type="dxa"/>
              <w:right w:w="0" w:type="dxa"/>
            </w:tcMar>
            <w:vAlign w:val="center"/>
            <w:hideMark/>
          </w:tcPr>
          <w:p w14:paraId="6C733AB0" w14:textId="77777777" w:rsidR="00177F17" w:rsidRDefault="00177F17" w:rsidP="00177F17">
            <w:pPr>
              <w:spacing w:line="375" w:lineRule="atLeast"/>
              <w:jc w:val="center"/>
              <w:rPr>
                <w:rFonts w:ascii="Segoe UI" w:hAnsi="Segoe UI" w:cs="Segoe UI"/>
                <w:sz w:val="23"/>
                <w:szCs w:val="23"/>
              </w:rPr>
            </w:pPr>
            <w:r>
              <w:rPr>
                <w:rFonts w:ascii="Segoe UI" w:hAnsi="Segoe UI"/>
                <w:sz w:val="23"/>
                <w:szCs w:val="23"/>
                <w:rtl/>
              </w:rPr>
              <w:t>و</w:t>
            </w:r>
          </w:p>
        </w:tc>
      </w:tr>
      <w:tr w:rsidR="00177F17" w14:paraId="35EE06E0" w14:textId="77777777" w:rsidTr="00177F17">
        <w:trPr>
          <w:trHeight w:val="283"/>
          <w:jc w:val="right"/>
        </w:trPr>
        <w:tc>
          <w:tcPr>
            <w:tcW w:w="7371" w:type="dxa"/>
            <w:tcMar>
              <w:top w:w="150" w:type="dxa"/>
              <w:left w:w="0" w:type="dxa"/>
              <w:bottom w:w="150" w:type="dxa"/>
              <w:right w:w="240" w:type="dxa"/>
            </w:tcMar>
            <w:vAlign w:val="center"/>
            <w:hideMark/>
          </w:tcPr>
          <w:p w14:paraId="4D2D14CC"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الفصل الأول: مقدمة الدراسة وإطارها العام</w:t>
            </w:r>
          </w:p>
        </w:tc>
        <w:tc>
          <w:tcPr>
            <w:tcW w:w="1247" w:type="dxa"/>
            <w:tcMar>
              <w:top w:w="150" w:type="dxa"/>
              <w:left w:w="240" w:type="dxa"/>
              <w:bottom w:w="150" w:type="dxa"/>
              <w:right w:w="0" w:type="dxa"/>
            </w:tcMar>
            <w:vAlign w:val="center"/>
            <w:hideMark/>
          </w:tcPr>
          <w:p w14:paraId="5583A216"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w:t>
            </w:r>
          </w:p>
        </w:tc>
      </w:tr>
      <w:tr w:rsidR="00177F17" w14:paraId="624615D2" w14:textId="77777777" w:rsidTr="00177F17">
        <w:trPr>
          <w:trHeight w:val="283"/>
          <w:jc w:val="right"/>
        </w:trPr>
        <w:tc>
          <w:tcPr>
            <w:tcW w:w="7371" w:type="dxa"/>
            <w:tcMar>
              <w:top w:w="150" w:type="dxa"/>
              <w:left w:w="0" w:type="dxa"/>
              <w:bottom w:w="150" w:type="dxa"/>
              <w:right w:w="240" w:type="dxa"/>
            </w:tcMar>
            <w:vAlign w:val="center"/>
            <w:hideMark/>
          </w:tcPr>
          <w:p w14:paraId="078A93E6"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1.1 </w:t>
            </w:r>
            <w:r>
              <w:rPr>
                <w:rFonts w:ascii="Segoe UI" w:hAnsi="Segoe UI"/>
                <w:sz w:val="23"/>
                <w:szCs w:val="23"/>
                <w:rtl/>
              </w:rPr>
              <w:t>مقدمة</w:t>
            </w:r>
          </w:p>
        </w:tc>
        <w:tc>
          <w:tcPr>
            <w:tcW w:w="1247" w:type="dxa"/>
            <w:tcMar>
              <w:top w:w="150" w:type="dxa"/>
              <w:left w:w="240" w:type="dxa"/>
              <w:bottom w:w="150" w:type="dxa"/>
              <w:right w:w="0" w:type="dxa"/>
            </w:tcMar>
            <w:vAlign w:val="center"/>
            <w:hideMark/>
          </w:tcPr>
          <w:p w14:paraId="6A588DD5"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w:t>
            </w:r>
          </w:p>
        </w:tc>
      </w:tr>
      <w:tr w:rsidR="00177F17" w14:paraId="2735A291" w14:textId="77777777" w:rsidTr="00177F17">
        <w:trPr>
          <w:trHeight w:val="283"/>
          <w:jc w:val="right"/>
        </w:trPr>
        <w:tc>
          <w:tcPr>
            <w:tcW w:w="7371" w:type="dxa"/>
            <w:tcMar>
              <w:top w:w="150" w:type="dxa"/>
              <w:left w:w="0" w:type="dxa"/>
              <w:bottom w:w="150" w:type="dxa"/>
              <w:right w:w="240" w:type="dxa"/>
            </w:tcMar>
            <w:vAlign w:val="center"/>
            <w:hideMark/>
          </w:tcPr>
          <w:p w14:paraId="35BFF347"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1.2 </w:t>
            </w:r>
            <w:r>
              <w:rPr>
                <w:rFonts w:ascii="Segoe UI" w:hAnsi="Segoe UI"/>
                <w:sz w:val="23"/>
                <w:szCs w:val="23"/>
                <w:rtl/>
              </w:rPr>
              <w:t>مشكلة الدراسة</w:t>
            </w:r>
          </w:p>
        </w:tc>
        <w:tc>
          <w:tcPr>
            <w:tcW w:w="1247" w:type="dxa"/>
            <w:tcMar>
              <w:top w:w="150" w:type="dxa"/>
              <w:left w:w="240" w:type="dxa"/>
              <w:bottom w:w="150" w:type="dxa"/>
              <w:right w:w="0" w:type="dxa"/>
            </w:tcMar>
            <w:vAlign w:val="center"/>
            <w:hideMark/>
          </w:tcPr>
          <w:p w14:paraId="1FE4CA67"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4</w:t>
            </w:r>
          </w:p>
        </w:tc>
      </w:tr>
      <w:tr w:rsidR="00177F17" w14:paraId="48D6CC5E" w14:textId="77777777" w:rsidTr="00177F17">
        <w:trPr>
          <w:trHeight w:val="283"/>
          <w:jc w:val="right"/>
        </w:trPr>
        <w:tc>
          <w:tcPr>
            <w:tcW w:w="7371" w:type="dxa"/>
            <w:tcMar>
              <w:top w:w="150" w:type="dxa"/>
              <w:left w:w="0" w:type="dxa"/>
              <w:bottom w:w="150" w:type="dxa"/>
              <w:right w:w="240" w:type="dxa"/>
            </w:tcMar>
            <w:vAlign w:val="center"/>
            <w:hideMark/>
          </w:tcPr>
          <w:p w14:paraId="4FAA63A6"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1.3 </w:t>
            </w:r>
            <w:r>
              <w:rPr>
                <w:rFonts w:ascii="Segoe UI" w:hAnsi="Segoe UI"/>
                <w:sz w:val="23"/>
                <w:szCs w:val="23"/>
                <w:rtl/>
              </w:rPr>
              <w:t>أهمية الدراسة</w:t>
            </w:r>
          </w:p>
        </w:tc>
        <w:tc>
          <w:tcPr>
            <w:tcW w:w="1247" w:type="dxa"/>
            <w:tcMar>
              <w:top w:w="150" w:type="dxa"/>
              <w:left w:w="240" w:type="dxa"/>
              <w:bottom w:w="150" w:type="dxa"/>
              <w:right w:w="0" w:type="dxa"/>
            </w:tcMar>
            <w:vAlign w:val="center"/>
            <w:hideMark/>
          </w:tcPr>
          <w:p w14:paraId="56BDC260"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6</w:t>
            </w:r>
          </w:p>
        </w:tc>
      </w:tr>
      <w:tr w:rsidR="00177F17" w14:paraId="67194FEC" w14:textId="77777777" w:rsidTr="00177F17">
        <w:trPr>
          <w:trHeight w:val="283"/>
          <w:jc w:val="right"/>
        </w:trPr>
        <w:tc>
          <w:tcPr>
            <w:tcW w:w="7371" w:type="dxa"/>
            <w:tcMar>
              <w:top w:w="150" w:type="dxa"/>
              <w:left w:w="0" w:type="dxa"/>
              <w:bottom w:w="150" w:type="dxa"/>
              <w:right w:w="240" w:type="dxa"/>
            </w:tcMar>
            <w:vAlign w:val="center"/>
            <w:hideMark/>
          </w:tcPr>
          <w:p w14:paraId="736B16C6"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1.4 </w:t>
            </w:r>
            <w:r>
              <w:rPr>
                <w:rFonts w:ascii="Segoe UI" w:hAnsi="Segoe UI"/>
                <w:sz w:val="23"/>
                <w:szCs w:val="23"/>
                <w:rtl/>
              </w:rPr>
              <w:t>أهداف الدراسة</w:t>
            </w:r>
          </w:p>
        </w:tc>
        <w:tc>
          <w:tcPr>
            <w:tcW w:w="1247" w:type="dxa"/>
            <w:tcMar>
              <w:top w:w="150" w:type="dxa"/>
              <w:left w:w="240" w:type="dxa"/>
              <w:bottom w:w="150" w:type="dxa"/>
              <w:right w:w="0" w:type="dxa"/>
            </w:tcMar>
            <w:vAlign w:val="center"/>
            <w:hideMark/>
          </w:tcPr>
          <w:p w14:paraId="6E55A7F5"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8</w:t>
            </w:r>
          </w:p>
        </w:tc>
      </w:tr>
      <w:tr w:rsidR="00177F17" w14:paraId="659E870D" w14:textId="77777777" w:rsidTr="00177F17">
        <w:trPr>
          <w:trHeight w:val="283"/>
          <w:jc w:val="right"/>
        </w:trPr>
        <w:tc>
          <w:tcPr>
            <w:tcW w:w="7371" w:type="dxa"/>
            <w:tcMar>
              <w:top w:w="150" w:type="dxa"/>
              <w:left w:w="0" w:type="dxa"/>
              <w:bottom w:w="150" w:type="dxa"/>
              <w:right w:w="240" w:type="dxa"/>
            </w:tcMar>
            <w:vAlign w:val="center"/>
            <w:hideMark/>
          </w:tcPr>
          <w:p w14:paraId="511BFC8E"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1.5 </w:t>
            </w:r>
            <w:r>
              <w:rPr>
                <w:rFonts w:ascii="Segoe UI" w:hAnsi="Segoe UI"/>
                <w:sz w:val="23"/>
                <w:szCs w:val="23"/>
                <w:rtl/>
              </w:rPr>
              <w:t>أسئلة وفرضيات البحث</w:t>
            </w:r>
          </w:p>
        </w:tc>
        <w:tc>
          <w:tcPr>
            <w:tcW w:w="1247" w:type="dxa"/>
            <w:tcMar>
              <w:top w:w="150" w:type="dxa"/>
              <w:left w:w="240" w:type="dxa"/>
              <w:bottom w:w="150" w:type="dxa"/>
              <w:right w:w="0" w:type="dxa"/>
            </w:tcMar>
            <w:vAlign w:val="center"/>
            <w:hideMark/>
          </w:tcPr>
          <w:p w14:paraId="39B4BC09"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9</w:t>
            </w:r>
          </w:p>
        </w:tc>
      </w:tr>
      <w:tr w:rsidR="00177F17" w14:paraId="1740CCA5" w14:textId="77777777" w:rsidTr="00177F17">
        <w:trPr>
          <w:trHeight w:val="283"/>
          <w:jc w:val="right"/>
        </w:trPr>
        <w:tc>
          <w:tcPr>
            <w:tcW w:w="7371" w:type="dxa"/>
            <w:tcMar>
              <w:top w:w="150" w:type="dxa"/>
              <w:left w:w="0" w:type="dxa"/>
              <w:bottom w:w="150" w:type="dxa"/>
              <w:right w:w="240" w:type="dxa"/>
            </w:tcMar>
            <w:vAlign w:val="center"/>
            <w:hideMark/>
          </w:tcPr>
          <w:p w14:paraId="0DAFD923"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1.6 </w:t>
            </w:r>
            <w:r>
              <w:rPr>
                <w:rFonts w:ascii="Segoe UI" w:hAnsi="Segoe UI"/>
                <w:sz w:val="23"/>
                <w:szCs w:val="23"/>
                <w:rtl/>
              </w:rPr>
              <w:t>حدود الدراسة</w:t>
            </w:r>
          </w:p>
        </w:tc>
        <w:tc>
          <w:tcPr>
            <w:tcW w:w="1247" w:type="dxa"/>
            <w:tcMar>
              <w:top w:w="150" w:type="dxa"/>
              <w:left w:w="240" w:type="dxa"/>
              <w:bottom w:w="150" w:type="dxa"/>
              <w:right w:w="0" w:type="dxa"/>
            </w:tcMar>
            <w:vAlign w:val="center"/>
            <w:hideMark/>
          </w:tcPr>
          <w:p w14:paraId="2E29DE45"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11</w:t>
            </w:r>
          </w:p>
        </w:tc>
      </w:tr>
      <w:tr w:rsidR="00177F17" w14:paraId="2FB7C25B" w14:textId="77777777" w:rsidTr="00177F17">
        <w:trPr>
          <w:trHeight w:val="283"/>
          <w:jc w:val="right"/>
        </w:trPr>
        <w:tc>
          <w:tcPr>
            <w:tcW w:w="7371" w:type="dxa"/>
            <w:tcMar>
              <w:top w:w="150" w:type="dxa"/>
              <w:left w:w="0" w:type="dxa"/>
              <w:bottom w:w="150" w:type="dxa"/>
              <w:right w:w="240" w:type="dxa"/>
            </w:tcMar>
            <w:vAlign w:val="center"/>
            <w:hideMark/>
          </w:tcPr>
          <w:p w14:paraId="2BF785AC"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1.7 </w:t>
            </w:r>
            <w:r>
              <w:rPr>
                <w:rFonts w:ascii="Segoe UI" w:hAnsi="Segoe UI"/>
                <w:sz w:val="23"/>
                <w:szCs w:val="23"/>
                <w:rtl/>
              </w:rPr>
              <w:t>تعريف المصطلحات</w:t>
            </w:r>
          </w:p>
        </w:tc>
        <w:tc>
          <w:tcPr>
            <w:tcW w:w="1247" w:type="dxa"/>
            <w:tcMar>
              <w:top w:w="150" w:type="dxa"/>
              <w:left w:w="240" w:type="dxa"/>
              <w:bottom w:w="150" w:type="dxa"/>
              <w:right w:w="0" w:type="dxa"/>
            </w:tcMar>
            <w:vAlign w:val="center"/>
            <w:hideMark/>
          </w:tcPr>
          <w:p w14:paraId="51CFE602"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12</w:t>
            </w:r>
          </w:p>
        </w:tc>
      </w:tr>
      <w:tr w:rsidR="00177F17" w14:paraId="4831AFBE" w14:textId="77777777" w:rsidTr="00177F17">
        <w:trPr>
          <w:trHeight w:val="283"/>
          <w:jc w:val="right"/>
        </w:trPr>
        <w:tc>
          <w:tcPr>
            <w:tcW w:w="7371" w:type="dxa"/>
            <w:tcMar>
              <w:top w:w="150" w:type="dxa"/>
              <w:left w:w="0" w:type="dxa"/>
              <w:bottom w:w="150" w:type="dxa"/>
              <w:right w:w="240" w:type="dxa"/>
            </w:tcMar>
            <w:vAlign w:val="center"/>
            <w:hideMark/>
          </w:tcPr>
          <w:p w14:paraId="37A7D88D"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الفصل الثاني: الإطار النظري والدراسات السابقة</w:t>
            </w:r>
          </w:p>
        </w:tc>
        <w:tc>
          <w:tcPr>
            <w:tcW w:w="1247" w:type="dxa"/>
            <w:tcMar>
              <w:top w:w="150" w:type="dxa"/>
              <w:left w:w="240" w:type="dxa"/>
              <w:bottom w:w="150" w:type="dxa"/>
              <w:right w:w="0" w:type="dxa"/>
            </w:tcMar>
            <w:vAlign w:val="center"/>
            <w:hideMark/>
          </w:tcPr>
          <w:p w14:paraId="3D2B7B9B"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15</w:t>
            </w:r>
          </w:p>
        </w:tc>
      </w:tr>
      <w:tr w:rsidR="00177F17" w14:paraId="69B896D3" w14:textId="77777777" w:rsidTr="00177F17">
        <w:trPr>
          <w:trHeight w:val="283"/>
          <w:jc w:val="right"/>
        </w:trPr>
        <w:tc>
          <w:tcPr>
            <w:tcW w:w="7371" w:type="dxa"/>
            <w:tcMar>
              <w:top w:w="150" w:type="dxa"/>
              <w:left w:w="0" w:type="dxa"/>
              <w:bottom w:w="150" w:type="dxa"/>
              <w:right w:w="240" w:type="dxa"/>
            </w:tcMar>
            <w:vAlign w:val="center"/>
            <w:hideMark/>
          </w:tcPr>
          <w:p w14:paraId="352FDBF9"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2.1 </w:t>
            </w:r>
            <w:r>
              <w:rPr>
                <w:rFonts w:ascii="Segoe UI" w:hAnsi="Segoe UI"/>
                <w:sz w:val="23"/>
                <w:szCs w:val="23"/>
                <w:rtl/>
              </w:rPr>
              <w:t>إدارة الموارد البشرية في المستشفيات</w:t>
            </w:r>
          </w:p>
        </w:tc>
        <w:tc>
          <w:tcPr>
            <w:tcW w:w="1247" w:type="dxa"/>
            <w:tcMar>
              <w:top w:w="150" w:type="dxa"/>
              <w:left w:w="240" w:type="dxa"/>
              <w:bottom w:w="150" w:type="dxa"/>
              <w:right w:w="0" w:type="dxa"/>
            </w:tcMar>
            <w:vAlign w:val="center"/>
            <w:hideMark/>
          </w:tcPr>
          <w:p w14:paraId="0816B208"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15</w:t>
            </w:r>
          </w:p>
        </w:tc>
      </w:tr>
      <w:tr w:rsidR="00177F17" w14:paraId="4BFD8EF4" w14:textId="77777777" w:rsidTr="00177F17">
        <w:trPr>
          <w:trHeight w:val="283"/>
          <w:jc w:val="right"/>
        </w:trPr>
        <w:tc>
          <w:tcPr>
            <w:tcW w:w="7371" w:type="dxa"/>
            <w:tcMar>
              <w:top w:w="150" w:type="dxa"/>
              <w:left w:w="0" w:type="dxa"/>
              <w:bottom w:w="150" w:type="dxa"/>
              <w:right w:w="240" w:type="dxa"/>
            </w:tcMar>
            <w:vAlign w:val="center"/>
            <w:hideMark/>
          </w:tcPr>
          <w:p w14:paraId="697F0626"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2.2 </w:t>
            </w:r>
            <w:r>
              <w:rPr>
                <w:rFonts w:ascii="Segoe UI" w:hAnsi="Segoe UI"/>
                <w:sz w:val="23"/>
                <w:szCs w:val="23"/>
                <w:rtl/>
              </w:rPr>
              <w:t>استراتيجيات الاحتفاظ بالكادر الطبي</w:t>
            </w:r>
          </w:p>
        </w:tc>
        <w:tc>
          <w:tcPr>
            <w:tcW w:w="1247" w:type="dxa"/>
            <w:tcMar>
              <w:top w:w="150" w:type="dxa"/>
              <w:left w:w="240" w:type="dxa"/>
              <w:bottom w:w="150" w:type="dxa"/>
              <w:right w:w="0" w:type="dxa"/>
            </w:tcMar>
            <w:vAlign w:val="center"/>
            <w:hideMark/>
          </w:tcPr>
          <w:p w14:paraId="491BD66A"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22</w:t>
            </w:r>
          </w:p>
        </w:tc>
      </w:tr>
      <w:tr w:rsidR="00177F17" w14:paraId="680B4F19" w14:textId="77777777" w:rsidTr="00177F17">
        <w:trPr>
          <w:trHeight w:val="283"/>
          <w:jc w:val="right"/>
        </w:trPr>
        <w:tc>
          <w:tcPr>
            <w:tcW w:w="7371" w:type="dxa"/>
            <w:tcMar>
              <w:top w:w="150" w:type="dxa"/>
              <w:left w:w="0" w:type="dxa"/>
              <w:bottom w:w="150" w:type="dxa"/>
              <w:right w:w="240" w:type="dxa"/>
            </w:tcMar>
            <w:vAlign w:val="center"/>
            <w:hideMark/>
          </w:tcPr>
          <w:p w14:paraId="5961F670"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2.3 </w:t>
            </w:r>
            <w:r>
              <w:rPr>
                <w:rFonts w:ascii="Segoe UI" w:hAnsi="Segoe UI"/>
                <w:sz w:val="23"/>
                <w:szCs w:val="23"/>
                <w:rtl/>
              </w:rPr>
              <w:t>جودة الرعاية الصحية</w:t>
            </w:r>
          </w:p>
        </w:tc>
        <w:tc>
          <w:tcPr>
            <w:tcW w:w="1247" w:type="dxa"/>
            <w:tcMar>
              <w:top w:w="150" w:type="dxa"/>
              <w:left w:w="240" w:type="dxa"/>
              <w:bottom w:w="150" w:type="dxa"/>
              <w:right w:w="0" w:type="dxa"/>
            </w:tcMar>
            <w:vAlign w:val="center"/>
            <w:hideMark/>
          </w:tcPr>
          <w:p w14:paraId="1E3811B0"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30</w:t>
            </w:r>
          </w:p>
        </w:tc>
      </w:tr>
      <w:tr w:rsidR="00177F17" w14:paraId="3E83B56A" w14:textId="77777777" w:rsidTr="00177F17">
        <w:trPr>
          <w:trHeight w:val="283"/>
          <w:jc w:val="right"/>
        </w:trPr>
        <w:tc>
          <w:tcPr>
            <w:tcW w:w="7371" w:type="dxa"/>
            <w:tcMar>
              <w:top w:w="150" w:type="dxa"/>
              <w:left w:w="0" w:type="dxa"/>
              <w:bottom w:w="150" w:type="dxa"/>
              <w:right w:w="240" w:type="dxa"/>
            </w:tcMar>
            <w:vAlign w:val="center"/>
            <w:hideMark/>
          </w:tcPr>
          <w:p w14:paraId="14E65AD6"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2.4 </w:t>
            </w:r>
            <w:r>
              <w:rPr>
                <w:rFonts w:ascii="Segoe UI" w:hAnsi="Segoe UI"/>
                <w:sz w:val="23"/>
                <w:szCs w:val="23"/>
                <w:rtl/>
              </w:rPr>
              <w:t>العلاقة بين الاحتفاظ بالكادر وجودة الرعاية</w:t>
            </w:r>
          </w:p>
        </w:tc>
        <w:tc>
          <w:tcPr>
            <w:tcW w:w="1247" w:type="dxa"/>
            <w:tcMar>
              <w:top w:w="150" w:type="dxa"/>
              <w:left w:w="240" w:type="dxa"/>
              <w:bottom w:w="150" w:type="dxa"/>
              <w:right w:w="0" w:type="dxa"/>
            </w:tcMar>
            <w:vAlign w:val="center"/>
            <w:hideMark/>
          </w:tcPr>
          <w:p w14:paraId="643774AB"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36</w:t>
            </w:r>
          </w:p>
        </w:tc>
      </w:tr>
      <w:tr w:rsidR="00177F17" w14:paraId="243790DF" w14:textId="77777777" w:rsidTr="00177F17">
        <w:trPr>
          <w:trHeight w:val="283"/>
          <w:jc w:val="right"/>
        </w:trPr>
        <w:tc>
          <w:tcPr>
            <w:tcW w:w="7371" w:type="dxa"/>
            <w:tcMar>
              <w:top w:w="150" w:type="dxa"/>
              <w:left w:w="0" w:type="dxa"/>
              <w:bottom w:w="150" w:type="dxa"/>
              <w:right w:w="240" w:type="dxa"/>
            </w:tcMar>
            <w:vAlign w:val="center"/>
            <w:hideMark/>
          </w:tcPr>
          <w:p w14:paraId="5DD36F8F"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2.5 </w:t>
            </w:r>
            <w:r>
              <w:rPr>
                <w:rFonts w:ascii="Segoe UI" w:hAnsi="Segoe UI"/>
                <w:sz w:val="23"/>
                <w:szCs w:val="23"/>
                <w:rtl/>
              </w:rPr>
              <w:t>الدراسات السابقة</w:t>
            </w:r>
          </w:p>
        </w:tc>
        <w:tc>
          <w:tcPr>
            <w:tcW w:w="1247" w:type="dxa"/>
            <w:tcMar>
              <w:top w:w="150" w:type="dxa"/>
              <w:left w:w="240" w:type="dxa"/>
              <w:bottom w:w="150" w:type="dxa"/>
              <w:right w:w="0" w:type="dxa"/>
            </w:tcMar>
            <w:vAlign w:val="center"/>
            <w:hideMark/>
          </w:tcPr>
          <w:p w14:paraId="136BA8CE"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40</w:t>
            </w:r>
          </w:p>
        </w:tc>
      </w:tr>
      <w:tr w:rsidR="00177F17" w14:paraId="4C32459E" w14:textId="77777777" w:rsidTr="00177F17">
        <w:trPr>
          <w:trHeight w:val="283"/>
          <w:jc w:val="right"/>
        </w:trPr>
        <w:tc>
          <w:tcPr>
            <w:tcW w:w="7371" w:type="dxa"/>
            <w:tcMar>
              <w:top w:w="150" w:type="dxa"/>
              <w:left w:w="0" w:type="dxa"/>
              <w:bottom w:w="150" w:type="dxa"/>
              <w:right w:w="240" w:type="dxa"/>
            </w:tcMar>
            <w:vAlign w:val="center"/>
            <w:hideMark/>
          </w:tcPr>
          <w:p w14:paraId="02BD9109"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lastRenderedPageBreak/>
              <w:t xml:space="preserve">2.6 </w:t>
            </w:r>
            <w:r>
              <w:rPr>
                <w:rFonts w:ascii="Segoe UI" w:hAnsi="Segoe UI"/>
                <w:sz w:val="23"/>
                <w:szCs w:val="23"/>
                <w:rtl/>
              </w:rPr>
              <w:t>الإطار المفاهيمي للبحث</w:t>
            </w:r>
          </w:p>
        </w:tc>
        <w:tc>
          <w:tcPr>
            <w:tcW w:w="1247" w:type="dxa"/>
            <w:tcMar>
              <w:top w:w="150" w:type="dxa"/>
              <w:left w:w="240" w:type="dxa"/>
              <w:bottom w:w="150" w:type="dxa"/>
              <w:right w:w="0" w:type="dxa"/>
            </w:tcMar>
            <w:vAlign w:val="center"/>
            <w:hideMark/>
          </w:tcPr>
          <w:p w14:paraId="3D71A777"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48</w:t>
            </w:r>
          </w:p>
        </w:tc>
      </w:tr>
      <w:tr w:rsidR="00177F17" w14:paraId="786C8307" w14:textId="77777777" w:rsidTr="00177F17">
        <w:trPr>
          <w:trHeight w:val="283"/>
          <w:jc w:val="right"/>
        </w:trPr>
        <w:tc>
          <w:tcPr>
            <w:tcW w:w="7371" w:type="dxa"/>
            <w:tcMar>
              <w:top w:w="150" w:type="dxa"/>
              <w:left w:w="0" w:type="dxa"/>
              <w:bottom w:w="150" w:type="dxa"/>
              <w:right w:w="240" w:type="dxa"/>
            </w:tcMar>
            <w:vAlign w:val="center"/>
            <w:hideMark/>
          </w:tcPr>
          <w:p w14:paraId="3FA59085"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الفصل الثالث: منهجية البحث</w:t>
            </w:r>
          </w:p>
        </w:tc>
        <w:tc>
          <w:tcPr>
            <w:tcW w:w="1247" w:type="dxa"/>
            <w:tcMar>
              <w:top w:w="150" w:type="dxa"/>
              <w:left w:w="240" w:type="dxa"/>
              <w:bottom w:w="150" w:type="dxa"/>
              <w:right w:w="0" w:type="dxa"/>
            </w:tcMar>
            <w:vAlign w:val="center"/>
            <w:hideMark/>
          </w:tcPr>
          <w:p w14:paraId="4DA61B27"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50</w:t>
            </w:r>
          </w:p>
        </w:tc>
      </w:tr>
      <w:tr w:rsidR="00177F17" w14:paraId="3ACAA60F" w14:textId="77777777" w:rsidTr="00177F17">
        <w:trPr>
          <w:trHeight w:val="283"/>
          <w:jc w:val="right"/>
        </w:trPr>
        <w:tc>
          <w:tcPr>
            <w:tcW w:w="7371" w:type="dxa"/>
            <w:tcMar>
              <w:top w:w="150" w:type="dxa"/>
              <w:left w:w="0" w:type="dxa"/>
              <w:bottom w:w="150" w:type="dxa"/>
              <w:right w:w="240" w:type="dxa"/>
            </w:tcMar>
            <w:vAlign w:val="center"/>
            <w:hideMark/>
          </w:tcPr>
          <w:p w14:paraId="75EB97E7"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3.1 </w:t>
            </w:r>
            <w:r>
              <w:rPr>
                <w:rFonts w:ascii="Segoe UI" w:hAnsi="Segoe UI"/>
                <w:sz w:val="23"/>
                <w:szCs w:val="23"/>
                <w:rtl/>
              </w:rPr>
              <w:t>تصميم البحث ومنهجه</w:t>
            </w:r>
          </w:p>
        </w:tc>
        <w:tc>
          <w:tcPr>
            <w:tcW w:w="1247" w:type="dxa"/>
            <w:tcMar>
              <w:top w:w="150" w:type="dxa"/>
              <w:left w:w="240" w:type="dxa"/>
              <w:bottom w:w="150" w:type="dxa"/>
              <w:right w:w="0" w:type="dxa"/>
            </w:tcMar>
            <w:vAlign w:val="center"/>
            <w:hideMark/>
          </w:tcPr>
          <w:p w14:paraId="6A2F7C91"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50</w:t>
            </w:r>
          </w:p>
        </w:tc>
      </w:tr>
      <w:tr w:rsidR="00177F17" w14:paraId="3A64AD2F" w14:textId="77777777" w:rsidTr="00177F17">
        <w:trPr>
          <w:trHeight w:val="283"/>
          <w:jc w:val="right"/>
        </w:trPr>
        <w:tc>
          <w:tcPr>
            <w:tcW w:w="7371" w:type="dxa"/>
            <w:tcMar>
              <w:top w:w="150" w:type="dxa"/>
              <w:left w:w="0" w:type="dxa"/>
              <w:bottom w:w="150" w:type="dxa"/>
              <w:right w:w="240" w:type="dxa"/>
            </w:tcMar>
            <w:vAlign w:val="center"/>
            <w:hideMark/>
          </w:tcPr>
          <w:p w14:paraId="0B51700F"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3.2 </w:t>
            </w:r>
            <w:r>
              <w:rPr>
                <w:rFonts w:ascii="Segoe UI" w:hAnsi="Segoe UI"/>
                <w:sz w:val="23"/>
                <w:szCs w:val="23"/>
                <w:rtl/>
              </w:rPr>
              <w:t>مجتمع الدراسة وعينتها</w:t>
            </w:r>
          </w:p>
        </w:tc>
        <w:tc>
          <w:tcPr>
            <w:tcW w:w="1247" w:type="dxa"/>
            <w:tcMar>
              <w:top w:w="150" w:type="dxa"/>
              <w:left w:w="240" w:type="dxa"/>
              <w:bottom w:w="150" w:type="dxa"/>
              <w:right w:w="0" w:type="dxa"/>
            </w:tcMar>
            <w:vAlign w:val="center"/>
            <w:hideMark/>
          </w:tcPr>
          <w:p w14:paraId="4E44A46C"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52</w:t>
            </w:r>
          </w:p>
        </w:tc>
      </w:tr>
      <w:tr w:rsidR="00177F17" w14:paraId="349B8091" w14:textId="77777777" w:rsidTr="00177F17">
        <w:trPr>
          <w:trHeight w:val="283"/>
          <w:jc w:val="right"/>
        </w:trPr>
        <w:tc>
          <w:tcPr>
            <w:tcW w:w="7371" w:type="dxa"/>
            <w:tcMar>
              <w:top w:w="150" w:type="dxa"/>
              <w:left w:w="0" w:type="dxa"/>
              <w:bottom w:w="150" w:type="dxa"/>
              <w:right w:w="240" w:type="dxa"/>
            </w:tcMar>
            <w:vAlign w:val="center"/>
            <w:hideMark/>
          </w:tcPr>
          <w:p w14:paraId="4354B7C5"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3.3 </w:t>
            </w:r>
            <w:r>
              <w:rPr>
                <w:rFonts w:ascii="Segoe UI" w:hAnsi="Segoe UI"/>
                <w:sz w:val="23"/>
                <w:szCs w:val="23"/>
                <w:rtl/>
              </w:rPr>
              <w:t>الصدق والثبات</w:t>
            </w:r>
          </w:p>
        </w:tc>
        <w:tc>
          <w:tcPr>
            <w:tcW w:w="1247" w:type="dxa"/>
            <w:tcMar>
              <w:top w:w="150" w:type="dxa"/>
              <w:left w:w="240" w:type="dxa"/>
              <w:bottom w:w="150" w:type="dxa"/>
              <w:right w:w="0" w:type="dxa"/>
            </w:tcMar>
            <w:vAlign w:val="center"/>
            <w:hideMark/>
          </w:tcPr>
          <w:p w14:paraId="241AD649"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55</w:t>
            </w:r>
          </w:p>
        </w:tc>
      </w:tr>
      <w:tr w:rsidR="00177F17" w14:paraId="3C92304F" w14:textId="77777777" w:rsidTr="00177F17">
        <w:trPr>
          <w:trHeight w:val="283"/>
          <w:jc w:val="right"/>
        </w:trPr>
        <w:tc>
          <w:tcPr>
            <w:tcW w:w="7371" w:type="dxa"/>
            <w:tcMar>
              <w:top w:w="150" w:type="dxa"/>
              <w:left w:w="0" w:type="dxa"/>
              <w:bottom w:w="150" w:type="dxa"/>
              <w:right w:w="240" w:type="dxa"/>
            </w:tcMar>
            <w:vAlign w:val="center"/>
            <w:hideMark/>
          </w:tcPr>
          <w:p w14:paraId="4CA0108B"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3.4 </w:t>
            </w:r>
            <w:r>
              <w:rPr>
                <w:rFonts w:ascii="Segoe UI" w:hAnsi="Segoe UI"/>
                <w:sz w:val="23"/>
                <w:szCs w:val="23"/>
                <w:rtl/>
              </w:rPr>
              <w:t>طرق التحليل الإحصائي</w:t>
            </w:r>
          </w:p>
        </w:tc>
        <w:tc>
          <w:tcPr>
            <w:tcW w:w="1247" w:type="dxa"/>
            <w:tcMar>
              <w:top w:w="150" w:type="dxa"/>
              <w:left w:w="240" w:type="dxa"/>
              <w:bottom w:w="150" w:type="dxa"/>
              <w:right w:w="0" w:type="dxa"/>
            </w:tcMar>
            <w:vAlign w:val="center"/>
            <w:hideMark/>
          </w:tcPr>
          <w:p w14:paraId="33A7847B"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57</w:t>
            </w:r>
          </w:p>
        </w:tc>
      </w:tr>
      <w:tr w:rsidR="00177F17" w14:paraId="552C092A" w14:textId="77777777" w:rsidTr="00177F17">
        <w:trPr>
          <w:trHeight w:val="283"/>
          <w:jc w:val="right"/>
        </w:trPr>
        <w:tc>
          <w:tcPr>
            <w:tcW w:w="7371" w:type="dxa"/>
            <w:tcMar>
              <w:top w:w="150" w:type="dxa"/>
              <w:left w:w="0" w:type="dxa"/>
              <w:bottom w:w="150" w:type="dxa"/>
              <w:right w:w="240" w:type="dxa"/>
            </w:tcMar>
            <w:vAlign w:val="center"/>
            <w:hideMark/>
          </w:tcPr>
          <w:p w14:paraId="4F54276E"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3.5 </w:t>
            </w:r>
            <w:r>
              <w:rPr>
                <w:rFonts w:ascii="Segoe UI" w:hAnsi="Segoe UI"/>
                <w:sz w:val="23"/>
                <w:szCs w:val="23"/>
                <w:rtl/>
              </w:rPr>
              <w:t>الاعتبارات الأخلاقية</w:t>
            </w:r>
          </w:p>
        </w:tc>
        <w:tc>
          <w:tcPr>
            <w:tcW w:w="1247" w:type="dxa"/>
            <w:tcMar>
              <w:top w:w="150" w:type="dxa"/>
              <w:left w:w="240" w:type="dxa"/>
              <w:bottom w:w="150" w:type="dxa"/>
              <w:right w:w="0" w:type="dxa"/>
            </w:tcMar>
            <w:vAlign w:val="center"/>
            <w:hideMark/>
          </w:tcPr>
          <w:p w14:paraId="6A7993E8"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59</w:t>
            </w:r>
          </w:p>
        </w:tc>
      </w:tr>
      <w:tr w:rsidR="00177F17" w14:paraId="42AF7828" w14:textId="77777777" w:rsidTr="00177F17">
        <w:trPr>
          <w:trHeight w:val="283"/>
          <w:jc w:val="right"/>
        </w:trPr>
        <w:tc>
          <w:tcPr>
            <w:tcW w:w="7371" w:type="dxa"/>
            <w:tcMar>
              <w:top w:w="150" w:type="dxa"/>
              <w:left w:w="0" w:type="dxa"/>
              <w:bottom w:w="150" w:type="dxa"/>
              <w:right w:w="240" w:type="dxa"/>
            </w:tcMar>
            <w:vAlign w:val="center"/>
            <w:hideMark/>
          </w:tcPr>
          <w:p w14:paraId="156880F4"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الفصل الرابع: نتائج الدراسة وتحليلها</w:t>
            </w:r>
          </w:p>
        </w:tc>
        <w:tc>
          <w:tcPr>
            <w:tcW w:w="1247" w:type="dxa"/>
            <w:tcMar>
              <w:top w:w="150" w:type="dxa"/>
              <w:left w:w="240" w:type="dxa"/>
              <w:bottom w:w="150" w:type="dxa"/>
              <w:right w:w="0" w:type="dxa"/>
            </w:tcMar>
            <w:vAlign w:val="center"/>
            <w:hideMark/>
          </w:tcPr>
          <w:p w14:paraId="6527CB4F"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61</w:t>
            </w:r>
          </w:p>
        </w:tc>
      </w:tr>
      <w:tr w:rsidR="00177F17" w14:paraId="14C4409E" w14:textId="77777777" w:rsidTr="00177F17">
        <w:trPr>
          <w:trHeight w:val="283"/>
          <w:jc w:val="right"/>
        </w:trPr>
        <w:tc>
          <w:tcPr>
            <w:tcW w:w="7371" w:type="dxa"/>
            <w:tcMar>
              <w:top w:w="150" w:type="dxa"/>
              <w:left w:w="0" w:type="dxa"/>
              <w:bottom w:w="150" w:type="dxa"/>
              <w:right w:w="240" w:type="dxa"/>
            </w:tcMar>
            <w:vAlign w:val="center"/>
            <w:hideMark/>
          </w:tcPr>
          <w:p w14:paraId="60A163EE"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4.1 </w:t>
            </w:r>
            <w:r>
              <w:rPr>
                <w:rFonts w:ascii="Segoe UI" w:hAnsi="Segoe UI"/>
                <w:sz w:val="23"/>
                <w:szCs w:val="23"/>
                <w:rtl/>
              </w:rPr>
              <w:t>الخصائص الديموغرافية للعينة</w:t>
            </w:r>
          </w:p>
        </w:tc>
        <w:tc>
          <w:tcPr>
            <w:tcW w:w="1247" w:type="dxa"/>
            <w:tcMar>
              <w:top w:w="150" w:type="dxa"/>
              <w:left w:w="240" w:type="dxa"/>
              <w:bottom w:w="150" w:type="dxa"/>
              <w:right w:w="0" w:type="dxa"/>
            </w:tcMar>
            <w:vAlign w:val="center"/>
            <w:hideMark/>
          </w:tcPr>
          <w:p w14:paraId="2A8393A7"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61</w:t>
            </w:r>
          </w:p>
        </w:tc>
      </w:tr>
      <w:tr w:rsidR="00177F17" w14:paraId="6E995E7B" w14:textId="77777777" w:rsidTr="00177F17">
        <w:trPr>
          <w:trHeight w:val="283"/>
          <w:jc w:val="right"/>
        </w:trPr>
        <w:tc>
          <w:tcPr>
            <w:tcW w:w="7371" w:type="dxa"/>
            <w:tcMar>
              <w:top w:w="150" w:type="dxa"/>
              <w:left w:w="0" w:type="dxa"/>
              <w:bottom w:w="150" w:type="dxa"/>
              <w:right w:w="240" w:type="dxa"/>
            </w:tcMar>
            <w:vAlign w:val="center"/>
            <w:hideMark/>
          </w:tcPr>
          <w:p w14:paraId="47EFA3CC"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4.2 </w:t>
            </w:r>
            <w:r>
              <w:rPr>
                <w:rFonts w:ascii="Segoe UI" w:hAnsi="Segoe UI"/>
                <w:sz w:val="23"/>
                <w:szCs w:val="23"/>
                <w:rtl/>
              </w:rPr>
              <w:t>تحليل بيانات المتغيرات</w:t>
            </w:r>
          </w:p>
        </w:tc>
        <w:tc>
          <w:tcPr>
            <w:tcW w:w="1247" w:type="dxa"/>
            <w:tcMar>
              <w:top w:w="150" w:type="dxa"/>
              <w:left w:w="240" w:type="dxa"/>
              <w:bottom w:w="150" w:type="dxa"/>
              <w:right w:w="0" w:type="dxa"/>
            </w:tcMar>
            <w:vAlign w:val="center"/>
            <w:hideMark/>
          </w:tcPr>
          <w:p w14:paraId="4F6B9E01"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65</w:t>
            </w:r>
          </w:p>
        </w:tc>
      </w:tr>
      <w:tr w:rsidR="00177F17" w14:paraId="302F759A" w14:textId="77777777" w:rsidTr="00177F17">
        <w:trPr>
          <w:trHeight w:val="283"/>
          <w:jc w:val="right"/>
        </w:trPr>
        <w:tc>
          <w:tcPr>
            <w:tcW w:w="7371" w:type="dxa"/>
            <w:tcMar>
              <w:top w:w="150" w:type="dxa"/>
              <w:left w:w="0" w:type="dxa"/>
              <w:bottom w:w="150" w:type="dxa"/>
              <w:right w:w="240" w:type="dxa"/>
            </w:tcMar>
            <w:vAlign w:val="center"/>
            <w:hideMark/>
          </w:tcPr>
          <w:p w14:paraId="0CCA97E3"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4.3 </w:t>
            </w:r>
            <w:r>
              <w:rPr>
                <w:rFonts w:ascii="Segoe UI" w:hAnsi="Segoe UI"/>
                <w:sz w:val="23"/>
                <w:szCs w:val="23"/>
                <w:rtl/>
              </w:rPr>
              <w:t>اختبار الفرضيات</w:t>
            </w:r>
          </w:p>
        </w:tc>
        <w:tc>
          <w:tcPr>
            <w:tcW w:w="1247" w:type="dxa"/>
            <w:tcMar>
              <w:top w:w="150" w:type="dxa"/>
              <w:left w:w="240" w:type="dxa"/>
              <w:bottom w:w="150" w:type="dxa"/>
              <w:right w:w="0" w:type="dxa"/>
            </w:tcMar>
            <w:vAlign w:val="center"/>
            <w:hideMark/>
          </w:tcPr>
          <w:p w14:paraId="5331950A"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72</w:t>
            </w:r>
          </w:p>
        </w:tc>
      </w:tr>
      <w:tr w:rsidR="00177F17" w14:paraId="2623CAC9" w14:textId="77777777" w:rsidTr="00177F17">
        <w:trPr>
          <w:trHeight w:val="283"/>
          <w:jc w:val="right"/>
        </w:trPr>
        <w:tc>
          <w:tcPr>
            <w:tcW w:w="7371" w:type="dxa"/>
            <w:tcMar>
              <w:top w:w="150" w:type="dxa"/>
              <w:left w:w="0" w:type="dxa"/>
              <w:bottom w:w="150" w:type="dxa"/>
              <w:right w:w="240" w:type="dxa"/>
            </w:tcMar>
            <w:vAlign w:val="center"/>
            <w:hideMark/>
          </w:tcPr>
          <w:p w14:paraId="27BF6E09"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4.4 </w:t>
            </w:r>
            <w:r>
              <w:rPr>
                <w:rFonts w:ascii="Segoe UI" w:hAnsi="Segoe UI"/>
                <w:sz w:val="23"/>
                <w:szCs w:val="23"/>
                <w:rtl/>
              </w:rPr>
              <w:t>مناقشة النتائج</w:t>
            </w:r>
          </w:p>
        </w:tc>
        <w:tc>
          <w:tcPr>
            <w:tcW w:w="1247" w:type="dxa"/>
            <w:tcMar>
              <w:top w:w="150" w:type="dxa"/>
              <w:left w:w="240" w:type="dxa"/>
              <w:bottom w:w="150" w:type="dxa"/>
              <w:right w:w="0" w:type="dxa"/>
            </w:tcMar>
            <w:vAlign w:val="center"/>
            <w:hideMark/>
          </w:tcPr>
          <w:p w14:paraId="75ED27FB"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77</w:t>
            </w:r>
          </w:p>
        </w:tc>
      </w:tr>
      <w:tr w:rsidR="00177F17" w14:paraId="2ED6EDEA" w14:textId="77777777" w:rsidTr="00177F17">
        <w:trPr>
          <w:trHeight w:val="283"/>
          <w:jc w:val="right"/>
        </w:trPr>
        <w:tc>
          <w:tcPr>
            <w:tcW w:w="7371" w:type="dxa"/>
            <w:tcMar>
              <w:top w:w="150" w:type="dxa"/>
              <w:left w:w="0" w:type="dxa"/>
              <w:bottom w:w="150" w:type="dxa"/>
              <w:right w:w="240" w:type="dxa"/>
            </w:tcMar>
            <w:vAlign w:val="center"/>
            <w:hideMark/>
          </w:tcPr>
          <w:p w14:paraId="46274B93"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الفصل الخامس: الاستنتاجات والتوصيات</w:t>
            </w:r>
          </w:p>
        </w:tc>
        <w:tc>
          <w:tcPr>
            <w:tcW w:w="1247" w:type="dxa"/>
            <w:tcMar>
              <w:top w:w="150" w:type="dxa"/>
              <w:left w:w="240" w:type="dxa"/>
              <w:bottom w:w="150" w:type="dxa"/>
              <w:right w:w="0" w:type="dxa"/>
            </w:tcMar>
            <w:vAlign w:val="center"/>
            <w:hideMark/>
          </w:tcPr>
          <w:p w14:paraId="6C8B15F9"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82</w:t>
            </w:r>
          </w:p>
        </w:tc>
      </w:tr>
      <w:tr w:rsidR="00177F17" w14:paraId="10D5BBA8" w14:textId="77777777" w:rsidTr="00177F17">
        <w:trPr>
          <w:trHeight w:val="283"/>
          <w:jc w:val="right"/>
        </w:trPr>
        <w:tc>
          <w:tcPr>
            <w:tcW w:w="7371" w:type="dxa"/>
            <w:tcMar>
              <w:top w:w="150" w:type="dxa"/>
              <w:left w:w="0" w:type="dxa"/>
              <w:bottom w:w="150" w:type="dxa"/>
              <w:right w:w="240" w:type="dxa"/>
            </w:tcMar>
            <w:vAlign w:val="center"/>
            <w:hideMark/>
          </w:tcPr>
          <w:p w14:paraId="0671F89D"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5.1 </w:t>
            </w:r>
            <w:r>
              <w:rPr>
                <w:rFonts w:ascii="Segoe UI" w:hAnsi="Segoe UI"/>
                <w:sz w:val="23"/>
                <w:szCs w:val="23"/>
                <w:rtl/>
              </w:rPr>
              <w:t>أهم الاستنتاجات</w:t>
            </w:r>
          </w:p>
        </w:tc>
        <w:tc>
          <w:tcPr>
            <w:tcW w:w="1247" w:type="dxa"/>
            <w:tcMar>
              <w:top w:w="150" w:type="dxa"/>
              <w:left w:w="240" w:type="dxa"/>
              <w:bottom w:w="150" w:type="dxa"/>
              <w:right w:w="0" w:type="dxa"/>
            </w:tcMar>
            <w:vAlign w:val="center"/>
            <w:hideMark/>
          </w:tcPr>
          <w:p w14:paraId="5D5B40E7"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82</w:t>
            </w:r>
          </w:p>
        </w:tc>
      </w:tr>
      <w:tr w:rsidR="00177F17" w14:paraId="5A4FAD02" w14:textId="77777777" w:rsidTr="00177F17">
        <w:trPr>
          <w:trHeight w:val="283"/>
          <w:jc w:val="right"/>
        </w:trPr>
        <w:tc>
          <w:tcPr>
            <w:tcW w:w="7371" w:type="dxa"/>
            <w:tcMar>
              <w:top w:w="150" w:type="dxa"/>
              <w:left w:w="0" w:type="dxa"/>
              <w:bottom w:w="150" w:type="dxa"/>
              <w:right w:w="240" w:type="dxa"/>
            </w:tcMar>
            <w:vAlign w:val="center"/>
            <w:hideMark/>
          </w:tcPr>
          <w:p w14:paraId="728CD86C"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5.2 </w:t>
            </w:r>
            <w:r>
              <w:rPr>
                <w:rFonts w:ascii="Segoe UI" w:hAnsi="Segoe UI"/>
                <w:sz w:val="23"/>
                <w:szCs w:val="23"/>
                <w:rtl/>
              </w:rPr>
              <w:t>التوصيات العملية والإدارية</w:t>
            </w:r>
          </w:p>
        </w:tc>
        <w:tc>
          <w:tcPr>
            <w:tcW w:w="1247" w:type="dxa"/>
            <w:tcMar>
              <w:top w:w="150" w:type="dxa"/>
              <w:left w:w="240" w:type="dxa"/>
              <w:bottom w:w="150" w:type="dxa"/>
              <w:right w:w="0" w:type="dxa"/>
            </w:tcMar>
            <w:vAlign w:val="center"/>
            <w:hideMark/>
          </w:tcPr>
          <w:p w14:paraId="20579083"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85</w:t>
            </w:r>
          </w:p>
        </w:tc>
      </w:tr>
      <w:tr w:rsidR="00177F17" w14:paraId="094CF26E" w14:textId="77777777" w:rsidTr="00177F17">
        <w:trPr>
          <w:trHeight w:val="283"/>
          <w:jc w:val="right"/>
        </w:trPr>
        <w:tc>
          <w:tcPr>
            <w:tcW w:w="7371" w:type="dxa"/>
            <w:tcMar>
              <w:top w:w="150" w:type="dxa"/>
              <w:left w:w="0" w:type="dxa"/>
              <w:bottom w:w="150" w:type="dxa"/>
              <w:right w:w="240" w:type="dxa"/>
            </w:tcMar>
            <w:vAlign w:val="center"/>
            <w:hideMark/>
          </w:tcPr>
          <w:p w14:paraId="3DAD0124" w14:textId="77777777" w:rsidR="00177F17" w:rsidRDefault="00177F17" w:rsidP="00177F17">
            <w:pPr>
              <w:spacing w:line="375" w:lineRule="atLeast"/>
              <w:jc w:val="right"/>
              <w:rPr>
                <w:rFonts w:ascii="Segoe UI" w:hAnsi="Segoe UI" w:cs="Segoe UI"/>
                <w:sz w:val="23"/>
                <w:szCs w:val="23"/>
              </w:rPr>
            </w:pPr>
            <w:r>
              <w:rPr>
                <w:rFonts w:ascii="Segoe UI" w:hAnsi="Segoe UI" w:cs="Segoe UI"/>
                <w:sz w:val="23"/>
                <w:szCs w:val="23"/>
              </w:rPr>
              <w:t xml:space="preserve">5.3 </w:t>
            </w:r>
            <w:r>
              <w:rPr>
                <w:rFonts w:ascii="Segoe UI" w:hAnsi="Segoe UI"/>
                <w:sz w:val="23"/>
                <w:szCs w:val="23"/>
                <w:rtl/>
              </w:rPr>
              <w:t>مقترحات لدراسات مستقبلية</w:t>
            </w:r>
          </w:p>
        </w:tc>
        <w:tc>
          <w:tcPr>
            <w:tcW w:w="1247" w:type="dxa"/>
            <w:tcMar>
              <w:top w:w="150" w:type="dxa"/>
              <w:left w:w="240" w:type="dxa"/>
              <w:bottom w:w="150" w:type="dxa"/>
              <w:right w:w="0" w:type="dxa"/>
            </w:tcMar>
            <w:vAlign w:val="center"/>
            <w:hideMark/>
          </w:tcPr>
          <w:p w14:paraId="31118CA2"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89</w:t>
            </w:r>
          </w:p>
        </w:tc>
      </w:tr>
      <w:tr w:rsidR="00177F17" w14:paraId="78248746" w14:textId="77777777" w:rsidTr="00177F17">
        <w:trPr>
          <w:trHeight w:val="283"/>
          <w:jc w:val="right"/>
        </w:trPr>
        <w:tc>
          <w:tcPr>
            <w:tcW w:w="7371" w:type="dxa"/>
            <w:tcMar>
              <w:top w:w="150" w:type="dxa"/>
              <w:left w:w="0" w:type="dxa"/>
              <w:bottom w:w="150" w:type="dxa"/>
              <w:right w:w="240" w:type="dxa"/>
            </w:tcMar>
            <w:vAlign w:val="center"/>
            <w:hideMark/>
          </w:tcPr>
          <w:p w14:paraId="67FD15B0"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قائمة المراجع</w:t>
            </w:r>
          </w:p>
        </w:tc>
        <w:tc>
          <w:tcPr>
            <w:tcW w:w="1247" w:type="dxa"/>
            <w:tcMar>
              <w:top w:w="150" w:type="dxa"/>
              <w:left w:w="240" w:type="dxa"/>
              <w:bottom w:w="150" w:type="dxa"/>
              <w:right w:w="0" w:type="dxa"/>
            </w:tcMar>
            <w:vAlign w:val="center"/>
            <w:hideMark/>
          </w:tcPr>
          <w:p w14:paraId="7335F5D3"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91</w:t>
            </w:r>
          </w:p>
        </w:tc>
      </w:tr>
      <w:tr w:rsidR="00177F17" w14:paraId="05CAFA23" w14:textId="77777777" w:rsidTr="00177F17">
        <w:trPr>
          <w:trHeight w:val="283"/>
          <w:jc w:val="right"/>
        </w:trPr>
        <w:tc>
          <w:tcPr>
            <w:tcW w:w="7371" w:type="dxa"/>
            <w:tcMar>
              <w:top w:w="150" w:type="dxa"/>
              <w:left w:w="0" w:type="dxa"/>
              <w:bottom w:w="150" w:type="dxa"/>
              <w:right w:w="240" w:type="dxa"/>
            </w:tcMar>
            <w:vAlign w:val="center"/>
            <w:hideMark/>
          </w:tcPr>
          <w:p w14:paraId="2C6690BA" w14:textId="77777777" w:rsidR="00177F17" w:rsidRDefault="00177F17" w:rsidP="00177F17">
            <w:pPr>
              <w:spacing w:line="375" w:lineRule="atLeast"/>
              <w:jc w:val="right"/>
              <w:rPr>
                <w:rFonts w:ascii="Segoe UI" w:hAnsi="Segoe UI" w:cs="Segoe UI"/>
                <w:sz w:val="23"/>
                <w:szCs w:val="23"/>
              </w:rPr>
            </w:pPr>
            <w:r>
              <w:rPr>
                <w:rStyle w:val="Strong"/>
                <w:rFonts w:ascii="Segoe UI" w:hAnsi="Segoe UI"/>
                <w:sz w:val="23"/>
                <w:szCs w:val="23"/>
                <w:rtl/>
              </w:rPr>
              <w:t>الملاحق</w:t>
            </w:r>
          </w:p>
        </w:tc>
        <w:tc>
          <w:tcPr>
            <w:tcW w:w="1247" w:type="dxa"/>
            <w:tcMar>
              <w:top w:w="150" w:type="dxa"/>
              <w:left w:w="240" w:type="dxa"/>
              <w:bottom w:w="150" w:type="dxa"/>
              <w:right w:w="0" w:type="dxa"/>
            </w:tcMar>
            <w:vAlign w:val="center"/>
            <w:hideMark/>
          </w:tcPr>
          <w:p w14:paraId="75CAF2A1" w14:textId="77777777" w:rsidR="00177F17" w:rsidRDefault="00177F17" w:rsidP="00177F17">
            <w:pPr>
              <w:spacing w:line="375" w:lineRule="atLeast"/>
              <w:jc w:val="center"/>
              <w:rPr>
                <w:rFonts w:ascii="Segoe UI" w:hAnsi="Segoe UI" w:cs="Segoe UI"/>
                <w:sz w:val="23"/>
                <w:szCs w:val="23"/>
              </w:rPr>
            </w:pPr>
            <w:r>
              <w:rPr>
                <w:rFonts w:ascii="Segoe UI" w:hAnsi="Segoe UI" w:cs="Segoe UI"/>
                <w:sz w:val="23"/>
                <w:szCs w:val="23"/>
              </w:rPr>
              <w:t>99</w:t>
            </w:r>
          </w:p>
        </w:tc>
      </w:tr>
    </w:tbl>
    <w:p w14:paraId="0C1C64B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A815A3">
      <w:pPr>
        <w:jc w:val="right"/>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tbl>
      <w:tblPr>
        <w:tblW w:w="8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674"/>
        <w:gridCol w:w="5669"/>
        <w:gridCol w:w="1039"/>
      </w:tblGrid>
      <w:tr w:rsidR="00900AA5" w14:paraId="6BC612B0" w14:textId="77777777" w:rsidTr="00A815A3">
        <w:trPr>
          <w:tblHeader/>
        </w:trPr>
        <w:tc>
          <w:tcPr>
            <w:tcW w:w="0" w:type="auto"/>
            <w:shd w:val="clear" w:color="auto" w:fill="FFFFFF"/>
            <w:tcMar>
              <w:top w:w="150" w:type="dxa"/>
              <w:left w:w="0" w:type="dxa"/>
              <w:bottom w:w="150" w:type="dxa"/>
              <w:right w:w="240" w:type="dxa"/>
            </w:tcMar>
            <w:vAlign w:val="center"/>
            <w:hideMark/>
          </w:tcPr>
          <w:p w14:paraId="531C8EE0"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olor w:val="0F1115"/>
                <w:sz w:val="23"/>
                <w:szCs w:val="23"/>
                <w:rtl/>
              </w:rPr>
              <w:t>رقم الجدول</w:t>
            </w:r>
          </w:p>
        </w:tc>
        <w:tc>
          <w:tcPr>
            <w:tcW w:w="5669" w:type="dxa"/>
            <w:shd w:val="clear" w:color="auto" w:fill="FFFFFF"/>
            <w:tcMar>
              <w:top w:w="150" w:type="dxa"/>
              <w:left w:w="240" w:type="dxa"/>
              <w:bottom w:w="150" w:type="dxa"/>
              <w:right w:w="240" w:type="dxa"/>
            </w:tcMar>
            <w:vAlign w:val="center"/>
            <w:hideMark/>
          </w:tcPr>
          <w:p w14:paraId="09A2129A" w14:textId="77777777" w:rsidR="00900AA5" w:rsidRDefault="00900AA5" w:rsidP="00A815A3">
            <w:pPr>
              <w:spacing w:line="375" w:lineRule="atLeast"/>
              <w:jc w:val="center"/>
              <w:rPr>
                <w:rFonts w:ascii="Segoe UI" w:hAnsi="Segoe UI" w:cs="Segoe UI"/>
                <w:color w:val="0F1115"/>
                <w:sz w:val="23"/>
                <w:szCs w:val="23"/>
              </w:rPr>
            </w:pPr>
            <w:r>
              <w:rPr>
                <w:rFonts w:ascii="Segoe UI" w:hAnsi="Segoe UI"/>
                <w:color w:val="0F1115"/>
                <w:sz w:val="23"/>
                <w:szCs w:val="23"/>
                <w:rtl/>
              </w:rPr>
              <w:t>عنوان الجدول</w:t>
            </w:r>
          </w:p>
        </w:tc>
        <w:tc>
          <w:tcPr>
            <w:tcW w:w="1039" w:type="dxa"/>
            <w:shd w:val="clear" w:color="auto" w:fill="FFFFFF"/>
            <w:tcMar>
              <w:top w:w="150" w:type="dxa"/>
              <w:left w:w="240" w:type="dxa"/>
              <w:bottom w:w="150" w:type="dxa"/>
              <w:right w:w="240" w:type="dxa"/>
            </w:tcMar>
            <w:vAlign w:val="center"/>
            <w:hideMark/>
          </w:tcPr>
          <w:p w14:paraId="29B04EA7"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olor w:val="0F1115"/>
                <w:sz w:val="23"/>
                <w:szCs w:val="23"/>
                <w:rtl/>
              </w:rPr>
              <w:t>الصفحة</w:t>
            </w:r>
          </w:p>
        </w:tc>
      </w:tr>
      <w:tr w:rsidR="00900AA5" w14:paraId="3E02FA73" w14:textId="77777777" w:rsidTr="00900AA5">
        <w:tc>
          <w:tcPr>
            <w:tcW w:w="0" w:type="auto"/>
            <w:shd w:val="clear" w:color="auto" w:fill="FFFFFF"/>
            <w:tcMar>
              <w:top w:w="150" w:type="dxa"/>
              <w:left w:w="0" w:type="dxa"/>
              <w:bottom w:w="150" w:type="dxa"/>
              <w:right w:w="240" w:type="dxa"/>
            </w:tcMar>
            <w:vAlign w:val="center"/>
            <w:hideMark/>
          </w:tcPr>
          <w:p w14:paraId="28C7E8B8"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(2-1)</w:t>
            </w:r>
          </w:p>
        </w:tc>
        <w:tc>
          <w:tcPr>
            <w:tcW w:w="5669" w:type="dxa"/>
            <w:shd w:val="clear" w:color="auto" w:fill="FFFFFF"/>
            <w:tcMar>
              <w:top w:w="150" w:type="dxa"/>
              <w:left w:w="240" w:type="dxa"/>
              <w:bottom w:w="150" w:type="dxa"/>
              <w:right w:w="240" w:type="dxa"/>
            </w:tcMar>
            <w:vAlign w:val="center"/>
            <w:hideMark/>
          </w:tcPr>
          <w:p w14:paraId="18379B36"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ملخص لأهم استراتيجيات الاحتفاظ بالكادر الطبي</w:t>
            </w:r>
          </w:p>
        </w:tc>
        <w:tc>
          <w:tcPr>
            <w:tcW w:w="1039" w:type="dxa"/>
            <w:shd w:val="clear" w:color="auto" w:fill="FFFFFF"/>
            <w:tcMar>
              <w:top w:w="150" w:type="dxa"/>
              <w:left w:w="240" w:type="dxa"/>
              <w:bottom w:w="150" w:type="dxa"/>
              <w:right w:w="0" w:type="dxa"/>
            </w:tcMar>
            <w:vAlign w:val="center"/>
            <w:hideMark/>
          </w:tcPr>
          <w:p w14:paraId="284A1B38"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28</w:t>
            </w:r>
          </w:p>
        </w:tc>
      </w:tr>
      <w:tr w:rsidR="00900AA5" w14:paraId="276DA8D2" w14:textId="77777777" w:rsidTr="00900AA5">
        <w:tc>
          <w:tcPr>
            <w:tcW w:w="0" w:type="auto"/>
            <w:shd w:val="clear" w:color="auto" w:fill="FFFFFF"/>
            <w:tcMar>
              <w:top w:w="150" w:type="dxa"/>
              <w:left w:w="0" w:type="dxa"/>
              <w:bottom w:w="150" w:type="dxa"/>
              <w:right w:w="240" w:type="dxa"/>
            </w:tcMar>
            <w:vAlign w:val="center"/>
            <w:hideMark/>
          </w:tcPr>
          <w:p w14:paraId="134EF615"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(2-2)</w:t>
            </w:r>
          </w:p>
        </w:tc>
        <w:tc>
          <w:tcPr>
            <w:tcW w:w="5669" w:type="dxa"/>
            <w:shd w:val="clear" w:color="auto" w:fill="FFFFFF"/>
            <w:tcMar>
              <w:top w:w="150" w:type="dxa"/>
              <w:left w:w="240" w:type="dxa"/>
              <w:bottom w:w="150" w:type="dxa"/>
              <w:right w:w="240" w:type="dxa"/>
            </w:tcMar>
            <w:vAlign w:val="center"/>
            <w:hideMark/>
          </w:tcPr>
          <w:p w14:paraId="5743311C"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أمثلة على مؤشرات جودة الرعاية</w:t>
            </w:r>
          </w:p>
        </w:tc>
        <w:tc>
          <w:tcPr>
            <w:tcW w:w="1039" w:type="dxa"/>
            <w:shd w:val="clear" w:color="auto" w:fill="FFFFFF"/>
            <w:tcMar>
              <w:top w:w="150" w:type="dxa"/>
              <w:left w:w="240" w:type="dxa"/>
              <w:bottom w:w="150" w:type="dxa"/>
              <w:right w:w="0" w:type="dxa"/>
            </w:tcMar>
            <w:vAlign w:val="center"/>
            <w:hideMark/>
          </w:tcPr>
          <w:p w14:paraId="47BFE2D4"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35</w:t>
            </w:r>
          </w:p>
        </w:tc>
      </w:tr>
      <w:tr w:rsidR="00900AA5" w14:paraId="7CB44D86" w14:textId="77777777" w:rsidTr="00900AA5">
        <w:tc>
          <w:tcPr>
            <w:tcW w:w="0" w:type="auto"/>
            <w:shd w:val="clear" w:color="auto" w:fill="FFFFFF"/>
            <w:tcMar>
              <w:top w:w="150" w:type="dxa"/>
              <w:left w:w="0" w:type="dxa"/>
              <w:bottom w:w="150" w:type="dxa"/>
              <w:right w:w="240" w:type="dxa"/>
            </w:tcMar>
            <w:vAlign w:val="center"/>
            <w:hideMark/>
          </w:tcPr>
          <w:p w14:paraId="34F256E8"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(3-1)</w:t>
            </w:r>
          </w:p>
        </w:tc>
        <w:tc>
          <w:tcPr>
            <w:tcW w:w="5669" w:type="dxa"/>
            <w:shd w:val="clear" w:color="auto" w:fill="FFFFFF"/>
            <w:tcMar>
              <w:top w:w="150" w:type="dxa"/>
              <w:left w:w="240" w:type="dxa"/>
              <w:bottom w:w="150" w:type="dxa"/>
              <w:right w:w="240" w:type="dxa"/>
            </w:tcMar>
            <w:vAlign w:val="center"/>
            <w:hideMark/>
          </w:tcPr>
          <w:p w14:paraId="4FFCDB38"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عينة الدراسة حسب التخصص</w:t>
            </w:r>
          </w:p>
        </w:tc>
        <w:tc>
          <w:tcPr>
            <w:tcW w:w="1039" w:type="dxa"/>
            <w:shd w:val="clear" w:color="auto" w:fill="FFFFFF"/>
            <w:tcMar>
              <w:top w:w="150" w:type="dxa"/>
              <w:left w:w="240" w:type="dxa"/>
              <w:bottom w:w="150" w:type="dxa"/>
              <w:right w:w="0" w:type="dxa"/>
            </w:tcMar>
            <w:vAlign w:val="center"/>
            <w:hideMark/>
          </w:tcPr>
          <w:p w14:paraId="3272E47D"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54</w:t>
            </w:r>
          </w:p>
        </w:tc>
      </w:tr>
      <w:tr w:rsidR="00900AA5" w14:paraId="397FB56C" w14:textId="77777777" w:rsidTr="00900AA5">
        <w:tc>
          <w:tcPr>
            <w:tcW w:w="0" w:type="auto"/>
            <w:shd w:val="clear" w:color="auto" w:fill="FFFFFF"/>
            <w:tcMar>
              <w:top w:w="150" w:type="dxa"/>
              <w:left w:w="0" w:type="dxa"/>
              <w:bottom w:w="150" w:type="dxa"/>
              <w:right w:w="240" w:type="dxa"/>
            </w:tcMar>
            <w:vAlign w:val="center"/>
            <w:hideMark/>
          </w:tcPr>
          <w:p w14:paraId="2C0EFDC6"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(4-1)</w:t>
            </w:r>
          </w:p>
        </w:tc>
        <w:tc>
          <w:tcPr>
            <w:tcW w:w="5669" w:type="dxa"/>
            <w:shd w:val="clear" w:color="auto" w:fill="FFFFFF"/>
            <w:tcMar>
              <w:top w:w="150" w:type="dxa"/>
              <w:left w:w="240" w:type="dxa"/>
              <w:bottom w:w="150" w:type="dxa"/>
              <w:right w:w="240" w:type="dxa"/>
            </w:tcMar>
            <w:vAlign w:val="center"/>
            <w:hideMark/>
          </w:tcPr>
          <w:p w14:paraId="562A6494"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العينة حسب الجنس</w:t>
            </w:r>
          </w:p>
        </w:tc>
        <w:tc>
          <w:tcPr>
            <w:tcW w:w="1039" w:type="dxa"/>
            <w:shd w:val="clear" w:color="auto" w:fill="FFFFFF"/>
            <w:tcMar>
              <w:top w:w="150" w:type="dxa"/>
              <w:left w:w="240" w:type="dxa"/>
              <w:bottom w:w="150" w:type="dxa"/>
              <w:right w:w="0" w:type="dxa"/>
            </w:tcMar>
            <w:vAlign w:val="center"/>
            <w:hideMark/>
          </w:tcPr>
          <w:p w14:paraId="33615ED4"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62</w:t>
            </w:r>
          </w:p>
        </w:tc>
      </w:tr>
      <w:tr w:rsidR="00900AA5" w14:paraId="354DB459" w14:textId="77777777" w:rsidTr="00900AA5">
        <w:tc>
          <w:tcPr>
            <w:tcW w:w="0" w:type="auto"/>
            <w:shd w:val="clear" w:color="auto" w:fill="FFFFFF"/>
            <w:tcMar>
              <w:top w:w="150" w:type="dxa"/>
              <w:left w:w="0" w:type="dxa"/>
              <w:bottom w:w="150" w:type="dxa"/>
              <w:right w:w="240" w:type="dxa"/>
            </w:tcMar>
            <w:vAlign w:val="center"/>
            <w:hideMark/>
          </w:tcPr>
          <w:p w14:paraId="735FB1DE"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(4-2)</w:t>
            </w:r>
          </w:p>
        </w:tc>
        <w:tc>
          <w:tcPr>
            <w:tcW w:w="5669" w:type="dxa"/>
            <w:shd w:val="clear" w:color="auto" w:fill="FFFFFF"/>
            <w:tcMar>
              <w:top w:w="150" w:type="dxa"/>
              <w:left w:w="240" w:type="dxa"/>
              <w:bottom w:w="150" w:type="dxa"/>
              <w:right w:w="240" w:type="dxa"/>
            </w:tcMar>
            <w:vAlign w:val="center"/>
            <w:hideMark/>
          </w:tcPr>
          <w:p w14:paraId="39379659"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العينة حسب الفئة العمرية</w:t>
            </w:r>
          </w:p>
        </w:tc>
        <w:tc>
          <w:tcPr>
            <w:tcW w:w="1039" w:type="dxa"/>
            <w:shd w:val="clear" w:color="auto" w:fill="FFFFFF"/>
            <w:tcMar>
              <w:top w:w="150" w:type="dxa"/>
              <w:left w:w="240" w:type="dxa"/>
              <w:bottom w:w="150" w:type="dxa"/>
              <w:right w:w="0" w:type="dxa"/>
            </w:tcMar>
            <w:vAlign w:val="center"/>
            <w:hideMark/>
          </w:tcPr>
          <w:p w14:paraId="248FA22F"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62</w:t>
            </w:r>
          </w:p>
        </w:tc>
      </w:tr>
      <w:tr w:rsidR="00900AA5" w14:paraId="0846BE2D" w14:textId="77777777" w:rsidTr="00900AA5">
        <w:tc>
          <w:tcPr>
            <w:tcW w:w="0" w:type="auto"/>
            <w:shd w:val="clear" w:color="auto" w:fill="FFFFFF"/>
            <w:tcMar>
              <w:top w:w="150" w:type="dxa"/>
              <w:left w:w="0" w:type="dxa"/>
              <w:bottom w:w="150" w:type="dxa"/>
              <w:right w:w="240" w:type="dxa"/>
            </w:tcMar>
            <w:vAlign w:val="center"/>
            <w:hideMark/>
          </w:tcPr>
          <w:p w14:paraId="010C9AEB"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(4-3)</w:t>
            </w:r>
          </w:p>
        </w:tc>
        <w:tc>
          <w:tcPr>
            <w:tcW w:w="5669" w:type="dxa"/>
            <w:shd w:val="clear" w:color="auto" w:fill="FFFFFF"/>
            <w:tcMar>
              <w:top w:w="150" w:type="dxa"/>
              <w:left w:w="240" w:type="dxa"/>
              <w:bottom w:w="150" w:type="dxa"/>
              <w:right w:w="240" w:type="dxa"/>
            </w:tcMar>
            <w:vAlign w:val="center"/>
            <w:hideMark/>
          </w:tcPr>
          <w:p w14:paraId="5B9FE204"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العينة حسب المؤهل العلمي</w:t>
            </w:r>
          </w:p>
        </w:tc>
        <w:tc>
          <w:tcPr>
            <w:tcW w:w="1039" w:type="dxa"/>
            <w:shd w:val="clear" w:color="auto" w:fill="FFFFFF"/>
            <w:tcMar>
              <w:top w:w="150" w:type="dxa"/>
              <w:left w:w="240" w:type="dxa"/>
              <w:bottom w:w="150" w:type="dxa"/>
              <w:right w:w="0" w:type="dxa"/>
            </w:tcMar>
            <w:vAlign w:val="center"/>
            <w:hideMark/>
          </w:tcPr>
          <w:p w14:paraId="1FAE9995"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63</w:t>
            </w:r>
          </w:p>
        </w:tc>
      </w:tr>
      <w:tr w:rsidR="00900AA5" w14:paraId="4D556B8D" w14:textId="77777777" w:rsidTr="00900AA5">
        <w:tc>
          <w:tcPr>
            <w:tcW w:w="0" w:type="auto"/>
            <w:shd w:val="clear" w:color="auto" w:fill="FFFFFF"/>
            <w:tcMar>
              <w:top w:w="150" w:type="dxa"/>
              <w:left w:w="0" w:type="dxa"/>
              <w:bottom w:w="150" w:type="dxa"/>
              <w:right w:w="240" w:type="dxa"/>
            </w:tcMar>
            <w:vAlign w:val="center"/>
            <w:hideMark/>
          </w:tcPr>
          <w:p w14:paraId="1CFA7E0B"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(4-4)</w:t>
            </w:r>
          </w:p>
        </w:tc>
        <w:tc>
          <w:tcPr>
            <w:tcW w:w="5669" w:type="dxa"/>
            <w:shd w:val="clear" w:color="auto" w:fill="FFFFFF"/>
            <w:tcMar>
              <w:top w:w="150" w:type="dxa"/>
              <w:left w:w="240" w:type="dxa"/>
              <w:bottom w:w="150" w:type="dxa"/>
              <w:right w:w="240" w:type="dxa"/>
            </w:tcMar>
            <w:vAlign w:val="center"/>
            <w:hideMark/>
          </w:tcPr>
          <w:p w14:paraId="50C24097"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العينة حسب سنوات الخبرة</w:t>
            </w:r>
          </w:p>
        </w:tc>
        <w:tc>
          <w:tcPr>
            <w:tcW w:w="1039" w:type="dxa"/>
            <w:shd w:val="clear" w:color="auto" w:fill="FFFFFF"/>
            <w:tcMar>
              <w:top w:w="150" w:type="dxa"/>
              <w:left w:w="240" w:type="dxa"/>
              <w:bottom w:w="150" w:type="dxa"/>
              <w:right w:w="0" w:type="dxa"/>
            </w:tcMar>
            <w:vAlign w:val="center"/>
            <w:hideMark/>
          </w:tcPr>
          <w:p w14:paraId="4734BD77"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63</w:t>
            </w:r>
          </w:p>
        </w:tc>
      </w:tr>
      <w:tr w:rsidR="00900AA5" w14:paraId="100B2F56" w14:textId="77777777" w:rsidTr="00900AA5">
        <w:tc>
          <w:tcPr>
            <w:tcW w:w="0" w:type="auto"/>
            <w:shd w:val="clear" w:color="auto" w:fill="FFFFFF"/>
            <w:tcMar>
              <w:top w:w="150" w:type="dxa"/>
              <w:left w:w="0" w:type="dxa"/>
              <w:bottom w:w="150" w:type="dxa"/>
              <w:right w:w="240" w:type="dxa"/>
            </w:tcMar>
            <w:vAlign w:val="center"/>
            <w:hideMark/>
          </w:tcPr>
          <w:p w14:paraId="610BDA96"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(4-5)</w:t>
            </w:r>
          </w:p>
        </w:tc>
        <w:tc>
          <w:tcPr>
            <w:tcW w:w="5669" w:type="dxa"/>
            <w:shd w:val="clear" w:color="auto" w:fill="FFFFFF"/>
            <w:tcMar>
              <w:top w:w="150" w:type="dxa"/>
              <w:left w:w="240" w:type="dxa"/>
              <w:bottom w:w="150" w:type="dxa"/>
              <w:right w:w="240" w:type="dxa"/>
            </w:tcMar>
            <w:vAlign w:val="center"/>
            <w:hideMark/>
          </w:tcPr>
          <w:p w14:paraId="1ECD8895"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توزيع العينة حسب التخصص</w:t>
            </w:r>
          </w:p>
        </w:tc>
        <w:tc>
          <w:tcPr>
            <w:tcW w:w="1039" w:type="dxa"/>
            <w:shd w:val="clear" w:color="auto" w:fill="FFFFFF"/>
            <w:tcMar>
              <w:top w:w="150" w:type="dxa"/>
              <w:left w:w="240" w:type="dxa"/>
              <w:bottom w:w="150" w:type="dxa"/>
              <w:right w:w="0" w:type="dxa"/>
            </w:tcMar>
            <w:vAlign w:val="center"/>
            <w:hideMark/>
          </w:tcPr>
          <w:p w14:paraId="4DFD78AC"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64</w:t>
            </w:r>
          </w:p>
        </w:tc>
      </w:tr>
      <w:tr w:rsidR="00900AA5" w14:paraId="1DA1BB2F" w14:textId="77777777" w:rsidTr="00900AA5">
        <w:tc>
          <w:tcPr>
            <w:tcW w:w="0" w:type="auto"/>
            <w:shd w:val="clear" w:color="auto" w:fill="FFFFFF"/>
            <w:tcMar>
              <w:top w:w="150" w:type="dxa"/>
              <w:left w:w="0" w:type="dxa"/>
              <w:bottom w:w="150" w:type="dxa"/>
              <w:right w:w="240" w:type="dxa"/>
            </w:tcMar>
            <w:vAlign w:val="center"/>
            <w:hideMark/>
          </w:tcPr>
          <w:p w14:paraId="1823A959"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(4-6)</w:t>
            </w:r>
          </w:p>
        </w:tc>
        <w:tc>
          <w:tcPr>
            <w:tcW w:w="5669" w:type="dxa"/>
            <w:shd w:val="clear" w:color="auto" w:fill="FFFFFF"/>
            <w:tcMar>
              <w:top w:w="150" w:type="dxa"/>
              <w:left w:w="240" w:type="dxa"/>
              <w:bottom w:w="150" w:type="dxa"/>
              <w:right w:w="240" w:type="dxa"/>
            </w:tcMar>
            <w:vAlign w:val="center"/>
            <w:hideMark/>
          </w:tcPr>
          <w:p w14:paraId="2B246A2A"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المتوسطات الحسابية لمحور ممارسات إدارة الموارد البشرية</w:t>
            </w:r>
          </w:p>
        </w:tc>
        <w:tc>
          <w:tcPr>
            <w:tcW w:w="1039" w:type="dxa"/>
            <w:shd w:val="clear" w:color="auto" w:fill="FFFFFF"/>
            <w:tcMar>
              <w:top w:w="150" w:type="dxa"/>
              <w:left w:w="240" w:type="dxa"/>
              <w:bottom w:w="150" w:type="dxa"/>
              <w:right w:w="0" w:type="dxa"/>
            </w:tcMar>
            <w:vAlign w:val="center"/>
            <w:hideMark/>
          </w:tcPr>
          <w:p w14:paraId="2F0994E4"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66</w:t>
            </w:r>
          </w:p>
        </w:tc>
      </w:tr>
      <w:tr w:rsidR="00900AA5" w14:paraId="32EE80E3" w14:textId="77777777" w:rsidTr="00900AA5">
        <w:tc>
          <w:tcPr>
            <w:tcW w:w="0" w:type="auto"/>
            <w:shd w:val="clear" w:color="auto" w:fill="FFFFFF"/>
            <w:tcMar>
              <w:top w:w="150" w:type="dxa"/>
              <w:left w:w="0" w:type="dxa"/>
              <w:bottom w:w="150" w:type="dxa"/>
              <w:right w:w="240" w:type="dxa"/>
            </w:tcMar>
            <w:vAlign w:val="center"/>
            <w:hideMark/>
          </w:tcPr>
          <w:p w14:paraId="6096B112"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(4-7)</w:t>
            </w:r>
          </w:p>
        </w:tc>
        <w:tc>
          <w:tcPr>
            <w:tcW w:w="5669" w:type="dxa"/>
            <w:shd w:val="clear" w:color="auto" w:fill="FFFFFF"/>
            <w:tcMar>
              <w:top w:w="150" w:type="dxa"/>
              <w:left w:w="240" w:type="dxa"/>
              <w:bottom w:w="150" w:type="dxa"/>
              <w:right w:w="240" w:type="dxa"/>
            </w:tcMar>
            <w:vAlign w:val="center"/>
            <w:hideMark/>
          </w:tcPr>
          <w:p w14:paraId="1013E5D2"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المتوسطات الحسابية لمحور الاحتفاظ بالكادر الطبي</w:t>
            </w:r>
          </w:p>
        </w:tc>
        <w:tc>
          <w:tcPr>
            <w:tcW w:w="1039" w:type="dxa"/>
            <w:shd w:val="clear" w:color="auto" w:fill="FFFFFF"/>
            <w:tcMar>
              <w:top w:w="150" w:type="dxa"/>
              <w:left w:w="240" w:type="dxa"/>
              <w:bottom w:w="150" w:type="dxa"/>
              <w:right w:w="0" w:type="dxa"/>
            </w:tcMar>
            <w:vAlign w:val="center"/>
            <w:hideMark/>
          </w:tcPr>
          <w:p w14:paraId="66645A71"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68</w:t>
            </w:r>
          </w:p>
        </w:tc>
      </w:tr>
      <w:tr w:rsidR="00900AA5" w14:paraId="693BC36F" w14:textId="77777777" w:rsidTr="00900AA5">
        <w:tc>
          <w:tcPr>
            <w:tcW w:w="0" w:type="auto"/>
            <w:shd w:val="clear" w:color="auto" w:fill="FFFFFF"/>
            <w:tcMar>
              <w:top w:w="150" w:type="dxa"/>
              <w:left w:w="0" w:type="dxa"/>
              <w:bottom w:w="150" w:type="dxa"/>
              <w:right w:w="240" w:type="dxa"/>
            </w:tcMar>
            <w:vAlign w:val="center"/>
            <w:hideMark/>
          </w:tcPr>
          <w:p w14:paraId="02D34428"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(4-8)</w:t>
            </w:r>
          </w:p>
        </w:tc>
        <w:tc>
          <w:tcPr>
            <w:tcW w:w="5669" w:type="dxa"/>
            <w:shd w:val="clear" w:color="auto" w:fill="FFFFFF"/>
            <w:tcMar>
              <w:top w:w="150" w:type="dxa"/>
              <w:left w:w="240" w:type="dxa"/>
              <w:bottom w:w="150" w:type="dxa"/>
              <w:right w:w="240" w:type="dxa"/>
            </w:tcMar>
            <w:vAlign w:val="center"/>
            <w:hideMark/>
          </w:tcPr>
          <w:p w14:paraId="7DEA7524"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المتوسطات الحسابية لمحور جودة الرعاية الصحية</w:t>
            </w:r>
          </w:p>
        </w:tc>
        <w:tc>
          <w:tcPr>
            <w:tcW w:w="1039" w:type="dxa"/>
            <w:shd w:val="clear" w:color="auto" w:fill="FFFFFF"/>
            <w:tcMar>
              <w:top w:w="150" w:type="dxa"/>
              <w:left w:w="240" w:type="dxa"/>
              <w:bottom w:w="150" w:type="dxa"/>
              <w:right w:w="0" w:type="dxa"/>
            </w:tcMar>
            <w:vAlign w:val="center"/>
            <w:hideMark/>
          </w:tcPr>
          <w:p w14:paraId="269CD247"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70</w:t>
            </w:r>
          </w:p>
        </w:tc>
      </w:tr>
      <w:tr w:rsidR="00900AA5" w14:paraId="19855B4B" w14:textId="77777777" w:rsidTr="00900AA5">
        <w:tc>
          <w:tcPr>
            <w:tcW w:w="0" w:type="auto"/>
            <w:shd w:val="clear" w:color="auto" w:fill="FFFFFF"/>
            <w:tcMar>
              <w:top w:w="150" w:type="dxa"/>
              <w:left w:w="0" w:type="dxa"/>
              <w:bottom w:w="150" w:type="dxa"/>
              <w:right w:w="240" w:type="dxa"/>
            </w:tcMar>
            <w:vAlign w:val="center"/>
            <w:hideMark/>
          </w:tcPr>
          <w:p w14:paraId="34C56AC4"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(4-9)</w:t>
            </w:r>
          </w:p>
        </w:tc>
        <w:tc>
          <w:tcPr>
            <w:tcW w:w="5669" w:type="dxa"/>
            <w:shd w:val="clear" w:color="auto" w:fill="FFFFFF"/>
            <w:tcMar>
              <w:top w:w="150" w:type="dxa"/>
              <w:left w:w="240" w:type="dxa"/>
              <w:bottom w:w="150" w:type="dxa"/>
              <w:right w:w="240" w:type="dxa"/>
            </w:tcMar>
            <w:vAlign w:val="center"/>
            <w:hideMark/>
          </w:tcPr>
          <w:p w14:paraId="149DBB32"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مصفوفة ارتباط بيرسون بين متغيرات الدراسة</w:t>
            </w:r>
          </w:p>
        </w:tc>
        <w:tc>
          <w:tcPr>
            <w:tcW w:w="1039" w:type="dxa"/>
            <w:shd w:val="clear" w:color="auto" w:fill="FFFFFF"/>
            <w:tcMar>
              <w:top w:w="150" w:type="dxa"/>
              <w:left w:w="240" w:type="dxa"/>
              <w:bottom w:w="150" w:type="dxa"/>
              <w:right w:w="0" w:type="dxa"/>
            </w:tcMar>
            <w:vAlign w:val="center"/>
            <w:hideMark/>
          </w:tcPr>
          <w:p w14:paraId="0223266A"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73</w:t>
            </w:r>
          </w:p>
        </w:tc>
      </w:tr>
      <w:tr w:rsidR="00900AA5" w14:paraId="7C84B90F" w14:textId="77777777" w:rsidTr="00900AA5">
        <w:tc>
          <w:tcPr>
            <w:tcW w:w="0" w:type="auto"/>
            <w:shd w:val="clear" w:color="auto" w:fill="FFFFFF"/>
            <w:tcMar>
              <w:top w:w="150" w:type="dxa"/>
              <w:left w:w="0" w:type="dxa"/>
              <w:bottom w:w="150" w:type="dxa"/>
              <w:right w:w="240" w:type="dxa"/>
            </w:tcMar>
            <w:vAlign w:val="center"/>
            <w:hideMark/>
          </w:tcPr>
          <w:p w14:paraId="2C0C1B39"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(4-10)</w:t>
            </w:r>
          </w:p>
        </w:tc>
        <w:tc>
          <w:tcPr>
            <w:tcW w:w="5669" w:type="dxa"/>
            <w:shd w:val="clear" w:color="auto" w:fill="FFFFFF"/>
            <w:tcMar>
              <w:top w:w="150" w:type="dxa"/>
              <w:left w:w="240" w:type="dxa"/>
              <w:bottom w:w="150" w:type="dxa"/>
              <w:right w:w="240" w:type="dxa"/>
            </w:tcMar>
            <w:vAlign w:val="center"/>
            <w:hideMark/>
          </w:tcPr>
          <w:p w14:paraId="677D356B"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نتائج تحليل الانحدار لتأثير إدارة الموارد البشرية على الاحتفاظ</w:t>
            </w:r>
          </w:p>
        </w:tc>
        <w:tc>
          <w:tcPr>
            <w:tcW w:w="1039" w:type="dxa"/>
            <w:shd w:val="clear" w:color="auto" w:fill="FFFFFF"/>
            <w:tcMar>
              <w:top w:w="150" w:type="dxa"/>
              <w:left w:w="240" w:type="dxa"/>
              <w:bottom w:w="150" w:type="dxa"/>
              <w:right w:w="0" w:type="dxa"/>
            </w:tcMar>
            <w:vAlign w:val="center"/>
            <w:hideMark/>
          </w:tcPr>
          <w:p w14:paraId="4977304C"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74</w:t>
            </w:r>
          </w:p>
        </w:tc>
      </w:tr>
      <w:tr w:rsidR="00900AA5" w14:paraId="4BF7FEAB" w14:textId="77777777" w:rsidTr="00900AA5">
        <w:tc>
          <w:tcPr>
            <w:tcW w:w="0" w:type="auto"/>
            <w:shd w:val="clear" w:color="auto" w:fill="FFFFFF"/>
            <w:tcMar>
              <w:top w:w="150" w:type="dxa"/>
              <w:left w:w="0" w:type="dxa"/>
              <w:bottom w:w="150" w:type="dxa"/>
              <w:right w:w="240" w:type="dxa"/>
            </w:tcMar>
            <w:vAlign w:val="center"/>
            <w:hideMark/>
          </w:tcPr>
          <w:p w14:paraId="0ABC7268"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(4-11)</w:t>
            </w:r>
          </w:p>
        </w:tc>
        <w:tc>
          <w:tcPr>
            <w:tcW w:w="5669" w:type="dxa"/>
            <w:shd w:val="clear" w:color="auto" w:fill="FFFFFF"/>
            <w:tcMar>
              <w:top w:w="150" w:type="dxa"/>
              <w:left w:w="240" w:type="dxa"/>
              <w:bottom w:w="150" w:type="dxa"/>
              <w:right w:w="240" w:type="dxa"/>
            </w:tcMar>
            <w:vAlign w:val="center"/>
            <w:hideMark/>
          </w:tcPr>
          <w:p w14:paraId="7A7DC04B"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نتائج تحليل الانحدار لتأثير أبعاد الموارد البشرية على الاحتفاظ</w:t>
            </w:r>
          </w:p>
        </w:tc>
        <w:tc>
          <w:tcPr>
            <w:tcW w:w="1039" w:type="dxa"/>
            <w:shd w:val="clear" w:color="auto" w:fill="FFFFFF"/>
            <w:tcMar>
              <w:top w:w="150" w:type="dxa"/>
              <w:left w:w="240" w:type="dxa"/>
              <w:bottom w:w="150" w:type="dxa"/>
              <w:right w:w="0" w:type="dxa"/>
            </w:tcMar>
            <w:vAlign w:val="center"/>
            <w:hideMark/>
          </w:tcPr>
          <w:p w14:paraId="4546E625"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75</w:t>
            </w:r>
          </w:p>
        </w:tc>
      </w:tr>
      <w:tr w:rsidR="00900AA5" w14:paraId="2523C492" w14:textId="77777777" w:rsidTr="00900AA5">
        <w:tc>
          <w:tcPr>
            <w:tcW w:w="0" w:type="auto"/>
            <w:shd w:val="clear" w:color="auto" w:fill="FFFFFF"/>
            <w:tcMar>
              <w:top w:w="150" w:type="dxa"/>
              <w:left w:w="0" w:type="dxa"/>
              <w:bottom w:w="150" w:type="dxa"/>
              <w:right w:w="240" w:type="dxa"/>
            </w:tcMar>
            <w:vAlign w:val="center"/>
            <w:hideMark/>
          </w:tcPr>
          <w:p w14:paraId="03F1CF2D"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(4-12)</w:t>
            </w:r>
          </w:p>
        </w:tc>
        <w:tc>
          <w:tcPr>
            <w:tcW w:w="5669" w:type="dxa"/>
            <w:shd w:val="clear" w:color="auto" w:fill="FFFFFF"/>
            <w:tcMar>
              <w:top w:w="150" w:type="dxa"/>
              <w:left w:w="240" w:type="dxa"/>
              <w:bottom w:w="150" w:type="dxa"/>
              <w:right w:w="240" w:type="dxa"/>
            </w:tcMar>
            <w:vAlign w:val="center"/>
            <w:hideMark/>
          </w:tcPr>
          <w:p w14:paraId="6EA597C9"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نتائج تحليل الانحدار لتأثير الاحتفاظ على جودة الرعاية</w:t>
            </w:r>
          </w:p>
        </w:tc>
        <w:tc>
          <w:tcPr>
            <w:tcW w:w="1039" w:type="dxa"/>
            <w:shd w:val="clear" w:color="auto" w:fill="FFFFFF"/>
            <w:tcMar>
              <w:top w:w="150" w:type="dxa"/>
              <w:left w:w="240" w:type="dxa"/>
              <w:bottom w:w="150" w:type="dxa"/>
              <w:right w:w="0" w:type="dxa"/>
            </w:tcMar>
            <w:vAlign w:val="center"/>
            <w:hideMark/>
          </w:tcPr>
          <w:p w14:paraId="61BCDAD3"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76</w:t>
            </w:r>
          </w:p>
        </w:tc>
      </w:tr>
      <w:tr w:rsidR="00900AA5" w14:paraId="2D6FF5FA" w14:textId="77777777" w:rsidTr="00900AA5">
        <w:tc>
          <w:tcPr>
            <w:tcW w:w="0" w:type="auto"/>
            <w:shd w:val="clear" w:color="auto" w:fill="FFFFFF"/>
            <w:tcMar>
              <w:top w:w="150" w:type="dxa"/>
              <w:left w:w="0" w:type="dxa"/>
              <w:bottom w:w="150" w:type="dxa"/>
              <w:right w:w="240" w:type="dxa"/>
            </w:tcMar>
            <w:vAlign w:val="center"/>
            <w:hideMark/>
          </w:tcPr>
          <w:p w14:paraId="6838C870"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(5-1)</w:t>
            </w:r>
          </w:p>
        </w:tc>
        <w:tc>
          <w:tcPr>
            <w:tcW w:w="5669" w:type="dxa"/>
            <w:shd w:val="clear" w:color="auto" w:fill="FFFFFF"/>
            <w:tcMar>
              <w:top w:w="150" w:type="dxa"/>
              <w:left w:w="240" w:type="dxa"/>
              <w:bottom w:w="150" w:type="dxa"/>
              <w:right w:w="240" w:type="dxa"/>
            </w:tcMar>
            <w:vAlign w:val="center"/>
            <w:hideMark/>
          </w:tcPr>
          <w:p w14:paraId="656E61C1" w14:textId="77777777" w:rsidR="00900AA5" w:rsidRDefault="00900AA5" w:rsidP="00900AA5">
            <w:pPr>
              <w:spacing w:line="375" w:lineRule="atLeast"/>
              <w:jc w:val="right"/>
              <w:rPr>
                <w:rFonts w:ascii="Segoe UI" w:hAnsi="Segoe UI" w:cs="Segoe UI"/>
                <w:color w:val="0F1115"/>
                <w:sz w:val="23"/>
                <w:szCs w:val="23"/>
              </w:rPr>
            </w:pPr>
            <w:r>
              <w:rPr>
                <w:rFonts w:ascii="Segoe UI" w:hAnsi="Segoe UI"/>
                <w:color w:val="0F1115"/>
                <w:sz w:val="23"/>
                <w:szCs w:val="23"/>
                <w:rtl/>
              </w:rPr>
              <w:t>ملخص التوصيات حسب الأولوية</w:t>
            </w:r>
          </w:p>
        </w:tc>
        <w:tc>
          <w:tcPr>
            <w:tcW w:w="1039" w:type="dxa"/>
            <w:shd w:val="clear" w:color="auto" w:fill="FFFFFF"/>
            <w:tcMar>
              <w:top w:w="150" w:type="dxa"/>
              <w:left w:w="240" w:type="dxa"/>
              <w:bottom w:w="150" w:type="dxa"/>
              <w:right w:w="0" w:type="dxa"/>
            </w:tcMar>
            <w:vAlign w:val="center"/>
            <w:hideMark/>
          </w:tcPr>
          <w:p w14:paraId="56A9069F" w14:textId="77777777" w:rsidR="00900AA5" w:rsidRDefault="00900AA5" w:rsidP="00900AA5">
            <w:pPr>
              <w:spacing w:line="375" w:lineRule="atLeast"/>
              <w:jc w:val="center"/>
              <w:rPr>
                <w:rFonts w:ascii="Segoe UI" w:hAnsi="Segoe UI" w:cs="Segoe UI"/>
                <w:color w:val="0F1115"/>
                <w:sz w:val="23"/>
                <w:szCs w:val="23"/>
              </w:rPr>
            </w:pPr>
            <w:r>
              <w:rPr>
                <w:rFonts w:ascii="Segoe UI" w:hAnsi="Segoe UI" w:cs="Segoe UI"/>
                <w:color w:val="0F1115"/>
                <w:sz w:val="23"/>
                <w:szCs w:val="23"/>
              </w:rPr>
              <w:t>88</w:t>
            </w:r>
          </w:p>
        </w:tc>
      </w:tr>
    </w:tbl>
    <w:p w14:paraId="3A504109" w14:textId="77777777" w:rsidR="009125CE" w:rsidRDefault="009125CE" w:rsidP="009125CE">
      <w:pPr>
        <w:rPr>
          <w:rFonts w:ascii="Sakkal Majalla" w:hAnsi="Sakkal Majalla" w:cs="Sakkal Majalla"/>
          <w:sz w:val="28"/>
          <w:szCs w:val="28"/>
          <w:u w:val="single"/>
          <w:rtl/>
          <w:lang w:bidi="ar-EG"/>
        </w:rPr>
      </w:pPr>
    </w:p>
    <w:p w14:paraId="104E3D5E" w14:textId="77777777" w:rsidR="00900AA5" w:rsidRDefault="00900AA5" w:rsidP="009125CE">
      <w:pPr>
        <w:rPr>
          <w:rFonts w:ascii="Sakkal Majalla" w:hAnsi="Sakkal Majalla" w:cs="Sakkal Majalla"/>
          <w:sz w:val="28"/>
          <w:szCs w:val="28"/>
          <w:u w:val="single"/>
          <w:rtl/>
          <w:lang w:bidi="ar-EG"/>
        </w:rPr>
      </w:pPr>
    </w:p>
    <w:p w14:paraId="0B1508F4" w14:textId="77777777" w:rsidR="00A815A3" w:rsidRDefault="00A815A3" w:rsidP="009125CE">
      <w:pPr>
        <w:rPr>
          <w:rFonts w:ascii="Sakkal Majalla" w:hAnsi="Sakkal Majalla" w:cs="Sakkal Majalla"/>
          <w:sz w:val="28"/>
          <w:szCs w:val="28"/>
          <w:u w:val="single"/>
          <w:rtl/>
          <w:lang w:bidi="ar-EG"/>
        </w:rPr>
      </w:pPr>
    </w:p>
    <w:p w14:paraId="00C4B231" w14:textId="77777777" w:rsidR="00A815A3" w:rsidRDefault="00A815A3" w:rsidP="009125CE">
      <w:pPr>
        <w:rPr>
          <w:rFonts w:ascii="Sakkal Majalla" w:hAnsi="Sakkal Majalla" w:cs="Sakkal Majalla"/>
          <w:sz w:val="28"/>
          <w:szCs w:val="28"/>
          <w:u w:val="single"/>
          <w:rtl/>
          <w:lang w:bidi="ar-EG"/>
        </w:rPr>
      </w:pPr>
    </w:p>
    <w:p w14:paraId="5741615F" w14:textId="18808584" w:rsidR="00D52480" w:rsidRDefault="00D52480" w:rsidP="00900AA5">
      <w:pPr>
        <w:jc w:val="right"/>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606"/>
        <w:gridCol w:w="5669"/>
        <w:gridCol w:w="1713"/>
      </w:tblGrid>
      <w:tr w:rsidR="00A815A3" w14:paraId="5E51F52A" w14:textId="77777777" w:rsidTr="00A815A3">
        <w:trPr>
          <w:tblHeader/>
        </w:trPr>
        <w:tc>
          <w:tcPr>
            <w:tcW w:w="0" w:type="auto"/>
            <w:shd w:val="clear" w:color="auto" w:fill="FFFFFF"/>
            <w:tcMar>
              <w:top w:w="150" w:type="dxa"/>
              <w:left w:w="0" w:type="dxa"/>
              <w:bottom w:w="150" w:type="dxa"/>
              <w:right w:w="240" w:type="dxa"/>
            </w:tcMar>
            <w:vAlign w:val="center"/>
            <w:hideMark/>
          </w:tcPr>
          <w:p w14:paraId="4AABC512"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olor w:val="0F1115"/>
                <w:sz w:val="23"/>
                <w:szCs w:val="23"/>
                <w:rtl/>
              </w:rPr>
              <w:t>رقم الشكل</w:t>
            </w:r>
          </w:p>
        </w:tc>
        <w:tc>
          <w:tcPr>
            <w:tcW w:w="5669" w:type="dxa"/>
            <w:shd w:val="clear" w:color="auto" w:fill="FFFFFF"/>
            <w:tcMar>
              <w:top w:w="150" w:type="dxa"/>
              <w:left w:w="240" w:type="dxa"/>
              <w:bottom w:w="150" w:type="dxa"/>
              <w:right w:w="240" w:type="dxa"/>
            </w:tcMar>
            <w:vAlign w:val="center"/>
            <w:hideMark/>
          </w:tcPr>
          <w:p w14:paraId="3AB42C5D"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olor w:val="0F1115"/>
                <w:sz w:val="23"/>
                <w:szCs w:val="23"/>
                <w:rtl/>
              </w:rPr>
              <w:t>عنوان الشكل</w:t>
            </w:r>
          </w:p>
        </w:tc>
        <w:tc>
          <w:tcPr>
            <w:tcW w:w="0" w:type="auto"/>
            <w:shd w:val="clear" w:color="auto" w:fill="FFFFFF"/>
            <w:tcMar>
              <w:top w:w="150" w:type="dxa"/>
              <w:left w:w="240" w:type="dxa"/>
              <w:bottom w:w="150" w:type="dxa"/>
              <w:right w:w="240" w:type="dxa"/>
            </w:tcMar>
            <w:vAlign w:val="center"/>
            <w:hideMark/>
          </w:tcPr>
          <w:p w14:paraId="2D16CA0C"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olor w:val="0F1115"/>
                <w:sz w:val="23"/>
                <w:szCs w:val="23"/>
                <w:rtl/>
              </w:rPr>
              <w:t>الصفحة</w:t>
            </w:r>
          </w:p>
        </w:tc>
      </w:tr>
      <w:tr w:rsidR="00A815A3" w14:paraId="76E3D59B" w14:textId="77777777" w:rsidTr="00A815A3">
        <w:tc>
          <w:tcPr>
            <w:tcW w:w="0" w:type="auto"/>
            <w:shd w:val="clear" w:color="auto" w:fill="FFFFFF"/>
            <w:tcMar>
              <w:top w:w="150" w:type="dxa"/>
              <w:left w:w="0" w:type="dxa"/>
              <w:bottom w:w="150" w:type="dxa"/>
              <w:right w:w="240" w:type="dxa"/>
            </w:tcMar>
            <w:vAlign w:val="center"/>
            <w:hideMark/>
          </w:tcPr>
          <w:p w14:paraId="09373F0D"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(2-1)</w:t>
            </w:r>
          </w:p>
        </w:tc>
        <w:tc>
          <w:tcPr>
            <w:tcW w:w="5669" w:type="dxa"/>
            <w:shd w:val="clear" w:color="auto" w:fill="FFFFFF"/>
            <w:tcMar>
              <w:top w:w="150" w:type="dxa"/>
              <w:left w:w="240" w:type="dxa"/>
              <w:bottom w:w="150" w:type="dxa"/>
              <w:right w:w="240" w:type="dxa"/>
            </w:tcMar>
            <w:vAlign w:val="center"/>
            <w:hideMark/>
          </w:tcPr>
          <w:p w14:paraId="277A93B1" w14:textId="77777777" w:rsidR="00A815A3" w:rsidRDefault="00A815A3" w:rsidP="00A815A3">
            <w:pPr>
              <w:spacing w:line="375" w:lineRule="atLeast"/>
              <w:jc w:val="right"/>
              <w:rPr>
                <w:rFonts w:ascii="Segoe UI" w:hAnsi="Segoe UI" w:cs="Segoe UI"/>
                <w:color w:val="0F1115"/>
                <w:sz w:val="23"/>
                <w:szCs w:val="23"/>
              </w:rPr>
            </w:pPr>
            <w:r>
              <w:rPr>
                <w:rFonts w:ascii="Segoe UI" w:hAnsi="Segoe UI"/>
                <w:color w:val="0F1115"/>
                <w:sz w:val="23"/>
                <w:szCs w:val="23"/>
                <w:rtl/>
              </w:rPr>
              <w:t>الإطار المفاهيمي المقترح للبحث</w:t>
            </w:r>
          </w:p>
        </w:tc>
        <w:tc>
          <w:tcPr>
            <w:tcW w:w="0" w:type="auto"/>
            <w:shd w:val="clear" w:color="auto" w:fill="FFFFFF"/>
            <w:tcMar>
              <w:top w:w="150" w:type="dxa"/>
              <w:left w:w="240" w:type="dxa"/>
              <w:bottom w:w="150" w:type="dxa"/>
              <w:right w:w="0" w:type="dxa"/>
            </w:tcMar>
            <w:vAlign w:val="center"/>
            <w:hideMark/>
          </w:tcPr>
          <w:p w14:paraId="2480A918"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49</w:t>
            </w:r>
          </w:p>
        </w:tc>
      </w:tr>
      <w:tr w:rsidR="00A815A3" w14:paraId="511BF3D9" w14:textId="77777777" w:rsidTr="00A815A3">
        <w:tc>
          <w:tcPr>
            <w:tcW w:w="0" w:type="auto"/>
            <w:shd w:val="clear" w:color="auto" w:fill="FFFFFF"/>
            <w:tcMar>
              <w:top w:w="150" w:type="dxa"/>
              <w:left w:w="0" w:type="dxa"/>
              <w:bottom w:w="150" w:type="dxa"/>
              <w:right w:w="240" w:type="dxa"/>
            </w:tcMar>
            <w:vAlign w:val="center"/>
            <w:hideMark/>
          </w:tcPr>
          <w:p w14:paraId="1D869DFC"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(4-1)</w:t>
            </w:r>
          </w:p>
        </w:tc>
        <w:tc>
          <w:tcPr>
            <w:tcW w:w="5669" w:type="dxa"/>
            <w:shd w:val="clear" w:color="auto" w:fill="FFFFFF"/>
            <w:tcMar>
              <w:top w:w="150" w:type="dxa"/>
              <w:left w:w="240" w:type="dxa"/>
              <w:bottom w:w="150" w:type="dxa"/>
              <w:right w:w="240" w:type="dxa"/>
            </w:tcMar>
            <w:vAlign w:val="center"/>
            <w:hideMark/>
          </w:tcPr>
          <w:p w14:paraId="50679DFE" w14:textId="77777777" w:rsidR="00A815A3" w:rsidRDefault="00A815A3" w:rsidP="00A815A3">
            <w:pPr>
              <w:spacing w:line="375" w:lineRule="atLeast"/>
              <w:jc w:val="right"/>
              <w:rPr>
                <w:rFonts w:ascii="Segoe UI" w:hAnsi="Segoe UI" w:cs="Segoe UI"/>
                <w:color w:val="0F1115"/>
                <w:sz w:val="23"/>
                <w:szCs w:val="23"/>
              </w:rPr>
            </w:pPr>
            <w:r>
              <w:rPr>
                <w:rFonts w:ascii="Segoe UI" w:hAnsi="Segoe UI"/>
                <w:color w:val="0F1115"/>
                <w:sz w:val="23"/>
                <w:szCs w:val="23"/>
                <w:rtl/>
              </w:rPr>
              <w:t>رسم بياني يوضح توزيع العينة حسب سنوات الخبرة</w:t>
            </w:r>
          </w:p>
        </w:tc>
        <w:tc>
          <w:tcPr>
            <w:tcW w:w="0" w:type="auto"/>
            <w:shd w:val="clear" w:color="auto" w:fill="FFFFFF"/>
            <w:tcMar>
              <w:top w:w="150" w:type="dxa"/>
              <w:left w:w="240" w:type="dxa"/>
              <w:bottom w:w="150" w:type="dxa"/>
              <w:right w:w="0" w:type="dxa"/>
            </w:tcMar>
            <w:vAlign w:val="center"/>
            <w:hideMark/>
          </w:tcPr>
          <w:p w14:paraId="3225041F"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64</w:t>
            </w:r>
          </w:p>
        </w:tc>
      </w:tr>
      <w:tr w:rsidR="00A815A3" w14:paraId="397DA69D" w14:textId="77777777" w:rsidTr="00A815A3">
        <w:tc>
          <w:tcPr>
            <w:tcW w:w="0" w:type="auto"/>
            <w:shd w:val="clear" w:color="auto" w:fill="FFFFFF"/>
            <w:tcMar>
              <w:top w:w="150" w:type="dxa"/>
              <w:left w:w="0" w:type="dxa"/>
              <w:bottom w:w="150" w:type="dxa"/>
              <w:right w:w="240" w:type="dxa"/>
            </w:tcMar>
            <w:vAlign w:val="center"/>
            <w:hideMark/>
          </w:tcPr>
          <w:p w14:paraId="3866BCD3"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(4-2)</w:t>
            </w:r>
          </w:p>
        </w:tc>
        <w:tc>
          <w:tcPr>
            <w:tcW w:w="5669" w:type="dxa"/>
            <w:shd w:val="clear" w:color="auto" w:fill="FFFFFF"/>
            <w:tcMar>
              <w:top w:w="150" w:type="dxa"/>
              <w:left w:w="240" w:type="dxa"/>
              <w:bottom w:w="150" w:type="dxa"/>
              <w:right w:w="240" w:type="dxa"/>
            </w:tcMar>
            <w:vAlign w:val="center"/>
            <w:hideMark/>
          </w:tcPr>
          <w:p w14:paraId="5866C131" w14:textId="77777777" w:rsidR="00A815A3" w:rsidRDefault="00A815A3" w:rsidP="00A815A3">
            <w:pPr>
              <w:spacing w:line="375" w:lineRule="atLeast"/>
              <w:jc w:val="right"/>
              <w:rPr>
                <w:rFonts w:ascii="Segoe UI" w:hAnsi="Segoe UI" w:cs="Segoe UI"/>
                <w:color w:val="0F1115"/>
                <w:sz w:val="23"/>
                <w:szCs w:val="23"/>
              </w:rPr>
            </w:pPr>
            <w:r>
              <w:rPr>
                <w:rFonts w:ascii="Segoe UI" w:hAnsi="Segoe UI"/>
                <w:color w:val="0F1115"/>
                <w:sz w:val="23"/>
                <w:szCs w:val="23"/>
                <w:rtl/>
              </w:rPr>
              <w:t>رسم بياني يوضح متوسطات ممارسات إدارة الموارد البشرية</w:t>
            </w:r>
          </w:p>
        </w:tc>
        <w:tc>
          <w:tcPr>
            <w:tcW w:w="0" w:type="auto"/>
            <w:shd w:val="clear" w:color="auto" w:fill="FFFFFF"/>
            <w:tcMar>
              <w:top w:w="150" w:type="dxa"/>
              <w:left w:w="240" w:type="dxa"/>
              <w:bottom w:w="150" w:type="dxa"/>
              <w:right w:w="0" w:type="dxa"/>
            </w:tcMar>
            <w:vAlign w:val="center"/>
            <w:hideMark/>
          </w:tcPr>
          <w:p w14:paraId="790E6D22"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67</w:t>
            </w:r>
          </w:p>
        </w:tc>
      </w:tr>
      <w:tr w:rsidR="00A815A3" w14:paraId="26B3E1F5" w14:textId="77777777" w:rsidTr="00A815A3">
        <w:tc>
          <w:tcPr>
            <w:tcW w:w="0" w:type="auto"/>
            <w:shd w:val="clear" w:color="auto" w:fill="FFFFFF"/>
            <w:tcMar>
              <w:top w:w="150" w:type="dxa"/>
              <w:left w:w="0" w:type="dxa"/>
              <w:bottom w:w="150" w:type="dxa"/>
              <w:right w:w="240" w:type="dxa"/>
            </w:tcMar>
            <w:vAlign w:val="center"/>
            <w:hideMark/>
          </w:tcPr>
          <w:p w14:paraId="246DB937"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(4-3)</w:t>
            </w:r>
          </w:p>
        </w:tc>
        <w:tc>
          <w:tcPr>
            <w:tcW w:w="5669" w:type="dxa"/>
            <w:shd w:val="clear" w:color="auto" w:fill="FFFFFF"/>
            <w:tcMar>
              <w:top w:w="150" w:type="dxa"/>
              <w:left w:w="240" w:type="dxa"/>
              <w:bottom w:w="150" w:type="dxa"/>
              <w:right w:w="240" w:type="dxa"/>
            </w:tcMar>
            <w:vAlign w:val="center"/>
            <w:hideMark/>
          </w:tcPr>
          <w:p w14:paraId="20674734" w14:textId="77777777" w:rsidR="00A815A3" w:rsidRDefault="00A815A3" w:rsidP="00A815A3">
            <w:pPr>
              <w:spacing w:line="375" w:lineRule="atLeast"/>
              <w:jc w:val="right"/>
              <w:rPr>
                <w:rFonts w:ascii="Segoe UI" w:hAnsi="Segoe UI" w:cs="Segoe UI"/>
                <w:color w:val="0F1115"/>
                <w:sz w:val="23"/>
                <w:szCs w:val="23"/>
              </w:rPr>
            </w:pPr>
            <w:r>
              <w:rPr>
                <w:rFonts w:ascii="Segoe UI" w:hAnsi="Segoe UI"/>
                <w:color w:val="0F1115"/>
                <w:sz w:val="23"/>
                <w:szCs w:val="23"/>
                <w:rtl/>
              </w:rPr>
              <w:t>رسم بياني يوضح متوسطات الاحتفاظ بالكادر الطبي</w:t>
            </w:r>
          </w:p>
        </w:tc>
        <w:tc>
          <w:tcPr>
            <w:tcW w:w="0" w:type="auto"/>
            <w:shd w:val="clear" w:color="auto" w:fill="FFFFFF"/>
            <w:tcMar>
              <w:top w:w="150" w:type="dxa"/>
              <w:left w:w="240" w:type="dxa"/>
              <w:bottom w:w="150" w:type="dxa"/>
              <w:right w:w="0" w:type="dxa"/>
            </w:tcMar>
            <w:vAlign w:val="center"/>
            <w:hideMark/>
          </w:tcPr>
          <w:p w14:paraId="35234FA9"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69</w:t>
            </w:r>
          </w:p>
        </w:tc>
      </w:tr>
      <w:tr w:rsidR="00A815A3" w14:paraId="7659DD2B" w14:textId="77777777" w:rsidTr="00A815A3">
        <w:tc>
          <w:tcPr>
            <w:tcW w:w="0" w:type="auto"/>
            <w:shd w:val="clear" w:color="auto" w:fill="FFFFFF"/>
            <w:tcMar>
              <w:top w:w="150" w:type="dxa"/>
              <w:left w:w="0" w:type="dxa"/>
              <w:bottom w:w="150" w:type="dxa"/>
              <w:right w:w="240" w:type="dxa"/>
            </w:tcMar>
            <w:vAlign w:val="center"/>
            <w:hideMark/>
          </w:tcPr>
          <w:p w14:paraId="5DF04C7E"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(4-4)</w:t>
            </w:r>
          </w:p>
        </w:tc>
        <w:tc>
          <w:tcPr>
            <w:tcW w:w="5669" w:type="dxa"/>
            <w:shd w:val="clear" w:color="auto" w:fill="FFFFFF"/>
            <w:tcMar>
              <w:top w:w="150" w:type="dxa"/>
              <w:left w:w="240" w:type="dxa"/>
              <w:bottom w:w="150" w:type="dxa"/>
              <w:right w:w="240" w:type="dxa"/>
            </w:tcMar>
            <w:vAlign w:val="center"/>
            <w:hideMark/>
          </w:tcPr>
          <w:p w14:paraId="66B36B77" w14:textId="77777777" w:rsidR="00A815A3" w:rsidRDefault="00A815A3" w:rsidP="00A815A3">
            <w:pPr>
              <w:spacing w:line="375" w:lineRule="atLeast"/>
              <w:jc w:val="right"/>
              <w:rPr>
                <w:rFonts w:ascii="Segoe UI" w:hAnsi="Segoe UI" w:cs="Segoe UI"/>
                <w:color w:val="0F1115"/>
                <w:sz w:val="23"/>
                <w:szCs w:val="23"/>
              </w:rPr>
            </w:pPr>
            <w:r>
              <w:rPr>
                <w:rFonts w:ascii="Segoe UI" w:hAnsi="Segoe UI"/>
                <w:color w:val="0F1115"/>
                <w:sz w:val="23"/>
                <w:szCs w:val="23"/>
                <w:rtl/>
              </w:rPr>
              <w:t>رسم بياني يوضح متوسطات جودة الرعاية الصحية</w:t>
            </w:r>
          </w:p>
        </w:tc>
        <w:tc>
          <w:tcPr>
            <w:tcW w:w="0" w:type="auto"/>
            <w:shd w:val="clear" w:color="auto" w:fill="FFFFFF"/>
            <w:tcMar>
              <w:top w:w="150" w:type="dxa"/>
              <w:left w:w="240" w:type="dxa"/>
              <w:bottom w:w="150" w:type="dxa"/>
              <w:right w:w="0" w:type="dxa"/>
            </w:tcMar>
            <w:vAlign w:val="center"/>
            <w:hideMark/>
          </w:tcPr>
          <w:p w14:paraId="0C2EB170" w14:textId="77777777" w:rsidR="00A815A3" w:rsidRDefault="00A815A3" w:rsidP="00A815A3">
            <w:pPr>
              <w:spacing w:line="375" w:lineRule="atLeast"/>
              <w:jc w:val="center"/>
              <w:rPr>
                <w:rFonts w:ascii="Segoe UI" w:hAnsi="Segoe UI" w:cs="Segoe UI"/>
                <w:color w:val="0F1115"/>
                <w:sz w:val="23"/>
                <w:szCs w:val="23"/>
              </w:rPr>
            </w:pPr>
            <w:r>
              <w:rPr>
                <w:rFonts w:ascii="Segoe UI" w:hAnsi="Segoe UI" w:cs="Segoe UI"/>
                <w:color w:val="0F1115"/>
                <w:sz w:val="23"/>
                <w:szCs w:val="23"/>
              </w:rPr>
              <w:t>71</w:t>
            </w:r>
          </w:p>
        </w:tc>
      </w:tr>
    </w:tbl>
    <w:p w14:paraId="040C94B2" w14:textId="77777777" w:rsidR="00900AA5" w:rsidRDefault="00900AA5" w:rsidP="00900AA5">
      <w:pPr>
        <w:jc w:val="right"/>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9B0F9A" w14:textId="4F251C16" w:rsidR="009125CE" w:rsidRPr="00F72CBD" w:rsidRDefault="00DF3BA8" w:rsidP="00DA179D">
      <w:pPr>
        <w:bidi/>
        <w:jc w:val="lowKashida"/>
        <w:rPr>
          <w:rFonts w:asciiTheme="majorBidi" w:hAnsiTheme="majorBidi" w:cstheme="majorBidi"/>
          <w:sz w:val="28"/>
          <w:szCs w:val="28"/>
          <w:u w:val="single"/>
          <w:rtl/>
          <w:lang w:bidi="ar-EG"/>
        </w:rPr>
      </w:pPr>
      <w:r w:rsidRPr="00F72CBD">
        <w:rPr>
          <w:rFonts w:asciiTheme="majorBidi" w:hAnsiTheme="majorBidi" w:cstheme="majorBidi"/>
          <w:sz w:val="28"/>
          <w:szCs w:val="28"/>
          <w:u w:val="single"/>
          <w:rtl/>
          <w:lang w:bidi="ar-EG"/>
        </w:rPr>
        <w:lastRenderedPageBreak/>
        <w:t xml:space="preserve"> المستخلص:</w:t>
      </w:r>
      <w:r w:rsidR="009125CE" w:rsidRPr="00F72CBD">
        <w:rPr>
          <w:rFonts w:asciiTheme="majorBidi" w:hAnsiTheme="majorBidi" w:cstheme="majorBidi"/>
          <w:sz w:val="28"/>
          <w:szCs w:val="28"/>
          <w:u w:val="single"/>
        </w:rPr>
        <w:t xml:space="preserve">Abstract </w:t>
      </w:r>
    </w:p>
    <w:p w14:paraId="2B107130"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Style w:val="Strong"/>
          <w:rFonts w:asciiTheme="majorBidi" w:hAnsiTheme="majorBidi" w:cstheme="majorBidi"/>
          <w:color w:val="0F1115"/>
          <w:sz w:val="28"/>
          <w:szCs w:val="28"/>
          <w:rtl/>
        </w:rPr>
        <w:t>المقدمة</w:t>
      </w:r>
      <w:r w:rsidRPr="00F72CBD">
        <w:rPr>
          <w:rStyle w:val="Strong"/>
          <w:rFonts w:asciiTheme="majorBidi" w:hAnsiTheme="majorBidi" w:cstheme="majorBidi"/>
          <w:color w:val="0F1115"/>
          <w:sz w:val="28"/>
          <w:szCs w:val="28"/>
        </w:rPr>
        <w:t>:</w:t>
      </w:r>
      <w:r w:rsidRPr="00F72CBD">
        <w:rPr>
          <w:rFonts w:asciiTheme="majorBidi" w:hAnsiTheme="majorBidi" w:cstheme="majorBidi"/>
          <w:color w:val="0F1115"/>
          <w:sz w:val="28"/>
          <w:szCs w:val="28"/>
        </w:rPr>
        <w:t> </w:t>
      </w:r>
      <w:r w:rsidRPr="00F72CBD">
        <w:rPr>
          <w:rFonts w:asciiTheme="majorBidi" w:hAnsiTheme="majorBidi" w:cstheme="majorBidi"/>
          <w:color w:val="0F1115"/>
          <w:sz w:val="28"/>
          <w:szCs w:val="28"/>
          <w:rtl/>
        </w:rPr>
        <w:t>يعد الكادر الطبي الركيزة الأساسية لتقديم خدمات الرعاية الصحية، ويشكل الاحتفاظ به تحدياً رئيسياً للنظم الصحية عالمياً. تهدف هذه المراجعة المنهجية إلى تجميع وتحليل الأدبيات المتعلقة بتأثير ممارسات إدارة الموارد البشرية على الاحتفاظ بالكادر الطبي في المستشفيات، وانعكاس ذلك على جودة الرعاية الصحية</w:t>
      </w:r>
      <w:r w:rsidRPr="00F72CBD">
        <w:rPr>
          <w:rFonts w:asciiTheme="majorBidi" w:hAnsiTheme="majorBidi" w:cstheme="majorBidi"/>
          <w:color w:val="0F1115"/>
          <w:sz w:val="28"/>
          <w:szCs w:val="28"/>
        </w:rPr>
        <w:t>.</w:t>
      </w:r>
    </w:p>
    <w:p w14:paraId="30D30D0A"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Style w:val="Strong"/>
          <w:rFonts w:asciiTheme="majorBidi" w:hAnsiTheme="majorBidi" w:cstheme="majorBidi"/>
          <w:color w:val="0F1115"/>
          <w:sz w:val="28"/>
          <w:szCs w:val="28"/>
          <w:rtl/>
        </w:rPr>
        <w:t>المنهجية</w:t>
      </w:r>
      <w:r w:rsidRPr="00F72CBD">
        <w:rPr>
          <w:rStyle w:val="Strong"/>
          <w:rFonts w:asciiTheme="majorBidi" w:hAnsiTheme="majorBidi" w:cstheme="majorBidi"/>
          <w:color w:val="0F1115"/>
          <w:sz w:val="28"/>
          <w:szCs w:val="28"/>
        </w:rPr>
        <w:t>:</w:t>
      </w:r>
      <w:r w:rsidRPr="00F72CBD">
        <w:rPr>
          <w:rFonts w:asciiTheme="majorBidi" w:hAnsiTheme="majorBidi" w:cstheme="majorBidi"/>
          <w:color w:val="0F1115"/>
          <w:sz w:val="28"/>
          <w:szCs w:val="28"/>
        </w:rPr>
        <w:t> </w:t>
      </w:r>
      <w:r w:rsidRPr="00F72CBD">
        <w:rPr>
          <w:rFonts w:asciiTheme="majorBidi" w:hAnsiTheme="majorBidi" w:cstheme="majorBidi"/>
          <w:color w:val="0F1115"/>
          <w:sz w:val="28"/>
          <w:szCs w:val="28"/>
          <w:rtl/>
        </w:rPr>
        <w:t>أجريت مراجعة منهجية وفقاً لإرشادات</w:t>
      </w:r>
      <w:r w:rsidRPr="00F72CBD">
        <w:rPr>
          <w:rFonts w:asciiTheme="majorBidi" w:hAnsiTheme="majorBidi" w:cstheme="majorBidi"/>
          <w:color w:val="0F1115"/>
          <w:sz w:val="28"/>
          <w:szCs w:val="28"/>
        </w:rPr>
        <w:t xml:space="preserve"> PRISMA (2020). </w:t>
      </w:r>
      <w:r w:rsidRPr="00F72CBD">
        <w:rPr>
          <w:rFonts w:asciiTheme="majorBidi" w:hAnsiTheme="majorBidi" w:cstheme="majorBidi"/>
          <w:color w:val="0F1115"/>
          <w:sz w:val="28"/>
          <w:szCs w:val="28"/>
          <w:rtl/>
        </w:rPr>
        <w:t>تم البحث في خمس قواعد بيانات إلكترونية</w:t>
      </w:r>
      <w:r w:rsidRPr="00F72CBD">
        <w:rPr>
          <w:rFonts w:asciiTheme="majorBidi" w:hAnsiTheme="majorBidi" w:cstheme="majorBidi"/>
          <w:color w:val="0F1115"/>
          <w:sz w:val="28"/>
          <w:szCs w:val="28"/>
        </w:rPr>
        <w:t xml:space="preserve"> (PubMed</w:t>
      </w:r>
      <w:r w:rsidRPr="00F72CBD">
        <w:rPr>
          <w:rFonts w:asciiTheme="majorBidi" w:hAnsiTheme="majorBidi" w:cstheme="majorBidi"/>
          <w:color w:val="0F1115"/>
          <w:sz w:val="28"/>
          <w:szCs w:val="28"/>
          <w:rtl/>
        </w:rPr>
        <w:t xml:space="preserve">، </w:t>
      </w:r>
      <w:r w:rsidRPr="00F72CBD">
        <w:rPr>
          <w:rFonts w:asciiTheme="majorBidi" w:hAnsiTheme="majorBidi" w:cstheme="majorBidi"/>
          <w:color w:val="0F1115"/>
          <w:sz w:val="28"/>
          <w:szCs w:val="28"/>
        </w:rPr>
        <w:t>Scopus</w:t>
      </w:r>
      <w:r w:rsidRPr="00F72CBD">
        <w:rPr>
          <w:rFonts w:asciiTheme="majorBidi" w:hAnsiTheme="majorBidi" w:cstheme="majorBidi"/>
          <w:color w:val="0F1115"/>
          <w:sz w:val="28"/>
          <w:szCs w:val="28"/>
          <w:rtl/>
        </w:rPr>
        <w:t xml:space="preserve">، </w:t>
      </w:r>
      <w:r w:rsidRPr="00F72CBD">
        <w:rPr>
          <w:rFonts w:asciiTheme="majorBidi" w:hAnsiTheme="majorBidi" w:cstheme="majorBidi"/>
          <w:color w:val="0F1115"/>
          <w:sz w:val="28"/>
          <w:szCs w:val="28"/>
        </w:rPr>
        <w:t>Web of Science</w:t>
      </w:r>
      <w:r w:rsidRPr="00F72CBD">
        <w:rPr>
          <w:rFonts w:asciiTheme="majorBidi" w:hAnsiTheme="majorBidi" w:cstheme="majorBidi"/>
          <w:color w:val="0F1115"/>
          <w:sz w:val="28"/>
          <w:szCs w:val="28"/>
          <w:rtl/>
        </w:rPr>
        <w:t xml:space="preserve">، </w:t>
      </w:r>
      <w:r w:rsidRPr="00F72CBD">
        <w:rPr>
          <w:rFonts w:asciiTheme="majorBidi" w:hAnsiTheme="majorBidi" w:cstheme="majorBidi"/>
          <w:color w:val="0F1115"/>
          <w:sz w:val="28"/>
          <w:szCs w:val="28"/>
        </w:rPr>
        <w:t>Google Scholar</w:t>
      </w:r>
      <w:r w:rsidRPr="00F72CBD">
        <w:rPr>
          <w:rFonts w:asciiTheme="majorBidi" w:hAnsiTheme="majorBidi" w:cstheme="majorBidi"/>
          <w:color w:val="0F1115"/>
          <w:sz w:val="28"/>
          <w:szCs w:val="28"/>
          <w:rtl/>
        </w:rPr>
        <w:t>، قاعدة معلومات دار المنظومة) للفترة من 2015 إلى 2026. شملت المراجعة الدراسات المنشورة باللغتين العربية والإنجليزية، والتي تناولت العلاقة بين ممارسات إدارة الموارد البشرية والاحتفاظ بالكادر الطبي في المستشفيات. تم تقييم جودة الدراسات باستخدام أدوات معيارية، وتم استخراج البيانات وتحليلها تحليلاً موضوعياً</w:t>
      </w:r>
      <w:r w:rsidRPr="00F72CBD">
        <w:rPr>
          <w:rFonts w:asciiTheme="majorBidi" w:hAnsiTheme="majorBidi" w:cstheme="majorBidi"/>
          <w:color w:val="0F1115"/>
          <w:sz w:val="28"/>
          <w:szCs w:val="28"/>
        </w:rPr>
        <w:t>.</w:t>
      </w:r>
    </w:p>
    <w:p w14:paraId="2BA800DE"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Style w:val="Strong"/>
          <w:rFonts w:asciiTheme="majorBidi" w:hAnsiTheme="majorBidi" w:cstheme="majorBidi"/>
          <w:color w:val="0F1115"/>
          <w:sz w:val="28"/>
          <w:szCs w:val="28"/>
          <w:rtl/>
        </w:rPr>
        <w:t>النتائج</w:t>
      </w:r>
      <w:r w:rsidRPr="00F72CBD">
        <w:rPr>
          <w:rStyle w:val="Strong"/>
          <w:rFonts w:asciiTheme="majorBidi" w:hAnsiTheme="majorBidi" w:cstheme="majorBidi"/>
          <w:color w:val="0F1115"/>
          <w:sz w:val="28"/>
          <w:szCs w:val="28"/>
        </w:rPr>
        <w:t>:</w:t>
      </w:r>
      <w:r w:rsidRPr="00F72CBD">
        <w:rPr>
          <w:rFonts w:asciiTheme="majorBidi" w:hAnsiTheme="majorBidi" w:cstheme="majorBidi"/>
          <w:color w:val="0F1115"/>
          <w:sz w:val="28"/>
          <w:szCs w:val="28"/>
        </w:rPr>
        <w:t> </w:t>
      </w:r>
      <w:r w:rsidRPr="00F72CBD">
        <w:rPr>
          <w:rFonts w:asciiTheme="majorBidi" w:hAnsiTheme="majorBidi" w:cstheme="majorBidi"/>
          <w:color w:val="0F1115"/>
          <w:sz w:val="28"/>
          <w:szCs w:val="28"/>
          <w:rtl/>
        </w:rPr>
        <w:t>أسفر البحث عن 847 دراسة، استوفى 42 دراسة معايير الاشتمال. أظهرت النتائج أن ممارسات إدارة الموارد البشرية الأكثر تأثيراً في الاحتفاظ بالكادر الطبي هي: نظام الحوافز (ذكره 38 دراسة بنسبة 90%)، والتطوير المهني والتدريب (35 دراسة، 83%)، والقيادة الداعمة (32 دراسة، 76%)، وبيئة العمل الآمنة (30 دراسة، 71%)، والتوازن بين العمل والحياة (28 دراسة، 67%). كما أكدت 36 دراسة (86%) وجود علاقة إيجابية بين الاحتفاظ بالكادر الطبي وجودة الرعاية الصحية، خاصة في مؤشرات سلامة المرضى واستمرارية الرعاية</w:t>
      </w:r>
      <w:r w:rsidRPr="00F72CBD">
        <w:rPr>
          <w:rFonts w:asciiTheme="majorBidi" w:hAnsiTheme="majorBidi" w:cstheme="majorBidi"/>
          <w:color w:val="0F1115"/>
          <w:sz w:val="28"/>
          <w:szCs w:val="28"/>
        </w:rPr>
        <w:t>.</w:t>
      </w:r>
    </w:p>
    <w:p w14:paraId="6735FC05"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Style w:val="Strong"/>
          <w:rFonts w:asciiTheme="majorBidi" w:hAnsiTheme="majorBidi" w:cstheme="majorBidi"/>
          <w:color w:val="0F1115"/>
          <w:sz w:val="28"/>
          <w:szCs w:val="28"/>
          <w:rtl/>
        </w:rPr>
        <w:t>الاستنتاجات</w:t>
      </w:r>
      <w:r w:rsidRPr="00F72CBD">
        <w:rPr>
          <w:rStyle w:val="Strong"/>
          <w:rFonts w:asciiTheme="majorBidi" w:hAnsiTheme="majorBidi" w:cstheme="majorBidi"/>
          <w:color w:val="0F1115"/>
          <w:sz w:val="28"/>
          <w:szCs w:val="28"/>
        </w:rPr>
        <w:t>:</w:t>
      </w:r>
      <w:r w:rsidRPr="00F72CBD">
        <w:rPr>
          <w:rFonts w:asciiTheme="majorBidi" w:hAnsiTheme="majorBidi" w:cstheme="majorBidi"/>
          <w:color w:val="0F1115"/>
          <w:sz w:val="28"/>
          <w:szCs w:val="28"/>
        </w:rPr>
        <w:t> </w:t>
      </w:r>
      <w:r w:rsidRPr="00F72CBD">
        <w:rPr>
          <w:rFonts w:asciiTheme="majorBidi" w:hAnsiTheme="majorBidi" w:cstheme="majorBidi"/>
          <w:color w:val="0F1115"/>
          <w:sz w:val="28"/>
          <w:szCs w:val="28"/>
          <w:rtl/>
        </w:rPr>
        <w:t>تشير الأدلة المجمعة إلى أن ممارسات إدارة الموارد البشرية الفعالة تلعب دوراً حاسماً في الاحتفاظ بالكادر الطبي، وأن استقرار الكوادر ينعكس إيجاباً على جودة الرعاية الصحية. توصي المراجعة بتبني استراتيجيات متكاملة للموارد البشرية تركز على الحوافز العادلة، والتطوير المهني المستمر، وتعزيز القيادة الداعمة</w:t>
      </w:r>
      <w:r w:rsidRPr="00F72CBD">
        <w:rPr>
          <w:rFonts w:asciiTheme="majorBidi" w:hAnsiTheme="majorBidi" w:cstheme="majorBidi"/>
          <w:color w:val="0F1115"/>
          <w:sz w:val="28"/>
          <w:szCs w:val="28"/>
        </w:rPr>
        <w:t>.</w:t>
      </w:r>
    </w:p>
    <w:p w14:paraId="1D122E93"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Style w:val="Strong"/>
          <w:rFonts w:asciiTheme="majorBidi" w:hAnsiTheme="majorBidi" w:cstheme="majorBidi"/>
          <w:color w:val="0F1115"/>
          <w:sz w:val="28"/>
          <w:szCs w:val="28"/>
          <w:rtl/>
        </w:rPr>
        <w:t>الكلمات المفتاحية</w:t>
      </w:r>
      <w:r w:rsidRPr="00F72CBD">
        <w:rPr>
          <w:rStyle w:val="Strong"/>
          <w:rFonts w:asciiTheme="majorBidi" w:hAnsiTheme="majorBidi" w:cstheme="majorBidi"/>
          <w:color w:val="0F1115"/>
          <w:sz w:val="28"/>
          <w:szCs w:val="28"/>
        </w:rPr>
        <w:t>:</w:t>
      </w:r>
      <w:r w:rsidRPr="00F72CBD">
        <w:rPr>
          <w:rFonts w:asciiTheme="majorBidi" w:hAnsiTheme="majorBidi" w:cstheme="majorBidi"/>
          <w:color w:val="0F1115"/>
          <w:sz w:val="28"/>
          <w:szCs w:val="28"/>
        </w:rPr>
        <w:t> </w:t>
      </w:r>
      <w:r w:rsidRPr="00F72CBD">
        <w:rPr>
          <w:rFonts w:asciiTheme="majorBidi" w:hAnsiTheme="majorBidi" w:cstheme="majorBidi"/>
          <w:color w:val="0F1115"/>
          <w:sz w:val="28"/>
          <w:szCs w:val="28"/>
          <w:rtl/>
        </w:rPr>
        <w:t>مراجعة منهجية، إدارة الموارد البشرية، الاحتفاظ بالكادر الطبي، جودة الرعاية الصحية، المستشفيات</w:t>
      </w:r>
      <w:r w:rsidRPr="00F72CBD">
        <w:rPr>
          <w:rFonts w:asciiTheme="majorBidi" w:hAnsiTheme="majorBidi" w:cstheme="majorBidi"/>
          <w:color w:val="0F1115"/>
          <w:sz w:val="28"/>
          <w:szCs w:val="28"/>
        </w:rPr>
        <w:t>.</w:t>
      </w:r>
    </w:p>
    <w:p w14:paraId="5D918050" w14:textId="77777777" w:rsidR="00DA179D" w:rsidRDefault="00DA179D" w:rsidP="00DA179D"/>
    <w:p w14:paraId="09DD2BFA" w14:textId="77777777" w:rsidR="00DF3BA8" w:rsidRDefault="00DF3BA8" w:rsidP="00DF3BA8"/>
    <w:p w14:paraId="4334AB9A" w14:textId="77777777" w:rsidR="00DF3BA8" w:rsidRDefault="00DF3BA8" w:rsidP="00DF3BA8">
      <w:pPr>
        <w:jc w:val="right"/>
        <w:rPr>
          <w:rFonts w:ascii="Sakkal Majalla" w:hAnsi="Sakkal Majalla" w:cs="Sakkal Majalla"/>
          <w:sz w:val="28"/>
          <w:szCs w:val="28"/>
          <w:u w:val="single"/>
          <w:lang w:bidi="ar-EG"/>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638E8F0A" w14:textId="77777777" w:rsidR="005A3C0D" w:rsidRDefault="005A3C0D" w:rsidP="009125CE">
      <w:pPr>
        <w:rPr>
          <w:rFonts w:ascii="Sakkal Majalla" w:hAnsi="Sakkal Majalla" w:cs="Sakkal Majalla"/>
          <w:sz w:val="28"/>
          <w:szCs w:val="28"/>
          <w:u w:val="single"/>
          <w:rtl/>
        </w:rPr>
      </w:pPr>
    </w:p>
    <w:p w14:paraId="11FED021" w14:textId="77777777" w:rsidR="00F72CBD" w:rsidRDefault="00F72CBD" w:rsidP="009125CE">
      <w:pPr>
        <w:rPr>
          <w:rFonts w:ascii="Sakkal Majalla" w:hAnsi="Sakkal Majalla" w:cs="Sakkal Majalla"/>
          <w:sz w:val="28"/>
          <w:szCs w:val="28"/>
          <w:u w:val="single"/>
          <w:rtl/>
        </w:rPr>
      </w:pPr>
    </w:p>
    <w:p w14:paraId="30C0F971" w14:textId="77777777" w:rsidR="005A3C0D" w:rsidRDefault="005A3C0D" w:rsidP="009125CE">
      <w:pPr>
        <w:rPr>
          <w:rFonts w:ascii="Sakkal Majalla" w:hAnsi="Sakkal Majalla" w:cs="Sakkal Majalla"/>
          <w:sz w:val="28"/>
          <w:szCs w:val="28"/>
          <w:u w:val="single"/>
          <w:rtl/>
        </w:rPr>
      </w:pPr>
    </w:p>
    <w:p w14:paraId="66EC66CB" w14:textId="77777777" w:rsidR="005A3C0D" w:rsidRDefault="005A3C0D" w:rsidP="009125CE">
      <w:pPr>
        <w:rPr>
          <w:rFonts w:ascii="Sakkal Majalla" w:hAnsi="Sakkal Majalla" w:cs="Sakkal Majalla"/>
          <w:sz w:val="28"/>
          <w:szCs w:val="28"/>
          <w:u w:val="single"/>
          <w:rtl/>
        </w:rPr>
      </w:pPr>
    </w:p>
    <w:p w14:paraId="0718ECB0" w14:textId="77777777" w:rsidR="005A3C0D" w:rsidRDefault="005A3C0D" w:rsidP="009125CE">
      <w:pPr>
        <w:rPr>
          <w:rFonts w:ascii="Sakkal Majalla" w:hAnsi="Sakkal Majalla" w:cs="Sakkal Majalla"/>
          <w:sz w:val="28"/>
          <w:szCs w:val="28"/>
          <w:u w:val="single"/>
          <w:rtl/>
        </w:rPr>
      </w:pPr>
    </w:p>
    <w:p w14:paraId="51A8EA48" w14:textId="77777777" w:rsidR="005A3C0D" w:rsidRDefault="005A3C0D"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6E6D66F7" w14:textId="77777777" w:rsidR="00F72CBD" w:rsidRDefault="00F72CBD"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4461C6AF" w14:textId="77777777" w:rsidR="00F72CBD" w:rsidRDefault="00F72CBD" w:rsidP="00F72CBD">
      <w:pPr>
        <w:bidi/>
        <w:rPr>
          <w:rFonts w:ascii="Sakkal Majalla" w:hAnsi="Sakkal Majalla" w:cs="Sakkal Majalla"/>
          <w:sz w:val="28"/>
          <w:szCs w:val="28"/>
          <w:u w:val="single"/>
          <w:rtl/>
        </w:rPr>
      </w:pPr>
    </w:p>
    <w:p w14:paraId="44DB923D" w14:textId="56F74967" w:rsidR="009125CE" w:rsidRPr="00F72CBD" w:rsidRDefault="00F72CBD" w:rsidP="00F72CBD">
      <w:pPr>
        <w:bidi/>
        <w:rPr>
          <w:rFonts w:asciiTheme="majorBidi" w:hAnsiTheme="majorBidi" w:cstheme="majorBidi"/>
          <w:sz w:val="28"/>
          <w:szCs w:val="28"/>
          <w:u w:val="single"/>
          <w:rtl/>
        </w:rPr>
      </w:pPr>
      <w:r>
        <w:rPr>
          <w:rFonts w:asciiTheme="majorBidi" w:hAnsiTheme="majorBidi" w:cstheme="majorBidi" w:hint="cs"/>
          <w:sz w:val="28"/>
          <w:szCs w:val="28"/>
          <w:u w:val="single"/>
          <w:rtl/>
        </w:rPr>
        <w:t xml:space="preserve">١.١. </w:t>
      </w:r>
      <w:r w:rsidR="009125CE" w:rsidRPr="00F72CBD">
        <w:rPr>
          <w:rFonts w:asciiTheme="majorBidi" w:hAnsiTheme="majorBidi" w:cstheme="majorBidi"/>
          <w:sz w:val="28"/>
          <w:szCs w:val="28"/>
          <w:u w:val="single"/>
          <w:rtl/>
        </w:rPr>
        <w:t>المقدمة:</w:t>
      </w:r>
    </w:p>
    <w:p w14:paraId="43FCA2B5" w14:textId="23016B29"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تُعد الموارد البشرية حجر الزاوية في أي منظ</w:t>
      </w:r>
      <w:r w:rsidR="00F72CBD">
        <w:rPr>
          <w:rFonts w:asciiTheme="majorBidi" w:hAnsiTheme="majorBidi" w:cstheme="majorBidi" w:hint="cs"/>
          <w:color w:val="0F1115"/>
          <w:sz w:val="28"/>
          <w:szCs w:val="28"/>
          <w:rtl/>
        </w:rPr>
        <w:t>و</w:t>
      </w:r>
      <w:r w:rsidRPr="00F72CBD">
        <w:rPr>
          <w:rFonts w:asciiTheme="majorBidi" w:hAnsiTheme="majorBidi" w:cstheme="majorBidi"/>
          <w:color w:val="0F1115"/>
          <w:sz w:val="28"/>
          <w:szCs w:val="28"/>
          <w:rtl/>
        </w:rPr>
        <w:t xml:space="preserve">مة، وتزداد أهميتها في القطاع الصحي حيث تتوقف حياة المرضى وسلامتهم على كفاءة </w:t>
      </w:r>
      <w:r w:rsidR="00F72CBD">
        <w:rPr>
          <w:rFonts w:asciiTheme="majorBidi" w:hAnsiTheme="majorBidi" w:cstheme="majorBidi" w:hint="cs"/>
          <w:color w:val="0F1115"/>
          <w:sz w:val="28"/>
          <w:szCs w:val="28"/>
          <w:rtl/>
        </w:rPr>
        <w:t>ال</w:t>
      </w:r>
      <w:r w:rsidRPr="00F72CBD">
        <w:rPr>
          <w:rFonts w:asciiTheme="majorBidi" w:hAnsiTheme="majorBidi" w:cstheme="majorBidi"/>
          <w:color w:val="0F1115"/>
          <w:sz w:val="28"/>
          <w:szCs w:val="28"/>
          <w:rtl/>
        </w:rPr>
        <w:t xml:space="preserve">أداء </w:t>
      </w:r>
      <w:r w:rsidR="00F72CBD">
        <w:rPr>
          <w:rFonts w:asciiTheme="majorBidi" w:hAnsiTheme="majorBidi" w:cstheme="majorBidi" w:hint="cs"/>
          <w:color w:val="0F1115"/>
          <w:sz w:val="28"/>
          <w:szCs w:val="28"/>
          <w:rtl/>
        </w:rPr>
        <w:t>ل</w:t>
      </w:r>
      <w:r w:rsidRPr="00F72CBD">
        <w:rPr>
          <w:rFonts w:asciiTheme="majorBidi" w:hAnsiTheme="majorBidi" w:cstheme="majorBidi"/>
          <w:color w:val="0F1115"/>
          <w:sz w:val="28"/>
          <w:szCs w:val="28"/>
          <w:rtl/>
        </w:rPr>
        <w:t>لكوادر الطبية</w:t>
      </w:r>
      <w:r w:rsidR="00F72CBD">
        <w:rPr>
          <w:rFonts w:asciiTheme="majorBidi" w:hAnsiTheme="majorBidi" w:cstheme="majorBidi" w:hint="cs"/>
          <w:color w:val="0F1115"/>
          <w:sz w:val="28"/>
          <w:szCs w:val="28"/>
          <w:rtl/>
        </w:rPr>
        <w:t xml:space="preserve"> العاملة</w:t>
      </w:r>
      <w:r w:rsidRPr="00F72CBD">
        <w:rPr>
          <w:rFonts w:asciiTheme="majorBidi" w:hAnsiTheme="majorBidi" w:cstheme="majorBidi"/>
          <w:color w:val="0F1115"/>
          <w:sz w:val="28"/>
          <w:szCs w:val="28"/>
          <w:rtl/>
        </w:rPr>
        <w:t>. فالمستشفيات ليست مجرد مباني وتجهيزات</w:t>
      </w:r>
      <w:r w:rsidR="00F72CBD">
        <w:rPr>
          <w:rFonts w:asciiTheme="majorBidi" w:hAnsiTheme="majorBidi" w:cstheme="majorBidi" w:hint="cs"/>
          <w:color w:val="0F1115"/>
          <w:sz w:val="28"/>
          <w:szCs w:val="28"/>
          <w:rtl/>
        </w:rPr>
        <w:t xml:space="preserve"> كبنية تحتية فقط</w:t>
      </w:r>
      <w:r w:rsidRPr="00F72CBD">
        <w:rPr>
          <w:rFonts w:asciiTheme="majorBidi" w:hAnsiTheme="majorBidi" w:cstheme="majorBidi"/>
          <w:color w:val="0F1115"/>
          <w:sz w:val="28"/>
          <w:szCs w:val="28"/>
          <w:rtl/>
        </w:rPr>
        <w:t>، بل هي في المقام الأول كوادر بشرية مؤهلة تقدم الخدمات العلاجية والرعاية المستمرة. وقد أشارت منظمة الصحة العالمية</w:t>
      </w:r>
      <w:r w:rsidRPr="00F72CBD">
        <w:rPr>
          <w:rFonts w:asciiTheme="majorBidi" w:hAnsiTheme="majorBidi" w:cstheme="majorBidi"/>
          <w:color w:val="0F1115"/>
          <w:sz w:val="28"/>
          <w:szCs w:val="28"/>
        </w:rPr>
        <w:t xml:space="preserve"> (WHO, 2020) </w:t>
      </w:r>
      <w:r w:rsidRPr="00F72CBD">
        <w:rPr>
          <w:rFonts w:asciiTheme="majorBidi" w:hAnsiTheme="majorBidi" w:cstheme="majorBidi"/>
          <w:color w:val="0F1115"/>
          <w:sz w:val="28"/>
          <w:szCs w:val="28"/>
          <w:rtl/>
        </w:rPr>
        <w:t xml:space="preserve">إلى أن نقص الكوادر الصحية يعد أحد أكبر التحديات التي تواجه النظم الصحية في القرن </w:t>
      </w:r>
      <w:r w:rsidR="00F72CBD">
        <w:rPr>
          <w:rFonts w:asciiTheme="majorBidi" w:hAnsiTheme="majorBidi" w:cstheme="majorBidi" w:hint="cs"/>
          <w:color w:val="0F1115"/>
          <w:sz w:val="28"/>
          <w:szCs w:val="28"/>
          <w:rtl/>
        </w:rPr>
        <w:t>الواحد</w:t>
      </w:r>
      <w:r w:rsidRPr="00F72CBD">
        <w:rPr>
          <w:rFonts w:asciiTheme="majorBidi" w:hAnsiTheme="majorBidi" w:cstheme="majorBidi"/>
          <w:color w:val="0F1115"/>
          <w:sz w:val="28"/>
          <w:szCs w:val="28"/>
          <w:rtl/>
        </w:rPr>
        <w:t xml:space="preserve"> والعشر</w:t>
      </w:r>
      <w:r w:rsidR="00F72CBD">
        <w:rPr>
          <w:rFonts w:asciiTheme="majorBidi" w:hAnsiTheme="majorBidi" w:cstheme="majorBidi" w:hint="cs"/>
          <w:color w:val="0F1115"/>
          <w:sz w:val="28"/>
          <w:szCs w:val="28"/>
          <w:rtl/>
        </w:rPr>
        <w:t>و</w:t>
      </w:r>
      <w:r w:rsidRPr="00F72CBD">
        <w:rPr>
          <w:rFonts w:asciiTheme="majorBidi" w:hAnsiTheme="majorBidi" w:cstheme="majorBidi"/>
          <w:color w:val="0F1115"/>
          <w:sz w:val="28"/>
          <w:szCs w:val="28"/>
          <w:rtl/>
        </w:rPr>
        <w:t>ن، حيث تشير التقديرات إلى وجود عجز عالمي يبلغ حوالي 18 مليون عامل صحي بحلول عام 2030، لا سيما في البلدان المنخفضة والمتوسطة الدخل</w:t>
      </w:r>
      <w:r w:rsidRPr="00F72CBD">
        <w:rPr>
          <w:rFonts w:asciiTheme="majorBidi" w:hAnsiTheme="majorBidi" w:cstheme="majorBidi"/>
          <w:color w:val="0F1115"/>
          <w:sz w:val="28"/>
          <w:szCs w:val="28"/>
        </w:rPr>
        <w:t>.</w:t>
      </w:r>
    </w:p>
    <w:p w14:paraId="4DFAC43C" w14:textId="7D1E0998"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في هذا السياق، تواجه المستشفيات ضغوطاً متزايدة للاحتفاظ بكوادرها الطبية الماهرة في ظل تنامي الطلب على الخدمات الصحية، وارتفاع توقعات المرضى، والتطور التكنولوجي السريع. ويعد ارتفاع معدل دوران العمل بين الأطباء والممرضين ظاهرة مقلقة لها تداعيات خطيرة على استقرار المؤسسات الصحية وجودة الرعاية</w:t>
      </w:r>
      <w:r w:rsidR="00F72CBD">
        <w:rPr>
          <w:rFonts w:asciiTheme="majorBidi" w:hAnsiTheme="majorBidi" w:cstheme="majorBidi" w:hint="cs"/>
          <w:color w:val="0F1115"/>
          <w:sz w:val="28"/>
          <w:szCs w:val="28"/>
          <w:rtl/>
        </w:rPr>
        <w:t xml:space="preserve"> بالمنظومة</w:t>
      </w:r>
      <w:r w:rsidRPr="00F72CBD">
        <w:rPr>
          <w:rFonts w:asciiTheme="majorBidi" w:hAnsiTheme="majorBidi" w:cstheme="majorBidi"/>
          <w:color w:val="0F1115"/>
          <w:sz w:val="28"/>
          <w:szCs w:val="28"/>
          <w:rtl/>
        </w:rPr>
        <w:t>. فكلما ارتفعت نسبة ترك الكوادر الطبية لوظائفهم، زادت تكاليف التوظيف والتدريب، وانخفضت خبرة الفريق، وتأثرت استمرارية الرعاية المقدمة للمرضى</w:t>
      </w:r>
      <w:r w:rsidRPr="00F72CBD">
        <w:rPr>
          <w:rFonts w:asciiTheme="majorBidi" w:hAnsiTheme="majorBidi" w:cstheme="majorBidi"/>
          <w:color w:val="0F1115"/>
          <w:sz w:val="28"/>
          <w:szCs w:val="28"/>
        </w:rPr>
        <w:t xml:space="preserve"> (Hayes et al., 2012).</w:t>
      </w:r>
    </w:p>
    <w:p w14:paraId="28471168" w14:textId="188E0146"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ومع تزايد الاهتمام الأكاديمي بهذه القضية، تعددت الدراسات التي تناولت العلاقة بين ممارسات إدارة الموارد البشرية والاحتفاظ بالكادر الطبي، وبين الاحتفاظ وجودة الرعاية. غير أن هذه الدراسات تنوعت في مناهجها، وتباينت في نتائجها، واختلفت في سياقاتها الجغرافية والثقافية. ومن هنا تبرز الحاجة إلى إجراء مراجعة منهجية تجمع الأدلة المتاحة، وتحل</w:t>
      </w:r>
      <w:r w:rsidR="000F108E">
        <w:rPr>
          <w:rFonts w:asciiTheme="majorBidi" w:hAnsiTheme="majorBidi" w:cstheme="majorBidi" w:hint="cs"/>
          <w:color w:val="0F1115"/>
          <w:sz w:val="28"/>
          <w:szCs w:val="28"/>
          <w:rtl/>
        </w:rPr>
        <w:t>ي</w:t>
      </w:r>
      <w:r w:rsidRPr="00F72CBD">
        <w:rPr>
          <w:rFonts w:asciiTheme="majorBidi" w:hAnsiTheme="majorBidi" w:cstheme="majorBidi"/>
          <w:color w:val="0F1115"/>
          <w:sz w:val="28"/>
          <w:szCs w:val="28"/>
          <w:rtl/>
        </w:rPr>
        <w:t>لها بشكل نقدي، وتقد</w:t>
      </w:r>
      <w:r w:rsidR="000F108E">
        <w:rPr>
          <w:rFonts w:asciiTheme="majorBidi" w:hAnsiTheme="majorBidi" w:cstheme="majorBidi" w:hint="cs"/>
          <w:color w:val="0F1115"/>
          <w:sz w:val="28"/>
          <w:szCs w:val="28"/>
          <w:rtl/>
        </w:rPr>
        <w:t>ي</w:t>
      </w:r>
      <w:r w:rsidRPr="00F72CBD">
        <w:rPr>
          <w:rFonts w:asciiTheme="majorBidi" w:hAnsiTheme="majorBidi" w:cstheme="majorBidi"/>
          <w:color w:val="0F1115"/>
          <w:sz w:val="28"/>
          <w:szCs w:val="28"/>
          <w:rtl/>
        </w:rPr>
        <w:t>م رؤية شاملة حول هذا الموضوع</w:t>
      </w:r>
      <w:r w:rsidRPr="00F72CBD">
        <w:rPr>
          <w:rFonts w:asciiTheme="majorBidi" w:hAnsiTheme="majorBidi" w:cstheme="majorBidi"/>
          <w:color w:val="0F1115"/>
          <w:sz w:val="28"/>
          <w:szCs w:val="28"/>
        </w:rPr>
        <w:t>.</w:t>
      </w:r>
    </w:p>
    <w:p w14:paraId="00462DA9" w14:textId="77777777" w:rsidR="00F72CBD" w:rsidRDefault="00DA179D" w:rsidP="00F72CB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F72CBD">
        <w:rPr>
          <w:rFonts w:asciiTheme="majorBidi" w:hAnsiTheme="majorBidi" w:cstheme="majorBidi"/>
          <w:color w:val="0F1115"/>
          <w:sz w:val="28"/>
          <w:szCs w:val="28"/>
          <w:rtl/>
        </w:rPr>
        <w:t>تهدف هذه المراجعة المنهجية إلى تجميع وتحليل الدراسات السابقة التي تناولت تأثير إدارة الموارد البشرية على الاحتفاظ بالكادر الطبي في المستشفيات، وانعكاس ذلك على جودة الرعاية الصحية، وذلك للوصول إلى استنتاجات شاملة تساعد الباحثين وصناع القرار على حد سواء</w:t>
      </w:r>
      <w:r w:rsidRPr="00F72CBD">
        <w:rPr>
          <w:rFonts w:asciiTheme="majorBidi" w:hAnsiTheme="majorBidi" w:cstheme="majorBidi"/>
          <w:color w:val="0F1115"/>
          <w:sz w:val="28"/>
          <w:szCs w:val="28"/>
        </w:rPr>
        <w:t>.</w:t>
      </w:r>
    </w:p>
    <w:p w14:paraId="24442B43" w14:textId="3BC5E4FE" w:rsidR="00DA179D" w:rsidRPr="00F72CBD" w:rsidRDefault="00F72CBD" w:rsidP="00F72CB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 xml:space="preserve">١.٢. </w:t>
      </w:r>
      <w:r w:rsidR="00DA179D" w:rsidRPr="00F72CBD">
        <w:rPr>
          <w:rFonts w:asciiTheme="majorBidi" w:hAnsiTheme="majorBidi" w:cstheme="majorBidi"/>
          <w:color w:val="0F1115"/>
          <w:sz w:val="28"/>
          <w:szCs w:val="28"/>
        </w:rPr>
        <w:t xml:space="preserve"> </w:t>
      </w:r>
      <w:r w:rsidR="00DA179D" w:rsidRPr="00F72CBD">
        <w:rPr>
          <w:rFonts w:asciiTheme="majorBidi" w:hAnsiTheme="majorBidi" w:cstheme="majorBidi"/>
          <w:color w:val="0F1115"/>
          <w:sz w:val="28"/>
          <w:szCs w:val="28"/>
          <w:rtl/>
        </w:rPr>
        <w:t>مشكلة الدراسة</w:t>
      </w:r>
    </w:p>
    <w:p w14:paraId="663C6E92" w14:textId="3263B45B"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تعاني العديد من المستشفيات -سواء في القطاع الحكومي أو الخاص- من مشكلة مزمنة تتمثل في ارتفاع معدل دوران العمل بين الكادر الطبي، وخاصة في تخصصات التمريض والأطباء المقيمين. وتشير الإحصائيات إلى أن معدل دوران الممرضين في بعض الدول قد يصل إلى 20-30% سنوياً، مما يكلف المستشفيات خسائر مالية كبيرة تقدر بمليارات الدولارات على المستوى العالمي</w:t>
      </w:r>
      <w:r w:rsidRPr="00F72CBD">
        <w:rPr>
          <w:rFonts w:asciiTheme="majorBidi" w:hAnsiTheme="majorBidi" w:cstheme="majorBidi"/>
          <w:color w:val="0F1115"/>
          <w:sz w:val="28"/>
          <w:szCs w:val="28"/>
        </w:rPr>
        <w:t xml:space="preserve"> (NSI Nursing Solutions, 2023). </w:t>
      </w:r>
      <w:r w:rsidR="00F72CBD">
        <w:rPr>
          <w:rFonts w:asciiTheme="majorBidi" w:hAnsiTheme="majorBidi" w:cstheme="majorBidi" w:hint="cs"/>
          <w:color w:val="0F1115"/>
          <w:sz w:val="28"/>
          <w:szCs w:val="28"/>
          <w:rtl/>
        </w:rPr>
        <w:t xml:space="preserve"> </w:t>
      </w:r>
      <w:r w:rsidRPr="00F72CBD">
        <w:rPr>
          <w:rFonts w:asciiTheme="majorBidi" w:hAnsiTheme="majorBidi" w:cstheme="majorBidi"/>
          <w:color w:val="0F1115"/>
          <w:sz w:val="28"/>
          <w:szCs w:val="28"/>
          <w:rtl/>
        </w:rPr>
        <w:t xml:space="preserve">كما أن ترك الأطباء ذوي الخبرة للمستشفيات يؤدي إلى فقدان رأس المال المعرفي وزيادة الأعباء على الأطباء المتبقين، مما يخلق </w:t>
      </w:r>
      <w:r w:rsidR="0084235C">
        <w:rPr>
          <w:rFonts w:asciiTheme="majorBidi" w:hAnsiTheme="majorBidi" w:cstheme="majorBidi" w:hint="cs"/>
          <w:color w:val="0F1115"/>
          <w:sz w:val="28"/>
          <w:szCs w:val="28"/>
          <w:rtl/>
        </w:rPr>
        <w:t>فجوة و</w:t>
      </w:r>
      <w:r w:rsidRPr="00F72CBD">
        <w:rPr>
          <w:rFonts w:asciiTheme="majorBidi" w:hAnsiTheme="majorBidi" w:cstheme="majorBidi"/>
          <w:color w:val="0F1115"/>
          <w:sz w:val="28"/>
          <w:szCs w:val="28"/>
          <w:rtl/>
        </w:rPr>
        <w:t xml:space="preserve">حلقة مفرغة من الضغط والإرهاق </w:t>
      </w:r>
      <w:r w:rsidR="0084235C">
        <w:rPr>
          <w:rFonts w:asciiTheme="majorBidi" w:hAnsiTheme="majorBidi" w:cstheme="majorBidi" w:hint="cs"/>
          <w:color w:val="0F1115"/>
          <w:sz w:val="28"/>
          <w:szCs w:val="28"/>
          <w:rtl/>
        </w:rPr>
        <w:t xml:space="preserve">والأعباء </w:t>
      </w:r>
      <w:r w:rsidRPr="00F72CBD">
        <w:rPr>
          <w:rFonts w:asciiTheme="majorBidi" w:hAnsiTheme="majorBidi" w:cstheme="majorBidi"/>
          <w:color w:val="0F1115"/>
          <w:sz w:val="28"/>
          <w:szCs w:val="28"/>
          <w:rtl/>
        </w:rPr>
        <w:t>والمزيد من الاستقالات</w:t>
      </w:r>
      <w:r w:rsidRPr="00F72CBD">
        <w:rPr>
          <w:rFonts w:asciiTheme="majorBidi" w:hAnsiTheme="majorBidi" w:cstheme="majorBidi"/>
          <w:color w:val="0F1115"/>
          <w:sz w:val="28"/>
          <w:szCs w:val="28"/>
        </w:rPr>
        <w:t>.</w:t>
      </w:r>
    </w:p>
    <w:p w14:paraId="376AD0F3" w14:textId="77777777" w:rsidR="00DA179D" w:rsidRPr="00F72CBD"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وعلى الرغم من تعدد الدراسات التي تناولت هذه الظاهرة، إلا أن نتائجها متفرقة ومتباينة، وتفتقر إلى رؤية تركيبية شاملة تجيب عن التساؤلات الآتية</w:t>
      </w:r>
      <w:r w:rsidRPr="00F72CBD">
        <w:rPr>
          <w:rFonts w:asciiTheme="majorBidi" w:hAnsiTheme="majorBidi" w:cstheme="majorBidi"/>
          <w:color w:val="0F1115"/>
          <w:sz w:val="28"/>
          <w:szCs w:val="28"/>
        </w:rPr>
        <w:t>:</w:t>
      </w:r>
    </w:p>
    <w:p w14:paraId="17DEC210" w14:textId="77777777" w:rsidR="00DA179D" w:rsidRPr="00F72CBD" w:rsidRDefault="00DA179D" w:rsidP="00DA179D">
      <w:pPr>
        <w:pStyle w:val="ds-markdown-paragraph"/>
        <w:numPr>
          <w:ilvl w:val="0"/>
          <w:numId w:val="1"/>
        </w:numPr>
        <w:shd w:val="clear" w:color="auto" w:fill="FFFFFF"/>
        <w:bidi/>
        <w:spacing w:before="0" w:beforeAutospacing="0" w:after="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ما ممارسات إدارة الموارد البشرية الأكثر تأثيراً في الاحتفاظ بالكادر الطبي؟</w:t>
      </w:r>
    </w:p>
    <w:p w14:paraId="57C793BD" w14:textId="77777777" w:rsidR="00DA179D" w:rsidRPr="00F72CBD" w:rsidRDefault="00DA179D" w:rsidP="00DA179D">
      <w:pPr>
        <w:pStyle w:val="ds-markdown-paragraph"/>
        <w:numPr>
          <w:ilvl w:val="0"/>
          <w:numId w:val="1"/>
        </w:numPr>
        <w:shd w:val="clear" w:color="auto" w:fill="FFFFFF"/>
        <w:bidi/>
        <w:spacing w:before="0" w:beforeAutospacing="0" w:after="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ما طبيعة العلاقة بين الاحتفاظ بالكادر الطبي وجودة الرعاية الصحية؟</w:t>
      </w:r>
    </w:p>
    <w:p w14:paraId="1E7B8EC8" w14:textId="77777777" w:rsidR="00DA179D" w:rsidRPr="00F72CBD" w:rsidRDefault="00DA179D" w:rsidP="00DA179D">
      <w:pPr>
        <w:pStyle w:val="ds-markdown-paragraph"/>
        <w:numPr>
          <w:ilvl w:val="0"/>
          <w:numId w:val="1"/>
        </w:numPr>
        <w:shd w:val="clear" w:color="auto" w:fill="FFFFFF"/>
        <w:bidi/>
        <w:spacing w:before="0" w:beforeAutospacing="0" w:after="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t>ما العوامل الوسيطة والمعدلة التي تؤثر في هذه العلاقات؟</w:t>
      </w:r>
    </w:p>
    <w:p w14:paraId="05214F53" w14:textId="5682F5D8" w:rsidR="00DA179D" w:rsidRPr="00F72CBD" w:rsidRDefault="00DA179D" w:rsidP="00DA179D">
      <w:pPr>
        <w:pStyle w:val="ds-markdown-paragraph"/>
        <w:numPr>
          <w:ilvl w:val="0"/>
          <w:numId w:val="1"/>
        </w:numPr>
        <w:shd w:val="clear" w:color="auto" w:fill="FFFFFF"/>
        <w:bidi/>
        <w:spacing w:before="0" w:beforeAutospacing="0" w:after="0" w:afterAutospacing="0"/>
        <w:jc w:val="lowKashida"/>
        <w:rPr>
          <w:rFonts w:asciiTheme="majorBidi" w:hAnsiTheme="majorBidi" w:cstheme="majorBidi"/>
          <w:color w:val="0F1115"/>
          <w:sz w:val="28"/>
          <w:szCs w:val="28"/>
        </w:rPr>
      </w:pPr>
      <w:r w:rsidRPr="00F72CBD">
        <w:rPr>
          <w:rFonts w:asciiTheme="majorBidi" w:hAnsiTheme="majorBidi" w:cstheme="majorBidi"/>
          <w:color w:val="0F1115"/>
          <w:sz w:val="28"/>
          <w:szCs w:val="28"/>
          <w:rtl/>
        </w:rPr>
        <w:lastRenderedPageBreak/>
        <w:t>كيف تختلف هذه العلاقات باختلاف السياق (القطاع الحكومي/الخاص، البلدان المتقدمة/النامية، تخصصات الكادر المختلفة)؟</w:t>
      </w:r>
    </w:p>
    <w:p w14:paraId="3C8B6054" w14:textId="088867E0" w:rsidR="00DA179D" w:rsidRPr="0084235C"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تتمثل مشكلة الدراسة في </w:t>
      </w:r>
      <w:r w:rsidRPr="0084235C">
        <w:rPr>
          <w:rStyle w:val="Strong"/>
          <w:rFonts w:asciiTheme="majorBidi" w:hAnsiTheme="majorBidi" w:cstheme="majorBidi"/>
          <w:b w:val="0"/>
          <w:bCs w:val="0"/>
          <w:color w:val="0F1115"/>
          <w:sz w:val="28"/>
          <w:szCs w:val="28"/>
          <w:rtl/>
        </w:rPr>
        <w:t>الحاجة إلى تجميع وتحليل نقدي حول تأثير إدارة الموارد البشرية على الاحتفاظ بالكادر الطبي وأثره على جودة الرعاية</w:t>
      </w:r>
      <w:r w:rsidRPr="0084235C">
        <w:rPr>
          <w:rFonts w:asciiTheme="majorBidi" w:hAnsiTheme="majorBidi" w:cstheme="majorBidi"/>
          <w:color w:val="0F1115"/>
          <w:sz w:val="28"/>
          <w:szCs w:val="28"/>
          <w:rtl/>
        </w:rPr>
        <w:t>، وذلك للوصول إلى استنتاجات قائمة على الأدلة</w:t>
      </w:r>
      <w:r w:rsidR="0084235C" w:rsidRPr="0084235C">
        <w:rPr>
          <w:rFonts w:asciiTheme="majorBidi" w:hAnsiTheme="majorBidi" w:cstheme="majorBidi" w:hint="cs"/>
          <w:color w:val="0F1115"/>
          <w:sz w:val="28"/>
          <w:szCs w:val="28"/>
          <w:rtl/>
        </w:rPr>
        <w:t xml:space="preserve"> التي</w:t>
      </w:r>
      <w:r w:rsidRPr="0084235C">
        <w:rPr>
          <w:rFonts w:asciiTheme="majorBidi" w:hAnsiTheme="majorBidi" w:cstheme="majorBidi"/>
          <w:color w:val="0F1115"/>
          <w:sz w:val="28"/>
          <w:szCs w:val="28"/>
          <w:rtl/>
        </w:rPr>
        <w:t xml:space="preserve"> تفيد الباحثين والممارسين في القطاع الصحي</w:t>
      </w:r>
      <w:r w:rsidRPr="0084235C">
        <w:rPr>
          <w:rFonts w:asciiTheme="majorBidi" w:hAnsiTheme="majorBidi" w:cstheme="majorBidi"/>
          <w:color w:val="0F1115"/>
          <w:sz w:val="28"/>
          <w:szCs w:val="28"/>
        </w:rPr>
        <w:t>.</w:t>
      </w:r>
    </w:p>
    <w:p w14:paraId="49FB39F3" w14:textId="1B4115EA" w:rsidR="00DA179D" w:rsidRPr="0084235C" w:rsidRDefault="0084235C" w:rsidP="00483ECA">
      <w:pPr>
        <w:pStyle w:val="Heading3"/>
        <w:shd w:val="clear" w:color="auto" w:fill="FFFFFF"/>
        <w:bidi/>
        <w:spacing w:before="480" w:after="240" w:line="450" w:lineRule="atLeast"/>
        <w:jc w:val="lowKashida"/>
        <w:rPr>
          <w:rFonts w:asciiTheme="majorBidi" w:hAnsiTheme="majorBidi"/>
          <w:color w:val="0F1115"/>
          <w:sz w:val="28"/>
          <w:szCs w:val="28"/>
        </w:rPr>
      </w:pPr>
      <w:r w:rsidRPr="0084235C">
        <w:rPr>
          <w:rFonts w:asciiTheme="majorBidi" w:hAnsiTheme="majorBidi"/>
          <w:color w:val="0F1115"/>
          <w:sz w:val="28"/>
          <w:szCs w:val="28"/>
          <w:rtl/>
        </w:rPr>
        <w:t xml:space="preserve">١.٣. </w:t>
      </w:r>
      <w:r w:rsidR="00DA179D" w:rsidRPr="0084235C">
        <w:rPr>
          <w:rFonts w:asciiTheme="majorBidi" w:hAnsiTheme="majorBidi"/>
          <w:color w:val="0F1115"/>
          <w:sz w:val="28"/>
          <w:szCs w:val="28"/>
          <w:rtl/>
        </w:rPr>
        <w:t>أهمية الدراسة</w:t>
      </w:r>
    </w:p>
    <w:p w14:paraId="45EB0B66" w14:textId="6E60B08F" w:rsidR="00DA179D" w:rsidRPr="0084235C"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 xml:space="preserve">تتعدد أوجه </w:t>
      </w:r>
      <w:r w:rsidR="00483ECA">
        <w:rPr>
          <w:rFonts w:asciiTheme="majorBidi" w:hAnsiTheme="majorBidi" w:cstheme="majorBidi" w:hint="cs"/>
          <w:color w:val="0F1115"/>
          <w:sz w:val="28"/>
          <w:szCs w:val="28"/>
          <w:rtl/>
        </w:rPr>
        <w:t>ال</w:t>
      </w:r>
      <w:r w:rsidRPr="0084235C">
        <w:rPr>
          <w:rFonts w:asciiTheme="majorBidi" w:hAnsiTheme="majorBidi" w:cstheme="majorBidi"/>
          <w:color w:val="0F1115"/>
          <w:sz w:val="28"/>
          <w:szCs w:val="28"/>
          <w:rtl/>
        </w:rPr>
        <w:t xml:space="preserve">أهمية </w:t>
      </w:r>
      <w:r w:rsidR="00483ECA">
        <w:rPr>
          <w:rFonts w:asciiTheme="majorBidi" w:hAnsiTheme="majorBidi" w:cstheme="majorBidi" w:hint="cs"/>
          <w:color w:val="0F1115"/>
          <w:sz w:val="28"/>
          <w:szCs w:val="28"/>
          <w:rtl/>
        </w:rPr>
        <w:t>ل</w:t>
      </w:r>
      <w:r w:rsidRPr="0084235C">
        <w:rPr>
          <w:rFonts w:asciiTheme="majorBidi" w:hAnsiTheme="majorBidi" w:cstheme="majorBidi"/>
          <w:color w:val="0F1115"/>
          <w:sz w:val="28"/>
          <w:szCs w:val="28"/>
          <w:rtl/>
        </w:rPr>
        <w:t xml:space="preserve">هذه المراجعة المنهجية ويمكن </w:t>
      </w:r>
      <w:r w:rsidR="00483ECA">
        <w:rPr>
          <w:rFonts w:asciiTheme="majorBidi" w:hAnsiTheme="majorBidi" w:cstheme="majorBidi" w:hint="cs"/>
          <w:color w:val="0F1115"/>
          <w:sz w:val="28"/>
          <w:szCs w:val="28"/>
          <w:rtl/>
        </w:rPr>
        <w:t>حصرها</w:t>
      </w:r>
      <w:r w:rsidRPr="0084235C">
        <w:rPr>
          <w:rFonts w:asciiTheme="majorBidi" w:hAnsiTheme="majorBidi" w:cstheme="majorBidi"/>
          <w:color w:val="0F1115"/>
          <w:sz w:val="28"/>
          <w:szCs w:val="28"/>
          <w:rtl/>
        </w:rPr>
        <w:t xml:space="preserve"> </w:t>
      </w:r>
      <w:r w:rsidR="00483ECA">
        <w:rPr>
          <w:rFonts w:asciiTheme="majorBidi" w:hAnsiTheme="majorBidi" w:cstheme="majorBidi" w:hint="cs"/>
          <w:color w:val="0F1115"/>
          <w:sz w:val="28"/>
          <w:szCs w:val="28"/>
          <w:rtl/>
        </w:rPr>
        <w:t>من</w:t>
      </w:r>
      <w:r w:rsidRPr="0084235C">
        <w:rPr>
          <w:rFonts w:asciiTheme="majorBidi" w:hAnsiTheme="majorBidi" w:cstheme="majorBidi"/>
          <w:color w:val="0F1115"/>
          <w:sz w:val="28"/>
          <w:szCs w:val="28"/>
          <w:rtl/>
        </w:rPr>
        <w:t xml:space="preserve"> جانبين رئيسيين: أهمية علمية وأخرى تطبيقية</w:t>
      </w:r>
      <w:r w:rsidRPr="0084235C">
        <w:rPr>
          <w:rFonts w:asciiTheme="majorBidi" w:hAnsiTheme="majorBidi" w:cstheme="majorBidi"/>
          <w:color w:val="0F1115"/>
          <w:sz w:val="28"/>
          <w:szCs w:val="28"/>
        </w:rPr>
        <w:t>.</w:t>
      </w:r>
    </w:p>
    <w:p w14:paraId="65212603" w14:textId="18EE90DA" w:rsidR="00DA179D" w:rsidRPr="0084235C" w:rsidRDefault="00483ECA"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Style w:val="Strong"/>
          <w:rFonts w:asciiTheme="majorBidi" w:hAnsiTheme="majorBidi" w:cstheme="majorBidi" w:hint="cs"/>
          <w:color w:val="0F1115"/>
          <w:sz w:val="28"/>
          <w:szCs w:val="28"/>
          <w:rtl/>
        </w:rPr>
        <w:t>أولاً:</w:t>
      </w:r>
      <w:r w:rsidR="00DA179D" w:rsidRPr="0084235C">
        <w:rPr>
          <w:rStyle w:val="Strong"/>
          <w:rFonts w:asciiTheme="majorBidi" w:hAnsiTheme="majorBidi" w:cstheme="majorBidi"/>
          <w:color w:val="0F1115"/>
          <w:sz w:val="28"/>
          <w:szCs w:val="28"/>
          <w:rtl/>
        </w:rPr>
        <w:t xml:space="preserve"> الأهمية العلمية</w:t>
      </w:r>
    </w:p>
    <w:p w14:paraId="43BC38C0" w14:textId="3162933F" w:rsidR="00DA179D" w:rsidRPr="0084235C" w:rsidRDefault="00DA179D" w:rsidP="00DA179D">
      <w:pPr>
        <w:pStyle w:val="ds-markdown-paragraph"/>
        <w:numPr>
          <w:ilvl w:val="0"/>
          <w:numId w:val="2"/>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تسهم المراجعة في سد الفجوة المعرفية من خلال تجميع الأدلة المتفرقة حول العلاقة بين المتغيرات الثلاثة (إدارة الموارد البشرية، الاحتفاظ، جودة الرعاية) في نموذج متكامل</w:t>
      </w:r>
      <w:r w:rsidRPr="0084235C">
        <w:rPr>
          <w:rFonts w:asciiTheme="majorBidi" w:hAnsiTheme="majorBidi" w:cstheme="majorBidi"/>
          <w:color w:val="0F1115"/>
          <w:sz w:val="28"/>
          <w:szCs w:val="28"/>
        </w:rPr>
        <w:t>.</w:t>
      </w:r>
    </w:p>
    <w:p w14:paraId="26D9FAAA" w14:textId="77777777" w:rsidR="00DA179D" w:rsidRPr="0084235C" w:rsidRDefault="00DA179D" w:rsidP="00DA179D">
      <w:pPr>
        <w:pStyle w:val="ds-markdown-paragraph"/>
        <w:numPr>
          <w:ilvl w:val="0"/>
          <w:numId w:val="2"/>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تقدم تحليلاً نقدياً للدراسات السابقة، وتكشف عن نقاط القوة والضعف المنهجية فيها، مما يساعد الباحثين على تصميم دراسات مستقبلية أكثر دقة</w:t>
      </w:r>
      <w:r w:rsidRPr="0084235C">
        <w:rPr>
          <w:rFonts w:asciiTheme="majorBidi" w:hAnsiTheme="majorBidi" w:cstheme="majorBidi"/>
          <w:color w:val="0F1115"/>
          <w:sz w:val="28"/>
          <w:szCs w:val="28"/>
        </w:rPr>
        <w:t>.</w:t>
      </w:r>
    </w:p>
    <w:p w14:paraId="1372083A" w14:textId="77777777" w:rsidR="00DA179D" w:rsidRPr="0084235C" w:rsidRDefault="00DA179D" w:rsidP="00DA179D">
      <w:pPr>
        <w:pStyle w:val="ds-markdown-paragraph"/>
        <w:numPr>
          <w:ilvl w:val="0"/>
          <w:numId w:val="2"/>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توفر قاعدة معرفية رصينة لتطوير النظريات المتعلقة بإدارة الموارد البشرية في القطاع الصحي</w:t>
      </w:r>
      <w:r w:rsidRPr="0084235C">
        <w:rPr>
          <w:rFonts w:asciiTheme="majorBidi" w:hAnsiTheme="majorBidi" w:cstheme="majorBidi"/>
          <w:color w:val="0F1115"/>
          <w:sz w:val="28"/>
          <w:szCs w:val="28"/>
        </w:rPr>
        <w:t>.</w:t>
      </w:r>
    </w:p>
    <w:p w14:paraId="18B262F4" w14:textId="2DB7A55D" w:rsidR="00DA179D" w:rsidRPr="0084235C" w:rsidRDefault="00DA179D" w:rsidP="00DA179D">
      <w:pPr>
        <w:pStyle w:val="ds-markdown-paragraph"/>
        <w:numPr>
          <w:ilvl w:val="0"/>
          <w:numId w:val="2"/>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تستجيب المراجعة لتوصيات العديد من الدراسات السابقة التي دعت إلى إجراء مزيد من البحوث حول هذا الموضوع</w:t>
      </w:r>
      <w:r w:rsidRPr="0084235C">
        <w:rPr>
          <w:rFonts w:asciiTheme="majorBidi" w:hAnsiTheme="majorBidi" w:cstheme="majorBidi"/>
          <w:color w:val="0F1115"/>
          <w:sz w:val="28"/>
          <w:szCs w:val="28"/>
        </w:rPr>
        <w:t>.</w:t>
      </w:r>
    </w:p>
    <w:p w14:paraId="0107B01C" w14:textId="1C0FAC63" w:rsidR="00DA179D" w:rsidRPr="0084235C" w:rsidRDefault="00483ECA"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Style w:val="Strong"/>
          <w:rFonts w:asciiTheme="majorBidi" w:hAnsiTheme="majorBidi" w:cstheme="majorBidi" w:hint="cs"/>
          <w:color w:val="0F1115"/>
          <w:sz w:val="28"/>
          <w:szCs w:val="28"/>
          <w:rtl/>
        </w:rPr>
        <w:t xml:space="preserve">ثانياً: </w:t>
      </w:r>
      <w:r w:rsidR="00DA179D" w:rsidRPr="0084235C">
        <w:rPr>
          <w:rStyle w:val="Strong"/>
          <w:rFonts w:asciiTheme="majorBidi" w:hAnsiTheme="majorBidi" w:cstheme="majorBidi"/>
          <w:color w:val="0F1115"/>
          <w:sz w:val="28"/>
          <w:szCs w:val="28"/>
          <w:rtl/>
        </w:rPr>
        <w:t>الأهمية التطبيقية</w:t>
      </w:r>
    </w:p>
    <w:p w14:paraId="1EFBC6F7" w14:textId="5DFDC38D" w:rsidR="00DA179D" w:rsidRPr="0084235C" w:rsidRDefault="00DA179D" w:rsidP="00DA179D">
      <w:pPr>
        <w:pStyle w:val="ds-markdown-paragraph"/>
        <w:numPr>
          <w:ilvl w:val="0"/>
          <w:numId w:val="3"/>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تقدم المراجعة خلاصة موثوقة من أدلة تساعد صناع القرار في وزارات الصحة</w:t>
      </w:r>
      <w:r w:rsidR="00483ECA">
        <w:rPr>
          <w:rFonts w:asciiTheme="majorBidi" w:hAnsiTheme="majorBidi" w:cstheme="majorBidi" w:hint="cs"/>
          <w:color w:val="0F1115"/>
          <w:sz w:val="28"/>
          <w:szCs w:val="28"/>
          <w:rtl/>
        </w:rPr>
        <w:t xml:space="preserve"> </w:t>
      </w:r>
      <w:r w:rsidR="00E60DC2">
        <w:rPr>
          <w:rFonts w:asciiTheme="majorBidi" w:hAnsiTheme="majorBidi" w:cstheme="majorBidi" w:hint="cs"/>
          <w:color w:val="0F1115"/>
          <w:sz w:val="28"/>
          <w:szCs w:val="28"/>
          <w:rtl/>
        </w:rPr>
        <w:t xml:space="preserve">والتجمعات </w:t>
      </w:r>
      <w:r w:rsidR="00483ECA">
        <w:rPr>
          <w:rFonts w:asciiTheme="majorBidi" w:hAnsiTheme="majorBidi" w:cstheme="majorBidi" w:hint="cs"/>
          <w:color w:val="0F1115"/>
          <w:sz w:val="28"/>
          <w:szCs w:val="28"/>
          <w:rtl/>
        </w:rPr>
        <w:t>والمنظمات الصحية</w:t>
      </w:r>
      <w:r w:rsidRPr="0084235C">
        <w:rPr>
          <w:rFonts w:asciiTheme="majorBidi" w:hAnsiTheme="majorBidi" w:cstheme="majorBidi"/>
          <w:color w:val="0F1115"/>
          <w:sz w:val="28"/>
          <w:szCs w:val="28"/>
          <w:rtl/>
        </w:rPr>
        <w:t xml:space="preserve"> وإدارات المستشفيات على تصميم سياسات أكثر فعالية لإدارة الموارد البشرية</w:t>
      </w:r>
      <w:r w:rsidRPr="0084235C">
        <w:rPr>
          <w:rFonts w:asciiTheme="majorBidi" w:hAnsiTheme="majorBidi" w:cstheme="majorBidi"/>
          <w:color w:val="0F1115"/>
          <w:sz w:val="28"/>
          <w:szCs w:val="28"/>
        </w:rPr>
        <w:t>.</w:t>
      </w:r>
    </w:p>
    <w:p w14:paraId="3C0CAC53" w14:textId="77777777" w:rsidR="00DA179D" w:rsidRPr="0084235C" w:rsidRDefault="00DA179D" w:rsidP="00DA179D">
      <w:pPr>
        <w:pStyle w:val="ds-markdown-paragraph"/>
        <w:numPr>
          <w:ilvl w:val="0"/>
          <w:numId w:val="3"/>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تحدد الممارسات الأكثر تأثيراً في الاحتفاظ بالكادر، مما يمكن المسؤولين من تركيز جهودهم ومواردهم على المجالات ذات الأولوية</w:t>
      </w:r>
      <w:r w:rsidRPr="0084235C">
        <w:rPr>
          <w:rFonts w:asciiTheme="majorBidi" w:hAnsiTheme="majorBidi" w:cstheme="majorBidi"/>
          <w:color w:val="0F1115"/>
          <w:sz w:val="28"/>
          <w:szCs w:val="28"/>
        </w:rPr>
        <w:t>.</w:t>
      </w:r>
    </w:p>
    <w:p w14:paraId="4D3BD324" w14:textId="77777777" w:rsidR="00DA179D" w:rsidRPr="0084235C" w:rsidRDefault="00DA179D" w:rsidP="00DA179D">
      <w:pPr>
        <w:pStyle w:val="ds-markdown-paragraph"/>
        <w:numPr>
          <w:ilvl w:val="0"/>
          <w:numId w:val="3"/>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تقدم إطاراً متكاملاً لفهم العلاقة بين استقرار الكوادر وجودة الخدمات، مما يعزز ثقافة اتخاذ القرار المبني على الأدلة</w:t>
      </w:r>
      <w:r w:rsidRPr="0084235C">
        <w:rPr>
          <w:rFonts w:asciiTheme="majorBidi" w:hAnsiTheme="majorBidi" w:cstheme="majorBidi"/>
          <w:color w:val="0F1115"/>
          <w:sz w:val="28"/>
          <w:szCs w:val="28"/>
        </w:rPr>
        <w:t>.</w:t>
      </w:r>
    </w:p>
    <w:p w14:paraId="62B88F0C" w14:textId="3504E613" w:rsidR="00DA179D" w:rsidRPr="0084235C" w:rsidRDefault="00DA179D" w:rsidP="00DA179D">
      <w:pPr>
        <w:pStyle w:val="ds-markdown-paragraph"/>
        <w:numPr>
          <w:ilvl w:val="0"/>
          <w:numId w:val="3"/>
        </w:numPr>
        <w:shd w:val="clear" w:color="auto" w:fill="FFFFFF"/>
        <w:bidi/>
        <w:spacing w:before="0" w:beforeAutospacing="0" w:after="0" w:afterAutospacing="0"/>
        <w:jc w:val="lowKashida"/>
        <w:rPr>
          <w:rFonts w:asciiTheme="majorBidi" w:hAnsiTheme="majorBidi" w:cstheme="majorBidi"/>
          <w:color w:val="0F1115"/>
          <w:sz w:val="28"/>
          <w:szCs w:val="28"/>
        </w:rPr>
      </w:pPr>
      <w:r w:rsidRPr="0084235C">
        <w:rPr>
          <w:rFonts w:asciiTheme="majorBidi" w:hAnsiTheme="majorBidi" w:cstheme="majorBidi"/>
          <w:color w:val="0F1115"/>
          <w:sz w:val="28"/>
          <w:szCs w:val="28"/>
          <w:rtl/>
        </w:rPr>
        <w:t>تفيد في تصميم برامج تدريبية وتطويرية للقادة الصحيين تستند إلى أفضل الممارسات العالمية</w:t>
      </w:r>
      <w:r w:rsidRPr="0084235C">
        <w:rPr>
          <w:rFonts w:asciiTheme="majorBidi" w:hAnsiTheme="majorBidi" w:cstheme="majorBidi"/>
          <w:color w:val="0F1115"/>
          <w:sz w:val="28"/>
          <w:szCs w:val="28"/>
        </w:rPr>
        <w:t>.</w:t>
      </w:r>
    </w:p>
    <w:p w14:paraId="5D54BA17" w14:textId="03F44233" w:rsidR="00DA179D" w:rsidRPr="00D245A9" w:rsidRDefault="00B16BFB" w:rsidP="00DA179D">
      <w:pPr>
        <w:pStyle w:val="Heading3"/>
        <w:shd w:val="clear" w:color="auto" w:fill="FFFFFF"/>
        <w:bidi/>
        <w:spacing w:before="480" w:after="24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 xml:space="preserve">١.٤. </w:t>
      </w:r>
      <w:r w:rsidR="00DA179D" w:rsidRPr="00D245A9">
        <w:rPr>
          <w:rFonts w:asciiTheme="majorBidi" w:hAnsiTheme="majorBidi"/>
          <w:color w:val="0F1115"/>
          <w:sz w:val="28"/>
          <w:szCs w:val="28"/>
          <w:rtl/>
        </w:rPr>
        <w:t>أهداف الدراسة</w:t>
      </w:r>
    </w:p>
    <w:p w14:paraId="3BE800E6"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D245A9">
        <w:rPr>
          <w:rStyle w:val="Strong"/>
          <w:rFonts w:asciiTheme="majorBidi" w:hAnsiTheme="majorBidi" w:cstheme="majorBidi"/>
          <w:color w:val="0F1115"/>
          <w:sz w:val="28"/>
          <w:szCs w:val="28"/>
          <w:rtl/>
        </w:rPr>
        <w:t>الهدف الرئيسي</w:t>
      </w:r>
      <w:r w:rsidRPr="00D245A9">
        <w:rPr>
          <w:rStyle w:val="Strong"/>
          <w:rFonts w:asciiTheme="majorBidi" w:hAnsiTheme="majorBidi" w:cstheme="majorBidi"/>
          <w:color w:val="0F1115"/>
          <w:sz w:val="28"/>
          <w:szCs w:val="28"/>
        </w:rPr>
        <w:t>:</w:t>
      </w:r>
    </w:p>
    <w:p w14:paraId="1673F26E" w14:textId="60BCE9E2"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 xml:space="preserve">تجميع وتحليل </w:t>
      </w:r>
      <w:r w:rsidR="00D245A9">
        <w:rPr>
          <w:rFonts w:asciiTheme="majorBidi" w:hAnsiTheme="majorBidi" w:cstheme="majorBidi" w:hint="cs"/>
          <w:color w:val="0F1115"/>
          <w:sz w:val="28"/>
          <w:szCs w:val="28"/>
          <w:rtl/>
        </w:rPr>
        <w:t>البحوث</w:t>
      </w:r>
      <w:r w:rsidRPr="00D245A9">
        <w:rPr>
          <w:rFonts w:asciiTheme="majorBidi" w:hAnsiTheme="majorBidi" w:cstheme="majorBidi"/>
          <w:color w:val="0F1115"/>
          <w:sz w:val="28"/>
          <w:szCs w:val="28"/>
          <w:rtl/>
        </w:rPr>
        <w:t xml:space="preserve"> المتعلقة بتأثير ممارسات إدارة الموارد البشرية على الاحتفاظ بالكادر الطبي في المستشفيات، وانعكاس ذلك على جودة الرعاية الصحية، من خلال مراجعة منهجية شاملة</w:t>
      </w:r>
      <w:r w:rsidRPr="00D245A9">
        <w:rPr>
          <w:rFonts w:asciiTheme="majorBidi" w:hAnsiTheme="majorBidi" w:cstheme="majorBidi"/>
          <w:color w:val="0F1115"/>
          <w:sz w:val="28"/>
          <w:szCs w:val="28"/>
        </w:rPr>
        <w:t>.</w:t>
      </w:r>
    </w:p>
    <w:p w14:paraId="792812EA"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Style w:val="Strong"/>
          <w:rFonts w:asciiTheme="majorBidi" w:hAnsiTheme="majorBidi" w:cstheme="majorBidi"/>
          <w:color w:val="0F1115"/>
          <w:sz w:val="28"/>
          <w:szCs w:val="28"/>
          <w:rtl/>
        </w:rPr>
        <w:t>الأهداف الفرعية</w:t>
      </w:r>
      <w:r w:rsidRPr="00D245A9">
        <w:rPr>
          <w:rStyle w:val="Strong"/>
          <w:rFonts w:asciiTheme="majorBidi" w:hAnsiTheme="majorBidi" w:cstheme="majorBidi"/>
          <w:color w:val="0F1115"/>
          <w:sz w:val="28"/>
          <w:szCs w:val="28"/>
        </w:rPr>
        <w:t>:</w:t>
      </w:r>
    </w:p>
    <w:p w14:paraId="116A9A9D" w14:textId="44050116" w:rsidR="00DA179D" w:rsidRPr="00D245A9" w:rsidRDefault="00DA179D" w:rsidP="00DA179D">
      <w:pPr>
        <w:pStyle w:val="ds-markdown-paragraph"/>
        <w:numPr>
          <w:ilvl w:val="0"/>
          <w:numId w:val="4"/>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تحديد ممارسات إدارة الموارد البشرية الأكثر ارتباطاً بالاحتفاظ بالكادر الطبي</w:t>
      </w:r>
      <w:r w:rsidRPr="00D245A9">
        <w:rPr>
          <w:rFonts w:asciiTheme="majorBidi" w:hAnsiTheme="majorBidi" w:cstheme="majorBidi"/>
          <w:color w:val="0F1115"/>
          <w:sz w:val="28"/>
          <w:szCs w:val="28"/>
        </w:rPr>
        <w:t>.</w:t>
      </w:r>
    </w:p>
    <w:p w14:paraId="41BA3966" w14:textId="77777777" w:rsidR="00DA179D" w:rsidRPr="00D245A9" w:rsidRDefault="00DA179D" w:rsidP="00DA179D">
      <w:pPr>
        <w:pStyle w:val="ds-markdown-paragraph"/>
        <w:numPr>
          <w:ilvl w:val="0"/>
          <w:numId w:val="4"/>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lastRenderedPageBreak/>
        <w:t>تحليل طبيعة العلاقة بين الاحتفاظ بالكادر الطبي وجودة الرعاية الصحية كما وردت في الدراسات السابقة</w:t>
      </w:r>
      <w:r w:rsidRPr="00D245A9">
        <w:rPr>
          <w:rFonts w:asciiTheme="majorBidi" w:hAnsiTheme="majorBidi" w:cstheme="majorBidi"/>
          <w:color w:val="0F1115"/>
          <w:sz w:val="28"/>
          <w:szCs w:val="28"/>
        </w:rPr>
        <w:t>.</w:t>
      </w:r>
    </w:p>
    <w:p w14:paraId="2038D905" w14:textId="0F0794F8" w:rsidR="00DA179D" w:rsidRPr="00D245A9" w:rsidRDefault="00DA179D" w:rsidP="00DA179D">
      <w:pPr>
        <w:pStyle w:val="ds-markdown-paragraph"/>
        <w:numPr>
          <w:ilvl w:val="0"/>
          <w:numId w:val="4"/>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الكشف عن العوامل التي تؤثر في هذه العلاقات</w:t>
      </w:r>
      <w:r w:rsidRPr="00D245A9">
        <w:rPr>
          <w:rFonts w:asciiTheme="majorBidi" w:hAnsiTheme="majorBidi" w:cstheme="majorBidi"/>
          <w:color w:val="0F1115"/>
          <w:sz w:val="28"/>
          <w:szCs w:val="28"/>
        </w:rPr>
        <w:t>.</w:t>
      </w:r>
    </w:p>
    <w:p w14:paraId="3FEA5BEC" w14:textId="32CCA0A7" w:rsidR="00DA179D" w:rsidRPr="00D245A9" w:rsidRDefault="00DA179D" w:rsidP="00DA179D">
      <w:pPr>
        <w:pStyle w:val="ds-markdown-paragraph"/>
        <w:numPr>
          <w:ilvl w:val="0"/>
          <w:numId w:val="4"/>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تقييم جودة الأدلة ومناقشة نقاط القوة والضعف المنهجية في الدراسات</w:t>
      </w:r>
      <w:r w:rsidRPr="00D245A9">
        <w:rPr>
          <w:rFonts w:asciiTheme="majorBidi" w:hAnsiTheme="majorBidi" w:cstheme="majorBidi"/>
          <w:color w:val="0F1115"/>
          <w:sz w:val="28"/>
          <w:szCs w:val="28"/>
        </w:rPr>
        <w:t>.</w:t>
      </w:r>
    </w:p>
    <w:p w14:paraId="1CD55509" w14:textId="77777777" w:rsidR="00DA179D" w:rsidRPr="00D245A9" w:rsidRDefault="00DA179D" w:rsidP="00DA179D">
      <w:pPr>
        <w:pStyle w:val="ds-markdown-paragraph"/>
        <w:numPr>
          <w:ilvl w:val="0"/>
          <w:numId w:val="4"/>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تقديم توصيات قائمة على الأدلة للممارسين وصناع القرار في القطاع الصحي</w:t>
      </w:r>
      <w:r w:rsidRPr="00D245A9">
        <w:rPr>
          <w:rFonts w:asciiTheme="majorBidi" w:hAnsiTheme="majorBidi" w:cstheme="majorBidi"/>
          <w:color w:val="0F1115"/>
          <w:sz w:val="28"/>
          <w:szCs w:val="28"/>
        </w:rPr>
        <w:t>.</w:t>
      </w:r>
    </w:p>
    <w:p w14:paraId="61DFD689" w14:textId="77777777" w:rsidR="00D245A9" w:rsidRDefault="00D245A9" w:rsidP="00D245A9">
      <w:pPr>
        <w:pStyle w:val="Heading3"/>
        <w:shd w:val="clear" w:color="auto" w:fill="FFFFFF"/>
        <w:bidi/>
        <w:spacing w:before="480" w:after="240" w:line="450" w:lineRule="atLeast"/>
        <w:jc w:val="lowKashida"/>
        <w:rPr>
          <w:rFonts w:asciiTheme="majorBidi" w:hAnsiTheme="majorBidi"/>
          <w:color w:val="0F1115"/>
          <w:sz w:val="28"/>
          <w:szCs w:val="28"/>
          <w:rtl/>
        </w:rPr>
      </w:pPr>
      <w:r w:rsidRPr="00D245A9">
        <w:rPr>
          <w:rFonts w:asciiTheme="majorBidi" w:hAnsiTheme="majorBidi"/>
          <w:color w:val="0F1115"/>
          <w:sz w:val="28"/>
          <w:szCs w:val="28"/>
          <w:rtl/>
        </w:rPr>
        <w:t xml:space="preserve">١.٥. </w:t>
      </w:r>
      <w:r w:rsidR="00DA179D" w:rsidRPr="00D245A9">
        <w:rPr>
          <w:rFonts w:asciiTheme="majorBidi" w:hAnsiTheme="majorBidi"/>
          <w:color w:val="0F1115"/>
          <w:sz w:val="28"/>
          <w:szCs w:val="28"/>
          <w:rtl/>
        </w:rPr>
        <w:t>أسئلة المراجعة</w:t>
      </w:r>
    </w:p>
    <w:p w14:paraId="4B06ED95" w14:textId="77777777" w:rsid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تأثير ممارسات إدارة الموارد البشرية على الاحتفاظ بالكادر الطبي في المستشفيات، وكيف ينعكس ذلك على جودة الرعاية الصحية؟</w:t>
      </w:r>
    </w:p>
    <w:p w14:paraId="2E12AF11" w14:textId="77777777" w:rsid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أبرز ممارسات إدارة الموارد البشرية التي تمت دراستها في سياق الاحتفاظ بالكادر الطبي؟</w:t>
      </w:r>
    </w:p>
    <w:p w14:paraId="54C96106" w14:textId="77777777" w:rsid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درجة تأثير هذه الممارسات على الاحتفاظ بالكادر الطبي وفقاً للأدلة المتاحة؟</w:t>
      </w:r>
    </w:p>
    <w:p w14:paraId="62366962" w14:textId="77777777" w:rsid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طبيعة العلاقة بين الاحتفاظ بالكادر الطبي وجودة الرعاية الصحية؟</w:t>
      </w:r>
    </w:p>
    <w:p w14:paraId="2EF400D3" w14:textId="0DF332D6" w:rsidR="00D245A9" w:rsidRP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العوامل التي تؤثر في العلاقة بين إدارة الموارد البشرية والاحتفاظ بالكادر؟</w:t>
      </w:r>
    </w:p>
    <w:p w14:paraId="2667BA30" w14:textId="0FD53499" w:rsid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هل تختلف نتائج الدراسات باختلاف السياق الجغرافي (بلدان متقدمة/نامية</w:t>
      </w:r>
      <w:r w:rsidR="00D245A9">
        <w:rPr>
          <w:rFonts w:asciiTheme="majorBidi" w:hAnsiTheme="majorBidi" w:hint="cs"/>
          <w:color w:val="0F1115"/>
          <w:sz w:val="28"/>
          <w:szCs w:val="28"/>
          <w:rtl/>
        </w:rPr>
        <w:t xml:space="preserve">) </w:t>
      </w:r>
      <w:r w:rsidRPr="00D245A9">
        <w:rPr>
          <w:rFonts w:asciiTheme="majorBidi" w:hAnsiTheme="majorBidi"/>
          <w:color w:val="0F1115"/>
          <w:sz w:val="28"/>
          <w:szCs w:val="28"/>
          <w:rtl/>
        </w:rPr>
        <w:t>أو نوع المستشفى (حكومي/خاص)؟</w:t>
      </w:r>
    </w:p>
    <w:p w14:paraId="07FDC5CB" w14:textId="30D64026" w:rsidR="00DA179D" w:rsidRPr="00D245A9" w:rsidRDefault="00DA179D" w:rsidP="00D245A9">
      <w:pPr>
        <w:pStyle w:val="Heading3"/>
        <w:numPr>
          <w:ilvl w:val="0"/>
          <w:numId w:val="44"/>
        </w:numPr>
        <w:shd w:val="clear" w:color="auto" w:fill="FFFFFF"/>
        <w:bidi/>
        <w:spacing w:before="0" w:line="450" w:lineRule="atLeast"/>
        <w:jc w:val="lowKashida"/>
        <w:rPr>
          <w:rFonts w:asciiTheme="majorBidi" w:hAnsiTheme="majorBidi"/>
          <w:color w:val="0F1115"/>
          <w:sz w:val="28"/>
          <w:szCs w:val="28"/>
        </w:rPr>
      </w:pPr>
      <w:r w:rsidRPr="00D245A9">
        <w:rPr>
          <w:rFonts w:asciiTheme="majorBidi" w:hAnsiTheme="majorBidi"/>
          <w:color w:val="0F1115"/>
          <w:sz w:val="28"/>
          <w:szCs w:val="28"/>
          <w:rtl/>
        </w:rPr>
        <w:t>ما جودة الأدلة المتاحة، وما الثغرات المنهجية والموضوعية في الدراسات السابقة؟</w:t>
      </w:r>
    </w:p>
    <w:p w14:paraId="2D99A429" w14:textId="7805E94D" w:rsidR="00DA179D" w:rsidRPr="008D198B" w:rsidRDefault="00D245A9" w:rsidP="00DA179D">
      <w:pPr>
        <w:pStyle w:val="Heading3"/>
        <w:shd w:val="clear" w:color="auto" w:fill="FFFFFF"/>
        <w:bidi/>
        <w:spacing w:before="480" w:after="240" w:line="450" w:lineRule="atLeast"/>
        <w:jc w:val="lowKashida"/>
        <w:rPr>
          <w:rFonts w:asciiTheme="majorBidi" w:hAnsiTheme="majorBidi"/>
          <w:color w:val="0F1115"/>
          <w:sz w:val="28"/>
          <w:szCs w:val="28"/>
        </w:rPr>
      </w:pPr>
      <w:r w:rsidRPr="008D198B">
        <w:rPr>
          <w:rFonts w:asciiTheme="majorBidi" w:hAnsiTheme="majorBidi"/>
          <w:color w:val="0F1115"/>
          <w:sz w:val="28"/>
          <w:szCs w:val="28"/>
          <w:rtl/>
        </w:rPr>
        <w:t xml:space="preserve">١.٦ </w:t>
      </w:r>
      <w:r w:rsidR="00DA179D" w:rsidRPr="008D198B">
        <w:rPr>
          <w:rFonts w:asciiTheme="majorBidi" w:hAnsiTheme="majorBidi"/>
          <w:color w:val="0F1115"/>
          <w:sz w:val="28"/>
          <w:szCs w:val="28"/>
          <w:rtl/>
        </w:rPr>
        <w:t>حدود الدراسة</w:t>
      </w:r>
    </w:p>
    <w:p w14:paraId="7A3B8132"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تتمثل حدود هذه المراجعة المنهجية في الآتي</w:t>
      </w:r>
      <w:r w:rsidRPr="00D245A9">
        <w:rPr>
          <w:rFonts w:asciiTheme="majorBidi" w:hAnsiTheme="majorBidi" w:cstheme="majorBidi"/>
          <w:color w:val="0F1115"/>
          <w:sz w:val="28"/>
          <w:szCs w:val="28"/>
        </w:rPr>
        <w:t>:</w:t>
      </w:r>
    </w:p>
    <w:p w14:paraId="57D8663B"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Style w:val="Strong"/>
          <w:rFonts w:asciiTheme="majorBidi" w:hAnsiTheme="majorBidi" w:cstheme="majorBidi"/>
          <w:color w:val="0F1115"/>
          <w:sz w:val="28"/>
          <w:szCs w:val="28"/>
          <w:rtl/>
        </w:rPr>
        <w:t>الحدود الموضوعية</w:t>
      </w:r>
      <w:r w:rsidRPr="00D245A9">
        <w:rPr>
          <w:rStyle w:val="Strong"/>
          <w:rFonts w:asciiTheme="majorBidi" w:hAnsiTheme="majorBidi" w:cstheme="majorBidi"/>
          <w:color w:val="0F1115"/>
          <w:sz w:val="28"/>
          <w:szCs w:val="28"/>
        </w:rPr>
        <w:t>:</w:t>
      </w:r>
    </w:p>
    <w:p w14:paraId="23D6C412" w14:textId="77777777" w:rsidR="00DA179D" w:rsidRPr="00D245A9" w:rsidRDefault="00DA179D" w:rsidP="00DA179D">
      <w:pPr>
        <w:pStyle w:val="ds-markdown-paragraph"/>
        <w:numPr>
          <w:ilvl w:val="0"/>
          <w:numId w:val="6"/>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تقتصر المراجعة على الدراسات التي تناولت العلاقة بين إدارة الموارد البشرية والاحتفاظ بالكادر الطبي، وانعكاس ذلك على جودة الرعاية</w:t>
      </w:r>
      <w:r w:rsidRPr="00D245A9">
        <w:rPr>
          <w:rFonts w:asciiTheme="majorBidi" w:hAnsiTheme="majorBidi" w:cstheme="majorBidi"/>
          <w:color w:val="0F1115"/>
          <w:sz w:val="28"/>
          <w:szCs w:val="28"/>
        </w:rPr>
        <w:t>.</w:t>
      </w:r>
    </w:p>
    <w:p w14:paraId="297BE1D7"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Style w:val="Strong"/>
          <w:rFonts w:asciiTheme="majorBidi" w:hAnsiTheme="majorBidi" w:cstheme="majorBidi"/>
          <w:color w:val="0F1115"/>
          <w:sz w:val="28"/>
          <w:szCs w:val="28"/>
          <w:rtl/>
        </w:rPr>
        <w:t>الحدود الزمنية</w:t>
      </w:r>
      <w:r w:rsidRPr="00D245A9">
        <w:rPr>
          <w:rStyle w:val="Strong"/>
          <w:rFonts w:asciiTheme="majorBidi" w:hAnsiTheme="majorBidi" w:cstheme="majorBidi"/>
          <w:color w:val="0F1115"/>
          <w:sz w:val="28"/>
          <w:szCs w:val="28"/>
        </w:rPr>
        <w:t>:</w:t>
      </w:r>
    </w:p>
    <w:p w14:paraId="1093B4F3" w14:textId="56C72083" w:rsidR="00DA179D" w:rsidRPr="00D245A9" w:rsidRDefault="00DA179D" w:rsidP="00DA179D">
      <w:pPr>
        <w:pStyle w:val="ds-markdown-paragraph"/>
        <w:numPr>
          <w:ilvl w:val="0"/>
          <w:numId w:val="7"/>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تشمل المراجعة الدراسات المنشورة في الفترة من 2015 إلى 2026</w:t>
      </w:r>
      <w:r w:rsidRPr="00D245A9">
        <w:rPr>
          <w:rFonts w:asciiTheme="majorBidi" w:hAnsiTheme="majorBidi" w:cstheme="majorBidi"/>
          <w:color w:val="0F1115"/>
          <w:sz w:val="28"/>
          <w:szCs w:val="28"/>
        </w:rPr>
        <w:t>.</w:t>
      </w:r>
    </w:p>
    <w:p w14:paraId="337CB5A7" w14:textId="77777777" w:rsidR="00DA179D" w:rsidRPr="00D245A9"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D245A9">
        <w:rPr>
          <w:rStyle w:val="Strong"/>
          <w:rFonts w:asciiTheme="majorBidi" w:hAnsiTheme="majorBidi" w:cstheme="majorBidi"/>
          <w:color w:val="0F1115"/>
          <w:sz w:val="28"/>
          <w:szCs w:val="28"/>
          <w:rtl/>
        </w:rPr>
        <w:t>حدود نوع المنشورات</w:t>
      </w:r>
      <w:r w:rsidRPr="00D245A9">
        <w:rPr>
          <w:rStyle w:val="Strong"/>
          <w:rFonts w:asciiTheme="majorBidi" w:hAnsiTheme="majorBidi" w:cstheme="majorBidi"/>
          <w:color w:val="0F1115"/>
          <w:sz w:val="28"/>
          <w:szCs w:val="28"/>
        </w:rPr>
        <w:t>:</w:t>
      </w:r>
    </w:p>
    <w:p w14:paraId="1CA01896" w14:textId="4E8550B7" w:rsidR="00DA179D" w:rsidRDefault="00DA179D" w:rsidP="00DA179D">
      <w:pPr>
        <w:pStyle w:val="ds-markdown-paragraph"/>
        <w:numPr>
          <w:ilvl w:val="0"/>
          <w:numId w:val="10"/>
        </w:numPr>
        <w:shd w:val="clear" w:color="auto" w:fill="FFFFFF"/>
        <w:bidi/>
        <w:spacing w:before="0" w:beforeAutospacing="0" w:after="0" w:afterAutospacing="0"/>
        <w:jc w:val="lowKashida"/>
        <w:rPr>
          <w:rFonts w:asciiTheme="majorBidi" w:hAnsiTheme="majorBidi" w:cstheme="majorBidi"/>
          <w:color w:val="0F1115"/>
          <w:sz w:val="28"/>
          <w:szCs w:val="28"/>
        </w:rPr>
      </w:pPr>
      <w:r w:rsidRPr="00D245A9">
        <w:rPr>
          <w:rFonts w:asciiTheme="majorBidi" w:hAnsiTheme="majorBidi" w:cstheme="majorBidi"/>
          <w:color w:val="0F1115"/>
          <w:sz w:val="28"/>
          <w:szCs w:val="28"/>
          <w:rtl/>
        </w:rPr>
        <w:t>تشمل المراجعة الدراسات الأصلية (كمية، نوعية، مختلطة) المنشورة في دوريات محكمة</w:t>
      </w:r>
      <w:r w:rsidRPr="00D245A9">
        <w:rPr>
          <w:rFonts w:asciiTheme="majorBidi" w:hAnsiTheme="majorBidi" w:cstheme="majorBidi"/>
          <w:color w:val="0F1115"/>
          <w:sz w:val="28"/>
          <w:szCs w:val="28"/>
        </w:rPr>
        <w:t>.</w:t>
      </w:r>
    </w:p>
    <w:p w14:paraId="2ADA8399" w14:textId="77777777" w:rsidR="008D198B" w:rsidRDefault="008D198B" w:rsidP="008D198B">
      <w:pPr>
        <w:pStyle w:val="ds-markdown-paragraph"/>
        <w:shd w:val="clear" w:color="auto" w:fill="FFFFFF"/>
        <w:bidi/>
        <w:spacing w:before="0" w:beforeAutospacing="0" w:after="0" w:afterAutospacing="0"/>
        <w:ind w:left="720"/>
        <w:jc w:val="lowKashida"/>
        <w:rPr>
          <w:rFonts w:asciiTheme="majorBidi" w:hAnsiTheme="majorBidi" w:cstheme="majorBidi"/>
          <w:color w:val="0F1115"/>
          <w:sz w:val="28"/>
          <w:szCs w:val="28"/>
          <w:rtl/>
        </w:rPr>
      </w:pPr>
    </w:p>
    <w:p w14:paraId="7A44BA0B" w14:textId="77777777" w:rsidR="008D198B" w:rsidRPr="00D245A9" w:rsidRDefault="008D198B" w:rsidP="008D198B">
      <w:pPr>
        <w:pStyle w:val="ds-markdown-paragraph"/>
        <w:shd w:val="clear" w:color="auto" w:fill="FFFFFF"/>
        <w:bidi/>
        <w:spacing w:before="0" w:beforeAutospacing="0" w:after="0" w:afterAutospacing="0"/>
        <w:ind w:left="720"/>
        <w:jc w:val="lowKashida"/>
        <w:rPr>
          <w:rFonts w:asciiTheme="majorBidi" w:hAnsiTheme="majorBidi" w:cstheme="majorBidi"/>
          <w:color w:val="0F1115"/>
          <w:sz w:val="28"/>
          <w:szCs w:val="28"/>
        </w:rPr>
      </w:pPr>
    </w:p>
    <w:p w14:paraId="44DC036A" w14:textId="513CC73E" w:rsidR="00DA179D" w:rsidRPr="008D198B" w:rsidRDefault="008D198B" w:rsidP="00DA179D">
      <w:pPr>
        <w:pStyle w:val="Heading3"/>
        <w:shd w:val="clear" w:color="auto" w:fill="FFFFFF"/>
        <w:bidi/>
        <w:spacing w:before="480" w:after="240" w:line="450" w:lineRule="atLeast"/>
        <w:jc w:val="lowKashida"/>
        <w:rPr>
          <w:rFonts w:asciiTheme="majorBidi" w:hAnsiTheme="majorBidi"/>
          <w:color w:val="0F1115"/>
          <w:sz w:val="28"/>
          <w:szCs w:val="28"/>
        </w:rPr>
      </w:pPr>
      <w:r w:rsidRPr="008D198B">
        <w:rPr>
          <w:rFonts w:asciiTheme="majorBidi" w:hAnsiTheme="majorBidi"/>
          <w:color w:val="0F1115"/>
          <w:sz w:val="28"/>
          <w:szCs w:val="28"/>
          <w:rtl/>
        </w:rPr>
        <w:lastRenderedPageBreak/>
        <w:t xml:space="preserve">١.٧. </w:t>
      </w:r>
      <w:r w:rsidR="00DA179D" w:rsidRPr="008D198B">
        <w:rPr>
          <w:rFonts w:asciiTheme="majorBidi" w:hAnsiTheme="majorBidi"/>
          <w:color w:val="0F1115"/>
          <w:sz w:val="28"/>
          <w:szCs w:val="28"/>
          <w:rtl/>
        </w:rPr>
        <w:t>تعريف المصطلحات</w:t>
      </w:r>
    </w:p>
    <w:p w14:paraId="67068925"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المراجعة المنهجية</w:t>
      </w:r>
      <w:r w:rsidRPr="008D198B">
        <w:rPr>
          <w:rStyle w:val="Strong"/>
          <w:rFonts w:asciiTheme="majorBidi" w:hAnsiTheme="majorBidi" w:cstheme="majorBidi"/>
          <w:color w:val="0F1115"/>
          <w:sz w:val="28"/>
          <w:szCs w:val="28"/>
        </w:rPr>
        <w:t xml:space="preserve"> (Systematic Review):</w:t>
      </w:r>
    </w:p>
    <w:p w14:paraId="477BD9F1" w14:textId="114A3601"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Pr>
        <w:t>"</w:t>
      </w:r>
      <w:r w:rsidRPr="008D198B">
        <w:rPr>
          <w:rFonts w:asciiTheme="majorBidi" w:hAnsiTheme="majorBidi" w:cstheme="majorBidi"/>
          <w:color w:val="0F1115"/>
          <w:sz w:val="28"/>
          <w:szCs w:val="28"/>
          <w:rtl/>
        </w:rPr>
        <w:t>شكل من أشكال مراجعة الأدبيات يتضمن استراتيجية بحث شاملة وقابلة للتكرار، ومعايير واضحة لاختيار الدراسات، وتقييماً منهجياً لجودتها، وتحليلاً تركيبياً لنتائجها، بهدف الإجابة عن سؤال بحثي محدد</w:t>
      </w:r>
      <w:r w:rsidRPr="008D198B">
        <w:rPr>
          <w:rFonts w:asciiTheme="majorBidi" w:hAnsiTheme="majorBidi" w:cstheme="majorBidi"/>
          <w:color w:val="0F1115"/>
          <w:sz w:val="28"/>
          <w:szCs w:val="28"/>
        </w:rPr>
        <w:t>" .</w:t>
      </w:r>
    </w:p>
    <w:p w14:paraId="65E1BC67"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إدارة الموارد البشرية</w:t>
      </w:r>
      <w:r w:rsidRPr="008D198B">
        <w:rPr>
          <w:rStyle w:val="Strong"/>
          <w:rFonts w:asciiTheme="majorBidi" w:hAnsiTheme="majorBidi" w:cstheme="majorBidi"/>
          <w:color w:val="0F1115"/>
          <w:sz w:val="28"/>
          <w:szCs w:val="28"/>
        </w:rPr>
        <w:t xml:space="preserve"> (Human Resource Management):</w:t>
      </w:r>
    </w:p>
    <w:p w14:paraId="7564C39F" w14:textId="5E906E3B"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Pr>
        <w:t>"</w:t>
      </w:r>
      <w:r w:rsidRPr="008D198B">
        <w:rPr>
          <w:rFonts w:asciiTheme="majorBidi" w:hAnsiTheme="majorBidi" w:cstheme="majorBidi"/>
          <w:color w:val="0F1115"/>
          <w:sz w:val="28"/>
          <w:szCs w:val="28"/>
          <w:rtl/>
        </w:rPr>
        <w:t>هي الوظيفة الإدارية المسؤولة عن استقطاب وتطوير وتحفيز والمحافظة على الموارد البشرية في المنظمة، بهدف تحقيق أهداف المنظمة وأهداف العاملين معاً</w:t>
      </w:r>
      <w:r w:rsidRPr="008D198B">
        <w:rPr>
          <w:rFonts w:asciiTheme="majorBidi" w:hAnsiTheme="majorBidi" w:cstheme="majorBidi"/>
          <w:color w:val="0F1115"/>
          <w:sz w:val="28"/>
          <w:szCs w:val="28"/>
        </w:rPr>
        <w:t>" (Armstrong, 2020, p. 8).</w:t>
      </w:r>
    </w:p>
    <w:p w14:paraId="0B97909D"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الاحتفاظ بالكادر الطبي</w:t>
      </w:r>
      <w:r w:rsidRPr="008D198B">
        <w:rPr>
          <w:rStyle w:val="Strong"/>
          <w:rFonts w:asciiTheme="majorBidi" w:hAnsiTheme="majorBidi" w:cstheme="majorBidi"/>
          <w:color w:val="0F1115"/>
          <w:sz w:val="28"/>
          <w:szCs w:val="28"/>
        </w:rPr>
        <w:t xml:space="preserve"> (Medical Staff Retention):</w:t>
      </w:r>
    </w:p>
    <w:p w14:paraId="35B19922" w14:textId="509389D6"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"قدرة المنظمة الصحية على إبقاء العاملين لديها من الكوادر الطبية المؤهلة لأطول فترة ممكنة، وخفض معدلات تركهم الطوعي للعمل</w:t>
      </w:r>
      <w:r w:rsidRPr="008D198B">
        <w:rPr>
          <w:rFonts w:asciiTheme="majorBidi" w:hAnsiTheme="majorBidi" w:cstheme="majorBidi"/>
          <w:color w:val="0F1115"/>
          <w:sz w:val="28"/>
          <w:szCs w:val="28"/>
        </w:rPr>
        <w:t>" (Price, 2021).</w:t>
      </w:r>
    </w:p>
    <w:p w14:paraId="55B19650"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دوران العمل</w:t>
      </w:r>
      <w:r w:rsidRPr="008D198B">
        <w:rPr>
          <w:rStyle w:val="Strong"/>
          <w:rFonts w:asciiTheme="majorBidi" w:hAnsiTheme="majorBidi" w:cstheme="majorBidi"/>
          <w:color w:val="0F1115"/>
          <w:sz w:val="28"/>
          <w:szCs w:val="28"/>
        </w:rPr>
        <w:t xml:space="preserve"> (Turnover):</w:t>
      </w:r>
    </w:p>
    <w:p w14:paraId="794C7641" w14:textId="18E059A0"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"مغادرة العاملين للمنظمة بشكل طوعي (استقالة) أو إجباري (فصل)، ويتم قياسه عادة بنسبة الذين تركوا العمل خلال فترة زمنية معينة</w:t>
      </w:r>
      <w:r w:rsidRPr="008D198B">
        <w:rPr>
          <w:rFonts w:asciiTheme="majorBidi" w:hAnsiTheme="majorBidi" w:cstheme="majorBidi"/>
          <w:color w:val="0F1115"/>
          <w:sz w:val="28"/>
          <w:szCs w:val="28"/>
        </w:rPr>
        <w:t>" (Mobley, 2020).</w:t>
      </w:r>
    </w:p>
    <w:p w14:paraId="569B35F2"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جودة الرعاية الصحية</w:t>
      </w:r>
      <w:r w:rsidRPr="008D198B">
        <w:rPr>
          <w:rStyle w:val="Strong"/>
          <w:rFonts w:asciiTheme="majorBidi" w:hAnsiTheme="majorBidi" w:cstheme="majorBidi"/>
          <w:color w:val="0F1115"/>
          <w:sz w:val="28"/>
          <w:szCs w:val="28"/>
        </w:rPr>
        <w:t xml:space="preserve"> (Quality of Health Care):</w:t>
      </w:r>
    </w:p>
    <w:p w14:paraId="056191B4" w14:textId="763B28DA"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Pr>
        <w:t>"</w:t>
      </w:r>
      <w:r w:rsidRPr="008D198B">
        <w:rPr>
          <w:rFonts w:asciiTheme="majorBidi" w:hAnsiTheme="majorBidi" w:cstheme="majorBidi"/>
          <w:color w:val="0F1115"/>
          <w:sz w:val="28"/>
          <w:szCs w:val="28"/>
          <w:rtl/>
        </w:rPr>
        <w:t>الدرجة التي تزداد بها احتمالية تحقيق النتائج المرجوة للمرضى، وتتوافق مع المعرفة المهنية الحالية. وتتضمن ستة أبعاد: السلامة، الفعالية، التركيز على المريض، التوقيت المناسب، الكفاءة، والعدالة</w:t>
      </w:r>
      <w:r w:rsidRPr="008D198B">
        <w:rPr>
          <w:rFonts w:asciiTheme="majorBidi" w:hAnsiTheme="majorBidi" w:cstheme="majorBidi"/>
          <w:color w:val="0F1115"/>
          <w:sz w:val="28"/>
          <w:szCs w:val="28"/>
        </w:rPr>
        <w:t>" (Institute of Medicine, 2001).</w:t>
      </w:r>
    </w:p>
    <w:p w14:paraId="5E488DED" w14:textId="77777777"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الكادر الطبي</w:t>
      </w:r>
      <w:r w:rsidRPr="008D198B">
        <w:rPr>
          <w:rStyle w:val="Strong"/>
          <w:rFonts w:asciiTheme="majorBidi" w:hAnsiTheme="majorBidi" w:cstheme="majorBidi"/>
          <w:color w:val="0F1115"/>
          <w:sz w:val="28"/>
          <w:szCs w:val="28"/>
        </w:rPr>
        <w:t xml:space="preserve"> (Medical Staff):</w:t>
      </w:r>
    </w:p>
    <w:p w14:paraId="0B1F640F" w14:textId="22CE4562" w:rsidR="00DA179D" w:rsidRPr="008D198B" w:rsidRDefault="00DA179D" w:rsidP="00DA179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يشمل الأطباء (استشاريين، أخصائيين، مقيمين)، وهيئة التمريض (ممرضين وقابلات)، والصيادلة، وفنيي المختبرات والأشعة، الذين يعملون بشكل مباشر في تقديم الرعاية الصحية للمرضى داخل المستشفى</w:t>
      </w:r>
      <w:r w:rsidRPr="008D198B">
        <w:rPr>
          <w:rFonts w:asciiTheme="majorBidi" w:hAnsiTheme="majorBidi" w:cstheme="majorBidi"/>
          <w:color w:val="0F1115"/>
          <w:sz w:val="28"/>
          <w:szCs w:val="28"/>
        </w:rPr>
        <w:t>.</w:t>
      </w:r>
    </w:p>
    <w:p w14:paraId="3D346AF5" w14:textId="77777777" w:rsidR="00F925D0" w:rsidRDefault="00F925D0" w:rsidP="00D22171">
      <w:pPr>
        <w:rPr>
          <w:rFonts w:ascii="Sakkal Majalla" w:hAnsi="Sakkal Majalla" w:cs="Sakkal Majalla"/>
          <w:sz w:val="28"/>
          <w:szCs w:val="28"/>
          <w:rtl/>
        </w:rPr>
      </w:pPr>
    </w:p>
    <w:p w14:paraId="1EAC15C7" w14:textId="77777777" w:rsidR="008D198B" w:rsidRDefault="008D198B" w:rsidP="00D22171">
      <w:pPr>
        <w:rPr>
          <w:rFonts w:ascii="Sakkal Majalla" w:hAnsi="Sakkal Majalla" w:cs="Sakkal Majalla"/>
          <w:sz w:val="28"/>
          <w:szCs w:val="28"/>
          <w:rtl/>
        </w:rPr>
      </w:pPr>
    </w:p>
    <w:p w14:paraId="17456ABB" w14:textId="77777777" w:rsidR="008D198B" w:rsidRDefault="008D198B" w:rsidP="00D22171">
      <w:pPr>
        <w:rPr>
          <w:rFonts w:ascii="Sakkal Majalla" w:hAnsi="Sakkal Majalla" w:cs="Sakkal Majalla"/>
          <w:sz w:val="28"/>
          <w:szCs w:val="28"/>
          <w:rtl/>
        </w:rPr>
      </w:pPr>
    </w:p>
    <w:p w14:paraId="1EEF1F04" w14:textId="77777777" w:rsidR="008D198B" w:rsidRDefault="008D198B" w:rsidP="00D22171">
      <w:pPr>
        <w:rPr>
          <w:rFonts w:ascii="Sakkal Majalla" w:hAnsi="Sakkal Majalla" w:cs="Sakkal Majalla"/>
          <w:sz w:val="28"/>
          <w:szCs w:val="28"/>
          <w:rtl/>
        </w:rPr>
      </w:pPr>
    </w:p>
    <w:p w14:paraId="619E1934" w14:textId="77777777" w:rsidR="008D198B" w:rsidRDefault="008D198B" w:rsidP="00D22171">
      <w:pPr>
        <w:rPr>
          <w:rFonts w:ascii="Sakkal Majalla" w:hAnsi="Sakkal Majalla" w:cs="Sakkal Majalla"/>
          <w:sz w:val="28"/>
          <w:szCs w:val="28"/>
          <w:rtl/>
        </w:rPr>
      </w:pPr>
    </w:p>
    <w:p w14:paraId="07B39FCE" w14:textId="77777777" w:rsidR="008D198B" w:rsidRDefault="008D198B" w:rsidP="00D22171">
      <w:pPr>
        <w:rPr>
          <w:rFonts w:ascii="Sakkal Majalla" w:hAnsi="Sakkal Majalla" w:cs="Sakkal Majalla"/>
          <w:sz w:val="28"/>
          <w:szCs w:val="28"/>
          <w:rtl/>
        </w:rPr>
      </w:pPr>
    </w:p>
    <w:p w14:paraId="3D0BF854" w14:textId="77777777" w:rsidR="008D198B" w:rsidRDefault="008D198B" w:rsidP="00D22171">
      <w:pPr>
        <w:rPr>
          <w:rFonts w:ascii="Sakkal Majalla" w:hAnsi="Sakkal Majalla" w:cs="Sakkal Majalla"/>
          <w:sz w:val="28"/>
          <w:szCs w:val="28"/>
          <w:rtl/>
        </w:rPr>
      </w:pPr>
    </w:p>
    <w:p w14:paraId="03D81ADE" w14:textId="77777777" w:rsidR="008D198B" w:rsidRDefault="008D198B" w:rsidP="00D22171">
      <w:pPr>
        <w:rPr>
          <w:rFonts w:ascii="Sakkal Majalla" w:hAnsi="Sakkal Majalla" w:cs="Sakkal Majalla"/>
          <w:sz w:val="28"/>
          <w:szCs w:val="28"/>
          <w:rtl/>
        </w:rPr>
      </w:pPr>
    </w:p>
    <w:p w14:paraId="438CFE22" w14:textId="77777777" w:rsidR="008D198B" w:rsidRDefault="008D198B"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2185D283" w14:textId="77777777" w:rsidR="00F00D5E" w:rsidRDefault="00F00D5E" w:rsidP="00F00D5E">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1EB2BAAF" w14:textId="77777777" w:rsidR="00F00D5E" w:rsidRDefault="00F00D5E" w:rsidP="00D22171">
      <w:pPr>
        <w:rPr>
          <w:rFonts w:ascii="Sakkal Majalla" w:hAnsi="Sakkal Majalla" w:cs="Sakkal Majalla"/>
          <w:sz w:val="28"/>
          <w:szCs w:val="28"/>
          <w:u w:val="single"/>
          <w:rtl/>
        </w:rPr>
      </w:pPr>
    </w:p>
    <w:p w14:paraId="1309C745" w14:textId="77777777" w:rsidR="00F00D5E" w:rsidRDefault="00F00D5E" w:rsidP="00D22171">
      <w:pPr>
        <w:rPr>
          <w:rFonts w:ascii="Sakkal Majalla" w:hAnsi="Sakkal Majalla" w:cs="Sakkal Majalla"/>
          <w:sz w:val="28"/>
          <w:szCs w:val="28"/>
          <w:u w:val="single"/>
          <w:rtl/>
        </w:rPr>
      </w:pPr>
    </w:p>
    <w:p w14:paraId="00E52F10" w14:textId="77777777" w:rsidR="00F00D5E" w:rsidRDefault="00F00D5E" w:rsidP="00D22171">
      <w:pPr>
        <w:rPr>
          <w:rFonts w:ascii="Sakkal Majalla" w:hAnsi="Sakkal Majalla" w:cs="Sakkal Majalla"/>
          <w:sz w:val="28"/>
          <w:szCs w:val="28"/>
          <w:u w:val="single"/>
          <w:rtl/>
        </w:rPr>
      </w:pPr>
    </w:p>
    <w:p w14:paraId="234E42D2" w14:textId="77777777" w:rsidR="00F00D5E" w:rsidRDefault="00F00D5E" w:rsidP="00D22171">
      <w:pPr>
        <w:rPr>
          <w:rFonts w:ascii="Sakkal Majalla" w:hAnsi="Sakkal Majalla" w:cs="Sakkal Majalla"/>
          <w:sz w:val="28"/>
          <w:szCs w:val="28"/>
          <w:u w:val="single"/>
          <w:rtl/>
        </w:rPr>
      </w:pPr>
    </w:p>
    <w:p w14:paraId="483645AF" w14:textId="77777777" w:rsidR="00F00D5E" w:rsidRDefault="00F00D5E" w:rsidP="00D22171">
      <w:pPr>
        <w:rPr>
          <w:rFonts w:ascii="Sakkal Majalla" w:hAnsi="Sakkal Majalla" w:cs="Sakkal Majalla"/>
          <w:sz w:val="28"/>
          <w:szCs w:val="28"/>
          <w:u w:val="single"/>
          <w:rtl/>
        </w:rPr>
      </w:pPr>
    </w:p>
    <w:p w14:paraId="013564A3" w14:textId="77777777" w:rsidR="00F00D5E" w:rsidRDefault="00F00D5E" w:rsidP="00D22171">
      <w:pPr>
        <w:rPr>
          <w:rFonts w:ascii="Sakkal Majalla" w:hAnsi="Sakkal Majalla" w:cs="Sakkal Majalla"/>
          <w:sz w:val="28"/>
          <w:szCs w:val="28"/>
          <w:u w:val="single"/>
          <w:rtl/>
        </w:rPr>
      </w:pPr>
    </w:p>
    <w:p w14:paraId="71F5D50F" w14:textId="77777777" w:rsidR="00F00D5E" w:rsidRDefault="00F00D5E" w:rsidP="00D22171">
      <w:pPr>
        <w:rPr>
          <w:rFonts w:ascii="Sakkal Majalla" w:hAnsi="Sakkal Majalla" w:cs="Sakkal Majalla"/>
          <w:sz w:val="28"/>
          <w:szCs w:val="28"/>
          <w:u w:val="single"/>
          <w:rtl/>
        </w:rPr>
      </w:pPr>
    </w:p>
    <w:p w14:paraId="170CAFE2" w14:textId="77777777" w:rsidR="00F00D5E" w:rsidRDefault="00F00D5E" w:rsidP="00D22171">
      <w:pPr>
        <w:rPr>
          <w:rFonts w:ascii="Sakkal Majalla" w:hAnsi="Sakkal Majalla" w:cs="Sakkal Majalla"/>
          <w:sz w:val="28"/>
          <w:szCs w:val="28"/>
          <w:u w:val="single"/>
          <w:rtl/>
        </w:rPr>
      </w:pPr>
    </w:p>
    <w:p w14:paraId="6D1E519B" w14:textId="77777777" w:rsidR="008D198B" w:rsidRDefault="008D198B" w:rsidP="008D198B">
      <w:pPr>
        <w:bidi/>
        <w:jc w:val="lowKashida"/>
        <w:rPr>
          <w:rFonts w:ascii="Sakkal Majalla" w:hAnsi="Sakkal Majalla" w:cs="Sakkal Majalla"/>
          <w:sz w:val="28"/>
          <w:szCs w:val="28"/>
          <w:u w:val="single"/>
          <w:rtl/>
        </w:rPr>
      </w:pPr>
    </w:p>
    <w:p w14:paraId="554F409C" w14:textId="77777777" w:rsidR="008D198B" w:rsidRDefault="008D198B" w:rsidP="00F00D5E">
      <w:pPr>
        <w:bidi/>
        <w:jc w:val="lowKashida"/>
        <w:rPr>
          <w:rFonts w:asciiTheme="majorBidi" w:hAnsiTheme="majorBidi" w:cstheme="majorBidi"/>
          <w:sz w:val="28"/>
          <w:szCs w:val="28"/>
          <w:u w:val="single"/>
          <w:rtl/>
        </w:rPr>
      </w:pPr>
    </w:p>
    <w:p w14:paraId="363260E8" w14:textId="3F2DA63D" w:rsidR="00F925D0" w:rsidRPr="00E60DC2" w:rsidRDefault="00F925D0" w:rsidP="008D198B">
      <w:pPr>
        <w:bidi/>
        <w:jc w:val="lowKashida"/>
        <w:rPr>
          <w:rFonts w:asciiTheme="majorBidi" w:hAnsiTheme="majorBidi" w:cstheme="majorBidi" w:hint="cs"/>
          <w:sz w:val="28"/>
          <w:szCs w:val="28"/>
          <w:u w:val="single"/>
          <w:lang w:val="en-US"/>
        </w:rPr>
      </w:pPr>
      <w:r w:rsidRPr="008D198B">
        <w:rPr>
          <w:rFonts w:asciiTheme="majorBidi" w:hAnsiTheme="majorBidi" w:cstheme="majorBidi"/>
          <w:sz w:val="28"/>
          <w:szCs w:val="28"/>
          <w:u w:val="single"/>
          <w:rtl/>
        </w:rPr>
        <w:lastRenderedPageBreak/>
        <w:t>-مقدمة</w:t>
      </w:r>
    </w:p>
    <w:p w14:paraId="4AD66E83" w14:textId="55FF5CC4" w:rsidR="00F00D5E" w:rsidRPr="008D198B" w:rsidRDefault="008D198B" w:rsidP="00F00D5E">
      <w:pPr>
        <w:pStyle w:val="Heading3"/>
        <w:shd w:val="clear" w:color="auto" w:fill="FFFFFF"/>
        <w:bidi/>
        <w:spacing w:before="480" w:after="240" w:line="450" w:lineRule="atLeast"/>
        <w:jc w:val="lowKashida"/>
        <w:rPr>
          <w:rFonts w:asciiTheme="majorBidi" w:hAnsiTheme="majorBidi"/>
          <w:color w:val="0F1115"/>
          <w:sz w:val="28"/>
          <w:szCs w:val="28"/>
        </w:rPr>
      </w:pPr>
      <w:r>
        <w:rPr>
          <w:rFonts w:asciiTheme="majorBidi" w:hAnsiTheme="majorBidi" w:hint="cs"/>
          <w:color w:val="0F1115"/>
          <w:sz w:val="28"/>
          <w:szCs w:val="28"/>
          <w:rtl/>
        </w:rPr>
        <w:t xml:space="preserve">٢.١. </w:t>
      </w:r>
      <w:r w:rsidR="00F00D5E" w:rsidRPr="008D198B">
        <w:rPr>
          <w:rFonts w:asciiTheme="majorBidi" w:hAnsiTheme="majorBidi"/>
          <w:color w:val="0F1115"/>
          <w:sz w:val="28"/>
          <w:szCs w:val="28"/>
          <w:rtl/>
        </w:rPr>
        <w:t>إدارة الموارد البشرية في المستشفيات</w:t>
      </w:r>
    </w:p>
    <w:p w14:paraId="1F5A751A" w14:textId="70048D8D" w:rsidR="00F00D5E" w:rsidRPr="008D198B" w:rsidRDefault="008D198B" w:rsidP="00F00D5E">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8D198B">
        <w:rPr>
          <w:rFonts w:asciiTheme="majorBidi" w:hAnsiTheme="majorBidi" w:hint="cs"/>
          <w:i w:val="0"/>
          <w:iCs w:val="0"/>
          <w:color w:val="0F1115"/>
          <w:sz w:val="28"/>
          <w:szCs w:val="28"/>
          <w:rtl/>
        </w:rPr>
        <w:t>٢.١.١.</w:t>
      </w:r>
      <w:r w:rsidR="00F00D5E" w:rsidRPr="008D198B">
        <w:rPr>
          <w:rFonts w:asciiTheme="majorBidi" w:hAnsiTheme="majorBidi"/>
          <w:i w:val="0"/>
          <w:iCs w:val="0"/>
          <w:color w:val="0F1115"/>
          <w:sz w:val="28"/>
          <w:szCs w:val="28"/>
        </w:rPr>
        <w:t xml:space="preserve"> </w:t>
      </w:r>
      <w:r w:rsidR="00F00D5E" w:rsidRPr="008D198B">
        <w:rPr>
          <w:rFonts w:asciiTheme="majorBidi" w:hAnsiTheme="majorBidi"/>
          <w:i w:val="0"/>
          <w:iCs w:val="0"/>
          <w:color w:val="0F1115"/>
          <w:sz w:val="28"/>
          <w:szCs w:val="28"/>
          <w:rtl/>
        </w:rPr>
        <w:t>مفهوم إدارة الموارد البشرية وتطورها</w:t>
      </w:r>
    </w:p>
    <w:p w14:paraId="6C4B344B" w14:textId="589978CB"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تعد إدارة الموارد البشرية من الإدار</w:t>
      </w:r>
      <w:r w:rsidR="00E60DC2">
        <w:rPr>
          <w:rFonts w:asciiTheme="majorBidi" w:hAnsiTheme="majorBidi" w:cstheme="majorBidi" w:hint="cs"/>
          <w:color w:val="0F1115"/>
          <w:sz w:val="28"/>
          <w:szCs w:val="28"/>
          <w:rtl/>
          <w:lang w:val="en-US"/>
        </w:rPr>
        <w:t>ات</w:t>
      </w:r>
      <w:r w:rsidRPr="008D198B">
        <w:rPr>
          <w:rFonts w:asciiTheme="majorBidi" w:hAnsiTheme="majorBidi" w:cstheme="majorBidi"/>
          <w:color w:val="0F1115"/>
          <w:sz w:val="28"/>
          <w:szCs w:val="28"/>
          <w:rtl/>
        </w:rPr>
        <w:t xml:space="preserve"> </w:t>
      </w:r>
      <w:r w:rsidR="00E60DC2">
        <w:rPr>
          <w:rFonts w:asciiTheme="majorBidi" w:hAnsiTheme="majorBidi" w:cstheme="majorBidi" w:hint="cs"/>
          <w:color w:val="0F1115"/>
          <w:sz w:val="28"/>
          <w:szCs w:val="28"/>
          <w:rtl/>
        </w:rPr>
        <w:t>ال</w:t>
      </w:r>
      <w:r w:rsidRPr="008D198B">
        <w:rPr>
          <w:rFonts w:asciiTheme="majorBidi" w:hAnsiTheme="majorBidi" w:cstheme="majorBidi"/>
          <w:color w:val="0F1115"/>
          <w:sz w:val="28"/>
          <w:szCs w:val="28"/>
          <w:rtl/>
        </w:rPr>
        <w:t xml:space="preserve">أكثر تطوراً، حيث انتقلت من </w:t>
      </w:r>
      <w:r w:rsidR="00E60DC2">
        <w:rPr>
          <w:rFonts w:asciiTheme="majorBidi" w:hAnsiTheme="majorBidi" w:cstheme="majorBidi" w:hint="cs"/>
          <w:color w:val="0F1115"/>
          <w:sz w:val="28"/>
          <w:szCs w:val="28"/>
          <w:rtl/>
        </w:rPr>
        <w:t>إدارة</w:t>
      </w:r>
      <w:r w:rsidRPr="008D198B">
        <w:rPr>
          <w:rFonts w:asciiTheme="majorBidi" w:hAnsiTheme="majorBidi" w:cstheme="majorBidi"/>
          <w:color w:val="0F1115"/>
          <w:sz w:val="28"/>
          <w:szCs w:val="28"/>
          <w:rtl/>
        </w:rPr>
        <w:t xml:space="preserve"> </w:t>
      </w:r>
      <w:r w:rsidR="00E60DC2">
        <w:rPr>
          <w:rFonts w:asciiTheme="majorBidi" w:hAnsiTheme="majorBidi" w:cstheme="majorBidi" w:hint="cs"/>
          <w:color w:val="0F1115"/>
          <w:sz w:val="28"/>
          <w:szCs w:val="28"/>
          <w:rtl/>
        </w:rPr>
        <w:t>بمهام</w:t>
      </w:r>
      <w:r w:rsidRPr="008D198B">
        <w:rPr>
          <w:rFonts w:asciiTheme="majorBidi" w:hAnsiTheme="majorBidi" w:cstheme="majorBidi"/>
          <w:color w:val="0F1115"/>
          <w:sz w:val="28"/>
          <w:szCs w:val="28"/>
          <w:rtl/>
        </w:rPr>
        <w:t xml:space="preserve"> روتينية تهتم بشؤون العاملين (إدارة الأفراد) إلى شريك استراتيجي يساهم في تحقيق الميزة التنافسية للمنظمات. ويعرفها</w:t>
      </w:r>
      <w:r w:rsidRPr="008D198B">
        <w:rPr>
          <w:rFonts w:asciiTheme="majorBidi" w:hAnsiTheme="majorBidi" w:cstheme="majorBidi"/>
          <w:color w:val="0F1115"/>
          <w:sz w:val="28"/>
          <w:szCs w:val="28"/>
        </w:rPr>
        <w:t xml:space="preserve"> (Dessler, 2023</w:t>
      </w:r>
      <w:proofErr w:type="gramStart"/>
      <w:r w:rsidRPr="008D198B">
        <w:rPr>
          <w:rFonts w:asciiTheme="majorBidi" w:hAnsiTheme="majorBidi" w:cstheme="majorBidi"/>
          <w:color w:val="0F1115"/>
          <w:sz w:val="28"/>
          <w:szCs w:val="28"/>
        </w:rPr>
        <w:t xml:space="preserve">) </w:t>
      </w:r>
      <w:r w:rsidR="00E60DC2">
        <w:rPr>
          <w:rFonts w:asciiTheme="majorBidi" w:hAnsiTheme="majorBidi" w:cstheme="majorBidi" w:hint="cs"/>
          <w:color w:val="0F1115"/>
          <w:sz w:val="28"/>
          <w:szCs w:val="28"/>
          <w:rtl/>
        </w:rPr>
        <w:t xml:space="preserve"> </w:t>
      </w:r>
      <w:r w:rsidRPr="008D198B">
        <w:rPr>
          <w:rFonts w:asciiTheme="majorBidi" w:hAnsiTheme="majorBidi" w:cstheme="majorBidi"/>
          <w:color w:val="0F1115"/>
          <w:sz w:val="28"/>
          <w:szCs w:val="28"/>
          <w:rtl/>
        </w:rPr>
        <w:t>بأنها</w:t>
      </w:r>
      <w:proofErr w:type="gramEnd"/>
      <w:r w:rsidRPr="008D198B">
        <w:rPr>
          <w:rFonts w:asciiTheme="majorBidi" w:hAnsiTheme="majorBidi" w:cstheme="majorBidi"/>
          <w:color w:val="0F1115"/>
          <w:sz w:val="28"/>
          <w:szCs w:val="28"/>
          <w:rtl/>
        </w:rPr>
        <w:t xml:space="preserve"> "العمليات والممارسات التي تتعلق بإدارة الأفراد في المنظمات، وتشمل التوظيف، التدريب، التقييم، التعويضات، وتوفير بيئة عمل آمنة ومنتجة</w:t>
      </w:r>
      <w:r w:rsidRPr="008D198B">
        <w:rPr>
          <w:rFonts w:asciiTheme="majorBidi" w:hAnsiTheme="majorBidi" w:cstheme="majorBidi"/>
          <w:color w:val="0F1115"/>
          <w:sz w:val="28"/>
          <w:szCs w:val="28"/>
        </w:rPr>
        <w:t>".</w:t>
      </w:r>
    </w:p>
    <w:p w14:paraId="1C2216E3"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أما في القطاع الصحي، فتكتسي إدارة الموارد البشرية خصوصية كبيرة نظراً لطبيعة العمل الصحي الذي يتطلب</w:t>
      </w:r>
      <w:r w:rsidRPr="008D198B">
        <w:rPr>
          <w:rFonts w:asciiTheme="majorBidi" w:hAnsiTheme="majorBidi" w:cstheme="majorBidi"/>
          <w:color w:val="0F1115"/>
          <w:sz w:val="28"/>
          <w:szCs w:val="28"/>
        </w:rPr>
        <w:t>:</w:t>
      </w:r>
    </w:p>
    <w:p w14:paraId="62D4BCD5" w14:textId="77777777" w:rsidR="00F00D5E" w:rsidRPr="008D198B" w:rsidRDefault="00F00D5E" w:rsidP="00F00D5E">
      <w:pPr>
        <w:pStyle w:val="ds-markdown-paragraph"/>
        <w:numPr>
          <w:ilvl w:val="0"/>
          <w:numId w:val="11"/>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التعامل مع حالات إنسانية حرجة</w:t>
      </w:r>
      <w:r w:rsidRPr="008D198B">
        <w:rPr>
          <w:rFonts w:asciiTheme="majorBidi" w:hAnsiTheme="majorBidi" w:cstheme="majorBidi"/>
          <w:color w:val="0F1115"/>
          <w:sz w:val="28"/>
          <w:szCs w:val="28"/>
        </w:rPr>
        <w:t>.</w:t>
      </w:r>
    </w:p>
    <w:p w14:paraId="165D2454" w14:textId="77777777" w:rsidR="00F00D5E" w:rsidRPr="008D198B" w:rsidRDefault="00F00D5E" w:rsidP="00F00D5E">
      <w:pPr>
        <w:pStyle w:val="ds-markdown-paragraph"/>
        <w:numPr>
          <w:ilvl w:val="0"/>
          <w:numId w:val="11"/>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العمل تحت ضغط مستمر</w:t>
      </w:r>
      <w:r w:rsidRPr="008D198B">
        <w:rPr>
          <w:rFonts w:asciiTheme="majorBidi" w:hAnsiTheme="majorBidi" w:cstheme="majorBidi"/>
          <w:color w:val="0F1115"/>
          <w:sz w:val="28"/>
          <w:szCs w:val="28"/>
        </w:rPr>
        <w:t>.</w:t>
      </w:r>
    </w:p>
    <w:p w14:paraId="0E47620A" w14:textId="7F418AE6" w:rsidR="00F00D5E" w:rsidRPr="008D198B" w:rsidRDefault="00F00D5E" w:rsidP="00F00D5E">
      <w:pPr>
        <w:pStyle w:val="ds-markdown-paragraph"/>
        <w:numPr>
          <w:ilvl w:val="0"/>
          <w:numId w:val="11"/>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 xml:space="preserve">التناوب في المناوبات (المداومة الليلية </w:t>
      </w:r>
      <w:r w:rsidR="00E60DC2">
        <w:rPr>
          <w:rFonts w:asciiTheme="majorBidi" w:hAnsiTheme="majorBidi" w:cstheme="majorBidi" w:hint="cs"/>
          <w:color w:val="0F1115"/>
          <w:sz w:val="28"/>
          <w:szCs w:val="28"/>
          <w:rtl/>
        </w:rPr>
        <w:t>والإجازات</w:t>
      </w:r>
      <w:r w:rsidR="008D198B">
        <w:rPr>
          <w:rFonts w:asciiTheme="majorBidi" w:hAnsiTheme="majorBidi" w:cstheme="majorBidi" w:hint="cs"/>
          <w:color w:val="0F1115"/>
          <w:sz w:val="28"/>
          <w:szCs w:val="28"/>
          <w:rtl/>
        </w:rPr>
        <w:t>).</w:t>
      </w:r>
    </w:p>
    <w:p w14:paraId="6388E3F6" w14:textId="77777777" w:rsidR="00F00D5E" w:rsidRPr="008D198B" w:rsidRDefault="00F00D5E" w:rsidP="00F00D5E">
      <w:pPr>
        <w:pStyle w:val="ds-markdown-paragraph"/>
        <w:numPr>
          <w:ilvl w:val="0"/>
          <w:numId w:val="11"/>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التعرض المستمر للأمراض والمخاطر البيولوجية</w:t>
      </w:r>
      <w:r w:rsidRPr="008D198B">
        <w:rPr>
          <w:rFonts w:asciiTheme="majorBidi" w:hAnsiTheme="majorBidi" w:cstheme="majorBidi"/>
          <w:color w:val="0F1115"/>
          <w:sz w:val="28"/>
          <w:szCs w:val="28"/>
        </w:rPr>
        <w:t>.</w:t>
      </w:r>
    </w:p>
    <w:p w14:paraId="159E3567" w14:textId="0E59FE0E" w:rsidR="00F00D5E" w:rsidRPr="008D198B" w:rsidRDefault="00F00D5E" w:rsidP="00F00D5E">
      <w:pPr>
        <w:pStyle w:val="ds-markdown-paragraph"/>
        <w:numPr>
          <w:ilvl w:val="0"/>
          <w:numId w:val="11"/>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ضرورة التحديث المستمر للمعارف</w:t>
      </w:r>
      <w:r w:rsidR="00E60DC2">
        <w:rPr>
          <w:rFonts w:asciiTheme="majorBidi" w:hAnsiTheme="majorBidi" w:cstheme="majorBidi" w:hint="cs"/>
          <w:color w:val="0F1115"/>
          <w:sz w:val="28"/>
          <w:szCs w:val="28"/>
          <w:rtl/>
        </w:rPr>
        <w:t xml:space="preserve"> بالتدريب</w:t>
      </w:r>
      <w:r w:rsidRPr="008D198B">
        <w:rPr>
          <w:rFonts w:asciiTheme="majorBidi" w:hAnsiTheme="majorBidi" w:cstheme="majorBidi"/>
          <w:color w:val="0F1115"/>
          <w:sz w:val="28"/>
          <w:szCs w:val="28"/>
          <w:rtl/>
        </w:rPr>
        <w:t xml:space="preserve"> والمهارات الطبية</w:t>
      </w:r>
      <w:r w:rsidRPr="008D198B">
        <w:rPr>
          <w:rFonts w:asciiTheme="majorBidi" w:hAnsiTheme="majorBidi" w:cstheme="majorBidi"/>
          <w:color w:val="0F1115"/>
          <w:sz w:val="28"/>
          <w:szCs w:val="28"/>
        </w:rPr>
        <w:t>.</w:t>
      </w:r>
    </w:p>
    <w:p w14:paraId="17E652CA" w14:textId="77777777" w:rsidR="00BC5D47" w:rsidRDefault="00F00D5E" w:rsidP="00BC5D4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Fonts w:asciiTheme="majorBidi" w:hAnsiTheme="majorBidi" w:cstheme="majorBidi"/>
          <w:color w:val="0F1115"/>
          <w:sz w:val="28"/>
          <w:szCs w:val="28"/>
          <w:rtl/>
        </w:rPr>
        <w:t>وتشير منظمة الصحة العالمية</w:t>
      </w:r>
      <w:r w:rsidRPr="008D198B">
        <w:rPr>
          <w:rFonts w:asciiTheme="majorBidi" w:hAnsiTheme="majorBidi" w:cstheme="majorBidi"/>
          <w:color w:val="0F1115"/>
          <w:sz w:val="28"/>
          <w:szCs w:val="28"/>
        </w:rPr>
        <w:t xml:space="preserve"> (WHO, 2016) </w:t>
      </w:r>
      <w:r w:rsidRPr="008D198B">
        <w:rPr>
          <w:rFonts w:asciiTheme="majorBidi" w:hAnsiTheme="majorBidi" w:cstheme="majorBidi"/>
          <w:color w:val="0F1115"/>
          <w:sz w:val="28"/>
          <w:szCs w:val="28"/>
          <w:rtl/>
        </w:rPr>
        <w:t>إلى أن العاملين الصحيين هم العمود الفقري للنظام الصحي، وأن إدارة الموارد البشرية الصحية تتطلب استراتيجيات خاصة تضمن توفر العدد المناسب من الكوادر، بالمهارات المناسبة، في الأماكن المناسبة، وفي الوقت المناسب</w:t>
      </w:r>
      <w:r w:rsidRPr="008D198B">
        <w:rPr>
          <w:rFonts w:asciiTheme="majorBidi" w:hAnsiTheme="majorBidi" w:cstheme="majorBidi"/>
          <w:color w:val="0F1115"/>
          <w:sz w:val="28"/>
          <w:szCs w:val="28"/>
        </w:rPr>
        <w:t>.</w:t>
      </w:r>
    </w:p>
    <w:p w14:paraId="7416AAFD" w14:textId="0D0F950A" w:rsidR="00F00D5E" w:rsidRPr="00BC5D47" w:rsidRDefault="00BC5D47" w:rsidP="00BC5D4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BC5D47">
        <w:rPr>
          <w:rFonts w:asciiTheme="majorBidi" w:hAnsiTheme="majorBidi" w:cstheme="majorBidi" w:hint="cs"/>
          <w:color w:val="0F1115"/>
          <w:sz w:val="28"/>
          <w:szCs w:val="28"/>
          <w:rtl/>
        </w:rPr>
        <w:t xml:space="preserve">٢.١.٢. </w:t>
      </w:r>
      <w:r w:rsidR="00F00D5E" w:rsidRPr="00BC5D47">
        <w:rPr>
          <w:rFonts w:asciiTheme="majorBidi" w:hAnsiTheme="majorBidi" w:cstheme="majorBidi"/>
          <w:color w:val="0F1115"/>
          <w:sz w:val="28"/>
          <w:szCs w:val="28"/>
          <w:rtl/>
        </w:rPr>
        <w:t>وظائف إدارة الموارد البشرية في المستشفيات</w:t>
      </w:r>
    </w:p>
    <w:p w14:paraId="2BBD502C"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أولاً: تخطيط الموارد البشرية واستقطابها</w:t>
      </w:r>
    </w:p>
    <w:p w14:paraId="24AA9E2E" w14:textId="34A5D3A5"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يبدأ أي جهد في إدارة الموارد البشرية بالتخطيط الدقيق للاحتياجات الحالية والمستقبلية من الكوادر الطبية، بناءً على تحليل أعباء العمل، معدلات دوران العمل، خطط التوسع في الخدمات، والتغيرات السكانية. ويتضمن التخطيط تحديد المهارات المطلوبة، وعدد الوظائف الشاغرة، ومصادر الاستقطاب (داخلية وخارجية</w:t>
      </w:r>
      <w:r w:rsidR="00BC5D47">
        <w:rPr>
          <w:rFonts w:asciiTheme="majorBidi" w:hAnsiTheme="majorBidi" w:cstheme="majorBidi" w:hint="cs"/>
          <w:color w:val="0F1115"/>
          <w:sz w:val="28"/>
          <w:szCs w:val="28"/>
          <w:rtl/>
        </w:rPr>
        <w:t>).</w:t>
      </w:r>
    </w:p>
    <w:p w14:paraId="4082FE56" w14:textId="5935E8FD"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 xml:space="preserve">وتواجه المستشفيات تحديات كبيرة في استقطاب الكوادر الطبية، خاصة في التخصصات النادرة مثل التخدير، العناية المركزة، وتمريض العمليات. وقد لجأت العديد من المستشفيات إلى الاستعانة بالكوادر الأجنبية، أو فتح برامج تدريب مشتركة مع الجامعات، أو تقديم حوافز مالية مجزية لجذب </w:t>
      </w:r>
      <w:r w:rsidR="00D1506D">
        <w:rPr>
          <w:rFonts w:asciiTheme="majorBidi" w:hAnsiTheme="majorBidi" w:cstheme="majorBidi" w:hint="cs"/>
          <w:color w:val="0F1115"/>
          <w:sz w:val="28"/>
          <w:szCs w:val="28"/>
          <w:rtl/>
          <w:lang w:val="en-US"/>
        </w:rPr>
        <w:t>الكوادر</w:t>
      </w:r>
      <w:r w:rsidRPr="008D198B">
        <w:rPr>
          <w:rFonts w:asciiTheme="majorBidi" w:hAnsiTheme="majorBidi" w:cstheme="majorBidi"/>
          <w:color w:val="0F1115"/>
          <w:sz w:val="28"/>
          <w:szCs w:val="28"/>
        </w:rPr>
        <w:t>.</w:t>
      </w:r>
    </w:p>
    <w:p w14:paraId="1C5F0296"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ثانياً: التدريب والتطوير</w:t>
      </w:r>
    </w:p>
    <w:p w14:paraId="7C6408D9" w14:textId="216F2C09"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يعد التدريب المستمر ضرورة حتمية في المجال الطبي بسبب التطور السريع في المعرفة الطبية والتقنيات العلاجية. ولا يقتصر التدريب على الجوانب الفنية، بل يشمل أيضاً المهارات الشخصية (مثل التواصل مع المرضى، العمل الجماعي، إدارة الوقت، التعامل مع الضغوط</w:t>
      </w:r>
      <w:r w:rsidR="00BC5D47">
        <w:rPr>
          <w:rFonts w:asciiTheme="majorBidi" w:hAnsiTheme="majorBidi" w:cstheme="majorBidi" w:hint="cs"/>
          <w:color w:val="0F1115"/>
          <w:sz w:val="28"/>
          <w:szCs w:val="28"/>
          <w:rtl/>
        </w:rPr>
        <w:t>).</w:t>
      </w:r>
    </w:p>
    <w:p w14:paraId="24B46458"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وتتنوع أساليب التدريب بين الدورات الداخلية، المؤتمرات الخارجية، التدريب عن بعد، المحاكاة</w:t>
      </w:r>
      <w:r w:rsidRPr="008D198B">
        <w:rPr>
          <w:rFonts w:asciiTheme="majorBidi" w:hAnsiTheme="majorBidi" w:cstheme="majorBidi"/>
          <w:color w:val="0F1115"/>
          <w:sz w:val="28"/>
          <w:szCs w:val="28"/>
        </w:rPr>
        <w:t xml:space="preserve"> (Simulation)</w:t>
      </w:r>
      <w:r w:rsidRPr="008D198B">
        <w:rPr>
          <w:rFonts w:asciiTheme="majorBidi" w:hAnsiTheme="majorBidi" w:cstheme="majorBidi"/>
          <w:color w:val="0F1115"/>
          <w:sz w:val="28"/>
          <w:szCs w:val="28"/>
          <w:rtl/>
        </w:rPr>
        <w:t>، والإرشاد المهني</w:t>
      </w:r>
      <w:r w:rsidRPr="008D198B">
        <w:rPr>
          <w:rFonts w:asciiTheme="majorBidi" w:hAnsiTheme="majorBidi" w:cstheme="majorBidi"/>
          <w:color w:val="0F1115"/>
          <w:sz w:val="28"/>
          <w:szCs w:val="28"/>
        </w:rPr>
        <w:t xml:space="preserve"> (Mentorship). </w:t>
      </w:r>
      <w:r w:rsidRPr="008D198B">
        <w:rPr>
          <w:rFonts w:asciiTheme="majorBidi" w:hAnsiTheme="majorBidi" w:cstheme="majorBidi"/>
          <w:color w:val="0F1115"/>
          <w:sz w:val="28"/>
          <w:szCs w:val="28"/>
          <w:rtl/>
        </w:rPr>
        <w:t xml:space="preserve">وتشير الدراسات إلى أن الاستثمار في تدريب </w:t>
      </w:r>
      <w:r w:rsidRPr="008D198B">
        <w:rPr>
          <w:rFonts w:asciiTheme="majorBidi" w:hAnsiTheme="majorBidi" w:cstheme="majorBidi"/>
          <w:color w:val="0F1115"/>
          <w:sz w:val="28"/>
          <w:szCs w:val="28"/>
          <w:rtl/>
        </w:rPr>
        <w:lastRenderedPageBreak/>
        <w:t>الكوادر الطبية يعزز الرضا الوظيفي ويرفع جودة الخدمات، كما يقلل من الأخطاء الطبية</w:t>
      </w:r>
      <w:r w:rsidRPr="008D198B">
        <w:rPr>
          <w:rFonts w:asciiTheme="majorBidi" w:hAnsiTheme="majorBidi" w:cstheme="majorBidi"/>
          <w:color w:val="0F1115"/>
          <w:sz w:val="28"/>
          <w:szCs w:val="28"/>
        </w:rPr>
        <w:t xml:space="preserve"> (Institute of Medicine, 2015).</w:t>
      </w:r>
    </w:p>
    <w:p w14:paraId="22F0F9C9"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ثالثاً: تقييم الأداء</w:t>
      </w:r>
    </w:p>
    <w:p w14:paraId="377A5305" w14:textId="1DE68C5F"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يقصد بتقييم الأداء العملية المنهجية التي تقيس أداء العاملين في وظائفهم، وتحديد نقاط القوة والضعف، واتخاذ القرارات المتعلقة بالترقية والمكافآت والتدريب. وفي المستشفيات، غالباً ما يواجه تقييم الأطباء والممرضين تحديات تتعلق بمدى موضوعية المقاييس، وتعدد أبعاد الأداء (السريري، الإداري</w:t>
      </w:r>
      <w:r w:rsidR="00BC5D47">
        <w:rPr>
          <w:rFonts w:asciiTheme="majorBidi" w:hAnsiTheme="majorBidi" w:cstheme="majorBidi" w:hint="cs"/>
          <w:color w:val="0F1115"/>
          <w:sz w:val="28"/>
          <w:szCs w:val="28"/>
          <w:rtl/>
        </w:rPr>
        <w:t>).</w:t>
      </w:r>
    </w:p>
    <w:p w14:paraId="6ACFB27E"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وتظهر نتائج الدراسات أن أنظمة التقييم العادلة والشفافة تسهم في تعزيز العدالة التنظيمية وتحفيز العاملين، بينما تؤدي أنظمة التقييم غير العادلة إلى الشعور بالإحباط وزيادة نية المغادرة</w:t>
      </w:r>
      <w:r w:rsidRPr="008D198B">
        <w:rPr>
          <w:rFonts w:asciiTheme="majorBidi" w:hAnsiTheme="majorBidi" w:cstheme="majorBidi"/>
          <w:color w:val="0F1115"/>
          <w:sz w:val="28"/>
          <w:szCs w:val="28"/>
        </w:rPr>
        <w:t xml:space="preserve"> (Karimi et al., 2021).</w:t>
      </w:r>
    </w:p>
    <w:p w14:paraId="7BBA557A"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رابعاً: أنظمة الحوافز والتعويضات</w:t>
      </w:r>
    </w:p>
    <w:p w14:paraId="3CFF7725" w14:textId="739D7C66"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تمثل الحوافز أحد أهم أدوات إدارة الموارد البشرية للتأثير في سلوك العاملين وتحفيزهم. وتنقسم الحوافز إلى</w:t>
      </w:r>
      <w:r w:rsidRPr="008D198B">
        <w:rPr>
          <w:rFonts w:asciiTheme="majorBidi" w:hAnsiTheme="majorBidi" w:cstheme="majorBidi"/>
          <w:color w:val="0F1115"/>
          <w:sz w:val="28"/>
          <w:szCs w:val="28"/>
        </w:rPr>
        <w:t>:</w:t>
      </w:r>
    </w:p>
    <w:p w14:paraId="2F8AAB85" w14:textId="4F875E5F" w:rsidR="00F00D5E" w:rsidRPr="008D198B" w:rsidRDefault="00F00D5E" w:rsidP="00F00D5E">
      <w:pPr>
        <w:pStyle w:val="ds-markdown-paragraph"/>
        <w:numPr>
          <w:ilvl w:val="0"/>
          <w:numId w:val="12"/>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حوافز مادية: رواتب، علاوات، مكافآت، بدلات (مثل بدل المناوبة، بدل الخطورة</w:t>
      </w:r>
      <w:r w:rsidR="00BC5D47">
        <w:rPr>
          <w:rFonts w:asciiTheme="majorBidi" w:hAnsiTheme="majorBidi" w:cstheme="majorBidi" w:hint="cs"/>
          <w:color w:val="0F1115"/>
          <w:sz w:val="28"/>
          <w:szCs w:val="28"/>
          <w:rtl/>
        </w:rPr>
        <w:t>).</w:t>
      </w:r>
    </w:p>
    <w:p w14:paraId="75E2E86D" w14:textId="77777777" w:rsidR="00F00D5E" w:rsidRPr="008D198B" w:rsidRDefault="00F00D5E" w:rsidP="00F00D5E">
      <w:pPr>
        <w:pStyle w:val="ds-markdown-paragraph"/>
        <w:numPr>
          <w:ilvl w:val="0"/>
          <w:numId w:val="12"/>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حوافز معنوية: تقدير، شكر، تكريم، منح شهادات تميز، تمثيل المستشفى في المؤتمرات</w:t>
      </w:r>
      <w:r w:rsidRPr="008D198B">
        <w:rPr>
          <w:rFonts w:asciiTheme="majorBidi" w:hAnsiTheme="majorBidi" w:cstheme="majorBidi"/>
          <w:color w:val="0F1115"/>
          <w:sz w:val="28"/>
          <w:szCs w:val="28"/>
        </w:rPr>
        <w:t>.</w:t>
      </w:r>
    </w:p>
    <w:p w14:paraId="1CFB9902"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وتشير نظرية هيرزبيرج</w:t>
      </w:r>
      <w:r w:rsidRPr="008D198B">
        <w:rPr>
          <w:rFonts w:asciiTheme="majorBidi" w:hAnsiTheme="majorBidi" w:cstheme="majorBidi"/>
          <w:color w:val="0F1115"/>
          <w:sz w:val="28"/>
          <w:szCs w:val="28"/>
        </w:rPr>
        <w:t xml:space="preserve"> (Herzberg, 1959) </w:t>
      </w:r>
      <w:r w:rsidRPr="008D198B">
        <w:rPr>
          <w:rFonts w:asciiTheme="majorBidi" w:hAnsiTheme="majorBidi" w:cstheme="majorBidi"/>
          <w:color w:val="0F1115"/>
          <w:sz w:val="28"/>
          <w:szCs w:val="28"/>
          <w:rtl/>
        </w:rPr>
        <w:t>إلى أن العوامل المادية (مثل الراتب) هي عوامل "صحية</w:t>
      </w:r>
      <w:r w:rsidRPr="008D198B">
        <w:rPr>
          <w:rFonts w:asciiTheme="majorBidi" w:hAnsiTheme="majorBidi" w:cstheme="majorBidi"/>
          <w:color w:val="0F1115"/>
          <w:sz w:val="28"/>
          <w:szCs w:val="28"/>
        </w:rPr>
        <w:t>" (Hygiene Factors)</w:t>
      </w:r>
      <w:r w:rsidRPr="008D198B">
        <w:rPr>
          <w:rFonts w:asciiTheme="majorBidi" w:hAnsiTheme="majorBidi" w:cstheme="majorBidi"/>
          <w:color w:val="0F1115"/>
          <w:sz w:val="28"/>
          <w:szCs w:val="28"/>
          <w:rtl/>
        </w:rPr>
        <w:t>؛ وجودها لا يحفز بالضرورة، ولكن غيابها يسبب عدم الرضا. أما العوامل المعنوية (مثل التقدير، الإنجاز، المسؤولية) فهي عوامل "محفزة</w:t>
      </w:r>
      <w:r w:rsidRPr="008D198B">
        <w:rPr>
          <w:rFonts w:asciiTheme="majorBidi" w:hAnsiTheme="majorBidi" w:cstheme="majorBidi"/>
          <w:color w:val="0F1115"/>
          <w:sz w:val="28"/>
          <w:szCs w:val="28"/>
        </w:rPr>
        <w:t xml:space="preserve">" (Motivators) </w:t>
      </w:r>
      <w:r w:rsidRPr="008D198B">
        <w:rPr>
          <w:rFonts w:asciiTheme="majorBidi" w:hAnsiTheme="majorBidi" w:cstheme="majorBidi"/>
          <w:color w:val="0F1115"/>
          <w:sz w:val="28"/>
          <w:szCs w:val="28"/>
          <w:rtl/>
        </w:rPr>
        <w:t>تدفع العاملين لبذل المزيد من الجهد والبقاء في المنظمة</w:t>
      </w:r>
      <w:r w:rsidRPr="008D198B">
        <w:rPr>
          <w:rFonts w:asciiTheme="majorBidi" w:hAnsiTheme="majorBidi" w:cstheme="majorBidi"/>
          <w:color w:val="0F1115"/>
          <w:sz w:val="28"/>
          <w:szCs w:val="28"/>
        </w:rPr>
        <w:t>.</w:t>
      </w:r>
    </w:p>
    <w:p w14:paraId="17471A27"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خامساً: الاتصالات الداخلية والمشاركة</w:t>
      </w:r>
    </w:p>
    <w:p w14:paraId="7B299B7E" w14:textId="3D2A352F"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يقصد بالاتصالات الداخلية تدفق المعلومات بين مختلف مستويات التنظيم. وفي المستشفيات، تساهم قنوات الاتصال الفعالة في تنسيق العمل بين الأقسام المختلفة، وحل المشكلات بشكل أسرع، ونشر ثقافة الجودة والسلامة. كما أن إشراك العاملين في صنع القرار (مثل المشاركة في لجان الجودة، إبداء الرأي في السياسات) يعزز شعورهم بالانتماء والتمكين</w:t>
      </w:r>
      <w:r w:rsidRPr="008D198B">
        <w:rPr>
          <w:rFonts w:asciiTheme="majorBidi" w:hAnsiTheme="majorBidi" w:cstheme="majorBidi"/>
          <w:color w:val="0F1115"/>
          <w:sz w:val="28"/>
          <w:szCs w:val="28"/>
        </w:rPr>
        <w:t>.</w:t>
      </w:r>
    </w:p>
    <w:p w14:paraId="063F32B4" w14:textId="4B363EF7" w:rsidR="00F00D5E" w:rsidRPr="00BC5D47" w:rsidRDefault="00BC5D47" w:rsidP="00F00D5E">
      <w:pPr>
        <w:pStyle w:val="Heading4"/>
        <w:shd w:val="clear" w:color="auto" w:fill="FFFFFF"/>
        <w:bidi/>
        <w:spacing w:before="240" w:after="240" w:line="420" w:lineRule="atLeast"/>
        <w:jc w:val="lowKashida"/>
        <w:rPr>
          <w:rFonts w:asciiTheme="majorBidi" w:hAnsiTheme="majorBidi"/>
          <w:i w:val="0"/>
          <w:iCs w:val="0"/>
          <w:color w:val="0F1115"/>
          <w:sz w:val="28"/>
          <w:szCs w:val="28"/>
        </w:rPr>
      </w:pPr>
      <w:r>
        <w:rPr>
          <w:rFonts w:asciiTheme="majorBidi" w:hAnsiTheme="majorBidi" w:hint="cs"/>
          <w:i w:val="0"/>
          <w:iCs w:val="0"/>
          <w:color w:val="0F1115"/>
          <w:sz w:val="28"/>
          <w:szCs w:val="28"/>
          <w:rtl/>
        </w:rPr>
        <w:t xml:space="preserve">٢.١.٣. </w:t>
      </w:r>
      <w:r w:rsidR="00F00D5E" w:rsidRPr="00BC5D47">
        <w:rPr>
          <w:rFonts w:asciiTheme="majorBidi" w:hAnsiTheme="majorBidi"/>
          <w:i w:val="0"/>
          <w:iCs w:val="0"/>
          <w:color w:val="0F1115"/>
          <w:sz w:val="28"/>
          <w:szCs w:val="28"/>
          <w:rtl/>
        </w:rPr>
        <w:t>نظريات تفسير سلوك الاحتفاظ بالعاملين</w:t>
      </w:r>
    </w:p>
    <w:p w14:paraId="12409957"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 xml:space="preserve">نظرية العاملين </w:t>
      </w:r>
      <w:proofErr w:type="spellStart"/>
      <w:r w:rsidRPr="008D198B">
        <w:rPr>
          <w:rStyle w:val="Strong"/>
          <w:rFonts w:asciiTheme="majorBidi" w:hAnsiTheme="majorBidi" w:cstheme="majorBidi"/>
          <w:color w:val="0F1115"/>
          <w:sz w:val="28"/>
          <w:szCs w:val="28"/>
          <w:rtl/>
        </w:rPr>
        <w:t>لهيرزبيرج</w:t>
      </w:r>
      <w:proofErr w:type="spellEnd"/>
      <w:r w:rsidRPr="008D198B">
        <w:rPr>
          <w:rStyle w:val="Strong"/>
          <w:rFonts w:asciiTheme="majorBidi" w:hAnsiTheme="majorBidi" w:cstheme="majorBidi"/>
          <w:color w:val="0F1115"/>
          <w:sz w:val="28"/>
          <w:szCs w:val="28"/>
        </w:rPr>
        <w:t xml:space="preserve"> (Herzberg's Two-Factor Theory)</w:t>
      </w:r>
    </w:p>
    <w:p w14:paraId="4188D5AB" w14:textId="5E1622C4"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تقسم هذه النظرية العوامل المؤثرة في الرضا الوظيفي إلى فئتين</w:t>
      </w:r>
      <w:r w:rsidRPr="008D198B">
        <w:rPr>
          <w:rFonts w:asciiTheme="majorBidi" w:hAnsiTheme="majorBidi" w:cstheme="majorBidi"/>
          <w:color w:val="0F1115"/>
          <w:sz w:val="28"/>
          <w:szCs w:val="28"/>
        </w:rPr>
        <w:t>:</w:t>
      </w:r>
    </w:p>
    <w:p w14:paraId="3979D664" w14:textId="77777777" w:rsidR="00F00D5E" w:rsidRPr="008D198B" w:rsidRDefault="00F00D5E" w:rsidP="00F00D5E">
      <w:pPr>
        <w:pStyle w:val="ds-markdown-paragraph"/>
        <w:numPr>
          <w:ilvl w:val="0"/>
          <w:numId w:val="13"/>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Style w:val="Strong"/>
          <w:rFonts w:asciiTheme="majorBidi" w:hAnsiTheme="majorBidi" w:cstheme="majorBidi"/>
          <w:color w:val="0F1115"/>
          <w:sz w:val="28"/>
          <w:szCs w:val="28"/>
          <w:rtl/>
        </w:rPr>
        <w:t>عوامل صحية</w:t>
      </w:r>
      <w:r w:rsidRPr="008D198B">
        <w:rPr>
          <w:rStyle w:val="Strong"/>
          <w:rFonts w:asciiTheme="majorBidi" w:hAnsiTheme="majorBidi" w:cstheme="majorBidi"/>
          <w:color w:val="0F1115"/>
          <w:sz w:val="28"/>
          <w:szCs w:val="28"/>
        </w:rPr>
        <w:t xml:space="preserve"> (Hygiene Factors):</w:t>
      </w:r>
      <w:r w:rsidRPr="008D198B">
        <w:rPr>
          <w:rFonts w:asciiTheme="majorBidi" w:hAnsiTheme="majorBidi" w:cstheme="majorBidi"/>
          <w:color w:val="0F1115"/>
          <w:sz w:val="28"/>
          <w:szCs w:val="28"/>
        </w:rPr>
        <w:t> </w:t>
      </w:r>
      <w:r w:rsidRPr="008D198B">
        <w:rPr>
          <w:rFonts w:asciiTheme="majorBidi" w:hAnsiTheme="majorBidi" w:cstheme="majorBidi"/>
          <w:color w:val="0F1115"/>
          <w:sz w:val="28"/>
          <w:szCs w:val="28"/>
          <w:rtl/>
        </w:rPr>
        <w:t>الراتب، ظروف العمل، العلاقات مع الزملاء، سياسات المنظمة. عدم توفرها يسبب عدم الرضا، لكن توفرها لا يحفز بالضرورة</w:t>
      </w:r>
      <w:r w:rsidRPr="008D198B">
        <w:rPr>
          <w:rFonts w:asciiTheme="majorBidi" w:hAnsiTheme="majorBidi" w:cstheme="majorBidi"/>
          <w:color w:val="0F1115"/>
          <w:sz w:val="28"/>
          <w:szCs w:val="28"/>
        </w:rPr>
        <w:t>.</w:t>
      </w:r>
    </w:p>
    <w:p w14:paraId="122288EE" w14:textId="77777777" w:rsidR="00F00D5E" w:rsidRPr="008D198B" w:rsidRDefault="00F00D5E" w:rsidP="00F00D5E">
      <w:pPr>
        <w:pStyle w:val="ds-markdown-paragraph"/>
        <w:numPr>
          <w:ilvl w:val="0"/>
          <w:numId w:val="13"/>
        </w:numPr>
        <w:shd w:val="clear" w:color="auto" w:fill="FFFFFF"/>
        <w:bidi/>
        <w:spacing w:before="0" w:beforeAutospacing="0" w:after="0" w:afterAutospacing="0"/>
        <w:jc w:val="lowKashida"/>
        <w:rPr>
          <w:rFonts w:asciiTheme="majorBidi" w:hAnsiTheme="majorBidi" w:cstheme="majorBidi"/>
          <w:color w:val="0F1115"/>
          <w:sz w:val="28"/>
          <w:szCs w:val="28"/>
        </w:rPr>
      </w:pPr>
      <w:r w:rsidRPr="008D198B">
        <w:rPr>
          <w:rStyle w:val="Strong"/>
          <w:rFonts w:asciiTheme="majorBidi" w:hAnsiTheme="majorBidi" w:cstheme="majorBidi"/>
          <w:color w:val="0F1115"/>
          <w:sz w:val="28"/>
          <w:szCs w:val="28"/>
          <w:rtl/>
        </w:rPr>
        <w:t>عوامل محفزة</w:t>
      </w:r>
      <w:r w:rsidRPr="008D198B">
        <w:rPr>
          <w:rStyle w:val="Strong"/>
          <w:rFonts w:asciiTheme="majorBidi" w:hAnsiTheme="majorBidi" w:cstheme="majorBidi"/>
          <w:color w:val="0F1115"/>
          <w:sz w:val="28"/>
          <w:szCs w:val="28"/>
        </w:rPr>
        <w:t xml:space="preserve"> (Motivators):</w:t>
      </w:r>
      <w:r w:rsidRPr="008D198B">
        <w:rPr>
          <w:rFonts w:asciiTheme="majorBidi" w:hAnsiTheme="majorBidi" w:cstheme="majorBidi"/>
          <w:color w:val="0F1115"/>
          <w:sz w:val="28"/>
          <w:szCs w:val="28"/>
        </w:rPr>
        <w:t> </w:t>
      </w:r>
      <w:r w:rsidRPr="008D198B">
        <w:rPr>
          <w:rFonts w:asciiTheme="majorBidi" w:hAnsiTheme="majorBidi" w:cstheme="majorBidi"/>
          <w:color w:val="0F1115"/>
          <w:sz w:val="28"/>
          <w:szCs w:val="28"/>
          <w:rtl/>
        </w:rPr>
        <w:t>التقدير، الإنجاز، المسؤولية، التطور الوظيفي. وجودها يحفز العاملين ويزيد رضاهم</w:t>
      </w:r>
      <w:r w:rsidRPr="008D198B">
        <w:rPr>
          <w:rFonts w:asciiTheme="majorBidi" w:hAnsiTheme="majorBidi" w:cstheme="majorBidi"/>
          <w:color w:val="0F1115"/>
          <w:sz w:val="28"/>
          <w:szCs w:val="28"/>
        </w:rPr>
        <w:t>.</w:t>
      </w:r>
    </w:p>
    <w:p w14:paraId="1A28544E" w14:textId="77777777" w:rsidR="00D1506D" w:rsidRDefault="00D1506D" w:rsidP="00F00D5E">
      <w:pPr>
        <w:pStyle w:val="ds-markdown-paragraph"/>
        <w:shd w:val="clear" w:color="auto" w:fill="FFFFFF"/>
        <w:bidi/>
        <w:spacing w:before="240" w:beforeAutospacing="0" w:after="240" w:afterAutospacing="0"/>
        <w:jc w:val="lowKashida"/>
        <w:rPr>
          <w:rStyle w:val="Strong"/>
          <w:rFonts w:asciiTheme="majorBidi" w:hAnsiTheme="majorBidi" w:cstheme="majorBidi"/>
          <w:color w:val="0F1115"/>
          <w:sz w:val="28"/>
          <w:szCs w:val="28"/>
          <w:rtl/>
        </w:rPr>
      </w:pPr>
    </w:p>
    <w:p w14:paraId="6F6C03D8" w14:textId="30A3E22B" w:rsidR="00F00D5E" w:rsidRPr="008D198B" w:rsidRDefault="00F00D5E" w:rsidP="00D1506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lastRenderedPageBreak/>
        <w:t>نظرية التبادل الاجتماعي</w:t>
      </w:r>
      <w:r w:rsidRPr="008D198B">
        <w:rPr>
          <w:rStyle w:val="Strong"/>
          <w:rFonts w:asciiTheme="majorBidi" w:hAnsiTheme="majorBidi" w:cstheme="majorBidi"/>
          <w:color w:val="0F1115"/>
          <w:sz w:val="28"/>
          <w:szCs w:val="28"/>
        </w:rPr>
        <w:t xml:space="preserve"> (Social Exchange Theory)</w:t>
      </w:r>
    </w:p>
    <w:p w14:paraId="51EBDAB1" w14:textId="7266DE53"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8D198B">
        <w:rPr>
          <w:rFonts w:asciiTheme="majorBidi" w:hAnsiTheme="majorBidi" w:cstheme="majorBidi"/>
          <w:color w:val="0F1115"/>
          <w:sz w:val="28"/>
          <w:szCs w:val="28"/>
          <w:rtl/>
        </w:rPr>
        <w:t>تفترض هذه النظرية أن العلاقة بين المنظمة والعاملين تقوم على مبدأ المعاملة بالمثل. فعندما يشعر العاملون أن المنظمة تهتم بهم وتستثمر فيهم (من خلال الحوافز، التدريب، الدعم)، فإنهم يبادلونها بالولاء والالتزام والبقاء</w:t>
      </w:r>
      <w:r w:rsidRPr="008D198B">
        <w:rPr>
          <w:rFonts w:asciiTheme="majorBidi" w:hAnsiTheme="majorBidi" w:cstheme="majorBidi"/>
          <w:color w:val="0F1115"/>
          <w:sz w:val="28"/>
          <w:szCs w:val="28"/>
        </w:rPr>
        <w:t xml:space="preserve"> (Blau, 1964).</w:t>
      </w:r>
    </w:p>
    <w:p w14:paraId="77234129" w14:textId="77777777" w:rsidR="00F00D5E" w:rsidRPr="008D198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Style w:val="Strong"/>
          <w:rFonts w:asciiTheme="majorBidi" w:hAnsiTheme="majorBidi" w:cstheme="majorBidi"/>
          <w:color w:val="0F1115"/>
          <w:sz w:val="28"/>
          <w:szCs w:val="28"/>
          <w:rtl/>
        </w:rPr>
        <w:t>نظرية العدالة التنظيمية</w:t>
      </w:r>
      <w:r w:rsidRPr="008D198B">
        <w:rPr>
          <w:rStyle w:val="Strong"/>
          <w:rFonts w:asciiTheme="majorBidi" w:hAnsiTheme="majorBidi" w:cstheme="majorBidi"/>
          <w:color w:val="0F1115"/>
          <w:sz w:val="28"/>
          <w:szCs w:val="28"/>
        </w:rPr>
        <w:t xml:space="preserve"> (Organizational Justice Theory)</w:t>
      </w:r>
    </w:p>
    <w:p w14:paraId="352C6AF1" w14:textId="77777777" w:rsidR="00D1506D" w:rsidRDefault="00F00D5E" w:rsidP="00D1506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8D198B">
        <w:rPr>
          <w:rFonts w:asciiTheme="majorBidi" w:hAnsiTheme="majorBidi" w:cstheme="majorBidi"/>
          <w:color w:val="0F1115"/>
          <w:sz w:val="28"/>
          <w:szCs w:val="28"/>
          <w:rtl/>
        </w:rPr>
        <w:t>تركز على أهمية شعور العاملين بالعدالة في توزيع الموارد (العدالة التوزيعية)، وفي الإجراءات المتبعة (العدالة الإجرائية)، وفي المعاملة الشخصية (العدالة التفاعلية). وكلما ارتفع شعور العاملين بالعدالة، زاد التزامهم وانخفضت نيتهم للمغادرة</w:t>
      </w:r>
      <w:r w:rsidRPr="008D198B">
        <w:rPr>
          <w:rFonts w:asciiTheme="majorBidi" w:hAnsiTheme="majorBidi" w:cstheme="majorBidi"/>
          <w:color w:val="0F1115"/>
          <w:sz w:val="28"/>
          <w:szCs w:val="28"/>
        </w:rPr>
        <w:t xml:space="preserve"> (Greenberg, 1990).</w:t>
      </w:r>
    </w:p>
    <w:p w14:paraId="20CA82FF" w14:textId="77777777" w:rsidR="00A935FB" w:rsidRPr="00A935FB" w:rsidRDefault="00A935FB"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hint="cs"/>
          <w:color w:val="0F1115"/>
          <w:sz w:val="28"/>
          <w:szCs w:val="28"/>
          <w:rtl/>
        </w:rPr>
        <w:t xml:space="preserve">٢.٢ </w:t>
      </w:r>
      <w:r w:rsidR="00F00D5E" w:rsidRPr="00A935FB">
        <w:rPr>
          <w:rFonts w:asciiTheme="majorBidi" w:hAnsiTheme="majorBidi" w:cstheme="majorBidi"/>
          <w:color w:val="0F1115"/>
          <w:sz w:val="28"/>
          <w:szCs w:val="28"/>
          <w:rtl/>
        </w:rPr>
        <w:t>استراتيجيات الاحتفاظ بالكادر الطبي</w:t>
      </w:r>
    </w:p>
    <w:p w14:paraId="407D80D9" w14:textId="7F859562" w:rsidR="00F00D5E" w:rsidRPr="00A935FB" w:rsidRDefault="00A935FB"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30"/>
          <w:szCs w:val="30"/>
          <w:rtl/>
        </w:rPr>
        <w:t>٢.٢.١</w:t>
      </w:r>
      <w:r w:rsidRPr="00A935FB">
        <w:rPr>
          <w:rFonts w:asciiTheme="majorBidi" w:hAnsiTheme="majorBidi" w:cstheme="majorBidi" w:hint="cs"/>
          <w:color w:val="0F1115"/>
          <w:sz w:val="28"/>
          <w:szCs w:val="28"/>
          <w:rtl/>
        </w:rPr>
        <w:t xml:space="preserve">. </w:t>
      </w:r>
      <w:r w:rsidR="00F00D5E" w:rsidRPr="00A935FB">
        <w:rPr>
          <w:rFonts w:asciiTheme="majorBidi" w:hAnsiTheme="majorBidi" w:cstheme="majorBidi"/>
          <w:color w:val="0F1115"/>
          <w:sz w:val="28"/>
          <w:szCs w:val="28"/>
          <w:rtl/>
        </w:rPr>
        <w:t>مفهوم الاحتفاظ وأهميته</w:t>
      </w:r>
    </w:p>
    <w:p w14:paraId="29C4D947"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الاحتفاظ بالعاملين</w:t>
      </w:r>
      <w:r w:rsidRPr="00A935FB">
        <w:rPr>
          <w:rFonts w:asciiTheme="majorBidi" w:hAnsiTheme="majorBidi" w:cstheme="majorBidi"/>
          <w:color w:val="0F1115"/>
          <w:sz w:val="28"/>
          <w:szCs w:val="28"/>
        </w:rPr>
        <w:t xml:space="preserve"> (Employee Retention) </w:t>
      </w:r>
      <w:r w:rsidRPr="00A935FB">
        <w:rPr>
          <w:rFonts w:asciiTheme="majorBidi" w:hAnsiTheme="majorBidi" w:cstheme="majorBidi"/>
          <w:color w:val="0F1115"/>
          <w:sz w:val="28"/>
          <w:szCs w:val="28"/>
          <w:rtl/>
        </w:rPr>
        <w:t>هو قدرة المنظمة على إبقاء موظفيها لديها لأطول فترة ممكنة، ويُعد مقياساً لنجاح سياسات إدارة الموارد البشرية. وفي المستشفيات، يعني الاحتفاظ بالكادر الطبي استمرارية الخدمة، وتراكم الخبرات، واستقرار الفرق العلاجية، مما ينعكس إيجاباً على جودة الرعاية وسلامة المرضى</w:t>
      </w:r>
      <w:r w:rsidRPr="00A935FB">
        <w:rPr>
          <w:rFonts w:asciiTheme="majorBidi" w:hAnsiTheme="majorBidi" w:cstheme="majorBidi"/>
          <w:color w:val="0F1115"/>
          <w:sz w:val="28"/>
          <w:szCs w:val="28"/>
        </w:rPr>
        <w:t>.</w:t>
      </w:r>
    </w:p>
    <w:p w14:paraId="7FD04777"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وتشير تقديرات الخبراء إلى أن تكلفة استبدال ممرض واحد قد تتراوح بين 30,000 إلى 60,000 دولار أمريكي، عندما نأخذ في الاعتبار تكاليف الإعلان، المقابلات، التدريب، وفقدان الإنتاجية خلال فترة التعيين</w:t>
      </w:r>
      <w:r w:rsidRPr="00A935FB">
        <w:rPr>
          <w:rFonts w:asciiTheme="majorBidi" w:hAnsiTheme="majorBidi" w:cstheme="majorBidi"/>
          <w:color w:val="0F1115"/>
          <w:sz w:val="28"/>
          <w:szCs w:val="28"/>
        </w:rPr>
        <w:t xml:space="preserve"> (NSI Nursing Solutions, 2023). </w:t>
      </w:r>
      <w:r w:rsidRPr="00A935FB">
        <w:rPr>
          <w:rFonts w:asciiTheme="majorBidi" w:hAnsiTheme="majorBidi" w:cstheme="majorBidi"/>
          <w:color w:val="0F1115"/>
          <w:sz w:val="28"/>
          <w:szCs w:val="28"/>
          <w:rtl/>
        </w:rPr>
        <w:t>كما أن ترك الطبيب ذو الخبرة يؤدي إلى فقدان رأس المال المعرفي، وقد يؤثر على سمعة المستشفى ويقلل من ثقة المرضى</w:t>
      </w:r>
      <w:r w:rsidRPr="00A935FB">
        <w:rPr>
          <w:rFonts w:asciiTheme="majorBidi" w:hAnsiTheme="majorBidi" w:cstheme="majorBidi"/>
          <w:color w:val="0F1115"/>
          <w:sz w:val="28"/>
          <w:szCs w:val="28"/>
        </w:rPr>
        <w:t>.</w:t>
      </w:r>
    </w:p>
    <w:p w14:paraId="745295CA" w14:textId="5D36F8A5" w:rsidR="00F00D5E" w:rsidRPr="00A935FB" w:rsidRDefault="00A935FB"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٢.٢.٢. </w:t>
      </w:r>
      <w:r w:rsidR="00F00D5E" w:rsidRPr="00A935FB">
        <w:rPr>
          <w:rFonts w:asciiTheme="majorBidi" w:hAnsiTheme="majorBidi" w:cstheme="majorBidi"/>
          <w:color w:val="0F1115"/>
          <w:sz w:val="28"/>
          <w:szCs w:val="28"/>
          <w:rtl/>
        </w:rPr>
        <w:t>العوامل المؤثرة في الاحتفاظ بالكادر الطبي</w:t>
      </w:r>
    </w:p>
    <w:p w14:paraId="1F496670"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تتعدد العوامل التي تؤثر في قرار الكادر الطبي بالبقاء أو المغادرة، ويمكن تصنيفها إلى عوامل فردية، عوامل تنظيمية، وعوامل خارجية</w:t>
      </w:r>
      <w:r w:rsidRPr="00A935FB">
        <w:rPr>
          <w:rFonts w:asciiTheme="majorBidi" w:hAnsiTheme="majorBidi" w:cstheme="majorBidi"/>
          <w:color w:val="0F1115"/>
          <w:sz w:val="28"/>
          <w:szCs w:val="28"/>
        </w:rPr>
        <w:t>.</w:t>
      </w:r>
    </w:p>
    <w:p w14:paraId="5DEB9A7F"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أولاً: العوامل الفردية</w:t>
      </w:r>
    </w:p>
    <w:p w14:paraId="3292E2BD"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العمر وسنوات الخبرة: غالباً ما يكون العاملون الأكبر سناً وذوو الخبرة الطويلة أقل ميلاً للمغادرة</w:t>
      </w:r>
      <w:r w:rsidRPr="00A935FB">
        <w:rPr>
          <w:rFonts w:asciiTheme="majorBidi" w:hAnsiTheme="majorBidi" w:cstheme="majorBidi"/>
          <w:color w:val="0F1115"/>
          <w:sz w:val="28"/>
          <w:szCs w:val="28"/>
        </w:rPr>
        <w:t>.</w:t>
      </w:r>
    </w:p>
    <w:p w14:paraId="48113604"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المستوى التعليمي: قد يكون الحاصلون على درجات عليا أكثر بحثاً عن فرص تطويرية</w:t>
      </w:r>
      <w:r w:rsidRPr="00A935FB">
        <w:rPr>
          <w:rFonts w:asciiTheme="majorBidi" w:hAnsiTheme="majorBidi" w:cstheme="majorBidi"/>
          <w:color w:val="0F1115"/>
          <w:sz w:val="28"/>
          <w:szCs w:val="28"/>
        </w:rPr>
        <w:t>.</w:t>
      </w:r>
    </w:p>
    <w:p w14:paraId="57520A9F"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الرضا الوظيفي: وهو المحدد الأقوى لنية البقاء</w:t>
      </w:r>
      <w:r w:rsidRPr="00A935FB">
        <w:rPr>
          <w:rFonts w:asciiTheme="majorBidi" w:hAnsiTheme="majorBidi" w:cstheme="majorBidi"/>
          <w:color w:val="0F1115"/>
          <w:sz w:val="28"/>
          <w:szCs w:val="28"/>
        </w:rPr>
        <w:t>.</w:t>
      </w:r>
    </w:p>
    <w:p w14:paraId="016E676F"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الإرهاق</w:t>
      </w:r>
      <w:r w:rsidRPr="00A935FB">
        <w:rPr>
          <w:rFonts w:asciiTheme="majorBidi" w:hAnsiTheme="majorBidi" w:cstheme="majorBidi"/>
          <w:color w:val="0F1115"/>
          <w:sz w:val="28"/>
          <w:szCs w:val="28"/>
        </w:rPr>
        <w:t xml:space="preserve"> (Burnout): </w:t>
      </w:r>
      <w:r w:rsidRPr="00A935FB">
        <w:rPr>
          <w:rFonts w:asciiTheme="majorBidi" w:hAnsiTheme="majorBidi" w:cstheme="majorBidi"/>
          <w:color w:val="0F1115"/>
          <w:sz w:val="28"/>
          <w:szCs w:val="28"/>
          <w:rtl/>
        </w:rPr>
        <w:t>وهو حالة من الإجهاد العاطفي والجسدي تنتج عن ضغوط العمل المستمرة، وتعد سبباً رئيسياً لترك المهنة، خاصة بين الأطباء والممرضين</w:t>
      </w:r>
      <w:r w:rsidRPr="00A935FB">
        <w:rPr>
          <w:rFonts w:asciiTheme="majorBidi" w:hAnsiTheme="majorBidi" w:cstheme="majorBidi"/>
          <w:color w:val="0F1115"/>
          <w:sz w:val="28"/>
          <w:szCs w:val="28"/>
        </w:rPr>
        <w:t>.</w:t>
      </w:r>
    </w:p>
    <w:p w14:paraId="0382AF7F"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ثانياً: العوامل التنظيمية</w:t>
      </w:r>
    </w:p>
    <w:p w14:paraId="47934805"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بيئة العمل: وجود بيئة عمل آمنة وداعمة تعزز الاحتفاظ. ويشمل ذلك توفير المعدات اللازمة، وسياسات مكافحة العنف ضد العاملين، والعلاقات الإيجابية مع الزملاء والرؤساء</w:t>
      </w:r>
      <w:r w:rsidRPr="00A935FB">
        <w:rPr>
          <w:rFonts w:asciiTheme="majorBidi" w:hAnsiTheme="majorBidi" w:cstheme="majorBidi"/>
          <w:color w:val="0F1115"/>
          <w:sz w:val="28"/>
          <w:szCs w:val="28"/>
        </w:rPr>
        <w:t>.</w:t>
      </w:r>
    </w:p>
    <w:p w14:paraId="783EC595"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lastRenderedPageBreak/>
        <w:t>القيادة والإشراف: أسلوب القيادة السائد (داعم، استبدادي، ديمقراطي) يؤثر بشكل كبير في رضا العاملين واستقرارهم</w:t>
      </w:r>
      <w:r w:rsidRPr="00A935FB">
        <w:rPr>
          <w:rFonts w:asciiTheme="majorBidi" w:hAnsiTheme="majorBidi" w:cstheme="majorBidi"/>
          <w:color w:val="0F1115"/>
          <w:sz w:val="28"/>
          <w:szCs w:val="28"/>
        </w:rPr>
        <w:t>.</w:t>
      </w:r>
    </w:p>
    <w:p w14:paraId="1B2ED6F3"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فرص التطوير المهني: وجود مسار وظيفي واضح، ودعم التعليم المستمر، يزيد من ارتباط العامل بالمؤسسة</w:t>
      </w:r>
      <w:r w:rsidRPr="00A935FB">
        <w:rPr>
          <w:rFonts w:asciiTheme="majorBidi" w:hAnsiTheme="majorBidi" w:cstheme="majorBidi"/>
          <w:color w:val="0F1115"/>
          <w:sz w:val="28"/>
          <w:szCs w:val="28"/>
        </w:rPr>
        <w:t>.</w:t>
      </w:r>
    </w:p>
    <w:p w14:paraId="6EF8D874"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الحوافز المالية: الرواتب التنافسية والمكافآت العادلة تمنع المغادرة إلى منظمات أخرى</w:t>
      </w:r>
      <w:r w:rsidRPr="00A935FB">
        <w:rPr>
          <w:rFonts w:asciiTheme="majorBidi" w:hAnsiTheme="majorBidi" w:cstheme="majorBidi"/>
          <w:color w:val="0F1115"/>
          <w:sz w:val="28"/>
          <w:szCs w:val="28"/>
        </w:rPr>
        <w:t>.</w:t>
      </w:r>
    </w:p>
    <w:p w14:paraId="5B94D279"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ثقافة المنظمة: ثقافة تقدير العاملين، والعدالة، والعمل الجماعي، والشفافية</w:t>
      </w:r>
      <w:r w:rsidRPr="00A935FB">
        <w:rPr>
          <w:rFonts w:asciiTheme="majorBidi" w:hAnsiTheme="majorBidi" w:cstheme="majorBidi"/>
          <w:color w:val="0F1115"/>
          <w:sz w:val="28"/>
          <w:szCs w:val="28"/>
        </w:rPr>
        <w:t>.</w:t>
      </w:r>
    </w:p>
    <w:p w14:paraId="775B615E"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ثالثاً: العوامل الخارجية</w:t>
      </w:r>
    </w:p>
    <w:p w14:paraId="07B34531"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الظروف الاقتصادية: في أوقات الركود، يقل معدل الدوران</w:t>
      </w:r>
      <w:r w:rsidRPr="00A935FB">
        <w:rPr>
          <w:rFonts w:asciiTheme="majorBidi" w:hAnsiTheme="majorBidi" w:cstheme="majorBidi"/>
          <w:color w:val="0F1115"/>
          <w:sz w:val="28"/>
          <w:szCs w:val="28"/>
        </w:rPr>
        <w:t>.</w:t>
      </w:r>
    </w:p>
    <w:p w14:paraId="03722DF7"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سوق العمل: وجود فرص عمل بديلة في مستشفيات أخرى أو خارج البلاد</w:t>
      </w:r>
      <w:r w:rsidRPr="00A935FB">
        <w:rPr>
          <w:rFonts w:asciiTheme="majorBidi" w:hAnsiTheme="majorBidi" w:cstheme="majorBidi"/>
          <w:color w:val="0F1115"/>
          <w:sz w:val="28"/>
          <w:szCs w:val="28"/>
        </w:rPr>
        <w:t>.</w:t>
      </w:r>
    </w:p>
    <w:p w14:paraId="4E5A02F1"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التشريعات الحكومية: مثل سياسات الهجرة التي قد تؤثر على الكوادر الوافدة</w:t>
      </w:r>
      <w:r w:rsidRPr="00A935FB">
        <w:rPr>
          <w:rFonts w:asciiTheme="majorBidi" w:hAnsiTheme="majorBidi" w:cstheme="majorBidi"/>
          <w:color w:val="0F1115"/>
          <w:sz w:val="28"/>
          <w:szCs w:val="28"/>
        </w:rPr>
        <w:t>.</w:t>
      </w:r>
    </w:p>
    <w:p w14:paraId="6E2FC9D0"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Pr>
        <w:t xml:space="preserve">2.2.3 </w:t>
      </w:r>
      <w:r w:rsidRPr="00A935FB">
        <w:rPr>
          <w:rFonts w:asciiTheme="majorBidi" w:hAnsiTheme="majorBidi" w:cstheme="majorBidi"/>
          <w:color w:val="0F1115"/>
          <w:sz w:val="28"/>
          <w:szCs w:val="28"/>
          <w:rtl/>
        </w:rPr>
        <w:t>استراتيجيات تعزيز الاحتفاظ بالكادر الطبي</w:t>
      </w:r>
    </w:p>
    <w:p w14:paraId="3A5E30D7"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أولاً: استراتيجيات الحوافز المالية وغير المالية</w:t>
      </w:r>
    </w:p>
    <w:p w14:paraId="4A8480BF"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تقديم رواتب تنافسية مع مراجعة دورية</w:t>
      </w:r>
      <w:r w:rsidRPr="00A935FB">
        <w:rPr>
          <w:rFonts w:asciiTheme="majorBidi" w:hAnsiTheme="majorBidi" w:cstheme="majorBidi"/>
          <w:color w:val="0F1115"/>
          <w:sz w:val="28"/>
          <w:szCs w:val="28"/>
        </w:rPr>
        <w:t>.</w:t>
      </w:r>
    </w:p>
    <w:p w14:paraId="584BF4A7"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منح علاوات للمناوبات الليلية والعمل في أيام العطل</w:t>
      </w:r>
      <w:r w:rsidRPr="00A935FB">
        <w:rPr>
          <w:rFonts w:asciiTheme="majorBidi" w:hAnsiTheme="majorBidi" w:cstheme="majorBidi"/>
          <w:color w:val="0F1115"/>
          <w:sz w:val="28"/>
          <w:szCs w:val="28"/>
        </w:rPr>
        <w:t>.</w:t>
      </w:r>
    </w:p>
    <w:p w14:paraId="74F59FA1"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توفير تأمين صحي شامل للعامل وعائلته</w:t>
      </w:r>
      <w:r w:rsidRPr="00A935FB">
        <w:rPr>
          <w:rFonts w:asciiTheme="majorBidi" w:hAnsiTheme="majorBidi" w:cstheme="majorBidi"/>
          <w:color w:val="0F1115"/>
          <w:sz w:val="28"/>
          <w:szCs w:val="28"/>
        </w:rPr>
        <w:t>.</w:t>
      </w:r>
    </w:p>
    <w:p w14:paraId="0DF9D216"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إنشاء برامج تقدير مثل "موظف الشهر" أو "جائزة التميز</w:t>
      </w:r>
      <w:r w:rsidRPr="00A935FB">
        <w:rPr>
          <w:rFonts w:asciiTheme="majorBidi" w:hAnsiTheme="majorBidi" w:cstheme="majorBidi"/>
          <w:color w:val="0F1115"/>
          <w:sz w:val="28"/>
          <w:szCs w:val="28"/>
        </w:rPr>
        <w:t>".</w:t>
      </w:r>
    </w:p>
    <w:p w14:paraId="43FD4D5D"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تنظيم احتفالات سنوية لتكريم المتميزين وطويلي الخدمة</w:t>
      </w:r>
      <w:r w:rsidRPr="00A935FB">
        <w:rPr>
          <w:rFonts w:asciiTheme="majorBidi" w:hAnsiTheme="majorBidi" w:cstheme="majorBidi"/>
          <w:color w:val="0F1115"/>
          <w:sz w:val="28"/>
          <w:szCs w:val="28"/>
        </w:rPr>
        <w:t>.</w:t>
      </w:r>
    </w:p>
    <w:p w14:paraId="678DCB8A"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ثانياً: استراتيجيات تحسين بيئة العمل</w:t>
      </w:r>
    </w:p>
    <w:p w14:paraId="45C65668"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ضمان توفير التجهيزات والمستلزمات الطبية اللازمة</w:t>
      </w:r>
      <w:r w:rsidRPr="00A935FB">
        <w:rPr>
          <w:rFonts w:asciiTheme="majorBidi" w:hAnsiTheme="majorBidi" w:cstheme="majorBidi"/>
          <w:color w:val="0F1115"/>
          <w:sz w:val="28"/>
          <w:szCs w:val="28"/>
        </w:rPr>
        <w:t>.</w:t>
      </w:r>
    </w:p>
    <w:p w14:paraId="64EDB57C"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تطبيق سياسات صارمة لمكافحة التحرش والعنف في مكان العمل</w:t>
      </w:r>
      <w:r w:rsidRPr="00A935FB">
        <w:rPr>
          <w:rFonts w:asciiTheme="majorBidi" w:hAnsiTheme="majorBidi" w:cstheme="majorBidi"/>
          <w:color w:val="0F1115"/>
          <w:sz w:val="28"/>
          <w:szCs w:val="28"/>
        </w:rPr>
        <w:t>.</w:t>
      </w:r>
    </w:p>
    <w:p w14:paraId="0E5850DC"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تحسين الإضاءة والتهوية وتوفير غرف استراحة مريحة</w:t>
      </w:r>
      <w:r w:rsidRPr="00A935FB">
        <w:rPr>
          <w:rFonts w:asciiTheme="majorBidi" w:hAnsiTheme="majorBidi" w:cstheme="majorBidi"/>
          <w:color w:val="0F1115"/>
          <w:sz w:val="28"/>
          <w:szCs w:val="28"/>
        </w:rPr>
        <w:t>.</w:t>
      </w:r>
    </w:p>
    <w:p w14:paraId="6D22B03B"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توفير وسائل نقل آمنة للمناوبات الليلية</w:t>
      </w:r>
      <w:r w:rsidRPr="00A935FB">
        <w:rPr>
          <w:rFonts w:asciiTheme="majorBidi" w:hAnsiTheme="majorBidi" w:cstheme="majorBidi"/>
          <w:color w:val="0F1115"/>
          <w:sz w:val="28"/>
          <w:szCs w:val="28"/>
        </w:rPr>
        <w:t>.</w:t>
      </w:r>
    </w:p>
    <w:p w14:paraId="66CFBCFE"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ثالثاً: استراتيجيات التطوير المهني والوظيفي</w:t>
      </w:r>
    </w:p>
    <w:p w14:paraId="4A925C53"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تصميم مسارات وظيفية واضحة تمكن الممرض من الترقية إلى مناصب إشرافية أو سريرية متقدمة</w:t>
      </w:r>
      <w:r w:rsidRPr="00A935FB">
        <w:rPr>
          <w:rFonts w:asciiTheme="majorBidi" w:hAnsiTheme="majorBidi" w:cstheme="majorBidi"/>
          <w:color w:val="0F1115"/>
          <w:sz w:val="28"/>
          <w:szCs w:val="28"/>
        </w:rPr>
        <w:t>.</w:t>
      </w:r>
    </w:p>
    <w:p w14:paraId="6BECC640"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توفير برامج تدريبية مجانية أو مدعومة</w:t>
      </w:r>
      <w:r w:rsidRPr="00A935FB">
        <w:rPr>
          <w:rFonts w:asciiTheme="majorBidi" w:hAnsiTheme="majorBidi" w:cstheme="majorBidi"/>
          <w:color w:val="0F1115"/>
          <w:sz w:val="28"/>
          <w:szCs w:val="28"/>
        </w:rPr>
        <w:t>.</w:t>
      </w:r>
    </w:p>
    <w:p w14:paraId="757E66E1"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دعم حضور المؤتمرات العلمية</w:t>
      </w:r>
      <w:r w:rsidRPr="00A935FB">
        <w:rPr>
          <w:rFonts w:asciiTheme="majorBidi" w:hAnsiTheme="majorBidi" w:cstheme="majorBidi"/>
          <w:color w:val="0F1115"/>
          <w:sz w:val="28"/>
          <w:szCs w:val="28"/>
        </w:rPr>
        <w:t>.</w:t>
      </w:r>
    </w:p>
    <w:p w14:paraId="0D3DB9A8"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lastRenderedPageBreak/>
        <w:t>إنشاء برامج إرشاد</w:t>
      </w:r>
      <w:r w:rsidRPr="00A935FB">
        <w:rPr>
          <w:rFonts w:asciiTheme="majorBidi" w:hAnsiTheme="majorBidi" w:cstheme="majorBidi"/>
          <w:color w:val="0F1115"/>
          <w:sz w:val="28"/>
          <w:szCs w:val="28"/>
        </w:rPr>
        <w:t xml:space="preserve"> (Mentorship) </w:t>
      </w:r>
      <w:r w:rsidRPr="00A935FB">
        <w:rPr>
          <w:rFonts w:asciiTheme="majorBidi" w:hAnsiTheme="majorBidi" w:cstheme="majorBidi"/>
          <w:color w:val="0F1115"/>
          <w:sz w:val="28"/>
          <w:szCs w:val="28"/>
          <w:rtl/>
        </w:rPr>
        <w:t>يتابع فيها خبير زميلاً جديداً</w:t>
      </w:r>
      <w:r w:rsidRPr="00A935FB">
        <w:rPr>
          <w:rFonts w:asciiTheme="majorBidi" w:hAnsiTheme="majorBidi" w:cstheme="majorBidi"/>
          <w:color w:val="0F1115"/>
          <w:sz w:val="28"/>
          <w:szCs w:val="28"/>
        </w:rPr>
        <w:t>.</w:t>
      </w:r>
    </w:p>
    <w:p w14:paraId="14081583"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رابعاً: استراتيجيات القيادة الداعمة</w:t>
      </w:r>
    </w:p>
    <w:p w14:paraId="152DEDE7"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تدريب المديرين على مهارات التواصل الفعال والقيادة الإنسانية</w:t>
      </w:r>
      <w:r w:rsidRPr="00A935FB">
        <w:rPr>
          <w:rFonts w:asciiTheme="majorBidi" w:hAnsiTheme="majorBidi" w:cstheme="majorBidi"/>
          <w:color w:val="0F1115"/>
          <w:sz w:val="28"/>
          <w:szCs w:val="28"/>
        </w:rPr>
        <w:t>.</w:t>
      </w:r>
    </w:p>
    <w:p w14:paraId="1E0C69F2"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تطبيق سياسة الباب المفتوح للاستماع لمشكلات العاملين</w:t>
      </w:r>
      <w:r w:rsidRPr="00A935FB">
        <w:rPr>
          <w:rFonts w:asciiTheme="majorBidi" w:hAnsiTheme="majorBidi" w:cstheme="majorBidi"/>
          <w:color w:val="0F1115"/>
          <w:sz w:val="28"/>
          <w:szCs w:val="28"/>
        </w:rPr>
        <w:t>.</w:t>
      </w:r>
    </w:p>
    <w:p w14:paraId="5D493723"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إشراك العاملين في صنع القرارات التي تخص عملهم</w:t>
      </w:r>
      <w:r w:rsidRPr="00A935FB">
        <w:rPr>
          <w:rFonts w:asciiTheme="majorBidi" w:hAnsiTheme="majorBidi" w:cstheme="majorBidi"/>
          <w:color w:val="0F1115"/>
          <w:sz w:val="28"/>
          <w:szCs w:val="28"/>
        </w:rPr>
        <w:t>.</w:t>
      </w:r>
    </w:p>
    <w:p w14:paraId="5CD52BD4"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عقد اجتماعات دورية لمناقشة التحديات والاستماع للمقترحات</w:t>
      </w:r>
      <w:r w:rsidRPr="00A935FB">
        <w:rPr>
          <w:rFonts w:asciiTheme="majorBidi" w:hAnsiTheme="majorBidi" w:cstheme="majorBidi"/>
          <w:color w:val="0F1115"/>
          <w:sz w:val="28"/>
          <w:szCs w:val="28"/>
        </w:rPr>
        <w:t>.</w:t>
      </w:r>
    </w:p>
    <w:p w14:paraId="78FF565A"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b/>
          <w:bCs/>
          <w:sz w:val="28"/>
          <w:szCs w:val="28"/>
          <w:rtl/>
        </w:rPr>
        <w:t>خامساً: استراتيجيات تعزيز التوازن بين العمل والحياة</w:t>
      </w:r>
    </w:p>
    <w:p w14:paraId="76A0C1F0"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تطبيق نظام المناوبات المرنة</w:t>
      </w:r>
      <w:r w:rsidRPr="00A935FB">
        <w:rPr>
          <w:rFonts w:asciiTheme="majorBidi" w:hAnsiTheme="majorBidi" w:cstheme="majorBidi"/>
          <w:color w:val="0F1115"/>
          <w:sz w:val="28"/>
          <w:szCs w:val="28"/>
        </w:rPr>
        <w:t xml:space="preserve"> (Flexible Scheduling).</w:t>
      </w:r>
    </w:p>
    <w:p w14:paraId="103D0F26"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السماح بالإجازات الدورية دون ضغوط</w:t>
      </w:r>
      <w:r w:rsidRPr="00A935FB">
        <w:rPr>
          <w:rFonts w:asciiTheme="majorBidi" w:hAnsiTheme="majorBidi" w:cstheme="majorBidi"/>
          <w:color w:val="0F1115"/>
          <w:sz w:val="28"/>
          <w:szCs w:val="28"/>
        </w:rPr>
        <w:t>.</w:t>
      </w:r>
    </w:p>
    <w:p w14:paraId="117ADB22"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توفير إجازة أمومة وأبوة مدفوعة</w:t>
      </w:r>
      <w:r w:rsidRPr="00A935FB">
        <w:rPr>
          <w:rFonts w:asciiTheme="majorBidi" w:hAnsiTheme="majorBidi" w:cstheme="majorBidi"/>
          <w:color w:val="0F1115"/>
          <w:sz w:val="28"/>
          <w:szCs w:val="28"/>
        </w:rPr>
        <w:t>.</w:t>
      </w:r>
    </w:p>
    <w:p w14:paraId="31354EEA"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إنشاء حضانات داخل المستشفى لأبناء العاملات</w:t>
      </w:r>
      <w:r w:rsidRPr="00A935FB">
        <w:rPr>
          <w:rFonts w:asciiTheme="majorBidi" w:hAnsiTheme="majorBidi" w:cstheme="majorBidi"/>
          <w:color w:val="0F1115"/>
          <w:sz w:val="28"/>
          <w:szCs w:val="28"/>
        </w:rPr>
        <w:t>.</w:t>
      </w:r>
    </w:p>
    <w:p w14:paraId="65213D40"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توفير دعم نفسي (استشارات) للمتعرضين لضغوط العمل</w:t>
      </w:r>
      <w:r w:rsidRPr="00A935FB">
        <w:rPr>
          <w:rFonts w:asciiTheme="majorBidi" w:hAnsiTheme="majorBidi" w:cstheme="majorBidi"/>
          <w:color w:val="0F1115"/>
          <w:sz w:val="28"/>
          <w:szCs w:val="28"/>
        </w:rPr>
        <w:t>.</w:t>
      </w:r>
    </w:p>
    <w:p w14:paraId="47379CB6"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جدول (2-1): ملخص لأهم استراتيجيات الاحتفاظ بالكادر الطبي</w:t>
      </w:r>
    </w:p>
    <w:tbl>
      <w:tblPr>
        <w:bidiVisual/>
        <w:tblW w:w="8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65"/>
        <w:gridCol w:w="5666"/>
      </w:tblGrid>
      <w:tr w:rsidR="00F00D5E" w14:paraId="33092D26" w14:textId="77777777" w:rsidTr="00A935FB">
        <w:trPr>
          <w:tblHeader/>
        </w:trPr>
        <w:tc>
          <w:tcPr>
            <w:tcW w:w="2365" w:type="dxa"/>
            <w:tcMar>
              <w:top w:w="150" w:type="dxa"/>
              <w:left w:w="0" w:type="dxa"/>
              <w:bottom w:w="150" w:type="dxa"/>
              <w:right w:w="240" w:type="dxa"/>
            </w:tcMar>
            <w:vAlign w:val="center"/>
            <w:hideMark/>
          </w:tcPr>
          <w:p w14:paraId="3B83D180"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الفئة</w:t>
            </w:r>
          </w:p>
        </w:tc>
        <w:tc>
          <w:tcPr>
            <w:tcW w:w="5666" w:type="dxa"/>
            <w:tcMar>
              <w:top w:w="150" w:type="dxa"/>
              <w:left w:w="240" w:type="dxa"/>
              <w:bottom w:w="150" w:type="dxa"/>
              <w:right w:w="240" w:type="dxa"/>
            </w:tcMar>
            <w:vAlign w:val="center"/>
            <w:hideMark/>
          </w:tcPr>
          <w:p w14:paraId="4B08FE1B"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الاستراتيجيات</w:t>
            </w:r>
          </w:p>
        </w:tc>
      </w:tr>
      <w:tr w:rsidR="00F00D5E" w14:paraId="033D09E7" w14:textId="77777777" w:rsidTr="00A935FB">
        <w:tc>
          <w:tcPr>
            <w:tcW w:w="2365" w:type="dxa"/>
            <w:tcMar>
              <w:top w:w="150" w:type="dxa"/>
              <w:left w:w="0" w:type="dxa"/>
              <w:bottom w:w="150" w:type="dxa"/>
              <w:right w:w="240" w:type="dxa"/>
            </w:tcMar>
            <w:vAlign w:val="center"/>
            <w:hideMark/>
          </w:tcPr>
          <w:p w14:paraId="0215CE65"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الحوافز المالية</w:t>
            </w:r>
          </w:p>
        </w:tc>
        <w:tc>
          <w:tcPr>
            <w:tcW w:w="5666" w:type="dxa"/>
            <w:tcMar>
              <w:top w:w="150" w:type="dxa"/>
              <w:left w:w="240" w:type="dxa"/>
              <w:bottom w:w="150" w:type="dxa"/>
              <w:right w:w="0" w:type="dxa"/>
            </w:tcMar>
            <w:vAlign w:val="center"/>
            <w:hideMark/>
          </w:tcPr>
          <w:p w14:paraId="199BA607" w14:textId="77777777"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رواتب تنافسية، علاوات، بدلات، مكافآت</w:t>
            </w:r>
          </w:p>
        </w:tc>
      </w:tr>
      <w:tr w:rsidR="00F00D5E" w14:paraId="6C7D41FB" w14:textId="77777777" w:rsidTr="00A935FB">
        <w:tc>
          <w:tcPr>
            <w:tcW w:w="2365" w:type="dxa"/>
            <w:tcMar>
              <w:top w:w="150" w:type="dxa"/>
              <w:left w:w="0" w:type="dxa"/>
              <w:bottom w:w="150" w:type="dxa"/>
              <w:right w:w="240" w:type="dxa"/>
            </w:tcMar>
            <w:vAlign w:val="center"/>
            <w:hideMark/>
          </w:tcPr>
          <w:p w14:paraId="57B1A59A"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الحوافز غير المالية</w:t>
            </w:r>
          </w:p>
        </w:tc>
        <w:tc>
          <w:tcPr>
            <w:tcW w:w="5666" w:type="dxa"/>
            <w:tcMar>
              <w:top w:w="150" w:type="dxa"/>
              <w:left w:w="240" w:type="dxa"/>
              <w:bottom w:w="150" w:type="dxa"/>
              <w:right w:w="0" w:type="dxa"/>
            </w:tcMar>
            <w:vAlign w:val="center"/>
            <w:hideMark/>
          </w:tcPr>
          <w:p w14:paraId="552AF81D" w14:textId="44EEF4AF"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 xml:space="preserve">التقدير، التكريم، </w:t>
            </w:r>
            <w:r w:rsidR="00A935FB">
              <w:rPr>
                <w:rFonts w:ascii="Segoe UI" w:hAnsi="Segoe UI" w:hint="cs"/>
                <w:sz w:val="23"/>
                <w:szCs w:val="23"/>
                <w:rtl/>
              </w:rPr>
              <w:t>شهادات الشكر</w:t>
            </w:r>
          </w:p>
        </w:tc>
      </w:tr>
      <w:tr w:rsidR="00F00D5E" w14:paraId="327D5882" w14:textId="77777777" w:rsidTr="00A935FB">
        <w:tc>
          <w:tcPr>
            <w:tcW w:w="2365" w:type="dxa"/>
            <w:tcMar>
              <w:top w:w="150" w:type="dxa"/>
              <w:left w:w="0" w:type="dxa"/>
              <w:bottom w:w="150" w:type="dxa"/>
              <w:right w:w="240" w:type="dxa"/>
            </w:tcMar>
            <w:vAlign w:val="center"/>
            <w:hideMark/>
          </w:tcPr>
          <w:p w14:paraId="1C592509"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التطوير المهني</w:t>
            </w:r>
          </w:p>
        </w:tc>
        <w:tc>
          <w:tcPr>
            <w:tcW w:w="5666" w:type="dxa"/>
            <w:tcMar>
              <w:top w:w="150" w:type="dxa"/>
              <w:left w:w="240" w:type="dxa"/>
              <w:bottom w:w="150" w:type="dxa"/>
              <w:right w:w="0" w:type="dxa"/>
            </w:tcMar>
            <w:vAlign w:val="center"/>
            <w:hideMark/>
          </w:tcPr>
          <w:p w14:paraId="22EE7EA6" w14:textId="77777777"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تدريب، مؤتمرات، مسار وظيفي، إرشاد</w:t>
            </w:r>
          </w:p>
        </w:tc>
      </w:tr>
      <w:tr w:rsidR="00F00D5E" w14:paraId="688AE90F" w14:textId="77777777" w:rsidTr="00A935FB">
        <w:tc>
          <w:tcPr>
            <w:tcW w:w="2365" w:type="dxa"/>
            <w:tcMar>
              <w:top w:w="150" w:type="dxa"/>
              <w:left w:w="0" w:type="dxa"/>
              <w:bottom w:w="150" w:type="dxa"/>
              <w:right w:w="240" w:type="dxa"/>
            </w:tcMar>
            <w:vAlign w:val="center"/>
            <w:hideMark/>
          </w:tcPr>
          <w:p w14:paraId="0DB94188"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بيئة العمل</w:t>
            </w:r>
          </w:p>
        </w:tc>
        <w:tc>
          <w:tcPr>
            <w:tcW w:w="5666" w:type="dxa"/>
            <w:tcMar>
              <w:top w:w="150" w:type="dxa"/>
              <w:left w:w="240" w:type="dxa"/>
              <w:bottom w:w="150" w:type="dxa"/>
              <w:right w:w="0" w:type="dxa"/>
            </w:tcMar>
            <w:vAlign w:val="center"/>
            <w:hideMark/>
          </w:tcPr>
          <w:p w14:paraId="1713AAC4" w14:textId="77777777"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سلامة، تجهيزات، علاقات إيجابية</w:t>
            </w:r>
          </w:p>
        </w:tc>
      </w:tr>
      <w:tr w:rsidR="00F00D5E" w14:paraId="4B8A8A27" w14:textId="77777777" w:rsidTr="00A935FB">
        <w:tc>
          <w:tcPr>
            <w:tcW w:w="2365" w:type="dxa"/>
            <w:tcMar>
              <w:top w:w="150" w:type="dxa"/>
              <w:left w:w="0" w:type="dxa"/>
              <w:bottom w:w="150" w:type="dxa"/>
              <w:right w:w="240" w:type="dxa"/>
            </w:tcMar>
            <w:vAlign w:val="center"/>
            <w:hideMark/>
          </w:tcPr>
          <w:p w14:paraId="341BC5B5"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القيادة</w:t>
            </w:r>
          </w:p>
        </w:tc>
        <w:tc>
          <w:tcPr>
            <w:tcW w:w="5666" w:type="dxa"/>
            <w:tcMar>
              <w:top w:w="150" w:type="dxa"/>
              <w:left w:w="240" w:type="dxa"/>
              <w:bottom w:w="150" w:type="dxa"/>
              <w:right w:w="0" w:type="dxa"/>
            </w:tcMar>
            <w:vAlign w:val="center"/>
            <w:hideMark/>
          </w:tcPr>
          <w:p w14:paraId="287C81C1" w14:textId="77777777"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دعم، تواصل، مشاركة، إنصات</w:t>
            </w:r>
          </w:p>
        </w:tc>
      </w:tr>
      <w:tr w:rsidR="00F00D5E" w14:paraId="1AA15741" w14:textId="77777777" w:rsidTr="00A935FB">
        <w:tc>
          <w:tcPr>
            <w:tcW w:w="2365" w:type="dxa"/>
            <w:tcMar>
              <w:top w:w="150" w:type="dxa"/>
              <w:left w:w="0" w:type="dxa"/>
              <w:bottom w:w="150" w:type="dxa"/>
              <w:right w:w="240" w:type="dxa"/>
            </w:tcMar>
            <w:vAlign w:val="center"/>
            <w:hideMark/>
          </w:tcPr>
          <w:p w14:paraId="1CE2C71F" w14:textId="77777777" w:rsidR="00F00D5E" w:rsidRDefault="00F00D5E" w:rsidP="00A935FB">
            <w:pPr>
              <w:bidi/>
              <w:spacing w:line="375" w:lineRule="atLeast"/>
              <w:jc w:val="center"/>
              <w:rPr>
                <w:rFonts w:ascii="Segoe UI" w:hAnsi="Segoe UI" w:cs="Segoe UI"/>
                <w:sz w:val="23"/>
                <w:szCs w:val="23"/>
              </w:rPr>
            </w:pPr>
            <w:r>
              <w:rPr>
                <w:rFonts w:ascii="Segoe UI" w:hAnsi="Segoe UI"/>
                <w:sz w:val="23"/>
                <w:szCs w:val="23"/>
                <w:rtl/>
              </w:rPr>
              <w:t>التوازن</w:t>
            </w:r>
          </w:p>
        </w:tc>
        <w:tc>
          <w:tcPr>
            <w:tcW w:w="5666" w:type="dxa"/>
            <w:tcMar>
              <w:top w:w="150" w:type="dxa"/>
              <w:left w:w="240" w:type="dxa"/>
              <w:bottom w:w="150" w:type="dxa"/>
              <w:right w:w="0" w:type="dxa"/>
            </w:tcMar>
            <w:vAlign w:val="center"/>
            <w:hideMark/>
          </w:tcPr>
          <w:p w14:paraId="42FDB8A5" w14:textId="77777777" w:rsidR="00F00D5E" w:rsidRDefault="00F00D5E" w:rsidP="00A935FB">
            <w:pPr>
              <w:bidi/>
              <w:spacing w:line="375" w:lineRule="atLeast"/>
              <w:ind w:left="139"/>
              <w:rPr>
                <w:rFonts w:ascii="Segoe UI" w:hAnsi="Segoe UI" w:cs="Segoe UI"/>
                <w:sz w:val="23"/>
                <w:szCs w:val="23"/>
              </w:rPr>
            </w:pPr>
            <w:r>
              <w:rPr>
                <w:rFonts w:ascii="Segoe UI" w:hAnsi="Segoe UI"/>
                <w:sz w:val="23"/>
                <w:szCs w:val="23"/>
                <w:rtl/>
              </w:rPr>
              <w:t>مرونة، إجازات، دعم أسري، دعم نفسي</w:t>
            </w:r>
          </w:p>
        </w:tc>
      </w:tr>
    </w:tbl>
    <w:p w14:paraId="3A9D0CC4" w14:textId="62FF3964" w:rsidR="00F00D5E" w:rsidRDefault="00F00D5E" w:rsidP="00F00D5E">
      <w:pPr>
        <w:bidi/>
        <w:spacing w:before="480" w:after="480"/>
        <w:jc w:val="lowKashida"/>
      </w:pPr>
    </w:p>
    <w:p w14:paraId="35FF7EDD" w14:textId="11DED79C" w:rsidR="00F00D5E" w:rsidRPr="00A935FB" w:rsidRDefault="00A935FB" w:rsidP="00F00D5E">
      <w:pPr>
        <w:pStyle w:val="Heading3"/>
        <w:shd w:val="clear" w:color="auto" w:fill="FFFFFF"/>
        <w:bidi/>
        <w:spacing w:before="480" w:after="240" w:line="450" w:lineRule="atLeast"/>
        <w:jc w:val="lowKashida"/>
        <w:rPr>
          <w:rFonts w:asciiTheme="majorBidi" w:eastAsia="Times New Roman" w:hAnsiTheme="majorBidi"/>
          <w:color w:val="0F1115"/>
          <w:sz w:val="28"/>
          <w:szCs w:val="28"/>
        </w:rPr>
      </w:pPr>
      <w:r>
        <w:rPr>
          <w:rFonts w:ascii="Segoe UI" w:hAnsi="Segoe UI" w:cs="Segoe UI" w:hint="cs"/>
          <w:color w:val="0F1115"/>
          <w:sz w:val="30"/>
          <w:szCs w:val="30"/>
          <w:rtl/>
        </w:rPr>
        <w:lastRenderedPageBreak/>
        <w:t xml:space="preserve">٢.٣. </w:t>
      </w:r>
      <w:r w:rsidR="00F00D5E" w:rsidRPr="00A935FB">
        <w:rPr>
          <w:rFonts w:asciiTheme="majorBidi" w:eastAsia="Times New Roman" w:hAnsiTheme="majorBidi"/>
          <w:color w:val="0F1115"/>
          <w:sz w:val="28"/>
          <w:szCs w:val="28"/>
          <w:rtl/>
        </w:rPr>
        <w:t>جودة الرعاية الصحية</w:t>
      </w:r>
    </w:p>
    <w:p w14:paraId="25B2BEF3" w14:textId="662F6CC5" w:rsidR="00F00D5E" w:rsidRPr="00A935FB" w:rsidRDefault="00A935FB" w:rsidP="00F00D5E">
      <w:pPr>
        <w:pStyle w:val="Heading4"/>
        <w:shd w:val="clear" w:color="auto" w:fill="FFFFFF"/>
        <w:bidi/>
        <w:spacing w:before="240" w:after="240" w:line="420" w:lineRule="atLeast"/>
        <w:jc w:val="lowKashida"/>
        <w:rPr>
          <w:rFonts w:asciiTheme="majorBidi" w:eastAsia="Times New Roman" w:hAnsiTheme="majorBidi"/>
          <w:i w:val="0"/>
          <w:iCs w:val="0"/>
          <w:color w:val="0F1115"/>
          <w:sz w:val="28"/>
          <w:szCs w:val="28"/>
        </w:rPr>
      </w:pPr>
      <w:r>
        <w:rPr>
          <w:rFonts w:asciiTheme="majorBidi" w:eastAsia="Times New Roman" w:hAnsiTheme="majorBidi" w:hint="cs"/>
          <w:i w:val="0"/>
          <w:iCs w:val="0"/>
          <w:color w:val="0F1115"/>
          <w:sz w:val="28"/>
          <w:szCs w:val="28"/>
          <w:rtl/>
        </w:rPr>
        <w:t xml:space="preserve">٢.٣.١. </w:t>
      </w:r>
      <w:r w:rsidR="00F00D5E" w:rsidRPr="00A935FB">
        <w:rPr>
          <w:rFonts w:asciiTheme="majorBidi" w:eastAsia="Times New Roman" w:hAnsiTheme="majorBidi"/>
          <w:i w:val="0"/>
          <w:iCs w:val="0"/>
          <w:color w:val="0F1115"/>
          <w:sz w:val="28"/>
          <w:szCs w:val="28"/>
          <w:rtl/>
        </w:rPr>
        <w:t>مفهوم الجودة في الرعاية الصحية</w:t>
      </w:r>
    </w:p>
    <w:p w14:paraId="555441E0"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الجودة مفهوم متعدد الأبعاد، وقد تعددت تعريفاته. من أشهرها تعريف معهد الطب الأمريكي</w:t>
      </w:r>
      <w:r w:rsidRPr="00A935FB">
        <w:rPr>
          <w:rFonts w:asciiTheme="majorBidi" w:hAnsiTheme="majorBidi" w:cstheme="majorBidi"/>
          <w:color w:val="0F1115"/>
          <w:sz w:val="28"/>
          <w:szCs w:val="28"/>
        </w:rPr>
        <w:t xml:space="preserve"> (IOM, 2001) </w:t>
      </w:r>
      <w:r w:rsidRPr="00A935FB">
        <w:rPr>
          <w:rFonts w:asciiTheme="majorBidi" w:hAnsiTheme="majorBidi" w:cstheme="majorBidi"/>
          <w:color w:val="0F1115"/>
          <w:sz w:val="28"/>
          <w:szCs w:val="28"/>
          <w:rtl/>
        </w:rPr>
        <w:t>الذي نص على أن جودة الرعاية الصحية هي "الدرجة التي تزداد بها احتمالية تحقيق النتائج المرجوة للأفراد والمجتمعات، وتتوافق مع المعرفة المهنية الحالية". ويؤكد هذا التعريف على عنصرين: النتائج المرجوة، والمعرفة العلمية</w:t>
      </w:r>
      <w:r w:rsidRPr="00A935FB">
        <w:rPr>
          <w:rFonts w:asciiTheme="majorBidi" w:hAnsiTheme="majorBidi" w:cstheme="majorBidi"/>
          <w:color w:val="0F1115"/>
          <w:sz w:val="28"/>
          <w:szCs w:val="28"/>
        </w:rPr>
        <w:t>.</w:t>
      </w:r>
    </w:p>
    <w:p w14:paraId="1C7000CC"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أما منظمة الصحة العالمية</w:t>
      </w:r>
      <w:r w:rsidRPr="00A935FB">
        <w:rPr>
          <w:rFonts w:asciiTheme="majorBidi" w:hAnsiTheme="majorBidi" w:cstheme="majorBidi"/>
          <w:color w:val="0F1115"/>
          <w:sz w:val="28"/>
          <w:szCs w:val="28"/>
        </w:rPr>
        <w:t xml:space="preserve"> (WHO, 2020) </w:t>
      </w:r>
      <w:r w:rsidRPr="00A935FB">
        <w:rPr>
          <w:rFonts w:asciiTheme="majorBidi" w:hAnsiTheme="majorBidi" w:cstheme="majorBidi"/>
          <w:color w:val="0F1115"/>
          <w:sz w:val="28"/>
          <w:szCs w:val="28"/>
          <w:rtl/>
        </w:rPr>
        <w:t>فتعرف الجودة بأنها "الرعاية التي تكون فعالة، آمنة، متمركزة حول الشخص، وفي الوقت المناسب، ومنصفة، ومتكاملة، وفعالة من حيث التكلفة". وهذه الأبعاد تمثل الإطار المعترف به دولياً لقياس الجودة</w:t>
      </w:r>
      <w:r w:rsidRPr="00A935FB">
        <w:rPr>
          <w:rFonts w:asciiTheme="majorBidi" w:hAnsiTheme="majorBidi" w:cstheme="majorBidi"/>
          <w:color w:val="0F1115"/>
          <w:sz w:val="28"/>
          <w:szCs w:val="28"/>
        </w:rPr>
        <w:t>.</w:t>
      </w:r>
    </w:p>
    <w:p w14:paraId="0FDB6475" w14:textId="0EF91DC9" w:rsidR="00F00D5E" w:rsidRPr="00A935FB" w:rsidRDefault="00A935FB" w:rsidP="00F00D5E">
      <w:pPr>
        <w:pStyle w:val="Heading4"/>
        <w:shd w:val="clear" w:color="auto" w:fill="FFFFFF"/>
        <w:bidi/>
        <w:spacing w:before="240" w:after="240" w:line="420" w:lineRule="atLeast"/>
        <w:jc w:val="lowKashida"/>
        <w:rPr>
          <w:rFonts w:asciiTheme="majorBidi" w:eastAsia="Times New Roman" w:hAnsiTheme="majorBidi"/>
          <w:i w:val="0"/>
          <w:iCs w:val="0"/>
          <w:color w:val="0F1115"/>
          <w:sz w:val="28"/>
          <w:szCs w:val="28"/>
        </w:rPr>
      </w:pPr>
      <w:r>
        <w:rPr>
          <w:rFonts w:asciiTheme="majorBidi" w:eastAsia="Times New Roman" w:hAnsiTheme="majorBidi" w:hint="cs"/>
          <w:i w:val="0"/>
          <w:iCs w:val="0"/>
          <w:color w:val="0F1115"/>
          <w:sz w:val="28"/>
          <w:szCs w:val="28"/>
          <w:rtl/>
        </w:rPr>
        <w:t xml:space="preserve">٢.٣.٢. </w:t>
      </w:r>
      <w:r w:rsidR="00F00D5E" w:rsidRPr="00A935FB">
        <w:rPr>
          <w:rFonts w:asciiTheme="majorBidi" w:eastAsia="Times New Roman" w:hAnsiTheme="majorBidi"/>
          <w:i w:val="0"/>
          <w:iCs w:val="0"/>
          <w:color w:val="0F1115"/>
          <w:sz w:val="28"/>
          <w:szCs w:val="28"/>
          <w:rtl/>
        </w:rPr>
        <w:t>أبعاد جودة الرعاية الصحية</w:t>
      </w:r>
    </w:p>
    <w:p w14:paraId="11488ADC"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أولاً: السلامة</w:t>
      </w:r>
      <w:r w:rsidRPr="00A935FB">
        <w:rPr>
          <w:rFonts w:asciiTheme="majorBidi" w:hAnsiTheme="majorBidi" w:cstheme="majorBidi"/>
          <w:b/>
          <w:bCs/>
          <w:sz w:val="28"/>
          <w:szCs w:val="28"/>
        </w:rPr>
        <w:t xml:space="preserve"> (Safety)</w:t>
      </w:r>
    </w:p>
    <w:p w14:paraId="6EA9A7E1" w14:textId="460D8F8A"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تجنب الإضرار بالمرضى نتيجة الرعاية الصحية. ويشمل ذلك الحد من الأخطاء الطبية، والالتهابات المرتبطة بالرعاية، وسوء استخدام الأدوية. وتعد السلامة البعد الأكثر أهمية، فإذا لم تكن الرعاية آمنة، فإن أي تحسين في الأبعاد الأخرى يصبح بلا قيمة</w:t>
      </w:r>
      <w:r w:rsidRPr="00A935FB">
        <w:rPr>
          <w:rFonts w:asciiTheme="majorBidi" w:hAnsiTheme="majorBidi" w:cstheme="majorBidi"/>
          <w:color w:val="0F1115"/>
          <w:sz w:val="28"/>
          <w:szCs w:val="28"/>
        </w:rPr>
        <w:t>.</w:t>
      </w:r>
    </w:p>
    <w:p w14:paraId="0F179574"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ثانياً: الفعالية</w:t>
      </w:r>
      <w:r w:rsidRPr="00A935FB">
        <w:rPr>
          <w:rFonts w:asciiTheme="majorBidi" w:hAnsiTheme="majorBidi" w:cstheme="majorBidi"/>
          <w:b/>
          <w:bCs/>
          <w:sz w:val="28"/>
          <w:szCs w:val="28"/>
        </w:rPr>
        <w:t xml:space="preserve"> (Effectiveness)</w:t>
      </w:r>
    </w:p>
    <w:p w14:paraId="7D9A5899" w14:textId="599DA032"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تقديم الخدمات بناءً على المعرفة العلمية، وتجنب الإفراط في استخدام الخدمات غير الضرورية أو التقصير في تقديم الخدمات اللازمة. ويعني ذلك أن الرعاية يجب أن تستند إلى أفضل الأدلة المتاحة</w:t>
      </w:r>
      <w:r w:rsidRPr="00A935FB">
        <w:rPr>
          <w:rFonts w:asciiTheme="majorBidi" w:hAnsiTheme="majorBidi" w:cstheme="majorBidi"/>
          <w:color w:val="0F1115"/>
          <w:sz w:val="28"/>
          <w:szCs w:val="28"/>
        </w:rPr>
        <w:t xml:space="preserve"> (Evidence-based practice).</w:t>
      </w:r>
    </w:p>
    <w:p w14:paraId="7C5D7B4E"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ثالثاً: التركيز على المريض</w:t>
      </w:r>
      <w:r w:rsidRPr="00A935FB">
        <w:rPr>
          <w:rFonts w:asciiTheme="majorBidi" w:hAnsiTheme="majorBidi" w:cstheme="majorBidi"/>
          <w:b/>
          <w:bCs/>
          <w:sz w:val="28"/>
          <w:szCs w:val="28"/>
        </w:rPr>
        <w:t xml:space="preserve"> (Patient-centeredness)</w:t>
      </w:r>
    </w:p>
    <w:p w14:paraId="2545DB25" w14:textId="5AB211B0"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تقديم رعاية تحترم وتستجيب لتفضيلات المرضى واحتياجاتهم وقيمهم، مع ضمان مشاركتهم في القرارات المتعلقة بصحتهم. ويتطلب ذلك التواصل الجيد والاحترام والتعاطف</w:t>
      </w:r>
      <w:r w:rsidRPr="00A935FB">
        <w:rPr>
          <w:rFonts w:asciiTheme="majorBidi" w:hAnsiTheme="majorBidi" w:cstheme="majorBidi"/>
          <w:color w:val="0F1115"/>
          <w:sz w:val="28"/>
          <w:szCs w:val="28"/>
        </w:rPr>
        <w:t>.</w:t>
      </w:r>
    </w:p>
    <w:p w14:paraId="4DFE8D0B"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رابعاً: التوقيت المناسب</w:t>
      </w:r>
      <w:r w:rsidRPr="00A935FB">
        <w:rPr>
          <w:rFonts w:asciiTheme="majorBidi" w:hAnsiTheme="majorBidi" w:cstheme="majorBidi"/>
          <w:b/>
          <w:bCs/>
          <w:sz w:val="28"/>
          <w:szCs w:val="28"/>
        </w:rPr>
        <w:t xml:space="preserve"> (Timeliness)</w:t>
      </w:r>
    </w:p>
    <w:p w14:paraId="03F4F422" w14:textId="08E1802A"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تقليل أوقات الانتظار والتأخير في تقديم الخدمات، سواء في المواعيد، أو الفحوصات، أو بدء العلاج</w:t>
      </w:r>
      <w:r w:rsidRPr="00A935FB">
        <w:rPr>
          <w:rFonts w:asciiTheme="majorBidi" w:hAnsiTheme="majorBidi" w:cstheme="majorBidi"/>
          <w:color w:val="0F1115"/>
          <w:sz w:val="28"/>
          <w:szCs w:val="28"/>
        </w:rPr>
        <w:t>.</w:t>
      </w:r>
    </w:p>
    <w:p w14:paraId="6A0C6C00"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خامساً: الكفاءة</w:t>
      </w:r>
      <w:r w:rsidRPr="00A935FB">
        <w:rPr>
          <w:rFonts w:asciiTheme="majorBidi" w:hAnsiTheme="majorBidi" w:cstheme="majorBidi"/>
          <w:b/>
          <w:bCs/>
          <w:sz w:val="28"/>
          <w:szCs w:val="28"/>
        </w:rPr>
        <w:t xml:space="preserve"> (Efficiency)</w:t>
      </w:r>
    </w:p>
    <w:p w14:paraId="67468016" w14:textId="7703DB99"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الاستخدام الأمثل للموارد (الموارد البشرية، المعدات، الأدوية) دون هدر. فالمستشفى الذي يحقق نتائج جيدة بتكلفة أقل يقدم رعاية أكثر كفاءة</w:t>
      </w:r>
      <w:r w:rsidRPr="00A935FB">
        <w:rPr>
          <w:rFonts w:asciiTheme="majorBidi" w:hAnsiTheme="majorBidi" w:cstheme="majorBidi"/>
          <w:color w:val="0F1115"/>
          <w:sz w:val="28"/>
          <w:szCs w:val="28"/>
        </w:rPr>
        <w:t>.</w:t>
      </w:r>
    </w:p>
    <w:p w14:paraId="7B13F025" w14:textId="77777777" w:rsidR="005F3FCC"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سادساً: العدالة</w:t>
      </w:r>
      <w:r w:rsidRPr="00A935FB">
        <w:rPr>
          <w:rFonts w:asciiTheme="majorBidi" w:hAnsiTheme="majorBidi" w:cstheme="majorBidi"/>
          <w:b/>
          <w:bCs/>
          <w:sz w:val="28"/>
          <w:szCs w:val="28"/>
        </w:rPr>
        <w:t xml:space="preserve"> (Equity)</w:t>
      </w:r>
    </w:p>
    <w:p w14:paraId="16ACADA0" w14:textId="5B20240D"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تقديم رعاية لا تختلف في الجودة بسبب الجنس، العرق، الحالة الاجتماعية، أو القدرة المالية. وهذا البعد يتعلق بالمساواة في الوصول إلى الخدمات وجودتها</w:t>
      </w:r>
      <w:r w:rsidRPr="00A935FB">
        <w:rPr>
          <w:rFonts w:asciiTheme="majorBidi" w:hAnsiTheme="majorBidi" w:cstheme="majorBidi"/>
          <w:color w:val="0F1115"/>
          <w:sz w:val="28"/>
          <w:szCs w:val="28"/>
        </w:rPr>
        <w:t>.</w:t>
      </w:r>
    </w:p>
    <w:p w14:paraId="798DA099" w14:textId="6418FEAD" w:rsidR="00F00D5E" w:rsidRPr="00A935FB" w:rsidRDefault="00CD3787"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lastRenderedPageBreak/>
        <w:t xml:space="preserve">٢.٣.٣. </w:t>
      </w:r>
      <w:r w:rsidR="00F00D5E" w:rsidRPr="00A935FB">
        <w:rPr>
          <w:rFonts w:asciiTheme="majorBidi" w:hAnsiTheme="majorBidi" w:cstheme="majorBidi"/>
          <w:color w:val="0F1115"/>
          <w:sz w:val="28"/>
          <w:szCs w:val="28"/>
          <w:rtl/>
        </w:rPr>
        <w:t>مؤشرات قياس جودة الرعاية</w:t>
      </w:r>
    </w:p>
    <w:p w14:paraId="495706BE" w14:textId="77777777" w:rsidR="00F00D5E" w:rsidRPr="00A935FB"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 xml:space="preserve">تنقسم مؤشرات قياس الجودة إلى ثلاثة أنواع رئيسية وفقاً لنموذج </w:t>
      </w:r>
      <w:proofErr w:type="spellStart"/>
      <w:r w:rsidRPr="00A935FB">
        <w:rPr>
          <w:rFonts w:asciiTheme="majorBidi" w:hAnsiTheme="majorBidi" w:cstheme="majorBidi"/>
          <w:color w:val="0F1115"/>
          <w:sz w:val="28"/>
          <w:szCs w:val="28"/>
          <w:rtl/>
        </w:rPr>
        <w:t>دونابيديان</w:t>
      </w:r>
      <w:proofErr w:type="spellEnd"/>
      <w:r w:rsidRPr="00A935FB">
        <w:rPr>
          <w:rFonts w:asciiTheme="majorBidi" w:hAnsiTheme="majorBidi" w:cstheme="majorBidi"/>
          <w:color w:val="0F1115"/>
          <w:sz w:val="28"/>
          <w:szCs w:val="28"/>
        </w:rPr>
        <w:t xml:space="preserve"> (Donabedian, 1988):</w:t>
      </w:r>
    </w:p>
    <w:p w14:paraId="49B80854" w14:textId="342464CB" w:rsidR="005F3FCC"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مؤشرات الهيكل</w:t>
      </w:r>
      <w:r w:rsidRPr="00A935FB">
        <w:rPr>
          <w:rFonts w:asciiTheme="majorBidi" w:hAnsiTheme="majorBidi" w:cstheme="majorBidi"/>
          <w:b/>
          <w:bCs/>
          <w:sz w:val="28"/>
          <w:szCs w:val="28"/>
        </w:rPr>
        <w:t xml:space="preserve"> (Structure Indicators):</w:t>
      </w:r>
    </w:p>
    <w:p w14:paraId="2AAA75ED" w14:textId="19E03759"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تقيس خصائص النظام الصحي مثل توفر الكوادر، التجهيزات، المباني، والتنظيم الإداري. أمثلة: عدد الأطباء لكل 1000 مريض، توفر أجهزة التنفس الصناعي، وجود لجان الجودة</w:t>
      </w:r>
      <w:r w:rsidRPr="00A935FB">
        <w:rPr>
          <w:rFonts w:asciiTheme="majorBidi" w:hAnsiTheme="majorBidi" w:cstheme="majorBidi"/>
          <w:color w:val="0F1115"/>
          <w:sz w:val="28"/>
          <w:szCs w:val="28"/>
        </w:rPr>
        <w:t>.</w:t>
      </w:r>
    </w:p>
    <w:p w14:paraId="3ED12E48" w14:textId="79E945E9" w:rsidR="005F3FCC"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مؤشرات العملية</w:t>
      </w:r>
      <w:r w:rsidRPr="00A935FB">
        <w:rPr>
          <w:rFonts w:asciiTheme="majorBidi" w:hAnsiTheme="majorBidi" w:cstheme="majorBidi"/>
          <w:b/>
          <w:bCs/>
          <w:sz w:val="28"/>
          <w:szCs w:val="28"/>
        </w:rPr>
        <w:t xml:space="preserve"> (Process Indicators):</w:t>
      </w:r>
    </w:p>
    <w:p w14:paraId="687AC2D6" w14:textId="74BAD6D9"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 xml:space="preserve">تقيس ما يفعله مقدمو الخدمة للمرضى. أمثلة: نسبة المرضى الذين تلقوا التطعيم الموصى به، نسبة مرضى السكري الذين أجريت لهم فحوصات دورية، الوقت </w:t>
      </w:r>
      <w:proofErr w:type="spellStart"/>
      <w:r w:rsidRPr="00A935FB">
        <w:rPr>
          <w:rFonts w:asciiTheme="majorBidi" w:hAnsiTheme="majorBidi" w:cstheme="majorBidi"/>
          <w:color w:val="0F1115"/>
          <w:sz w:val="28"/>
          <w:szCs w:val="28"/>
          <w:rtl/>
        </w:rPr>
        <w:t>المنقضي</w:t>
      </w:r>
      <w:proofErr w:type="spellEnd"/>
      <w:r w:rsidRPr="00A935FB">
        <w:rPr>
          <w:rFonts w:asciiTheme="majorBidi" w:hAnsiTheme="majorBidi" w:cstheme="majorBidi"/>
          <w:color w:val="0F1115"/>
          <w:sz w:val="28"/>
          <w:szCs w:val="28"/>
          <w:rtl/>
        </w:rPr>
        <w:t xml:space="preserve"> حتى صرف المضاد الحيوي لمرضى الالتهاب الرئوي</w:t>
      </w:r>
      <w:r w:rsidRPr="00A935FB">
        <w:rPr>
          <w:rFonts w:asciiTheme="majorBidi" w:hAnsiTheme="majorBidi" w:cstheme="majorBidi"/>
          <w:color w:val="0F1115"/>
          <w:sz w:val="28"/>
          <w:szCs w:val="28"/>
        </w:rPr>
        <w:t>.</w:t>
      </w:r>
    </w:p>
    <w:p w14:paraId="08FBA7D6" w14:textId="39626205" w:rsidR="005F3FCC"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A935FB">
        <w:rPr>
          <w:rFonts w:asciiTheme="majorBidi" w:hAnsiTheme="majorBidi" w:cstheme="majorBidi"/>
          <w:b/>
          <w:bCs/>
          <w:sz w:val="28"/>
          <w:szCs w:val="28"/>
          <w:rtl/>
        </w:rPr>
        <w:t>مؤشرات النتائج</w:t>
      </w:r>
      <w:r w:rsidRPr="00A935FB">
        <w:rPr>
          <w:rFonts w:asciiTheme="majorBidi" w:hAnsiTheme="majorBidi" w:cstheme="majorBidi"/>
          <w:b/>
          <w:bCs/>
          <w:sz w:val="28"/>
          <w:szCs w:val="28"/>
        </w:rPr>
        <w:t xml:space="preserve"> (Outcome Indicators):</w:t>
      </w:r>
    </w:p>
    <w:p w14:paraId="48917F5B" w14:textId="1F472FA6" w:rsidR="00F00D5E" w:rsidRPr="00A935FB"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تقيس تأثير الرعاية على صحة المرضى. أمثلة: معدل الوفيات داخل المستشفى، معدل الالتهابات بعد العمليات، نسبة إعادة الدخول خلال 30 يوماً، رضا المرضى</w:t>
      </w:r>
      <w:r w:rsidRPr="00A935FB">
        <w:rPr>
          <w:rFonts w:asciiTheme="majorBidi" w:hAnsiTheme="majorBidi" w:cstheme="majorBidi"/>
          <w:color w:val="0F1115"/>
          <w:sz w:val="28"/>
          <w:szCs w:val="28"/>
        </w:rPr>
        <w:t>.</w:t>
      </w:r>
    </w:p>
    <w:p w14:paraId="10CFAA51" w14:textId="77777777" w:rsidR="00F00D5E" w:rsidRPr="00A935FB" w:rsidRDefault="00F00D5E" w:rsidP="00A935FB">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A935FB">
        <w:rPr>
          <w:rFonts w:asciiTheme="majorBidi" w:hAnsiTheme="majorBidi" w:cstheme="majorBidi"/>
          <w:color w:val="0F1115"/>
          <w:sz w:val="28"/>
          <w:szCs w:val="28"/>
          <w:rtl/>
        </w:rPr>
        <w:t>جدول (2-2): أبعاد جودة الرعاية الصحية ومؤشراتها</w:t>
      </w:r>
    </w:p>
    <w:tbl>
      <w:tblPr>
        <w:bidiVisual/>
        <w:tblW w:w="8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1"/>
        <w:gridCol w:w="6517"/>
      </w:tblGrid>
      <w:tr w:rsidR="00F00D5E" w14:paraId="3C289747" w14:textId="77777777" w:rsidTr="00CD3787">
        <w:trPr>
          <w:tblHeader/>
        </w:trPr>
        <w:tc>
          <w:tcPr>
            <w:tcW w:w="2081" w:type="dxa"/>
            <w:tcMar>
              <w:top w:w="150" w:type="dxa"/>
              <w:left w:w="0" w:type="dxa"/>
              <w:bottom w:w="150" w:type="dxa"/>
              <w:right w:w="240" w:type="dxa"/>
            </w:tcMar>
            <w:vAlign w:val="center"/>
            <w:hideMark/>
          </w:tcPr>
          <w:p w14:paraId="09C59A41"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البعد</w:t>
            </w:r>
          </w:p>
        </w:tc>
        <w:tc>
          <w:tcPr>
            <w:tcW w:w="6517" w:type="dxa"/>
            <w:tcMar>
              <w:top w:w="150" w:type="dxa"/>
              <w:left w:w="240" w:type="dxa"/>
              <w:bottom w:w="150" w:type="dxa"/>
              <w:right w:w="240" w:type="dxa"/>
            </w:tcMar>
            <w:vAlign w:val="center"/>
            <w:hideMark/>
          </w:tcPr>
          <w:p w14:paraId="7CBB6542"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أمثلة على المؤشرات</w:t>
            </w:r>
          </w:p>
        </w:tc>
      </w:tr>
      <w:tr w:rsidR="00F00D5E" w14:paraId="1F0D4538" w14:textId="77777777" w:rsidTr="00CD3787">
        <w:tc>
          <w:tcPr>
            <w:tcW w:w="2081" w:type="dxa"/>
            <w:tcMar>
              <w:top w:w="150" w:type="dxa"/>
              <w:left w:w="0" w:type="dxa"/>
              <w:bottom w:w="150" w:type="dxa"/>
              <w:right w:w="240" w:type="dxa"/>
            </w:tcMar>
            <w:vAlign w:val="center"/>
            <w:hideMark/>
          </w:tcPr>
          <w:p w14:paraId="7C4053D5"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السلامة</w:t>
            </w:r>
          </w:p>
        </w:tc>
        <w:tc>
          <w:tcPr>
            <w:tcW w:w="6517" w:type="dxa"/>
            <w:tcMar>
              <w:top w:w="150" w:type="dxa"/>
              <w:left w:w="240" w:type="dxa"/>
              <w:bottom w:w="150" w:type="dxa"/>
              <w:right w:w="0" w:type="dxa"/>
            </w:tcMar>
            <w:vAlign w:val="center"/>
            <w:hideMark/>
          </w:tcPr>
          <w:p w14:paraId="4ADD18CD"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معدل العدوى المكتسبة في المستشفى، معدل الأخطاء الدوائية</w:t>
            </w:r>
          </w:p>
        </w:tc>
      </w:tr>
      <w:tr w:rsidR="00F00D5E" w14:paraId="7328E15F" w14:textId="77777777" w:rsidTr="00CD3787">
        <w:tc>
          <w:tcPr>
            <w:tcW w:w="2081" w:type="dxa"/>
            <w:tcMar>
              <w:top w:w="150" w:type="dxa"/>
              <w:left w:w="0" w:type="dxa"/>
              <w:bottom w:w="150" w:type="dxa"/>
              <w:right w:w="240" w:type="dxa"/>
            </w:tcMar>
            <w:vAlign w:val="center"/>
            <w:hideMark/>
          </w:tcPr>
          <w:p w14:paraId="5B253987"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الفعالية</w:t>
            </w:r>
          </w:p>
        </w:tc>
        <w:tc>
          <w:tcPr>
            <w:tcW w:w="6517" w:type="dxa"/>
            <w:tcMar>
              <w:top w:w="150" w:type="dxa"/>
              <w:left w:w="240" w:type="dxa"/>
              <w:bottom w:w="150" w:type="dxa"/>
              <w:right w:w="0" w:type="dxa"/>
            </w:tcMar>
            <w:vAlign w:val="center"/>
            <w:hideMark/>
          </w:tcPr>
          <w:p w14:paraId="3E1CD51F"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نسبة الالتزام بالبروتوكولات العلاجية، معدل الوفيات</w:t>
            </w:r>
          </w:p>
        </w:tc>
      </w:tr>
      <w:tr w:rsidR="00F00D5E" w14:paraId="2A901F6E" w14:textId="77777777" w:rsidTr="00CD3787">
        <w:tc>
          <w:tcPr>
            <w:tcW w:w="2081" w:type="dxa"/>
            <w:tcMar>
              <w:top w:w="150" w:type="dxa"/>
              <w:left w:w="0" w:type="dxa"/>
              <w:bottom w:w="150" w:type="dxa"/>
              <w:right w:w="240" w:type="dxa"/>
            </w:tcMar>
            <w:vAlign w:val="center"/>
            <w:hideMark/>
          </w:tcPr>
          <w:p w14:paraId="025AF4EC"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التركيز على المريض</w:t>
            </w:r>
          </w:p>
        </w:tc>
        <w:tc>
          <w:tcPr>
            <w:tcW w:w="6517" w:type="dxa"/>
            <w:tcMar>
              <w:top w:w="150" w:type="dxa"/>
              <w:left w:w="240" w:type="dxa"/>
              <w:bottom w:w="150" w:type="dxa"/>
              <w:right w:w="0" w:type="dxa"/>
            </w:tcMar>
            <w:vAlign w:val="center"/>
            <w:hideMark/>
          </w:tcPr>
          <w:p w14:paraId="7672BB80"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رضا المريض عن التواصل، مشاركة المريض في القرارات</w:t>
            </w:r>
          </w:p>
        </w:tc>
      </w:tr>
      <w:tr w:rsidR="00F00D5E" w14:paraId="26210B1B" w14:textId="77777777" w:rsidTr="00CD3787">
        <w:tc>
          <w:tcPr>
            <w:tcW w:w="2081" w:type="dxa"/>
            <w:tcMar>
              <w:top w:w="150" w:type="dxa"/>
              <w:left w:w="0" w:type="dxa"/>
              <w:bottom w:w="150" w:type="dxa"/>
              <w:right w:w="240" w:type="dxa"/>
            </w:tcMar>
            <w:vAlign w:val="center"/>
            <w:hideMark/>
          </w:tcPr>
          <w:p w14:paraId="7612882A"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التوقيت المناسب</w:t>
            </w:r>
          </w:p>
        </w:tc>
        <w:tc>
          <w:tcPr>
            <w:tcW w:w="6517" w:type="dxa"/>
            <w:tcMar>
              <w:top w:w="150" w:type="dxa"/>
              <w:left w:w="240" w:type="dxa"/>
              <w:bottom w:w="150" w:type="dxa"/>
              <w:right w:w="0" w:type="dxa"/>
            </w:tcMar>
            <w:vAlign w:val="center"/>
            <w:hideMark/>
          </w:tcPr>
          <w:p w14:paraId="3FFE9EDB"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وقت انتظار المريض في الطوارئ، وقت إجراء العمليات العاجلة</w:t>
            </w:r>
          </w:p>
        </w:tc>
      </w:tr>
      <w:tr w:rsidR="00F00D5E" w14:paraId="7471F18F" w14:textId="77777777" w:rsidTr="00CD3787">
        <w:tc>
          <w:tcPr>
            <w:tcW w:w="2081" w:type="dxa"/>
            <w:tcMar>
              <w:top w:w="150" w:type="dxa"/>
              <w:left w:w="0" w:type="dxa"/>
              <w:bottom w:w="150" w:type="dxa"/>
              <w:right w:w="240" w:type="dxa"/>
            </w:tcMar>
            <w:vAlign w:val="center"/>
            <w:hideMark/>
          </w:tcPr>
          <w:p w14:paraId="5CB3D297"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الكفاءة</w:t>
            </w:r>
          </w:p>
        </w:tc>
        <w:tc>
          <w:tcPr>
            <w:tcW w:w="6517" w:type="dxa"/>
            <w:tcMar>
              <w:top w:w="150" w:type="dxa"/>
              <w:left w:w="240" w:type="dxa"/>
              <w:bottom w:w="150" w:type="dxa"/>
              <w:right w:w="0" w:type="dxa"/>
            </w:tcMar>
            <w:vAlign w:val="center"/>
            <w:hideMark/>
          </w:tcPr>
          <w:p w14:paraId="79A2C524"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متوسط مدة الإقامة، تكلفة الحالة الواحدة</w:t>
            </w:r>
          </w:p>
        </w:tc>
      </w:tr>
      <w:tr w:rsidR="00F00D5E" w14:paraId="32626E1B" w14:textId="77777777" w:rsidTr="00CD3787">
        <w:tc>
          <w:tcPr>
            <w:tcW w:w="2081" w:type="dxa"/>
            <w:tcMar>
              <w:top w:w="150" w:type="dxa"/>
              <w:left w:w="0" w:type="dxa"/>
              <w:bottom w:w="150" w:type="dxa"/>
              <w:right w:w="240" w:type="dxa"/>
            </w:tcMar>
            <w:vAlign w:val="center"/>
            <w:hideMark/>
          </w:tcPr>
          <w:p w14:paraId="524CE1FA" w14:textId="77777777" w:rsidR="00F00D5E" w:rsidRDefault="00F00D5E" w:rsidP="00CD3787">
            <w:pPr>
              <w:bidi/>
              <w:spacing w:line="375" w:lineRule="atLeast"/>
              <w:jc w:val="center"/>
              <w:rPr>
                <w:rFonts w:ascii="Segoe UI" w:hAnsi="Segoe UI" w:cs="Segoe UI"/>
                <w:sz w:val="23"/>
                <w:szCs w:val="23"/>
              </w:rPr>
            </w:pPr>
            <w:r>
              <w:rPr>
                <w:rFonts w:ascii="Segoe UI" w:hAnsi="Segoe UI"/>
                <w:sz w:val="23"/>
                <w:szCs w:val="23"/>
                <w:rtl/>
              </w:rPr>
              <w:t>العدالة</w:t>
            </w:r>
          </w:p>
        </w:tc>
        <w:tc>
          <w:tcPr>
            <w:tcW w:w="6517" w:type="dxa"/>
            <w:tcMar>
              <w:top w:w="150" w:type="dxa"/>
              <w:left w:w="240" w:type="dxa"/>
              <w:bottom w:w="150" w:type="dxa"/>
              <w:right w:w="0" w:type="dxa"/>
            </w:tcMar>
            <w:vAlign w:val="center"/>
            <w:hideMark/>
          </w:tcPr>
          <w:p w14:paraId="6A86045E" w14:textId="77777777" w:rsidR="00F00D5E" w:rsidRDefault="00F00D5E" w:rsidP="00CD3787">
            <w:pPr>
              <w:bidi/>
              <w:spacing w:line="375" w:lineRule="atLeast"/>
              <w:ind w:left="132"/>
              <w:jc w:val="lowKashida"/>
              <w:rPr>
                <w:rFonts w:ascii="Segoe UI" w:hAnsi="Segoe UI" w:cs="Segoe UI"/>
                <w:sz w:val="23"/>
                <w:szCs w:val="23"/>
              </w:rPr>
            </w:pPr>
            <w:r>
              <w:rPr>
                <w:rFonts w:ascii="Segoe UI" w:hAnsi="Segoe UI"/>
                <w:sz w:val="23"/>
                <w:szCs w:val="23"/>
                <w:rtl/>
              </w:rPr>
              <w:t>الفروق في جودة الخدمة بين فئات المجتمع</w:t>
            </w:r>
          </w:p>
        </w:tc>
      </w:tr>
    </w:tbl>
    <w:p w14:paraId="3ACBAEC2" w14:textId="6394552B" w:rsidR="00F00D5E"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Segoe UI" w:hAnsi="Segoe UI" w:cs="Segoe UI" w:hint="cs"/>
          <w:color w:val="0F1115"/>
          <w:sz w:val="30"/>
          <w:szCs w:val="30"/>
          <w:rtl/>
        </w:rPr>
        <w:t xml:space="preserve">٢.٤. </w:t>
      </w:r>
      <w:r w:rsidR="00F00D5E" w:rsidRPr="00CD3787">
        <w:rPr>
          <w:rFonts w:asciiTheme="majorBidi" w:hAnsiTheme="majorBidi" w:cstheme="majorBidi"/>
          <w:color w:val="0F1115"/>
          <w:sz w:val="28"/>
          <w:szCs w:val="28"/>
          <w:rtl/>
        </w:rPr>
        <w:t>العلاقة بين الاحتفاظ بالكادر وجودة الرعاية</w:t>
      </w:r>
    </w:p>
    <w:p w14:paraId="32FC22EB" w14:textId="3429B051" w:rsidR="00F00D5E"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٢.٤.١. </w:t>
      </w:r>
      <w:r w:rsidR="00F00D5E" w:rsidRPr="00CD3787">
        <w:rPr>
          <w:rFonts w:asciiTheme="majorBidi" w:hAnsiTheme="majorBidi" w:cstheme="majorBidi"/>
          <w:color w:val="0F1115"/>
          <w:sz w:val="28"/>
          <w:szCs w:val="28"/>
          <w:rtl/>
        </w:rPr>
        <w:t>طبيعة العلاقة</w:t>
      </w:r>
    </w:p>
    <w:p w14:paraId="0DD44E11" w14:textId="77777777" w:rsidR="00F00D5E"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توجد علاقة تكاملية بين الاحتفاظ بالكادر الطبي وجودة الرعاية، حيث يؤثر كل منهما في الآخر. فالاحتفاظ بكادر مؤهل ومستقر يسهم في تحسين الجودة، وفي المقابل، فإن تقديم رعاية عالية الجودة يعزز رضا الكادر ويشعرهم بالإنجاز، مما يزيد من رغبتهم في البقاء</w:t>
      </w:r>
      <w:r w:rsidRPr="00CD3787">
        <w:rPr>
          <w:rFonts w:asciiTheme="majorBidi" w:hAnsiTheme="majorBidi" w:cstheme="majorBidi"/>
          <w:color w:val="0F1115"/>
          <w:sz w:val="28"/>
          <w:szCs w:val="28"/>
        </w:rPr>
        <w:t>.</w:t>
      </w:r>
    </w:p>
    <w:p w14:paraId="24C39A99" w14:textId="77777777" w:rsidR="00F00D5E"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lastRenderedPageBreak/>
        <w:t>ويمكن توضيح هذه العلاقة من خلال الآليات التالية</w:t>
      </w:r>
      <w:r w:rsidRPr="00CD3787">
        <w:rPr>
          <w:rFonts w:asciiTheme="majorBidi" w:hAnsiTheme="majorBidi" w:cstheme="majorBidi"/>
          <w:color w:val="0F1115"/>
          <w:sz w:val="28"/>
          <w:szCs w:val="28"/>
        </w:rPr>
        <w:t>:</w:t>
      </w:r>
    </w:p>
    <w:p w14:paraId="643EA380" w14:textId="77777777" w:rsidR="005F3FCC"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CD3787">
        <w:rPr>
          <w:rFonts w:asciiTheme="majorBidi" w:hAnsiTheme="majorBidi" w:cstheme="majorBidi"/>
          <w:b/>
          <w:bCs/>
          <w:sz w:val="28"/>
          <w:szCs w:val="28"/>
          <w:rtl/>
        </w:rPr>
        <w:t>أولاً: تراكم الخبرة المؤسسية</w:t>
      </w:r>
    </w:p>
    <w:p w14:paraId="7F0EB0CD" w14:textId="6723D210" w:rsidR="00F00D5E" w:rsidRPr="00CD3787"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عندما يبقى الكادر الطبي لفترات طويلة في نفس المستشفى، فإنهم يكتسبون خبرة مؤسسية</w:t>
      </w:r>
      <w:r w:rsidRPr="00CD3787">
        <w:rPr>
          <w:rFonts w:asciiTheme="majorBidi" w:hAnsiTheme="majorBidi" w:cstheme="majorBidi"/>
          <w:color w:val="0F1115"/>
          <w:sz w:val="28"/>
          <w:szCs w:val="28"/>
        </w:rPr>
        <w:t xml:space="preserve"> (Institutional knowledge) </w:t>
      </w:r>
      <w:r w:rsidRPr="00CD3787">
        <w:rPr>
          <w:rFonts w:asciiTheme="majorBidi" w:hAnsiTheme="majorBidi" w:cstheme="majorBidi"/>
          <w:color w:val="0F1115"/>
          <w:sz w:val="28"/>
          <w:szCs w:val="28"/>
          <w:rtl/>
        </w:rPr>
        <w:t>تتعلق بإجراءات العمل، احتياجات المرضى، ونقاط القوة والضعف في النظام. هذه الخبرة تساعد في تجنب الأخطاء، وتسريع عملية التشخيص والعلاج، وتحسين التنسيق بين الأقسام</w:t>
      </w:r>
      <w:r w:rsidRPr="00CD3787">
        <w:rPr>
          <w:rFonts w:asciiTheme="majorBidi" w:hAnsiTheme="majorBidi" w:cstheme="majorBidi"/>
          <w:color w:val="0F1115"/>
          <w:sz w:val="28"/>
          <w:szCs w:val="28"/>
        </w:rPr>
        <w:t>.</w:t>
      </w:r>
    </w:p>
    <w:p w14:paraId="616D79D1" w14:textId="77777777" w:rsidR="005F3FCC"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CD3787">
        <w:rPr>
          <w:rFonts w:asciiTheme="majorBidi" w:hAnsiTheme="majorBidi" w:cstheme="majorBidi"/>
          <w:b/>
          <w:bCs/>
          <w:sz w:val="28"/>
          <w:szCs w:val="28"/>
          <w:rtl/>
        </w:rPr>
        <w:t>ثانياً: استقرار فرق العمل</w:t>
      </w:r>
    </w:p>
    <w:p w14:paraId="71A1A4C7" w14:textId="4A0CA046" w:rsidR="00F00D5E" w:rsidRPr="00CD3787"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الفرق المستقرة تعمل بتناغم أكبر، وتتواصل بشكل أفضل، وتتعلم كيفية تغطية احتياجات بعضها البعض. هذا الانسجام يقلل من سوء الفهم والأخطاء، ويحسن من تجربة المريض</w:t>
      </w:r>
      <w:r w:rsidRPr="00CD3787">
        <w:rPr>
          <w:rFonts w:asciiTheme="majorBidi" w:hAnsiTheme="majorBidi" w:cstheme="majorBidi"/>
          <w:color w:val="0F1115"/>
          <w:sz w:val="28"/>
          <w:szCs w:val="28"/>
        </w:rPr>
        <w:t>.</w:t>
      </w:r>
    </w:p>
    <w:p w14:paraId="3C801ED8" w14:textId="77777777" w:rsidR="005F3FCC"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CD3787">
        <w:rPr>
          <w:rFonts w:asciiTheme="majorBidi" w:hAnsiTheme="majorBidi" w:cstheme="majorBidi"/>
          <w:b/>
          <w:bCs/>
          <w:sz w:val="28"/>
          <w:szCs w:val="28"/>
          <w:rtl/>
        </w:rPr>
        <w:t>ثالثاً: العلاقات مع المرضى</w:t>
      </w:r>
    </w:p>
    <w:p w14:paraId="613B4D51" w14:textId="20AA3356" w:rsidR="00F00D5E" w:rsidRPr="00CD3787"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الاستمرارية في العلاقة بين مقدم الخدمة والمريض تبني الثقة، وتشجع المريض على مشاركة معلوماته بحرية، وتعزز التزامه بالعلاج. وهذا بدوره يحسن النتائج الصحية</w:t>
      </w:r>
      <w:r w:rsidRPr="00CD3787">
        <w:rPr>
          <w:rFonts w:asciiTheme="majorBidi" w:hAnsiTheme="majorBidi" w:cstheme="majorBidi"/>
          <w:color w:val="0F1115"/>
          <w:sz w:val="28"/>
          <w:szCs w:val="28"/>
        </w:rPr>
        <w:t>.</w:t>
      </w:r>
    </w:p>
    <w:p w14:paraId="6C06433C" w14:textId="77777777" w:rsidR="005F3FCC"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CD3787">
        <w:rPr>
          <w:rFonts w:asciiTheme="majorBidi" w:hAnsiTheme="majorBidi" w:cstheme="majorBidi"/>
          <w:b/>
          <w:bCs/>
          <w:sz w:val="28"/>
          <w:szCs w:val="28"/>
          <w:rtl/>
        </w:rPr>
        <w:t>رابعاً: تقليل الأعباء على الكادر المتبقي</w:t>
      </w:r>
    </w:p>
    <w:p w14:paraId="3B121356" w14:textId="26C4EEB4" w:rsidR="00F00D5E" w:rsidRPr="00CD3787" w:rsidRDefault="00F00D5E" w:rsidP="005F3FCC">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عندما يغادر بعض الكادر، يضطر الباقون للعمل ساعات إضافية وتحمل أعباء أكبر، مما يؤدي إلى الإرهاق وانخفاض التركيز، وبالتالي زيادة احتمالية الأخطاء. كما أن الإرهاق يدفع المزيد للمغادرة، في حلقة مفرغة</w:t>
      </w:r>
      <w:r w:rsidRPr="00CD3787">
        <w:rPr>
          <w:rFonts w:asciiTheme="majorBidi" w:hAnsiTheme="majorBidi" w:cstheme="majorBidi"/>
          <w:color w:val="0F1115"/>
          <w:sz w:val="28"/>
          <w:szCs w:val="28"/>
        </w:rPr>
        <w:t>.</w:t>
      </w:r>
    </w:p>
    <w:p w14:paraId="3F7CAE32" w14:textId="67930BEE" w:rsidR="00F00D5E"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٢.٤.٢. </w:t>
      </w:r>
      <w:r w:rsidR="00F00D5E" w:rsidRPr="00CD3787">
        <w:rPr>
          <w:rFonts w:asciiTheme="majorBidi" w:hAnsiTheme="majorBidi" w:cstheme="majorBidi"/>
          <w:color w:val="0F1115"/>
          <w:sz w:val="28"/>
          <w:szCs w:val="28"/>
          <w:rtl/>
        </w:rPr>
        <w:t>الدراسات الداعمة للعلاقة</w:t>
      </w:r>
    </w:p>
    <w:p w14:paraId="2D3399D8" w14:textId="77777777" w:rsidR="00F00D5E"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أكدت العديد من الدراسات هذه العلاقة. فقد وجدت دراسة</w:t>
      </w:r>
      <w:r w:rsidRPr="00CD3787">
        <w:rPr>
          <w:rFonts w:asciiTheme="majorBidi" w:hAnsiTheme="majorBidi" w:cstheme="majorBidi"/>
          <w:color w:val="0F1115"/>
          <w:sz w:val="28"/>
          <w:szCs w:val="28"/>
        </w:rPr>
        <w:t xml:space="preserve"> (Aiken et al., 2002) </w:t>
      </w:r>
      <w:r w:rsidRPr="00CD3787">
        <w:rPr>
          <w:rFonts w:asciiTheme="majorBidi" w:hAnsiTheme="majorBidi" w:cstheme="majorBidi"/>
          <w:color w:val="0F1115"/>
          <w:sz w:val="28"/>
          <w:szCs w:val="28"/>
          <w:rtl/>
        </w:rPr>
        <w:t>الشهيرة أن زيادة عبء العمل على الممرضين (انخفاض الاحتفاظ بهم) يرتبط بارتفاع معدلات الوفيات بين المرضى الجراحيين. كما أظهرت دراسة</w:t>
      </w:r>
      <w:r w:rsidRPr="00CD3787">
        <w:rPr>
          <w:rFonts w:asciiTheme="majorBidi" w:hAnsiTheme="majorBidi" w:cstheme="majorBidi"/>
          <w:color w:val="0F1115"/>
          <w:sz w:val="28"/>
          <w:szCs w:val="28"/>
        </w:rPr>
        <w:t xml:space="preserve"> (Needleman et al., 2011) </w:t>
      </w:r>
      <w:r w:rsidRPr="00CD3787">
        <w:rPr>
          <w:rFonts w:asciiTheme="majorBidi" w:hAnsiTheme="majorBidi" w:cstheme="majorBidi"/>
          <w:color w:val="0F1115"/>
          <w:sz w:val="28"/>
          <w:szCs w:val="28"/>
          <w:rtl/>
        </w:rPr>
        <w:t>أن نقص التمريض يرتبط بزيادة احتمالية إعادة دخول المرضى</w:t>
      </w:r>
      <w:r w:rsidRPr="00CD3787">
        <w:rPr>
          <w:rFonts w:asciiTheme="majorBidi" w:hAnsiTheme="majorBidi" w:cstheme="majorBidi"/>
          <w:color w:val="0F1115"/>
          <w:sz w:val="28"/>
          <w:szCs w:val="28"/>
        </w:rPr>
        <w:t>.</w:t>
      </w:r>
    </w:p>
    <w:p w14:paraId="2FA1B99A" w14:textId="77777777" w:rsidR="00F00D5E"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وفي دراسة حديثة</w:t>
      </w:r>
      <w:r w:rsidRPr="00CD3787">
        <w:rPr>
          <w:rFonts w:asciiTheme="majorBidi" w:hAnsiTheme="majorBidi" w:cstheme="majorBidi"/>
          <w:color w:val="0F1115"/>
          <w:sz w:val="28"/>
          <w:szCs w:val="28"/>
        </w:rPr>
        <w:t xml:space="preserve"> (Lasater et al., 2021)</w:t>
      </w:r>
      <w:r w:rsidRPr="00CD3787">
        <w:rPr>
          <w:rFonts w:asciiTheme="majorBidi" w:hAnsiTheme="majorBidi" w:cstheme="majorBidi"/>
          <w:color w:val="0F1115"/>
          <w:sz w:val="28"/>
          <w:szCs w:val="28"/>
          <w:rtl/>
        </w:rPr>
        <w:t>، تبين أن المستشفيات التي تعاني من معدلات دوران عالية للممرضين تسجل معدلات أعلى من العدوى المكتسبة في المستشفى، وسقوط المرضى، وتقرحات الفراش</w:t>
      </w:r>
      <w:r w:rsidRPr="00CD3787">
        <w:rPr>
          <w:rFonts w:asciiTheme="majorBidi" w:hAnsiTheme="majorBidi" w:cstheme="majorBidi"/>
          <w:color w:val="0F1115"/>
          <w:sz w:val="28"/>
          <w:szCs w:val="28"/>
        </w:rPr>
        <w:t>.</w:t>
      </w:r>
    </w:p>
    <w:p w14:paraId="6A5A2362" w14:textId="1FDDE901" w:rsidR="00F00D5E"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٢.٤.٣. </w:t>
      </w:r>
      <w:r w:rsidR="00F00D5E" w:rsidRPr="00CD3787">
        <w:rPr>
          <w:rFonts w:asciiTheme="majorBidi" w:hAnsiTheme="majorBidi" w:cstheme="majorBidi"/>
          <w:color w:val="0F1115"/>
          <w:sz w:val="28"/>
          <w:szCs w:val="28"/>
          <w:rtl/>
        </w:rPr>
        <w:t>النموذج المفاهيمي للعلاقات</w:t>
      </w:r>
    </w:p>
    <w:p w14:paraId="1F0C49A9" w14:textId="77777777" w:rsidR="00F00D5E" w:rsidRPr="00CD3787" w:rsidRDefault="00F00D5E" w:rsidP="00F00D5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tl/>
        </w:rPr>
      </w:pPr>
      <w:r w:rsidRPr="00CD3787">
        <w:rPr>
          <w:rFonts w:asciiTheme="majorBidi" w:hAnsiTheme="majorBidi" w:cstheme="majorBidi"/>
          <w:color w:val="0F1115"/>
          <w:sz w:val="28"/>
          <w:szCs w:val="28"/>
          <w:rtl/>
        </w:rPr>
        <w:t>بناءً على ما تقدم، يمكن صياغة النموذج المفاهيمي التالي الذي يوضح العلاقات بين المتغيرات الرئيسية في هذه المراجعة</w:t>
      </w:r>
      <w:r w:rsidRPr="00CD3787">
        <w:rPr>
          <w:rFonts w:asciiTheme="majorBidi" w:hAnsiTheme="majorBidi" w:cstheme="majorBidi"/>
          <w:color w:val="0F1115"/>
          <w:sz w:val="28"/>
          <w:szCs w:val="28"/>
        </w:rPr>
        <w:t>:</w:t>
      </w:r>
    </w:p>
    <w:p w14:paraId="1ED88419" w14:textId="77777777" w:rsidR="005F3FCC" w:rsidRDefault="005F3FCC" w:rsidP="005F3FCC">
      <w:pPr>
        <w:pStyle w:val="ds-markdown-paragraph"/>
        <w:shd w:val="clear" w:color="auto" w:fill="FFFFFF"/>
        <w:bidi/>
        <w:spacing w:before="240" w:beforeAutospacing="0" w:after="240" w:afterAutospacing="0"/>
        <w:jc w:val="lowKashida"/>
        <w:rPr>
          <w:rFonts w:ascii="Segoe UI" w:hAnsi="Segoe UI" w:cs="Segoe UI"/>
          <w:color w:val="0F1115"/>
          <w:rtl/>
        </w:rPr>
      </w:pPr>
    </w:p>
    <w:p w14:paraId="70165B20" w14:textId="77777777" w:rsidR="005F3FCC" w:rsidRDefault="005F3FCC" w:rsidP="005F3FCC">
      <w:pPr>
        <w:pStyle w:val="ds-markdown-paragraph"/>
        <w:shd w:val="clear" w:color="auto" w:fill="FFFFFF"/>
        <w:bidi/>
        <w:spacing w:before="240" w:beforeAutospacing="0" w:after="240" w:afterAutospacing="0"/>
        <w:jc w:val="lowKashida"/>
        <w:rPr>
          <w:rFonts w:ascii="Segoe UI" w:hAnsi="Segoe UI" w:cs="Segoe UI"/>
          <w:color w:val="0F1115"/>
          <w:rtl/>
        </w:rPr>
      </w:pPr>
    </w:p>
    <w:p w14:paraId="0820D1DA" w14:textId="77777777" w:rsidR="00CD3787" w:rsidRDefault="00CD3787" w:rsidP="00CD3787">
      <w:pPr>
        <w:pStyle w:val="ds-markdown-paragraph"/>
        <w:shd w:val="clear" w:color="auto" w:fill="FFFFFF"/>
        <w:bidi/>
        <w:spacing w:before="240" w:beforeAutospacing="0" w:after="240" w:afterAutospacing="0"/>
        <w:jc w:val="lowKashida"/>
        <w:rPr>
          <w:rFonts w:ascii="Segoe UI" w:hAnsi="Segoe UI" w:cs="Segoe UI"/>
          <w:color w:val="0F1115"/>
        </w:rPr>
      </w:pPr>
    </w:p>
    <w:p w14:paraId="072A7327" w14:textId="6E1F406E" w:rsidR="00F00D5E" w:rsidRPr="00CD3787" w:rsidRDefault="00F00D5E"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b/>
          <w:bCs/>
          <w:sz w:val="28"/>
          <w:szCs w:val="28"/>
          <w:rtl/>
        </w:rPr>
        <w:lastRenderedPageBreak/>
        <w:t>شكل (2-1): نموذج العلاقات بين متغيرات الدراسة</w:t>
      </w:r>
    </w:p>
    <w:p w14:paraId="0316BB16" w14:textId="537274C6" w:rsidR="00F00D5E" w:rsidRPr="00F00D5E" w:rsidRDefault="005B1935" w:rsidP="00F00D5E">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mc:AlternateContent>
          <mc:Choice Requires="wps">
            <w:drawing>
              <wp:anchor distT="0" distB="0" distL="114300" distR="114300" simplePos="0" relativeHeight="251665408" behindDoc="0" locked="0" layoutInCell="1" allowOverlap="1" wp14:anchorId="68F6A07A" wp14:editId="5169084D">
                <wp:simplePos x="0" y="0"/>
                <wp:positionH relativeFrom="column">
                  <wp:posOffset>4624046</wp:posOffset>
                </wp:positionH>
                <wp:positionV relativeFrom="paragraph">
                  <wp:posOffset>2607969</wp:posOffset>
                </wp:positionV>
                <wp:extent cx="590309" cy="1284790"/>
                <wp:effectExtent l="12700" t="0" r="19685" b="23495"/>
                <wp:wrapNone/>
                <wp:docPr id="897671610" name="Down Arrow 3"/>
                <wp:cNvGraphicFramePr/>
                <a:graphic xmlns:a="http://schemas.openxmlformats.org/drawingml/2006/main">
                  <a:graphicData uri="http://schemas.microsoft.com/office/word/2010/wordprocessingShape">
                    <wps:wsp>
                      <wps:cNvSpPr/>
                      <wps:spPr>
                        <a:xfrm>
                          <a:off x="0" y="0"/>
                          <a:ext cx="590309" cy="12847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2740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364.1pt;margin-top:205.35pt;width:46.5pt;height:101.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" adj="16638" fillcolor="#4472c4 [3204]" strokecolor="#09101d [484]" strokeweight="1pt"/>
            </w:pict>
          </mc:Fallback>
        </mc:AlternateContent>
      </w:r>
      <w:r>
        <w:rPr>
          <w:rFonts w:ascii="Sakkal Majalla" w:hAnsi="Sakkal Majalla" w:cs="Sakkal Majalla"/>
          <w:noProof/>
          <w:sz w:val="28"/>
          <w:szCs w:val="28"/>
          <w:u w:val="single"/>
          <w:rtl/>
          <w:lang w:val="ar-SA"/>
          <w14:ligatures w14:val="standardContextual"/>
        </w:rPr>
        <mc:AlternateContent>
          <mc:Choice Requires="wps">
            <w:drawing>
              <wp:anchor distT="0" distB="0" distL="114300" distR="114300" simplePos="0" relativeHeight="251663360" behindDoc="0" locked="0" layoutInCell="1" allowOverlap="1" wp14:anchorId="02CABCD2" wp14:editId="4839E7B4">
                <wp:simplePos x="0" y="0"/>
                <wp:positionH relativeFrom="column">
                  <wp:posOffset>2494280</wp:posOffset>
                </wp:positionH>
                <wp:positionV relativeFrom="paragraph">
                  <wp:posOffset>2607969</wp:posOffset>
                </wp:positionV>
                <wp:extent cx="590309" cy="1284790"/>
                <wp:effectExtent l="12700" t="0" r="19685" b="23495"/>
                <wp:wrapNone/>
                <wp:docPr id="922736854" name="Down Arrow 3"/>
                <wp:cNvGraphicFramePr/>
                <a:graphic xmlns:a="http://schemas.openxmlformats.org/drawingml/2006/main">
                  <a:graphicData uri="http://schemas.microsoft.com/office/word/2010/wordprocessingShape">
                    <wps:wsp>
                      <wps:cNvSpPr/>
                      <wps:spPr>
                        <a:xfrm>
                          <a:off x="0" y="0"/>
                          <a:ext cx="590309" cy="12847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8E75D9" id="Down Arrow 3" o:spid="_x0000_s1026" type="#_x0000_t67" style="position:absolute;margin-left:196.4pt;margin-top:205.35pt;width:46.5pt;height:101.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" adj="16638" fillcolor="#4472c4 [3204]" strokecolor="#09101d [484]" strokeweight="1pt"/>
            </w:pict>
          </mc:Fallback>
        </mc:AlternateContent>
      </w:r>
      <w:r>
        <w:rPr>
          <w:rFonts w:ascii="Sakkal Majalla" w:hAnsi="Sakkal Majalla" w:cs="Sakkal Majalla"/>
          <w:noProof/>
          <w:sz w:val="28"/>
          <w:szCs w:val="28"/>
          <w:u w:val="single"/>
          <w:rtl/>
          <w:lang w:val="ar-SA"/>
          <w14:ligatures w14:val="standardContextual"/>
        </w:rPr>
        <mc:AlternateContent>
          <mc:Choice Requires="wps">
            <w:drawing>
              <wp:anchor distT="0" distB="0" distL="114300" distR="114300" simplePos="0" relativeHeight="251661312" behindDoc="0" locked="0" layoutInCell="1" allowOverlap="1" wp14:anchorId="1B1B855C" wp14:editId="4DAE1DB7">
                <wp:simplePos x="0" y="0"/>
                <wp:positionH relativeFrom="column">
                  <wp:posOffset>512991</wp:posOffset>
                </wp:positionH>
                <wp:positionV relativeFrom="paragraph">
                  <wp:posOffset>2606040</wp:posOffset>
                </wp:positionV>
                <wp:extent cx="590309" cy="1284790"/>
                <wp:effectExtent l="12700" t="0" r="19685" b="23495"/>
                <wp:wrapNone/>
                <wp:docPr id="1554598787" name="Down Arrow 3"/>
                <wp:cNvGraphicFramePr/>
                <a:graphic xmlns:a="http://schemas.openxmlformats.org/drawingml/2006/main">
                  <a:graphicData uri="http://schemas.microsoft.com/office/word/2010/wordprocessingShape">
                    <wps:wsp>
                      <wps:cNvSpPr/>
                      <wps:spPr>
                        <a:xfrm>
                          <a:off x="0" y="0"/>
                          <a:ext cx="590309" cy="12847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D35CC4" id="Down Arrow 3" o:spid="_x0000_s1026" type="#_x0000_t67" style="position:absolute;margin-left:40.4pt;margin-top:205.2pt;width:46.5pt;height:101.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" adj="16638" fillcolor="#4472c4 [3204]" strokecolor="#09101d [484]" strokeweight="1pt"/>
            </w:pict>
          </mc:Fallback>
        </mc:AlternateContent>
      </w:r>
      <w:r>
        <w:rPr>
          <w:rFonts w:ascii="Sakkal Majalla" w:hAnsi="Sakkal Majalla" w:cs="Sakkal Majalla"/>
          <w:noProof/>
          <w:sz w:val="28"/>
          <w:szCs w:val="28"/>
          <w:u w:val="single"/>
          <w:rtl/>
          <w:lang w:val="ar-SA"/>
          <w14:ligatures w14:val="standardContextual"/>
        </w:rPr>
        <w:drawing>
          <wp:inline distT="0" distB="0" distL="0" distR="0" wp14:anchorId="7343311B" wp14:editId="4238B96E">
            <wp:extent cx="5486400" cy="3200400"/>
            <wp:effectExtent l="25400" t="0" r="12700" b="0"/>
            <wp:docPr id="168652751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Pr>
          <w:rFonts w:ascii="Sakkal Majalla" w:hAnsi="Sakkal Majalla" w:cs="Sakkal Majalla"/>
          <w:noProof/>
          <w:sz w:val="28"/>
          <w:szCs w:val="28"/>
          <w:u w:val="single"/>
          <w:rtl/>
          <w:lang w:val="ar-SA"/>
          <w14:ligatures w14:val="standardContextual"/>
        </w:rPr>
        <w:drawing>
          <wp:inline distT="0" distB="0" distL="0" distR="0" wp14:anchorId="514B3799" wp14:editId="35DD48A7">
            <wp:extent cx="5486400" cy="3200400"/>
            <wp:effectExtent l="0" t="0" r="12700" b="0"/>
            <wp:docPr id="13506874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04245F9E" w14:textId="77777777" w:rsidR="00990761" w:rsidRDefault="00990761"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5B8480F5" w14:textId="77777777" w:rsidR="00990761" w:rsidRDefault="00990761" w:rsidP="00D22171">
      <w:pPr>
        <w:rPr>
          <w:rFonts w:ascii="Sakkal Majalla" w:hAnsi="Sakkal Majalla" w:cs="Sakkal Majalla"/>
          <w:sz w:val="28"/>
          <w:szCs w:val="28"/>
          <w:u w:val="single"/>
          <w:rtl/>
        </w:rPr>
      </w:pPr>
    </w:p>
    <w:p w14:paraId="05F18D52" w14:textId="77777777" w:rsidR="00990761" w:rsidRDefault="00990761" w:rsidP="00D22171">
      <w:pPr>
        <w:rPr>
          <w:rFonts w:ascii="Sakkal Majalla" w:hAnsi="Sakkal Majalla" w:cs="Sakkal Majalla"/>
          <w:sz w:val="28"/>
          <w:szCs w:val="28"/>
          <w:u w:val="single"/>
          <w:rtl/>
        </w:rPr>
      </w:pPr>
    </w:p>
    <w:p w14:paraId="591B1BA9" w14:textId="77777777" w:rsidR="00990761" w:rsidRDefault="00990761"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EEB2207" w14:textId="77777777" w:rsidR="00CD3787" w:rsidRDefault="00CD3787" w:rsidP="00D22171">
      <w:pPr>
        <w:rPr>
          <w:rFonts w:ascii="Sakkal Majalla" w:hAnsi="Sakkal Majalla" w:cs="Sakkal Majalla"/>
          <w:sz w:val="28"/>
          <w:szCs w:val="28"/>
          <w:u w:val="single"/>
          <w:rtl/>
        </w:rPr>
      </w:pPr>
    </w:p>
    <w:p w14:paraId="2538AF84" w14:textId="77777777" w:rsidR="00CD3787" w:rsidRDefault="00CD3787" w:rsidP="00D22171">
      <w:pPr>
        <w:rPr>
          <w:rFonts w:ascii="Sakkal Majalla" w:hAnsi="Sakkal Majalla" w:cs="Sakkal Majalla"/>
          <w:sz w:val="28"/>
          <w:szCs w:val="28"/>
          <w:u w:val="single"/>
          <w:rtl/>
        </w:rPr>
      </w:pPr>
    </w:p>
    <w:p w14:paraId="718362B5" w14:textId="77777777" w:rsidR="00CD3787" w:rsidRDefault="00CD3787"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24318C99" w14:textId="77777777"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lastRenderedPageBreak/>
        <w:t>منهجية المراجعة</w:t>
      </w:r>
    </w:p>
    <w:p w14:paraId="1BEB89DF" w14:textId="0EA32C6C" w:rsidR="00990761"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٣.١. </w:t>
      </w:r>
      <w:r w:rsidR="00990761" w:rsidRPr="00CD3787">
        <w:rPr>
          <w:rFonts w:asciiTheme="majorBidi" w:hAnsiTheme="majorBidi" w:cstheme="majorBidi"/>
          <w:color w:val="0F1115"/>
          <w:sz w:val="28"/>
          <w:szCs w:val="28"/>
          <w:rtl/>
        </w:rPr>
        <w:t>تصميم المراجعة ومنهجها</w:t>
      </w:r>
    </w:p>
    <w:p w14:paraId="36150402" w14:textId="3AEFF3B2"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 xml:space="preserve">أجريت هذه المراجعة وفقاً للمنهجية المعتمدة للمراجعات </w:t>
      </w:r>
      <w:proofErr w:type="gramStart"/>
      <w:r w:rsidRPr="00CD3787">
        <w:rPr>
          <w:rFonts w:asciiTheme="majorBidi" w:hAnsiTheme="majorBidi" w:cstheme="majorBidi"/>
          <w:color w:val="0F1115"/>
          <w:sz w:val="28"/>
          <w:szCs w:val="28"/>
          <w:rtl/>
        </w:rPr>
        <w:t>المنهجية</w:t>
      </w:r>
      <w:r w:rsidR="00CD3787">
        <w:rPr>
          <w:rFonts w:asciiTheme="majorBidi" w:hAnsiTheme="majorBidi" w:cstheme="majorBidi" w:hint="cs"/>
          <w:color w:val="0F1115"/>
          <w:sz w:val="28"/>
          <w:szCs w:val="28"/>
          <w:rtl/>
        </w:rPr>
        <w:t xml:space="preserve"> </w:t>
      </w:r>
      <w:r w:rsidRPr="00CD3787">
        <w:rPr>
          <w:rFonts w:asciiTheme="majorBidi" w:hAnsiTheme="majorBidi" w:cstheme="majorBidi"/>
          <w:color w:val="0F1115"/>
          <w:sz w:val="28"/>
          <w:szCs w:val="28"/>
        </w:rPr>
        <w:t xml:space="preserve"> (</w:t>
      </w:r>
      <w:proofErr w:type="gramEnd"/>
      <w:r w:rsidRPr="00CD3787">
        <w:rPr>
          <w:rFonts w:asciiTheme="majorBidi" w:hAnsiTheme="majorBidi" w:cstheme="majorBidi"/>
          <w:color w:val="0F1115"/>
          <w:sz w:val="28"/>
          <w:szCs w:val="28"/>
        </w:rPr>
        <w:t>Systematic Reviews)</w:t>
      </w:r>
      <w:r w:rsidRPr="00CD3787">
        <w:rPr>
          <w:rFonts w:asciiTheme="majorBidi" w:hAnsiTheme="majorBidi" w:cstheme="majorBidi"/>
          <w:color w:val="0F1115"/>
          <w:sz w:val="28"/>
          <w:szCs w:val="28"/>
          <w:rtl/>
        </w:rPr>
        <w:t xml:space="preserve">، والتي تهدف إلى تجميع الأدلة حول سؤال بحثي محدد بطريقة شفافة ومنظمة وقابلة </w:t>
      </w:r>
      <w:r w:rsidR="00CD3787" w:rsidRPr="00CD3787">
        <w:rPr>
          <w:rFonts w:asciiTheme="majorBidi" w:hAnsiTheme="majorBidi" w:cstheme="majorBidi" w:hint="cs"/>
          <w:color w:val="0F1115"/>
          <w:sz w:val="28"/>
          <w:szCs w:val="28"/>
          <w:rtl/>
        </w:rPr>
        <w:t>للتكرار.</w:t>
      </w:r>
    </w:p>
    <w:p w14:paraId="5F478BF4" w14:textId="77777777"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تم اتباع الخطوات التالية في إجراء هذه المراجعة</w:t>
      </w:r>
      <w:r w:rsidRPr="00CD3787">
        <w:rPr>
          <w:rFonts w:asciiTheme="majorBidi" w:hAnsiTheme="majorBidi" w:cstheme="majorBidi"/>
          <w:color w:val="0F1115"/>
          <w:sz w:val="28"/>
          <w:szCs w:val="28"/>
        </w:rPr>
        <w:t>:</w:t>
      </w:r>
    </w:p>
    <w:p w14:paraId="56D0F791"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صياغة أسئلة المراجعة وفق إطار</w:t>
      </w:r>
      <w:r w:rsidRPr="00CD3787">
        <w:rPr>
          <w:rFonts w:asciiTheme="majorBidi" w:hAnsiTheme="majorBidi" w:cstheme="majorBidi"/>
          <w:color w:val="0F1115"/>
          <w:sz w:val="28"/>
          <w:szCs w:val="28"/>
        </w:rPr>
        <w:t xml:space="preserve"> PICO </w:t>
      </w:r>
      <w:r w:rsidRPr="00CD3787">
        <w:rPr>
          <w:rFonts w:asciiTheme="majorBidi" w:hAnsiTheme="majorBidi" w:cstheme="majorBidi"/>
          <w:color w:val="0F1115"/>
          <w:sz w:val="28"/>
          <w:szCs w:val="28"/>
          <w:rtl/>
        </w:rPr>
        <w:t>المعدل</w:t>
      </w:r>
      <w:r w:rsidRPr="00CD3787">
        <w:rPr>
          <w:rFonts w:asciiTheme="majorBidi" w:hAnsiTheme="majorBidi" w:cstheme="majorBidi"/>
          <w:color w:val="0F1115"/>
          <w:sz w:val="28"/>
          <w:szCs w:val="28"/>
        </w:rPr>
        <w:t>.</w:t>
      </w:r>
    </w:p>
    <w:p w14:paraId="29B64D0B"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تحديد معايير الاشتمال والاستبعاد مسبقاً</w:t>
      </w:r>
      <w:r w:rsidRPr="00CD3787">
        <w:rPr>
          <w:rFonts w:asciiTheme="majorBidi" w:hAnsiTheme="majorBidi" w:cstheme="majorBidi"/>
          <w:color w:val="0F1115"/>
          <w:sz w:val="28"/>
          <w:szCs w:val="28"/>
        </w:rPr>
        <w:t>.</w:t>
      </w:r>
    </w:p>
    <w:p w14:paraId="51B670E4"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تطوير استراتيجية بحث شاملة</w:t>
      </w:r>
      <w:r w:rsidRPr="00CD3787">
        <w:rPr>
          <w:rFonts w:asciiTheme="majorBidi" w:hAnsiTheme="majorBidi" w:cstheme="majorBidi"/>
          <w:color w:val="0F1115"/>
          <w:sz w:val="28"/>
          <w:szCs w:val="28"/>
        </w:rPr>
        <w:t>.</w:t>
      </w:r>
    </w:p>
    <w:p w14:paraId="5F15C91F"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إجراء عملية البحث في قواعد البيانات المحددة</w:t>
      </w:r>
      <w:r w:rsidRPr="00CD3787">
        <w:rPr>
          <w:rFonts w:asciiTheme="majorBidi" w:hAnsiTheme="majorBidi" w:cstheme="majorBidi"/>
          <w:color w:val="0F1115"/>
          <w:sz w:val="28"/>
          <w:szCs w:val="28"/>
        </w:rPr>
        <w:t>.</w:t>
      </w:r>
    </w:p>
    <w:p w14:paraId="61D1927C"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فحص الدراسات واختيارها وفق معايير الاشتمال</w:t>
      </w:r>
      <w:r w:rsidRPr="00CD3787">
        <w:rPr>
          <w:rFonts w:asciiTheme="majorBidi" w:hAnsiTheme="majorBidi" w:cstheme="majorBidi"/>
          <w:color w:val="0F1115"/>
          <w:sz w:val="28"/>
          <w:szCs w:val="28"/>
        </w:rPr>
        <w:t>.</w:t>
      </w:r>
    </w:p>
    <w:p w14:paraId="3FED9249"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استخراج البيانات من الدراسات المشمولة</w:t>
      </w:r>
      <w:r w:rsidRPr="00CD3787">
        <w:rPr>
          <w:rFonts w:asciiTheme="majorBidi" w:hAnsiTheme="majorBidi" w:cstheme="majorBidi"/>
          <w:color w:val="0F1115"/>
          <w:sz w:val="28"/>
          <w:szCs w:val="28"/>
        </w:rPr>
        <w:t>.</w:t>
      </w:r>
    </w:p>
    <w:p w14:paraId="1811E24C"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تقييم جودة الدراسات</w:t>
      </w:r>
      <w:r w:rsidRPr="00CD3787">
        <w:rPr>
          <w:rFonts w:asciiTheme="majorBidi" w:hAnsiTheme="majorBidi" w:cstheme="majorBidi"/>
          <w:color w:val="0F1115"/>
          <w:sz w:val="28"/>
          <w:szCs w:val="28"/>
        </w:rPr>
        <w:t>.</w:t>
      </w:r>
    </w:p>
    <w:p w14:paraId="0123470B"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تحليل البيانات وتجميعها</w:t>
      </w:r>
      <w:r w:rsidRPr="00CD3787">
        <w:rPr>
          <w:rFonts w:asciiTheme="majorBidi" w:hAnsiTheme="majorBidi" w:cstheme="majorBidi"/>
          <w:color w:val="0F1115"/>
          <w:sz w:val="28"/>
          <w:szCs w:val="28"/>
        </w:rPr>
        <w:t>.</w:t>
      </w:r>
    </w:p>
    <w:p w14:paraId="416924C6" w14:textId="77777777" w:rsidR="00990761" w:rsidRPr="00CD3787" w:rsidRDefault="00990761" w:rsidP="00CD3787">
      <w:pPr>
        <w:pStyle w:val="ds-markdown-paragraph"/>
        <w:numPr>
          <w:ilvl w:val="0"/>
          <w:numId w:val="45"/>
        </w:numPr>
        <w:shd w:val="clear" w:color="auto" w:fill="FFFFFF"/>
        <w:bidi/>
        <w:spacing w:before="0" w:beforeAutospacing="0" w:after="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كتابة تقرير المراجعة وفق إرشادات</w:t>
      </w:r>
      <w:r w:rsidRPr="00CD3787">
        <w:rPr>
          <w:rFonts w:asciiTheme="majorBidi" w:hAnsiTheme="majorBidi" w:cstheme="majorBidi"/>
          <w:color w:val="0F1115"/>
          <w:sz w:val="28"/>
          <w:szCs w:val="28"/>
        </w:rPr>
        <w:t xml:space="preserve"> PRISMA 2020.</w:t>
      </w:r>
    </w:p>
    <w:p w14:paraId="1DB037E8" w14:textId="408C9F13" w:rsidR="00990761"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٣.٢. </w:t>
      </w:r>
      <w:r w:rsidR="00990761" w:rsidRPr="00CD3787">
        <w:rPr>
          <w:rFonts w:asciiTheme="majorBidi" w:hAnsiTheme="majorBidi" w:cstheme="majorBidi"/>
          <w:color w:val="0F1115"/>
          <w:sz w:val="28"/>
          <w:szCs w:val="28"/>
          <w:rtl/>
        </w:rPr>
        <w:t>معايير الاشتمال والاستبعاد</w:t>
      </w:r>
    </w:p>
    <w:p w14:paraId="0C5D8724" w14:textId="66064C4B"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تم تحديد معايير الاشتمال والاستبعاد بناءً على إطار</w:t>
      </w:r>
      <w:r w:rsidRPr="00CD3787">
        <w:rPr>
          <w:rFonts w:asciiTheme="majorBidi" w:hAnsiTheme="majorBidi" w:cstheme="majorBidi"/>
          <w:color w:val="0F1115"/>
          <w:sz w:val="28"/>
          <w:szCs w:val="28"/>
        </w:rPr>
        <w:t xml:space="preserve"> PICO (Population, Intervention, Outcome) </w:t>
      </w:r>
      <w:r w:rsidRPr="00CD3787">
        <w:rPr>
          <w:rFonts w:asciiTheme="majorBidi" w:hAnsiTheme="majorBidi" w:cstheme="majorBidi"/>
          <w:color w:val="0F1115"/>
          <w:sz w:val="28"/>
          <w:szCs w:val="28"/>
          <w:rtl/>
        </w:rPr>
        <w:t xml:space="preserve">المعدل للمراجعات غير </w:t>
      </w:r>
      <w:r w:rsidR="00CD3787" w:rsidRPr="00CD3787">
        <w:rPr>
          <w:rFonts w:asciiTheme="majorBidi" w:hAnsiTheme="majorBidi" w:cstheme="majorBidi" w:hint="cs"/>
          <w:color w:val="0F1115"/>
          <w:sz w:val="28"/>
          <w:szCs w:val="28"/>
          <w:rtl/>
        </w:rPr>
        <w:t>التدخليّة،</w:t>
      </w:r>
      <w:r w:rsidRPr="00CD3787">
        <w:rPr>
          <w:rFonts w:asciiTheme="majorBidi" w:hAnsiTheme="majorBidi" w:cstheme="majorBidi"/>
          <w:color w:val="0F1115"/>
          <w:sz w:val="28"/>
          <w:szCs w:val="28"/>
          <w:rtl/>
        </w:rPr>
        <w:t xml:space="preserve"> كما هو موضح في الجدول التالي</w:t>
      </w:r>
      <w:r w:rsidRPr="00CD3787">
        <w:rPr>
          <w:rFonts w:asciiTheme="majorBidi" w:hAnsiTheme="majorBidi" w:cstheme="majorBidi"/>
          <w:color w:val="0F1115"/>
          <w:sz w:val="28"/>
          <w:szCs w:val="28"/>
        </w:rPr>
        <w:t>:</w:t>
      </w:r>
    </w:p>
    <w:p w14:paraId="7B162AF8" w14:textId="77777777" w:rsidR="00990761" w:rsidRPr="00CD3787" w:rsidRDefault="00990761" w:rsidP="00CD3787">
      <w:pPr>
        <w:pStyle w:val="Heading4"/>
        <w:shd w:val="clear" w:color="auto" w:fill="FFFFFF"/>
        <w:bidi/>
        <w:spacing w:before="240" w:after="240" w:line="420" w:lineRule="atLeast"/>
        <w:jc w:val="lowKashida"/>
        <w:rPr>
          <w:rFonts w:asciiTheme="majorBidi" w:eastAsia="Times New Roman" w:hAnsiTheme="majorBidi"/>
          <w:i w:val="0"/>
          <w:iCs w:val="0"/>
          <w:color w:val="0F1115"/>
          <w:sz w:val="28"/>
          <w:szCs w:val="28"/>
        </w:rPr>
      </w:pPr>
      <w:r w:rsidRPr="00CD3787">
        <w:rPr>
          <w:rFonts w:asciiTheme="majorBidi" w:eastAsia="Times New Roman" w:hAnsiTheme="majorBidi"/>
          <w:i w:val="0"/>
          <w:iCs w:val="0"/>
          <w:color w:val="0F1115"/>
          <w:sz w:val="28"/>
          <w:szCs w:val="28"/>
          <w:rtl/>
        </w:rPr>
        <w:t>جدول (3-1): معايير الاشتمال والاستبعاد للدراسات</w:t>
      </w:r>
    </w:p>
    <w:tbl>
      <w:tblPr>
        <w:bidiVisual/>
        <w:tblW w:w="8916" w:type="dxa"/>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8"/>
        <w:gridCol w:w="4044"/>
        <w:gridCol w:w="2864"/>
      </w:tblGrid>
      <w:tr w:rsidR="00990761" w14:paraId="0CEF2B0D" w14:textId="77777777" w:rsidTr="00CD3787">
        <w:trPr>
          <w:tblHeader/>
        </w:trPr>
        <w:tc>
          <w:tcPr>
            <w:tcW w:w="1077" w:type="dxa"/>
            <w:tcMar>
              <w:top w:w="150" w:type="dxa"/>
              <w:left w:w="0" w:type="dxa"/>
              <w:bottom w:w="150" w:type="dxa"/>
              <w:right w:w="240" w:type="dxa"/>
            </w:tcMar>
            <w:vAlign w:val="center"/>
            <w:hideMark/>
          </w:tcPr>
          <w:p w14:paraId="1C7B6375" w14:textId="77777777" w:rsidR="00990761" w:rsidRPr="00CD3787" w:rsidRDefault="00990761" w:rsidP="00CD3787">
            <w:pPr>
              <w:spacing w:line="375" w:lineRule="atLeast"/>
              <w:ind w:left="299"/>
              <w:jc w:val="center"/>
              <w:rPr>
                <w:rStyle w:val="Strong"/>
              </w:rPr>
            </w:pPr>
            <w:r w:rsidRPr="00CD3787">
              <w:rPr>
                <w:rStyle w:val="Strong"/>
                <w:rtl/>
              </w:rPr>
              <w:t>المعيار</w:t>
            </w:r>
          </w:p>
        </w:tc>
        <w:tc>
          <w:tcPr>
            <w:tcW w:w="0" w:type="auto"/>
            <w:tcMar>
              <w:top w:w="150" w:type="dxa"/>
              <w:left w:w="240" w:type="dxa"/>
              <w:bottom w:w="150" w:type="dxa"/>
              <w:right w:w="240" w:type="dxa"/>
            </w:tcMar>
            <w:vAlign w:val="center"/>
            <w:hideMark/>
          </w:tcPr>
          <w:p w14:paraId="44A3409E" w14:textId="77777777" w:rsidR="00990761" w:rsidRPr="00CD3787" w:rsidRDefault="00990761" w:rsidP="00CD3787">
            <w:pPr>
              <w:spacing w:line="375" w:lineRule="atLeast"/>
              <w:jc w:val="center"/>
              <w:rPr>
                <w:rStyle w:val="Strong"/>
              </w:rPr>
            </w:pPr>
            <w:r w:rsidRPr="00CD3787">
              <w:rPr>
                <w:rStyle w:val="Strong"/>
                <w:rtl/>
              </w:rPr>
              <w:t>الاشتمال</w:t>
            </w:r>
          </w:p>
        </w:tc>
        <w:tc>
          <w:tcPr>
            <w:tcW w:w="2864" w:type="dxa"/>
            <w:tcMar>
              <w:top w:w="150" w:type="dxa"/>
              <w:left w:w="240" w:type="dxa"/>
              <w:bottom w:w="150" w:type="dxa"/>
              <w:right w:w="240" w:type="dxa"/>
            </w:tcMar>
            <w:vAlign w:val="center"/>
            <w:hideMark/>
          </w:tcPr>
          <w:p w14:paraId="45F2C151" w14:textId="77777777" w:rsidR="00990761" w:rsidRPr="00CD3787" w:rsidRDefault="00990761" w:rsidP="00CD3787">
            <w:pPr>
              <w:spacing w:line="375" w:lineRule="atLeast"/>
              <w:jc w:val="center"/>
              <w:rPr>
                <w:rStyle w:val="Strong"/>
              </w:rPr>
            </w:pPr>
            <w:r w:rsidRPr="00CD3787">
              <w:rPr>
                <w:rStyle w:val="Strong"/>
                <w:rtl/>
              </w:rPr>
              <w:t>الاستبعاد</w:t>
            </w:r>
          </w:p>
        </w:tc>
      </w:tr>
      <w:tr w:rsidR="00990761" w14:paraId="7A568EDE" w14:textId="77777777" w:rsidTr="00CD3787">
        <w:tc>
          <w:tcPr>
            <w:tcW w:w="1077" w:type="dxa"/>
            <w:tcMar>
              <w:top w:w="150" w:type="dxa"/>
              <w:left w:w="0" w:type="dxa"/>
              <w:bottom w:w="150" w:type="dxa"/>
              <w:right w:w="240" w:type="dxa"/>
            </w:tcMar>
            <w:vAlign w:val="center"/>
            <w:hideMark/>
          </w:tcPr>
          <w:p w14:paraId="4E535768"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المجتمع</w:t>
            </w:r>
            <w:r>
              <w:rPr>
                <w:rStyle w:val="Strong"/>
                <w:rFonts w:ascii="Segoe UI" w:hAnsi="Segoe UI" w:cs="Segoe UI"/>
                <w:sz w:val="23"/>
                <w:szCs w:val="23"/>
              </w:rPr>
              <w:t xml:space="preserve"> (Population)</w:t>
            </w:r>
          </w:p>
        </w:tc>
        <w:tc>
          <w:tcPr>
            <w:tcW w:w="0" w:type="auto"/>
            <w:tcMar>
              <w:top w:w="150" w:type="dxa"/>
              <w:left w:w="240" w:type="dxa"/>
              <w:bottom w:w="150" w:type="dxa"/>
              <w:right w:w="240" w:type="dxa"/>
            </w:tcMar>
            <w:vAlign w:val="center"/>
            <w:hideMark/>
          </w:tcPr>
          <w:p w14:paraId="6E4D07C5" w14:textId="5B6902EB" w:rsidR="00990761" w:rsidRDefault="00990761" w:rsidP="00CD3787">
            <w:pPr>
              <w:bidi/>
              <w:spacing w:line="375" w:lineRule="atLeast"/>
              <w:ind w:right="152"/>
              <w:jc w:val="lowKashida"/>
              <w:rPr>
                <w:rFonts w:ascii="Segoe UI" w:hAnsi="Segoe UI" w:cs="Segoe UI"/>
                <w:sz w:val="23"/>
                <w:szCs w:val="23"/>
              </w:rPr>
            </w:pPr>
            <w:r>
              <w:rPr>
                <w:rFonts w:ascii="Segoe UI" w:hAnsi="Segoe UI"/>
                <w:sz w:val="23"/>
                <w:szCs w:val="23"/>
                <w:rtl/>
              </w:rPr>
              <w:t>الكادر الطبي في المستشفيات (أطباء، تمريض، صيادلة، فنيون</w:t>
            </w:r>
            <w:r w:rsidR="00CD3787">
              <w:rPr>
                <w:rFonts w:ascii="Segoe UI" w:hAnsi="Segoe UI" w:hint="cs"/>
                <w:sz w:val="23"/>
                <w:szCs w:val="23"/>
                <w:rtl/>
              </w:rPr>
              <w:t>)</w:t>
            </w:r>
          </w:p>
        </w:tc>
        <w:tc>
          <w:tcPr>
            <w:tcW w:w="2864" w:type="dxa"/>
            <w:tcMar>
              <w:top w:w="150" w:type="dxa"/>
              <w:left w:w="240" w:type="dxa"/>
              <w:bottom w:w="150" w:type="dxa"/>
              <w:right w:w="0" w:type="dxa"/>
            </w:tcMar>
            <w:vAlign w:val="center"/>
            <w:hideMark/>
          </w:tcPr>
          <w:p w14:paraId="1C300C5A" w14:textId="35FF0853" w:rsidR="00990761" w:rsidRDefault="00990761" w:rsidP="00CD3787">
            <w:pPr>
              <w:bidi/>
              <w:spacing w:line="375" w:lineRule="atLeast"/>
              <w:ind w:left="313"/>
              <w:jc w:val="lowKashida"/>
              <w:rPr>
                <w:rFonts w:ascii="Segoe UI" w:hAnsi="Segoe UI" w:cs="Segoe UI"/>
                <w:sz w:val="23"/>
                <w:szCs w:val="23"/>
              </w:rPr>
            </w:pPr>
            <w:r>
              <w:rPr>
                <w:rFonts w:ascii="Segoe UI" w:hAnsi="Segoe UI"/>
                <w:sz w:val="23"/>
                <w:szCs w:val="23"/>
                <w:rtl/>
              </w:rPr>
              <w:t>الكادر الإداري فقط، العاملون في مرافق صحية غير مستشفيات (مراكز صحية، عيادات خاصة</w:t>
            </w:r>
            <w:r w:rsidR="00CD3787">
              <w:rPr>
                <w:rFonts w:ascii="Segoe UI" w:hAnsi="Segoe UI" w:hint="cs"/>
                <w:sz w:val="23"/>
                <w:szCs w:val="23"/>
                <w:rtl/>
              </w:rPr>
              <w:t>)</w:t>
            </w:r>
          </w:p>
        </w:tc>
      </w:tr>
      <w:tr w:rsidR="00990761" w14:paraId="5A0D8FAF" w14:textId="77777777" w:rsidTr="00CD3787">
        <w:tc>
          <w:tcPr>
            <w:tcW w:w="1077" w:type="dxa"/>
            <w:tcMar>
              <w:top w:w="150" w:type="dxa"/>
              <w:left w:w="0" w:type="dxa"/>
              <w:bottom w:w="150" w:type="dxa"/>
              <w:right w:w="240" w:type="dxa"/>
            </w:tcMar>
            <w:vAlign w:val="center"/>
            <w:hideMark/>
          </w:tcPr>
          <w:p w14:paraId="65B3C100"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المتعرض</w:t>
            </w:r>
            <w:r>
              <w:rPr>
                <w:rStyle w:val="Strong"/>
                <w:rFonts w:ascii="Segoe UI" w:hAnsi="Segoe UI" w:cs="Segoe UI"/>
                <w:sz w:val="23"/>
                <w:szCs w:val="23"/>
              </w:rPr>
              <w:t xml:space="preserve"> (Exposure)</w:t>
            </w:r>
          </w:p>
        </w:tc>
        <w:tc>
          <w:tcPr>
            <w:tcW w:w="0" w:type="auto"/>
            <w:tcMar>
              <w:top w:w="150" w:type="dxa"/>
              <w:left w:w="240" w:type="dxa"/>
              <w:bottom w:w="150" w:type="dxa"/>
              <w:right w:w="240" w:type="dxa"/>
            </w:tcMar>
            <w:vAlign w:val="center"/>
            <w:hideMark/>
          </w:tcPr>
          <w:p w14:paraId="3BFFFBA3" w14:textId="67FAC86B" w:rsidR="00990761" w:rsidRDefault="00990761" w:rsidP="00CD3787">
            <w:pPr>
              <w:bidi/>
              <w:spacing w:line="375" w:lineRule="atLeast"/>
              <w:ind w:right="152"/>
              <w:jc w:val="lowKashida"/>
              <w:rPr>
                <w:rFonts w:ascii="Segoe UI" w:hAnsi="Segoe UI" w:cs="Segoe UI"/>
                <w:sz w:val="23"/>
                <w:szCs w:val="23"/>
              </w:rPr>
            </w:pPr>
            <w:r>
              <w:rPr>
                <w:rFonts w:ascii="Segoe UI" w:hAnsi="Segoe UI"/>
                <w:sz w:val="23"/>
                <w:szCs w:val="23"/>
                <w:rtl/>
              </w:rPr>
              <w:t>ممارسات إدارة الموارد البشرية (التوظيف، التدريب، التقييم، الحوافز، الاتصالات</w:t>
            </w:r>
            <w:r w:rsidR="00CD3787">
              <w:rPr>
                <w:rFonts w:ascii="Segoe UI" w:hAnsi="Segoe UI" w:hint="cs"/>
                <w:sz w:val="23"/>
                <w:szCs w:val="23"/>
                <w:rtl/>
              </w:rPr>
              <w:t>)</w:t>
            </w:r>
          </w:p>
        </w:tc>
        <w:tc>
          <w:tcPr>
            <w:tcW w:w="2864" w:type="dxa"/>
            <w:tcMar>
              <w:top w:w="150" w:type="dxa"/>
              <w:left w:w="240" w:type="dxa"/>
              <w:bottom w:w="150" w:type="dxa"/>
              <w:right w:w="0" w:type="dxa"/>
            </w:tcMar>
            <w:vAlign w:val="center"/>
            <w:hideMark/>
          </w:tcPr>
          <w:p w14:paraId="66655F80" w14:textId="77777777" w:rsidR="00990761" w:rsidRDefault="00990761" w:rsidP="00CD3787">
            <w:pPr>
              <w:bidi/>
              <w:spacing w:line="375" w:lineRule="atLeast"/>
              <w:ind w:left="313"/>
              <w:jc w:val="lowKashida"/>
              <w:rPr>
                <w:rFonts w:ascii="Segoe UI" w:hAnsi="Segoe UI" w:cs="Segoe UI"/>
                <w:sz w:val="23"/>
                <w:szCs w:val="23"/>
              </w:rPr>
            </w:pPr>
            <w:r>
              <w:rPr>
                <w:rFonts w:ascii="Segoe UI" w:hAnsi="Segoe UI"/>
                <w:sz w:val="23"/>
                <w:szCs w:val="23"/>
                <w:rtl/>
              </w:rPr>
              <w:t>دراسات تناولت متغيرات تنظيمية أخرى دون ربطها بإدارة الموارد البشرية</w:t>
            </w:r>
          </w:p>
        </w:tc>
      </w:tr>
      <w:tr w:rsidR="00990761" w14:paraId="5743DD20" w14:textId="77777777" w:rsidTr="00CD3787">
        <w:tc>
          <w:tcPr>
            <w:tcW w:w="1077" w:type="dxa"/>
            <w:tcMar>
              <w:top w:w="150" w:type="dxa"/>
              <w:left w:w="0" w:type="dxa"/>
              <w:bottom w:w="150" w:type="dxa"/>
              <w:right w:w="240" w:type="dxa"/>
            </w:tcMar>
            <w:vAlign w:val="center"/>
            <w:hideMark/>
          </w:tcPr>
          <w:p w14:paraId="554E12C7"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المقارن</w:t>
            </w:r>
            <w:r>
              <w:rPr>
                <w:rStyle w:val="Strong"/>
                <w:rFonts w:ascii="Segoe UI" w:hAnsi="Segoe UI" w:cs="Segoe UI"/>
                <w:sz w:val="23"/>
                <w:szCs w:val="23"/>
              </w:rPr>
              <w:t xml:space="preserve"> (Comparison)</w:t>
            </w:r>
          </w:p>
        </w:tc>
        <w:tc>
          <w:tcPr>
            <w:tcW w:w="0" w:type="auto"/>
            <w:tcMar>
              <w:top w:w="150" w:type="dxa"/>
              <w:left w:w="240" w:type="dxa"/>
              <w:bottom w:w="150" w:type="dxa"/>
              <w:right w:w="240" w:type="dxa"/>
            </w:tcMar>
            <w:vAlign w:val="center"/>
            <w:hideMark/>
          </w:tcPr>
          <w:p w14:paraId="2F332CD8"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لا يشترط وجود مجموعة مقارنة</w:t>
            </w:r>
          </w:p>
        </w:tc>
        <w:tc>
          <w:tcPr>
            <w:tcW w:w="2864" w:type="dxa"/>
            <w:tcMar>
              <w:top w:w="150" w:type="dxa"/>
              <w:left w:w="240" w:type="dxa"/>
              <w:bottom w:w="150" w:type="dxa"/>
              <w:right w:w="0" w:type="dxa"/>
            </w:tcMar>
            <w:vAlign w:val="center"/>
            <w:hideMark/>
          </w:tcPr>
          <w:p w14:paraId="594C180F" w14:textId="77777777" w:rsidR="00990761" w:rsidRDefault="00990761" w:rsidP="00CD3787">
            <w:pPr>
              <w:spacing w:line="375" w:lineRule="atLeast"/>
              <w:jc w:val="center"/>
              <w:rPr>
                <w:rFonts w:ascii="Segoe UI" w:hAnsi="Segoe UI" w:cs="Segoe UI"/>
                <w:sz w:val="23"/>
                <w:szCs w:val="23"/>
              </w:rPr>
            </w:pPr>
            <w:r>
              <w:rPr>
                <w:rFonts w:ascii="Segoe UI" w:hAnsi="Segoe UI" w:cs="Segoe UI"/>
                <w:sz w:val="23"/>
                <w:szCs w:val="23"/>
              </w:rPr>
              <w:t>-</w:t>
            </w:r>
          </w:p>
        </w:tc>
      </w:tr>
      <w:tr w:rsidR="00990761" w14:paraId="7D6BDE69" w14:textId="77777777" w:rsidTr="00CD3787">
        <w:tc>
          <w:tcPr>
            <w:tcW w:w="1077" w:type="dxa"/>
            <w:tcMar>
              <w:top w:w="150" w:type="dxa"/>
              <w:left w:w="0" w:type="dxa"/>
              <w:bottom w:w="150" w:type="dxa"/>
              <w:right w:w="240" w:type="dxa"/>
            </w:tcMar>
            <w:vAlign w:val="center"/>
            <w:hideMark/>
          </w:tcPr>
          <w:p w14:paraId="6187011F"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النتائج</w:t>
            </w:r>
            <w:r>
              <w:rPr>
                <w:rStyle w:val="Strong"/>
                <w:rFonts w:ascii="Segoe UI" w:hAnsi="Segoe UI" w:cs="Segoe UI"/>
                <w:sz w:val="23"/>
                <w:szCs w:val="23"/>
              </w:rPr>
              <w:t xml:space="preserve"> (Outcomes)</w:t>
            </w:r>
          </w:p>
        </w:tc>
        <w:tc>
          <w:tcPr>
            <w:tcW w:w="0" w:type="auto"/>
            <w:tcMar>
              <w:top w:w="150" w:type="dxa"/>
              <w:left w:w="240" w:type="dxa"/>
              <w:bottom w:w="150" w:type="dxa"/>
              <w:right w:w="240" w:type="dxa"/>
            </w:tcMar>
            <w:vAlign w:val="center"/>
            <w:hideMark/>
          </w:tcPr>
          <w:p w14:paraId="1342DCB4" w14:textId="77777777" w:rsidR="00990761" w:rsidRDefault="00990761" w:rsidP="00CD3787">
            <w:pPr>
              <w:bidi/>
              <w:spacing w:line="375" w:lineRule="atLeast"/>
              <w:jc w:val="lowKashida"/>
              <w:rPr>
                <w:rFonts w:ascii="Segoe UI" w:hAnsi="Segoe UI" w:cs="Segoe UI"/>
                <w:sz w:val="23"/>
                <w:szCs w:val="23"/>
              </w:rPr>
            </w:pPr>
            <w:r>
              <w:rPr>
                <w:rFonts w:ascii="Segoe UI" w:hAnsi="Segoe UI"/>
                <w:sz w:val="23"/>
                <w:szCs w:val="23"/>
                <w:rtl/>
              </w:rPr>
              <w:t>الاحتفاظ بالكادر الطبي (الرضا الوظيفي، نية البقاء، الولاء التنظيمي، معدل الدوران) وجودة الرعاية الصحية</w:t>
            </w:r>
          </w:p>
        </w:tc>
        <w:tc>
          <w:tcPr>
            <w:tcW w:w="2864" w:type="dxa"/>
            <w:tcMar>
              <w:top w:w="150" w:type="dxa"/>
              <w:left w:w="240" w:type="dxa"/>
              <w:bottom w:w="150" w:type="dxa"/>
              <w:right w:w="0" w:type="dxa"/>
            </w:tcMar>
            <w:vAlign w:val="center"/>
            <w:hideMark/>
          </w:tcPr>
          <w:p w14:paraId="0719A216"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دراسات لم تتناول أي من هذه النتائج</w:t>
            </w:r>
          </w:p>
        </w:tc>
      </w:tr>
      <w:tr w:rsidR="00990761" w14:paraId="4A57A82B" w14:textId="77777777" w:rsidTr="00CD3787">
        <w:tc>
          <w:tcPr>
            <w:tcW w:w="1077" w:type="dxa"/>
            <w:tcMar>
              <w:top w:w="150" w:type="dxa"/>
              <w:left w:w="0" w:type="dxa"/>
              <w:bottom w:w="150" w:type="dxa"/>
              <w:right w:w="240" w:type="dxa"/>
            </w:tcMar>
            <w:vAlign w:val="center"/>
            <w:hideMark/>
          </w:tcPr>
          <w:p w14:paraId="2E4059BB"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lastRenderedPageBreak/>
              <w:t>نوع الدراسة</w:t>
            </w:r>
          </w:p>
        </w:tc>
        <w:tc>
          <w:tcPr>
            <w:tcW w:w="0" w:type="auto"/>
            <w:tcMar>
              <w:top w:w="150" w:type="dxa"/>
              <w:left w:w="240" w:type="dxa"/>
              <w:bottom w:w="150" w:type="dxa"/>
              <w:right w:w="240" w:type="dxa"/>
            </w:tcMar>
            <w:vAlign w:val="center"/>
            <w:hideMark/>
          </w:tcPr>
          <w:p w14:paraId="75BF30E0" w14:textId="77777777" w:rsidR="00990761" w:rsidRDefault="00990761" w:rsidP="00CD3787">
            <w:pPr>
              <w:bidi/>
              <w:spacing w:line="375" w:lineRule="atLeast"/>
              <w:jc w:val="lowKashida"/>
              <w:rPr>
                <w:rFonts w:ascii="Segoe UI" w:hAnsi="Segoe UI" w:cs="Segoe UI"/>
                <w:sz w:val="23"/>
                <w:szCs w:val="23"/>
              </w:rPr>
            </w:pPr>
            <w:r>
              <w:rPr>
                <w:rFonts w:ascii="Segoe UI" w:hAnsi="Segoe UI"/>
                <w:sz w:val="23"/>
                <w:szCs w:val="23"/>
                <w:rtl/>
              </w:rPr>
              <w:t>دراسات أصلية (كمية، نوعية، مختلطة) منشورة في دوريات محكمة</w:t>
            </w:r>
          </w:p>
        </w:tc>
        <w:tc>
          <w:tcPr>
            <w:tcW w:w="2864" w:type="dxa"/>
            <w:tcMar>
              <w:top w:w="150" w:type="dxa"/>
              <w:left w:w="240" w:type="dxa"/>
              <w:bottom w:w="150" w:type="dxa"/>
              <w:right w:w="0" w:type="dxa"/>
            </w:tcMar>
            <w:vAlign w:val="center"/>
            <w:hideMark/>
          </w:tcPr>
          <w:p w14:paraId="42C2E854" w14:textId="77777777" w:rsidR="00990761" w:rsidRDefault="00990761" w:rsidP="00CD3787">
            <w:pPr>
              <w:bidi/>
              <w:spacing w:line="375" w:lineRule="atLeast"/>
              <w:ind w:left="313"/>
              <w:jc w:val="lowKashida"/>
              <w:rPr>
                <w:rFonts w:ascii="Segoe UI" w:hAnsi="Segoe UI" w:cs="Segoe UI"/>
                <w:sz w:val="23"/>
                <w:szCs w:val="23"/>
              </w:rPr>
            </w:pPr>
            <w:r>
              <w:rPr>
                <w:rFonts w:ascii="Segoe UI" w:hAnsi="Segoe UI"/>
                <w:sz w:val="23"/>
                <w:szCs w:val="23"/>
                <w:rtl/>
              </w:rPr>
              <w:t>رسائل جامعية غير منشورة، أوراق مؤتمرات، مراجعات غير منهجية، كتب، تقارير</w:t>
            </w:r>
          </w:p>
        </w:tc>
      </w:tr>
      <w:tr w:rsidR="00990761" w14:paraId="4648B64A" w14:textId="77777777" w:rsidTr="00CD3787">
        <w:tc>
          <w:tcPr>
            <w:tcW w:w="1077" w:type="dxa"/>
            <w:tcMar>
              <w:top w:w="150" w:type="dxa"/>
              <w:left w:w="0" w:type="dxa"/>
              <w:bottom w:w="150" w:type="dxa"/>
              <w:right w:w="240" w:type="dxa"/>
            </w:tcMar>
            <w:vAlign w:val="center"/>
            <w:hideMark/>
          </w:tcPr>
          <w:p w14:paraId="1FDB68AB"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اللغة</w:t>
            </w:r>
          </w:p>
        </w:tc>
        <w:tc>
          <w:tcPr>
            <w:tcW w:w="0" w:type="auto"/>
            <w:tcMar>
              <w:top w:w="150" w:type="dxa"/>
              <w:left w:w="240" w:type="dxa"/>
              <w:bottom w:w="150" w:type="dxa"/>
              <w:right w:w="240" w:type="dxa"/>
            </w:tcMar>
            <w:vAlign w:val="center"/>
            <w:hideMark/>
          </w:tcPr>
          <w:p w14:paraId="3F4B22F1"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العربية والإنجليزية</w:t>
            </w:r>
          </w:p>
        </w:tc>
        <w:tc>
          <w:tcPr>
            <w:tcW w:w="2864" w:type="dxa"/>
            <w:tcMar>
              <w:top w:w="150" w:type="dxa"/>
              <w:left w:w="240" w:type="dxa"/>
              <w:bottom w:w="150" w:type="dxa"/>
              <w:right w:w="0" w:type="dxa"/>
            </w:tcMar>
            <w:vAlign w:val="center"/>
            <w:hideMark/>
          </w:tcPr>
          <w:p w14:paraId="40884195"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لغات أخرى</w:t>
            </w:r>
          </w:p>
        </w:tc>
      </w:tr>
      <w:tr w:rsidR="00990761" w14:paraId="41067932" w14:textId="77777777" w:rsidTr="00CD3787">
        <w:tc>
          <w:tcPr>
            <w:tcW w:w="1077" w:type="dxa"/>
            <w:tcMar>
              <w:top w:w="150" w:type="dxa"/>
              <w:left w:w="0" w:type="dxa"/>
              <w:bottom w:w="150" w:type="dxa"/>
              <w:right w:w="240" w:type="dxa"/>
            </w:tcMar>
            <w:vAlign w:val="center"/>
            <w:hideMark/>
          </w:tcPr>
          <w:p w14:paraId="6E860175"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الفترة الزمنية</w:t>
            </w:r>
          </w:p>
        </w:tc>
        <w:tc>
          <w:tcPr>
            <w:tcW w:w="0" w:type="auto"/>
            <w:tcMar>
              <w:top w:w="150" w:type="dxa"/>
              <w:left w:w="240" w:type="dxa"/>
              <w:bottom w:w="150" w:type="dxa"/>
              <w:right w:w="240" w:type="dxa"/>
            </w:tcMar>
            <w:vAlign w:val="center"/>
            <w:hideMark/>
          </w:tcPr>
          <w:p w14:paraId="25F2D7C5" w14:textId="77777777" w:rsidR="00990761" w:rsidRDefault="00990761" w:rsidP="00CD3787">
            <w:pPr>
              <w:spacing w:line="375" w:lineRule="atLeast"/>
              <w:jc w:val="center"/>
              <w:rPr>
                <w:rFonts w:ascii="Segoe UI" w:hAnsi="Segoe UI" w:cs="Segoe UI"/>
                <w:sz w:val="23"/>
                <w:szCs w:val="23"/>
              </w:rPr>
            </w:pPr>
            <w:r>
              <w:rPr>
                <w:rFonts w:ascii="Segoe UI" w:hAnsi="Segoe UI" w:cs="Segoe UI"/>
                <w:sz w:val="23"/>
                <w:szCs w:val="23"/>
              </w:rPr>
              <w:t>2015-2026</w:t>
            </w:r>
          </w:p>
        </w:tc>
        <w:tc>
          <w:tcPr>
            <w:tcW w:w="2864" w:type="dxa"/>
            <w:tcMar>
              <w:top w:w="150" w:type="dxa"/>
              <w:left w:w="240" w:type="dxa"/>
              <w:bottom w:w="150" w:type="dxa"/>
              <w:right w:w="0" w:type="dxa"/>
            </w:tcMar>
            <w:vAlign w:val="center"/>
            <w:hideMark/>
          </w:tcPr>
          <w:p w14:paraId="704C7A8D"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ما قبل 2015</w:t>
            </w:r>
          </w:p>
        </w:tc>
      </w:tr>
      <w:tr w:rsidR="00990761" w14:paraId="298A2D1A" w14:textId="77777777" w:rsidTr="00CD3787">
        <w:tc>
          <w:tcPr>
            <w:tcW w:w="1077" w:type="dxa"/>
            <w:tcMar>
              <w:top w:w="150" w:type="dxa"/>
              <w:left w:w="0" w:type="dxa"/>
              <w:bottom w:w="150" w:type="dxa"/>
              <w:right w:w="240" w:type="dxa"/>
            </w:tcMar>
            <w:vAlign w:val="center"/>
            <w:hideMark/>
          </w:tcPr>
          <w:p w14:paraId="30644450" w14:textId="77777777" w:rsidR="00990761" w:rsidRDefault="00990761" w:rsidP="00CD3787">
            <w:pPr>
              <w:spacing w:line="375" w:lineRule="atLeast"/>
              <w:ind w:left="299"/>
              <w:jc w:val="center"/>
              <w:rPr>
                <w:rFonts w:ascii="Segoe UI" w:hAnsi="Segoe UI" w:cs="Segoe UI"/>
                <w:sz w:val="23"/>
                <w:szCs w:val="23"/>
              </w:rPr>
            </w:pPr>
            <w:r>
              <w:rPr>
                <w:rStyle w:val="Strong"/>
                <w:rFonts w:ascii="Segoe UI" w:hAnsi="Segoe UI"/>
                <w:sz w:val="23"/>
                <w:szCs w:val="23"/>
                <w:rtl/>
              </w:rPr>
              <w:t>النطاق الجغرافي</w:t>
            </w:r>
          </w:p>
        </w:tc>
        <w:tc>
          <w:tcPr>
            <w:tcW w:w="0" w:type="auto"/>
            <w:tcMar>
              <w:top w:w="150" w:type="dxa"/>
              <w:left w:w="240" w:type="dxa"/>
              <w:bottom w:w="150" w:type="dxa"/>
              <w:right w:w="240" w:type="dxa"/>
            </w:tcMar>
            <w:vAlign w:val="center"/>
            <w:hideMark/>
          </w:tcPr>
          <w:p w14:paraId="119D800A" w14:textId="77777777" w:rsidR="00990761" w:rsidRDefault="00990761" w:rsidP="00CD3787">
            <w:pPr>
              <w:spacing w:line="375" w:lineRule="atLeast"/>
              <w:jc w:val="center"/>
              <w:rPr>
                <w:rFonts w:ascii="Segoe UI" w:hAnsi="Segoe UI" w:cs="Segoe UI"/>
                <w:sz w:val="23"/>
                <w:szCs w:val="23"/>
              </w:rPr>
            </w:pPr>
            <w:r>
              <w:rPr>
                <w:rFonts w:ascii="Segoe UI" w:hAnsi="Segoe UI"/>
                <w:sz w:val="23"/>
                <w:szCs w:val="23"/>
                <w:rtl/>
              </w:rPr>
              <w:t>جميع الدول</w:t>
            </w:r>
          </w:p>
        </w:tc>
        <w:tc>
          <w:tcPr>
            <w:tcW w:w="2864" w:type="dxa"/>
            <w:tcMar>
              <w:top w:w="150" w:type="dxa"/>
              <w:left w:w="240" w:type="dxa"/>
              <w:bottom w:w="150" w:type="dxa"/>
              <w:right w:w="0" w:type="dxa"/>
            </w:tcMar>
            <w:vAlign w:val="center"/>
            <w:hideMark/>
          </w:tcPr>
          <w:p w14:paraId="6245C457" w14:textId="77777777" w:rsidR="00990761" w:rsidRDefault="00990761" w:rsidP="00CD3787">
            <w:pPr>
              <w:spacing w:line="375" w:lineRule="atLeast"/>
              <w:jc w:val="center"/>
              <w:rPr>
                <w:rFonts w:ascii="Segoe UI" w:hAnsi="Segoe UI" w:cs="Segoe UI"/>
                <w:sz w:val="23"/>
                <w:szCs w:val="23"/>
              </w:rPr>
            </w:pPr>
            <w:r>
              <w:rPr>
                <w:rFonts w:ascii="Segoe UI" w:hAnsi="Segoe UI" w:cs="Segoe UI"/>
                <w:sz w:val="23"/>
                <w:szCs w:val="23"/>
              </w:rPr>
              <w:t>-</w:t>
            </w:r>
          </w:p>
        </w:tc>
      </w:tr>
    </w:tbl>
    <w:p w14:paraId="34F0FCB6" w14:textId="02305EED" w:rsidR="00990761" w:rsidRPr="00CD3787" w:rsidRDefault="00CD3787"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Pr>
          <w:rFonts w:ascii="Segoe UI" w:hAnsi="Segoe UI" w:cs="Segoe UI" w:hint="cs"/>
          <w:color w:val="0F1115"/>
          <w:sz w:val="30"/>
          <w:szCs w:val="30"/>
          <w:rtl/>
        </w:rPr>
        <w:t xml:space="preserve">٣.٣. </w:t>
      </w:r>
      <w:r w:rsidR="00990761" w:rsidRPr="00CD3787">
        <w:rPr>
          <w:rFonts w:asciiTheme="majorBidi" w:hAnsiTheme="majorBidi" w:cstheme="majorBidi"/>
          <w:color w:val="0F1115"/>
          <w:sz w:val="28"/>
          <w:szCs w:val="28"/>
          <w:rtl/>
        </w:rPr>
        <w:t>استراتيجية البحث</w:t>
      </w:r>
    </w:p>
    <w:p w14:paraId="1C1BA9C9" w14:textId="77777777"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تم تطوير استراتيجية بحث شاملة بالتشاور مع أخصائي معلومات، وتم تطبيقها على قواعد البيانات التالية</w:t>
      </w:r>
      <w:r w:rsidRPr="00CD3787">
        <w:rPr>
          <w:rFonts w:asciiTheme="majorBidi" w:hAnsiTheme="majorBidi" w:cstheme="majorBidi"/>
          <w:color w:val="0F1115"/>
          <w:sz w:val="28"/>
          <w:szCs w:val="28"/>
        </w:rPr>
        <w:t>:</w:t>
      </w:r>
    </w:p>
    <w:p w14:paraId="6C4D4B6C" w14:textId="77777777"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جدول (3-2): قواعد البيانات المستخدمة في البحث</w:t>
      </w:r>
    </w:p>
    <w:tbl>
      <w:tblPr>
        <w:bidiVisual/>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6"/>
        <w:gridCol w:w="4829"/>
      </w:tblGrid>
      <w:tr w:rsidR="00CD3787" w14:paraId="17355E68" w14:textId="77777777" w:rsidTr="00CD3787">
        <w:trPr>
          <w:tblHeader/>
          <w:jc w:val="center"/>
        </w:trPr>
        <w:tc>
          <w:tcPr>
            <w:tcW w:w="2506" w:type="dxa"/>
            <w:tcMar>
              <w:top w:w="150" w:type="dxa"/>
              <w:left w:w="0" w:type="dxa"/>
              <w:bottom w:w="150" w:type="dxa"/>
              <w:right w:w="240" w:type="dxa"/>
            </w:tcMar>
            <w:vAlign w:val="center"/>
            <w:hideMark/>
          </w:tcPr>
          <w:p w14:paraId="6C537268"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قاعدة البيانات</w:t>
            </w:r>
          </w:p>
        </w:tc>
        <w:tc>
          <w:tcPr>
            <w:tcW w:w="4829" w:type="dxa"/>
            <w:tcMar>
              <w:top w:w="150" w:type="dxa"/>
              <w:left w:w="240" w:type="dxa"/>
              <w:bottom w:w="150" w:type="dxa"/>
              <w:right w:w="240" w:type="dxa"/>
            </w:tcMar>
            <w:vAlign w:val="center"/>
            <w:hideMark/>
          </w:tcPr>
          <w:p w14:paraId="5858E981"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النطاق</w:t>
            </w:r>
          </w:p>
        </w:tc>
      </w:tr>
      <w:tr w:rsidR="00CD3787" w14:paraId="7681DC7F" w14:textId="77777777" w:rsidTr="00CD3787">
        <w:trPr>
          <w:jc w:val="center"/>
        </w:trPr>
        <w:tc>
          <w:tcPr>
            <w:tcW w:w="2506" w:type="dxa"/>
            <w:tcMar>
              <w:top w:w="150" w:type="dxa"/>
              <w:left w:w="0" w:type="dxa"/>
              <w:bottom w:w="150" w:type="dxa"/>
              <w:right w:w="240" w:type="dxa"/>
            </w:tcMar>
            <w:vAlign w:val="center"/>
            <w:hideMark/>
          </w:tcPr>
          <w:p w14:paraId="75738894" w14:textId="77777777" w:rsidR="00CD3787" w:rsidRDefault="00CD3787" w:rsidP="00CD3787">
            <w:pPr>
              <w:spacing w:line="375" w:lineRule="atLeast"/>
              <w:jc w:val="center"/>
              <w:rPr>
                <w:rFonts w:ascii="Segoe UI" w:hAnsi="Segoe UI" w:cs="Segoe UI"/>
                <w:sz w:val="23"/>
                <w:szCs w:val="23"/>
              </w:rPr>
            </w:pPr>
            <w:r>
              <w:rPr>
                <w:rFonts w:ascii="Segoe UI" w:hAnsi="Segoe UI" w:cs="Segoe UI"/>
                <w:sz w:val="23"/>
                <w:szCs w:val="23"/>
              </w:rPr>
              <w:t>PubMed</w:t>
            </w:r>
          </w:p>
        </w:tc>
        <w:tc>
          <w:tcPr>
            <w:tcW w:w="4829" w:type="dxa"/>
            <w:tcMar>
              <w:top w:w="150" w:type="dxa"/>
              <w:left w:w="240" w:type="dxa"/>
              <w:bottom w:w="150" w:type="dxa"/>
              <w:right w:w="240" w:type="dxa"/>
            </w:tcMar>
            <w:vAlign w:val="center"/>
            <w:hideMark/>
          </w:tcPr>
          <w:p w14:paraId="6C4B9CEF"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أبحاث طبية حيوية وصحية</w:t>
            </w:r>
          </w:p>
        </w:tc>
      </w:tr>
      <w:tr w:rsidR="00CD3787" w14:paraId="4CA086D9" w14:textId="77777777" w:rsidTr="00CD3787">
        <w:trPr>
          <w:jc w:val="center"/>
        </w:trPr>
        <w:tc>
          <w:tcPr>
            <w:tcW w:w="2506" w:type="dxa"/>
            <w:tcMar>
              <w:top w:w="150" w:type="dxa"/>
              <w:left w:w="0" w:type="dxa"/>
              <w:bottom w:w="150" w:type="dxa"/>
              <w:right w:w="240" w:type="dxa"/>
            </w:tcMar>
            <w:vAlign w:val="center"/>
            <w:hideMark/>
          </w:tcPr>
          <w:p w14:paraId="6EF4EC2B" w14:textId="77777777" w:rsidR="00CD3787" w:rsidRDefault="00CD3787" w:rsidP="00CD3787">
            <w:pPr>
              <w:spacing w:line="375" w:lineRule="atLeast"/>
              <w:jc w:val="center"/>
              <w:rPr>
                <w:rFonts w:ascii="Segoe UI" w:hAnsi="Segoe UI" w:cs="Segoe UI"/>
                <w:sz w:val="23"/>
                <w:szCs w:val="23"/>
              </w:rPr>
            </w:pPr>
            <w:r>
              <w:rPr>
                <w:rFonts w:ascii="Segoe UI" w:hAnsi="Segoe UI" w:cs="Segoe UI"/>
                <w:sz w:val="23"/>
                <w:szCs w:val="23"/>
              </w:rPr>
              <w:t>Scopus</w:t>
            </w:r>
          </w:p>
        </w:tc>
        <w:tc>
          <w:tcPr>
            <w:tcW w:w="4829" w:type="dxa"/>
            <w:tcMar>
              <w:top w:w="150" w:type="dxa"/>
              <w:left w:w="240" w:type="dxa"/>
              <w:bottom w:w="150" w:type="dxa"/>
              <w:right w:w="240" w:type="dxa"/>
            </w:tcMar>
            <w:vAlign w:val="center"/>
            <w:hideMark/>
          </w:tcPr>
          <w:p w14:paraId="45152D86"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متعددة التخصصات</w:t>
            </w:r>
          </w:p>
        </w:tc>
      </w:tr>
      <w:tr w:rsidR="00CD3787" w14:paraId="6ED23423" w14:textId="77777777" w:rsidTr="00CD3787">
        <w:trPr>
          <w:jc w:val="center"/>
        </w:trPr>
        <w:tc>
          <w:tcPr>
            <w:tcW w:w="2506" w:type="dxa"/>
            <w:tcMar>
              <w:top w:w="150" w:type="dxa"/>
              <w:left w:w="0" w:type="dxa"/>
              <w:bottom w:w="150" w:type="dxa"/>
              <w:right w:w="240" w:type="dxa"/>
            </w:tcMar>
            <w:vAlign w:val="center"/>
            <w:hideMark/>
          </w:tcPr>
          <w:p w14:paraId="456221CD" w14:textId="77777777" w:rsidR="00CD3787" w:rsidRDefault="00CD3787" w:rsidP="00CD3787">
            <w:pPr>
              <w:spacing w:line="375" w:lineRule="atLeast"/>
              <w:jc w:val="center"/>
              <w:rPr>
                <w:rFonts w:ascii="Segoe UI" w:hAnsi="Segoe UI" w:cs="Segoe UI"/>
                <w:sz w:val="23"/>
                <w:szCs w:val="23"/>
              </w:rPr>
            </w:pPr>
            <w:r>
              <w:rPr>
                <w:rFonts w:ascii="Segoe UI" w:hAnsi="Segoe UI" w:cs="Segoe UI"/>
                <w:sz w:val="23"/>
                <w:szCs w:val="23"/>
              </w:rPr>
              <w:t>Web of Science</w:t>
            </w:r>
          </w:p>
        </w:tc>
        <w:tc>
          <w:tcPr>
            <w:tcW w:w="4829" w:type="dxa"/>
            <w:tcMar>
              <w:top w:w="150" w:type="dxa"/>
              <w:left w:w="240" w:type="dxa"/>
              <w:bottom w:w="150" w:type="dxa"/>
              <w:right w:w="240" w:type="dxa"/>
            </w:tcMar>
            <w:vAlign w:val="center"/>
            <w:hideMark/>
          </w:tcPr>
          <w:p w14:paraId="60B78FAF"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متعددة التخصصات</w:t>
            </w:r>
          </w:p>
        </w:tc>
      </w:tr>
      <w:tr w:rsidR="00CD3787" w14:paraId="5307D220" w14:textId="77777777" w:rsidTr="00CD3787">
        <w:trPr>
          <w:jc w:val="center"/>
        </w:trPr>
        <w:tc>
          <w:tcPr>
            <w:tcW w:w="2506" w:type="dxa"/>
            <w:tcMar>
              <w:top w:w="150" w:type="dxa"/>
              <w:left w:w="0" w:type="dxa"/>
              <w:bottom w:w="150" w:type="dxa"/>
              <w:right w:w="240" w:type="dxa"/>
            </w:tcMar>
            <w:vAlign w:val="center"/>
            <w:hideMark/>
          </w:tcPr>
          <w:p w14:paraId="11271954" w14:textId="77777777" w:rsidR="00CD3787" w:rsidRDefault="00CD3787" w:rsidP="00CD3787">
            <w:pPr>
              <w:spacing w:line="375" w:lineRule="atLeast"/>
              <w:jc w:val="center"/>
              <w:rPr>
                <w:rFonts w:ascii="Segoe UI" w:hAnsi="Segoe UI" w:cs="Segoe UI"/>
                <w:sz w:val="23"/>
                <w:szCs w:val="23"/>
              </w:rPr>
            </w:pPr>
            <w:r>
              <w:rPr>
                <w:rFonts w:ascii="Segoe UI" w:hAnsi="Segoe UI" w:cs="Segoe UI"/>
                <w:sz w:val="23"/>
                <w:szCs w:val="23"/>
              </w:rPr>
              <w:t>Google Scholar</w:t>
            </w:r>
          </w:p>
        </w:tc>
        <w:tc>
          <w:tcPr>
            <w:tcW w:w="4829" w:type="dxa"/>
            <w:tcMar>
              <w:top w:w="150" w:type="dxa"/>
              <w:left w:w="240" w:type="dxa"/>
              <w:bottom w:w="150" w:type="dxa"/>
              <w:right w:w="240" w:type="dxa"/>
            </w:tcMar>
            <w:vAlign w:val="center"/>
            <w:hideMark/>
          </w:tcPr>
          <w:p w14:paraId="240373AC"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متعددة التخصصات</w:t>
            </w:r>
          </w:p>
        </w:tc>
      </w:tr>
      <w:tr w:rsidR="00CD3787" w14:paraId="61ADB98D" w14:textId="77777777" w:rsidTr="00CD3787">
        <w:trPr>
          <w:jc w:val="center"/>
        </w:trPr>
        <w:tc>
          <w:tcPr>
            <w:tcW w:w="2506" w:type="dxa"/>
            <w:tcMar>
              <w:top w:w="150" w:type="dxa"/>
              <w:left w:w="0" w:type="dxa"/>
              <w:bottom w:w="150" w:type="dxa"/>
              <w:right w:w="240" w:type="dxa"/>
            </w:tcMar>
            <w:vAlign w:val="center"/>
            <w:hideMark/>
          </w:tcPr>
          <w:p w14:paraId="6E14FE86"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قاعدة معلومات دار المنظومة</w:t>
            </w:r>
          </w:p>
        </w:tc>
        <w:tc>
          <w:tcPr>
            <w:tcW w:w="4829" w:type="dxa"/>
            <w:tcMar>
              <w:top w:w="150" w:type="dxa"/>
              <w:left w:w="240" w:type="dxa"/>
              <w:bottom w:w="150" w:type="dxa"/>
              <w:right w:w="240" w:type="dxa"/>
            </w:tcMar>
            <w:vAlign w:val="center"/>
            <w:hideMark/>
          </w:tcPr>
          <w:p w14:paraId="36753FE9" w14:textId="77777777" w:rsidR="00CD3787" w:rsidRDefault="00CD3787" w:rsidP="00CD3787">
            <w:pPr>
              <w:spacing w:line="375" w:lineRule="atLeast"/>
              <w:jc w:val="center"/>
              <w:rPr>
                <w:rFonts w:ascii="Segoe UI" w:hAnsi="Segoe UI" w:cs="Segoe UI"/>
                <w:sz w:val="23"/>
                <w:szCs w:val="23"/>
              </w:rPr>
            </w:pPr>
            <w:r>
              <w:rPr>
                <w:rFonts w:ascii="Segoe UI" w:hAnsi="Segoe UI"/>
                <w:sz w:val="23"/>
                <w:szCs w:val="23"/>
                <w:rtl/>
              </w:rPr>
              <w:t>أبحاث عربية</w:t>
            </w:r>
          </w:p>
        </w:tc>
      </w:tr>
    </w:tbl>
    <w:p w14:paraId="60B432E8" w14:textId="03B57948"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تم استخدام الكلمات المفتاحية التالية، مع دمجها باستخدام العوامل المنطقية</w:t>
      </w:r>
      <w:r w:rsidRPr="00CD3787">
        <w:rPr>
          <w:rFonts w:asciiTheme="majorBidi" w:hAnsiTheme="majorBidi" w:cstheme="majorBidi"/>
          <w:color w:val="0F1115"/>
          <w:sz w:val="28"/>
          <w:szCs w:val="28"/>
        </w:rPr>
        <w:t xml:space="preserve"> (Boolean operators) </w:t>
      </w:r>
    </w:p>
    <w:p w14:paraId="7C11E291" w14:textId="77777777" w:rsidR="00990761" w:rsidRPr="00CD3787" w:rsidRDefault="00990761" w:rsidP="00CD3787">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CD3787">
        <w:rPr>
          <w:rFonts w:asciiTheme="majorBidi" w:hAnsiTheme="majorBidi" w:cstheme="majorBidi"/>
          <w:color w:val="0F1115"/>
          <w:sz w:val="28"/>
          <w:szCs w:val="28"/>
          <w:rtl/>
        </w:rPr>
        <w:t>جدول (3-3): الكلمات المفتاحية واستراتيجية البحث</w:t>
      </w:r>
    </w:p>
    <w:tbl>
      <w:tblPr>
        <w:bidiVisual/>
        <w:tblW w:w="9353"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8"/>
        <w:gridCol w:w="2993"/>
        <w:gridCol w:w="4662"/>
      </w:tblGrid>
      <w:tr w:rsidR="00990761" w14:paraId="1FCC8C28" w14:textId="77777777" w:rsidTr="009C2096">
        <w:trPr>
          <w:tblHeader/>
        </w:trPr>
        <w:tc>
          <w:tcPr>
            <w:tcW w:w="1698" w:type="dxa"/>
            <w:tcMar>
              <w:top w:w="150" w:type="dxa"/>
              <w:left w:w="0" w:type="dxa"/>
              <w:bottom w:w="150" w:type="dxa"/>
              <w:right w:w="240" w:type="dxa"/>
            </w:tcMar>
            <w:vAlign w:val="center"/>
            <w:hideMark/>
          </w:tcPr>
          <w:p w14:paraId="552DD148" w14:textId="77777777" w:rsidR="00990761" w:rsidRDefault="00990761" w:rsidP="009C2096">
            <w:pPr>
              <w:bidi/>
              <w:spacing w:line="375" w:lineRule="atLeast"/>
              <w:jc w:val="center"/>
              <w:rPr>
                <w:rFonts w:ascii="Segoe UI" w:hAnsi="Segoe UI" w:cs="Segoe UI"/>
                <w:sz w:val="23"/>
                <w:szCs w:val="23"/>
              </w:rPr>
            </w:pPr>
            <w:r>
              <w:rPr>
                <w:rFonts w:ascii="Segoe UI" w:hAnsi="Segoe UI"/>
                <w:sz w:val="23"/>
                <w:szCs w:val="23"/>
                <w:rtl/>
              </w:rPr>
              <w:t>المفهوم</w:t>
            </w:r>
          </w:p>
        </w:tc>
        <w:tc>
          <w:tcPr>
            <w:tcW w:w="2993" w:type="dxa"/>
            <w:tcMar>
              <w:top w:w="150" w:type="dxa"/>
              <w:left w:w="240" w:type="dxa"/>
              <w:bottom w:w="150" w:type="dxa"/>
              <w:right w:w="240" w:type="dxa"/>
            </w:tcMar>
            <w:vAlign w:val="center"/>
            <w:hideMark/>
          </w:tcPr>
          <w:p w14:paraId="59C293B1" w14:textId="2B8CDCAE" w:rsidR="00990761" w:rsidRDefault="00990761" w:rsidP="009C2096">
            <w:pPr>
              <w:bidi/>
              <w:spacing w:line="375" w:lineRule="atLeast"/>
              <w:jc w:val="center"/>
              <w:rPr>
                <w:rFonts w:ascii="Segoe UI" w:hAnsi="Segoe UI" w:cs="Segoe UI"/>
                <w:sz w:val="23"/>
                <w:szCs w:val="23"/>
              </w:rPr>
            </w:pPr>
            <w:r>
              <w:rPr>
                <w:rFonts w:ascii="Segoe UI" w:hAnsi="Segoe UI"/>
                <w:sz w:val="23"/>
                <w:szCs w:val="23"/>
                <w:rtl/>
              </w:rPr>
              <w:t>الكلمات المفتاحية (عربي</w:t>
            </w:r>
            <w:r w:rsidR="009C2096">
              <w:rPr>
                <w:rFonts w:ascii="Segoe UI" w:hAnsi="Segoe UI" w:hint="cs"/>
                <w:sz w:val="23"/>
                <w:szCs w:val="23"/>
                <w:rtl/>
              </w:rPr>
              <w:t>)</w:t>
            </w:r>
          </w:p>
        </w:tc>
        <w:tc>
          <w:tcPr>
            <w:tcW w:w="4662" w:type="dxa"/>
            <w:tcMar>
              <w:top w:w="150" w:type="dxa"/>
              <w:left w:w="240" w:type="dxa"/>
              <w:bottom w:w="150" w:type="dxa"/>
              <w:right w:w="240" w:type="dxa"/>
            </w:tcMar>
            <w:vAlign w:val="center"/>
            <w:hideMark/>
          </w:tcPr>
          <w:p w14:paraId="18A8D3A8" w14:textId="135CF9C9" w:rsidR="00990761" w:rsidRDefault="00990761" w:rsidP="009C2096">
            <w:pPr>
              <w:bidi/>
              <w:spacing w:line="375" w:lineRule="atLeast"/>
              <w:jc w:val="center"/>
              <w:rPr>
                <w:rFonts w:ascii="Segoe UI" w:hAnsi="Segoe UI" w:cs="Segoe UI"/>
                <w:sz w:val="23"/>
                <w:szCs w:val="23"/>
              </w:rPr>
            </w:pPr>
            <w:r>
              <w:rPr>
                <w:rFonts w:ascii="Segoe UI" w:hAnsi="Segoe UI"/>
                <w:sz w:val="23"/>
                <w:szCs w:val="23"/>
                <w:rtl/>
              </w:rPr>
              <w:t>الكلمات المفتاحية (إنجليزي</w:t>
            </w:r>
            <w:r w:rsidR="009C2096">
              <w:rPr>
                <w:rFonts w:ascii="Segoe UI" w:hAnsi="Segoe UI" w:hint="cs"/>
                <w:sz w:val="23"/>
                <w:szCs w:val="23"/>
                <w:rtl/>
              </w:rPr>
              <w:t>)</w:t>
            </w:r>
          </w:p>
        </w:tc>
      </w:tr>
      <w:tr w:rsidR="00990761" w14:paraId="5D0866B5" w14:textId="77777777" w:rsidTr="009C2096">
        <w:tc>
          <w:tcPr>
            <w:tcW w:w="1698" w:type="dxa"/>
            <w:tcMar>
              <w:top w:w="150" w:type="dxa"/>
              <w:left w:w="0" w:type="dxa"/>
              <w:bottom w:w="150" w:type="dxa"/>
              <w:right w:w="240" w:type="dxa"/>
            </w:tcMar>
            <w:vAlign w:val="center"/>
            <w:hideMark/>
          </w:tcPr>
          <w:p w14:paraId="05298FE2" w14:textId="77777777" w:rsidR="00990761" w:rsidRPr="009C2096" w:rsidRDefault="00990761" w:rsidP="009C2096">
            <w:pPr>
              <w:bidi/>
              <w:spacing w:line="375" w:lineRule="atLeast"/>
              <w:ind w:right="273"/>
              <w:jc w:val="center"/>
              <w:rPr>
                <w:rFonts w:ascii="Segoe UI" w:hAnsi="Segoe UI" w:cs="Segoe UI"/>
                <w:sz w:val="22"/>
                <w:szCs w:val="22"/>
              </w:rPr>
            </w:pPr>
            <w:r w:rsidRPr="009C2096">
              <w:rPr>
                <w:rFonts w:ascii="Segoe UI" w:hAnsi="Segoe UI"/>
                <w:sz w:val="22"/>
                <w:szCs w:val="22"/>
                <w:rtl/>
              </w:rPr>
              <w:t>إدارة الموارد البشرية</w:t>
            </w:r>
          </w:p>
        </w:tc>
        <w:tc>
          <w:tcPr>
            <w:tcW w:w="2993" w:type="dxa"/>
            <w:tcMar>
              <w:top w:w="150" w:type="dxa"/>
              <w:left w:w="240" w:type="dxa"/>
              <w:bottom w:w="150" w:type="dxa"/>
              <w:right w:w="240" w:type="dxa"/>
            </w:tcMar>
            <w:vAlign w:val="center"/>
            <w:hideMark/>
          </w:tcPr>
          <w:p w14:paraId="2681912B" w14:textId="77777777" w:rsidR="00990761" w:rsidRDefault="00990761" w:rsidP="009C2096">
            <w:pPr>
              <w:bidi/>
              <w:spacing w:line="375" w:lineRule="atLeast"/>
              <w:jc w:val="lowKashida"/>
              <w:rPr>
                <w:rFonts w:ascii="Segoe UI" w:hAnsi="Segoe UI" w:cs="Segoe UI"/>
                <w:sz w:val="23"/>
                <w:szCs w:val="23"/>
              </w:rPr>
            </w:pPr>
            <w:r>
              <w:rPr>
                <w:rFonts w:ascii="Segoe UI" w:hAnsi="Segoe UI" w:cs="Segoe UI"/>
                <w:sz w:val="23"/>
                <w:szCs w:val="23"/>
              </w:rPr>
              <w:t>"</w:t>
            </w:r>
            <w:r>
              <w:rPr>
                <w:rFonts w:ascii="Segoe UI" w:hAnsi="Segoe UI"/>
                <w:sz w:val="23"/>
                <w:szCs w:val="23"/>
                <w:rtl/>
              </w:rPr>
              <w:t>إدارة الموارد البشرية</w:t>
            </w:r>
            <w:r>
              <w:rPr>
                <w:rFonts w:ascii="Segoe UI" w:hAnsi="Segoe UI" w:cs="Segoe UI"/>
                <w:sz w:val="23"/>
                <w:szCs w:val="23"/>
              </w:rPr>
              <w:t>" OR "</w:t>
            </w:r>
            <w:r>
              <w:rPr>
                <w:rFonts w:ascii="Segoe UI" w:hAnsi="Segoe UI"/>
                <w:sz w:val="23"/>
                <w:szCs w:val="23"/>
                <w:rtl/>
              </w:rPr>
              <w:t>إدارة الأفراد</w:t>
            </w:r>
            <w:r>
              <w:rPr>
                <w:rFonts w:ascii="Segoe UI" w:hAnsi="Segoe UI" w:cs="Segoe UI"/>
                <w:sz w:val="23"/>
                <w:szCs w:val="23"/>
              </w:rPr>
              <w:t>" OR "</w:t>
            </w:r>
            <w:r>
              <w:rPr>
                <w:rFonts w:ascii="Segoe UI" w:hAnsi="Segoe UI"/>
                <w:sz w:val="23"/>
                <w:szCs w:val="23"/>
                <w:rtl/>
              </w:rPr>
              <w:t xml:space="preserve">إدارة </w:t>
            </w:r>
            <w:r>
              <w:rPr>
                <w:rFonts w:ascii="Segoe UI" w:hAnsi="Segoe UI"/>
                <w:sz w:val="23"/>
                <w:szCs w:val="23"/>
                <w:rtl/>
              </w:rPr>
              <w:lastRenderedPageBreak/>
              <w:t>الكوادر</w:t>
            </w:r>
            <w:r>
              <w:rPr>
                <w:rFonts w:ascii="Segoe UI" w:hAnsi="Segoe UI" w:cs="Segoe UI"/>
                <w:sz w:val="23"/>
                <w:szCs w:val="23"/>
              </w:rPr>
              <w:t>" OR "</w:t>
            </w:r>
            <w:r>
              <w:rPr>
                <w:rFonts w:ascii="Segoe UI" w:hAnsi="Segoe UI"/>
                <w:sz w:val="23"/>
                <w:szCs w:val="23"/>
                <w:rtl/>
              </w:rPr>
              <w:t>التوظيف</w:t>
            </w:r>
            <w:r>
              <w:rPr>
                <w:rFonts w:ascii="Segoe UI" w:hAnsi="Segoe UI" w:cs="Segoe UI"/>
                <w:sz w:val="23"/>
                <w:szCs w:val="23"/>
              </w:rPr>
              <w:t>" OR "</w:t>
            </w:r>
            <w:r>
              <w:rPr>
                <w:rFonts w:ascii="Segoe UI" w:hAnsi="Segoe UI"/>
                <w:sz w:val="23"/>
                <w:szCs w:val="23"/>
                <w:rtl/>
              </w:rPr>
              <w:t>التدريب</w:t>
            </w:r>
            <w:r>
              <w:rPr>
                <w:rFonts w:ascii="Segoe UI" w:hAnsi="Segoe UI" w:cs="Segoe UI"/>
                <w:sz w:val="23"/>
                <w:szCs w:val="23"/>
              </w:rPr>
              <w:t>" OR "</w:t>
            </w:r>
            <w:r>
              <w:rPr>
                <w:rFonts w:ascii="Segoe UI" w:hAnsi="Segoe UI"/>
                <w:sz w:val="23"/>
                <w:szCs w:val="23"/>
                <w:rtl/>
              </w:rPr>
              <w:t>تقييم الأداء</w:t>
            </w:r>
            <w:r>
              <w:rPr>
                <w:rFonts w:ascii="Segoe UI" w:hAnsi="Segoe UI" w:cs="Segoe UI"/>
                <w:sz w:val="23"/>
                <w:szCs w:val="23"/>
              </w:rPr>
              <w:t>" OR "</w:t>
            </w:r>
            <w:r>
              <w:rPr>
                <w:rFonts w:ascii="Segoe UI" w:hAnsi="Segoe UI"/>
                <w:sz w:val="23"/>
                <w:szCs w:val="23"/>
                <w:rtl/>
              </w:rPr>
              <w:t>الحوافز</w:t>
            </w:r>
            <w:r>
              <w:rPr>
                <w:rFonts w:ascii="Segoe UI" w:hAnsi="Segoe UI" w:cs="Segoe UI"/>
                <w:sz w:val="23"/>
                <w:szCs w:val="23"/>
              </w:rPr>
              <w:t>"</w:t>
            </w:r>
          </w:p>
        </w:tc>
        <w:tc>
          <w:tcPr>
            <w:tcW w:w="4662" w:type="dxa"/>
            <w:tcMar>
              <w:top w:w="150" w:type="dxa"/>
              <w:left w:w="240" w:type="dxa"/>
              <w:bottom w:w="150" w:type="dxa"/>
              <w:right w:w="0" w:type="dxa"/>
            </w:tcMar>
            <w:vAlign w:val="center"/>
            <w:hideMark/>
          </w:tcPr>
          <w:p w14:paraId="53AADDB6" w14:textId="77777777" w:rsidR="00990761" w:rsidRPr="009C2096" w:rsidRDefault="00990761" w:rsidP="009C2096">
            <w:pPr>
              <w:spacing w:line="375" w:lineRule="atLeast"/>
              <w:ind w:right="262"/>
              <w:jc w:val="lowKashida"/>
              <w:rPr>
                <w:rFonts w:ascii="Segoe UI" w:hAnsi="Segoe UI" w:cs="Segoe UI"/>
                <w:sz w:val="22"/>
                <w:szCs w:val="22"/>
              </w:rPr>
            </w:pPr>
            <w:r w:rsidRPr="009C2096">
              <w:rPr>
                <w:rFonts w:ascii="Segoe UI" w:hAnsi="Segoe UI" w:cs="Segoe UI"/>
                <w:sz w:val="22"/>
                <w:szCs w:val="22"/>
              </w:rPr>
              <w:lastRenderedPageBreak/>
              <w:t xml:space="preserve">"human resource management" OR "HRM" OR "personnel management" OR "staff </w:t>
            </w:r>
            <w:r w:rsidRPr="009C2096">
              <w:rPr>
                <w:rFonts w:ascii="Segoe UI" w:hAnsi="Segoe UI" w:cs="Segoe UI"/>
                <w:sz w:val="22"/>
                <w:szCs w:val="22"/>
              </w:rPr>
              <w:lastRenderedPageBreak/>
              <w:t>management" OR "recruitment" OR "training" OR "performance appraisal" OR "incentives" OR "compensation"</w:t>
            </w:r>
          </w:p>
        </w:tc>
      </w:tr>
      <w:tr w:rsidR="00990761" w14:paraId="40B354A6" w14:textId="77777777" w:rsidTr="009C2096">
        <w:tc>
          <w:tcPr>
            <w:tcW w:w="1698" w:type="dxa"/>
            <w:tcMar>
              <w:top w:w="150" w:type="dxa"/>
              <w:left w:w="0" w:type="dxa"/>
              <w:bottom w:w="150" w:type="dxa"/>
              <w:right w:w="240" w:type="dxa"/>
            </w:tcMar>
            <w:vAlign w:val="center"/>
            <w:hideMark/>
          </w:tcPr>
          <w:p w14:paraId="2659148F" w14:textId="77777777" w:rsidR="00990761" w:rsidRPr="009C2096" w:rsidRDefault="00990761" w:rsidP="009C2096">
            <w:pPr>
              <w:bidi/>
              <w:spacing w:line="375" w:lineRule="atLeast"/>
              <w:ind w:right="273"/>
              <w:jc w:val="center"/>
              <w:rPr>
                <w:rFonts w:ascii="Segoe UI" w:hAnsi="Segoe UI" w:cs="Segoe UI"/>
                <w:sz w:val="22"/>
                <w:szCs w:val="22"/>
              </w:rPr>
            </w:pPr>
            <w:r w:rsidRPr="009C2096">
              <w:rPr>
                <w:rFonts w:ascii="Segoe UI" w:hAnsi="Segoe UI"/>
                <w:sz w:val="22"/>
                <w:szCs w:val="22"/>
                <w:rtl/>
              </w:rPr>
              <w:lastRenderedPageBreak/>
              <w:t>الاحتفاظ</w:t>
            </w:r>
          </w:p>
        </w:tc>
        <w:tc>
          <w:tcPr>
            <w:tcW w:w="2993" w:type="dxa"/>
            <w:tcMar>
              <w:top w:w="150" w:type="dxa"/>
              <w:left w:w="240" w:type="dxa"/>
              <w:bottom w:w="150" w:type="dxa"/>
              <w:right w:w="240" w:type="dxa"/>
            </w:tcMar>
            <w:vAlign w:val="center"/>
            <w:hideMark/>
          </w:tcPr>
          <w:p w14:paraId="42766D84" w14:textId="77777777" w:rsidR="00990761" w:rsidRDefault="00990761" w:rsidP="009C2096">
            <w:pPr>
              <w:bidi/>
              <w:spacing w:line="375" w:lineRule="atLeast"/>
              <w:jc w:val="lowKashida"/>
              <w:rPr>
                <w:rFonts w:ascii="Segoe UI" w:hAnsi="Segoe UI" w:cs="Segoe UI"/>
                <w:sz w:val="23"/>
                <w:szCs w:val="23"/>
              </w:rPr>
            </w:pPr>
            <w:r>
              <w:rPr>
                <w:rFonts w:ascii="Segoe UI" w:hAnsi="Segoe UI" w:cs="Segoe UI"/>
                <w:sz w:val="23"/>
                <w:szCs w:val="23"/>
              </w:rPr>
              <w:t>"</w:t>
            </w:r>
            <w:r>
              <w:rPr>
                <w:rFonts w:ascii="Segoe UI" w:hAnsi="Segoe UI"/>
                <w:sz w:val="23"/>
                <w:szCs w:val="23"/>
                <w:rtl/>
              </w:rPr>
              <w:t>الاحتفاظ</w:t>
            </w:r>
            <w:r>
              <w:rPr>
                <w:rFonts w:ascii="Segoe UI" w:hAnsi="Segoe UI" w:cs="Segoe UI"/>
                <w:sz w:val="23"/>
                <w:szCs w:val="23"/>
              </w:rPr>
              <w:t>" OR "</w:t>
            </w:r>
            <w:r>
              <w:rPr>
                <w:rFonts w:ascii="Segoe UI" w:hAnsi="Segoe UI"/>
                <w:sz w:val="23"/>
                <w:szCs w:val="23"/>
                <w:rtl/>
              </w:rPr>
              <w:t>البقاء</w:t>
            </w:r>
            <w:r>
              <w:rPr>
                <w:rFonts w:ascii="Segoe UI" w:hAnsi="Segoe UI" w:cs="Segoe UI"/>
                <w:sz w:val="23"/>
                <w:szCs w:val="23"/>
              </w:rPr>
              <w:t>" OR "</w:t>
            </w:r>
            <w:r>
              <w:rPr>
                <w:rFonts w:ascii="Segoe UI" w:hAnsi="Segoe UI"/>
                <w:sz w:val="23"/>
                <w:szCs w:val="23"/>
                <w:rtl/>
              </w:rPr>
              <w:t>الاستقرار الوظيفي</w:t>
            </w:r>
            <w:r>
              <w:rPr>
                <w:rFonts w:ascii="Segoe UI" w:hAnsi="Segoe UI" w:cs="Segoe UI"/>
                <w:sz w:val="23"/>
                <w:szCs w:val="23"/>
              </w:rPr>
              <w:t>" OR "</w:t>
            </w:r>
            <w:r>
              <w:rPr>
                <w:rFonts w:ascii="Segoe UI" w:hAnsi="Segoe UI"/>
                <w:sz w:val="23"/>
                <w:szCs w:val="23"/>
                <w:rtl/>
              </w:rPr>
              <w:t>دوران العمل</w:t>
            </w:r>
            <w:r>
              <w:rPr>
                <w:rFonts w:ascii="Segoe UI" w:hAnsi="Segoe UI" w:cs="Segoe UI"/>
                <w:sz w:val="23"/>
                <w:szCs w:val="23"/>
              </w:rPr>
              <w:t>" OR "</w:t>
            </w:r>
            <w:r>
              <w:rPr>
                <w:rFonts w:ascii="Segoe UI" w:hAnsi="Segoe UI"/>
                <w:sz w:val="23"/>
                <w:szCs w:val="23"/>
                <w:rtl/>
              </w:rPr>
              <w:t>الرضا الوظيفي</w:t>
            </w:r>
            <w:r>
              <w:rPr>
                <w:rFonts w:ascii="Segoe UI" w:hAnsi="Segoe UI" w:cs="Segoe UI"/>
                <w:sz w:val="23"/>
                <w:szCs w:val="23"/>
              </w:rPr>
              <w:t>" OR "</w:t>
            </w:r>
            <w:r>
              <w:rPr>
                <w:rFonts w:ascii="Segoe UI" w:hAnsi="Segoe UI"/>
                <w:sz w:val="23"/>
                <w:szCs w:val="23"/>
                <w:rtl/>
              </w:rPr>
              <w:t>الولاء التنظيمي</w:t>
            </w:r>
            <w:r>
              <w:rPr>
                <w:rFonts w:ascii="Segoe UI" w:hAnsi="Segoe UI" w:cs="Segoe UI"/>
                <w:sz w:val="23"/>
                <w:szCs w:val="23"/>
              </w:rPr>
              <w:t>"</w:t>
            </w:r>
          </w:p>
        </w:tc>
        <w:tc>
          <w:tcPr>
            <w:tcW w:w="4662" w:type="dxa"/>
            <w:tcMar>
              <w:top w:w="150" w:type="dxa"/>
              <w:left w:w="240" w:type="dxa"/>
              <w:bottom w:w="150" w:type="dxa"/>
              <w:right w:w="0" w:type="dxa"/>
            </w:tcMar>
            <w:vAlign w:val="center"/>
            <w:hideMark/>
          </w:tcPr>
          <w:p w14:paraId="54544A4D" w14:textId="77777777" w:rsidR="00990761" w:rsidRPr="009C2096" w:rsidRDefault="00990761" w:rsidP="009C2096">
            <w:pPr>
              <w:spacing w:line="375" w:lineRule="atLeast"/>
              <w:ind w:right="262"/>
              <w:jc w:val="lowKashida"/>
              <w:rPr>
                <w:rFonts w:ascii="Segoe UI" w:hAnsi="Segoe UI" w:cs="Segoe UI"/>
                <w:sz w:val="22"/>
                <w:szCs w:val="22"/>
              </w:rPr>
            </w:pPr>
            <w:r w:rsidRPr="009C2096">
              <w:rPr>
                <w:rFonts w:ascii="Segoe UI" w:hAnsi="Segoe UI" w:cs="Segoe UI"/>
                <w:sz w:val="22"/>
                <w:szCs w:val="22"/>
              </w:rPr>
              <w:t>"retention" OR "turnover" OR "intention to leave" OR "job satisfaction" OR "organizational commitment" OR "stay" OR "stay intention"</w:t>
            </w:r>
          </w:p>
        </w:tc>
      </w:tr>
      <w:tr w:rsidR="00990761" w14:paraId="562D90B8" w14:textId="77777777" w:rsidTr="009C2096">
        <w:tc>
          <w:tcPr>
            <w:tcW w:w="1698" w:type="dxa"/>
            <w:tcMar>
              <w:top w:w="150" w:type="dxa"/>
              <w:left w:w="0" w:type="dxa"/>
              <w:bottom w:w="150" w:type="dxa"/>
              <w:right w:w="240" w:type="dxa"/>
            </w:tcMar>
            <w:vAlign w:val="center"/>
            <w:hideMark/>
          </w:tcPr>
          <w:p w14:paraId="3AC334A1" w14:textId="77777777" w:rsidR="00990761" w:rsidRPr="009C2096" w:rsidRDefault="00990761" w:rsidP="009C2096">
            <w:pPr>
              <w:bidi/>
              <w:spacing w:line="375" w:lineRule="atLeast"/>
              <w:ind w:right="273"/>
              <w:jc w:val="center"/>
              <w:rPr>
                <w:rFonts w:ascii="Segoe UI" w:hAnsi="Segoe UI" w:cs="Segoe UI"/>
                <w:sz w:val="22"/>
                <w:szCs w:val="22"/>
              </w:rPr>
            </w:pPr>
            <w:r w:rsidRPr="009C2096">
              <w:rPr>
                <w:rFonts w:ascii="Segoe UI" w:hAnsi="Segoe UI"/>
                <w:sz w:val="22"/>
                <w:szCs w:val="22"/>
                <w:rtl/>
              </w:rPr>
              <w:t>الكادر الطبي</w:t>
            </w:r>
          </w:p>
        </w:tc>
        <w:tc>
          <w:tcPr>
            <w:tcW w:w="2993" w:type="dxa"/>
            <w:tcMar>
              <w:top w:w="150" w:type="dxa"/>
              <w:left w:w="240" w:type="dxa"/>
              <w:bottom w:w="150" w:type="dxa"/>
              <w:right w:w="240" w:type="dxa"/>
            </w:tcMar>
            <w:vAlign w:val="center"/>
            <w:hideMark/>
          </w:tcPr>
          <w:p w14:paraId="6DC6D389" w14:textId="77777777" w:rsidR="00990761" w:rsidRDefault="00990761" w:rsidP="009C2096">
            <w:pPr>
              <w:bidi/>
              <w:spacing w:line="375" w:lineRule="atLeast"/>
              <w:jc w:val="lowKashida"/>
              <w:rPr>
                <w:rFonts w:ascii="Segoe UI" w:hAnsi="Segoe UI" w:cs="Segoe UI"/>
                <w:sz w:val="23"/>
                <w:szCs w:val="23"/>
              </w:rPr>
            </w:pPr>
            <w:r>
              <w:rPr>
                <w:rFonts w:ascii="Segoe UI" w:hAnsi="Segoe UI" w:cs="Segoe UI"/>
                <w:sz w:val="23"/>
                <w:szCs w:val="23"/>
              </w:rPr>
              <w:t>"</w:t>
            </w:r>
            <w:r>
              <w:rPr>
                <w:rFonts w:ascii="Segoe UI" w:hAnsi="Segoe UI"/>
                <w:sz w:val="23"/>
                <w:szCs w:val="23"/>
                <w:rtl/>
              </w:rPr>
              <w:t>الكادر الطبي</w:t>
            </w:r>
            <w:r>
              <w:rPr>
                <w:rFonts w:ascii="Segoe UI" w:hAnsi="Segoe UI" w:cs="Segoe UI"/>
                <w:sz w:val="23"/>
                <w:szCs w:val="23"/>
              </w:rPr>
              <w:t>" OR "</w:t>
            </w:r>
            <w:r>
              <w:rPr>
                <w:rFonts w:ascii="Segoe UI" w:hAnsi="Segoe UI"/>
                <w:sz w:val="23"/>
                <w:szCs w:val="23"/>
                <w:rtl/>
              </w:rPr>
              <w:t>الأطباء</w:t>
            </w:r>
            <w:r>
              <w:rPr>
                <w:rFonts w:ascii="Segoe UI" w:hAnsi="Segoe UI" w:cs="Segoe UI"/>
                <w:sz w:val="23"/>
                <w:szCs w:val="23"/>
              </w:rPr>
              <w:t>" OR "</w:t>
            </w:r>
            <w:r>
              <w:rPr>
                <w:rFonts w:ascii="Segoe UI" w:hAnsi="Segoe UI"/>
                <w:sz w:val="23"/>
                <w:szCs w:val="23"/>
                <w:rtl/>
              </w:rPr>
              <w:t>التمريض</w:t>
            </w:r>
            <w:r>
              <w:rPr>
                <w:rFonts w:ascii="Segoe UI" w:hAnsi="Segoe UI" w:cs="Segoe UI"/>
                <w:sz w:val="23"/>
                <w:szCs w:val="23"/>
              </w:rPr>
              <w:t>" OR "</w:t>
            </w:r>
            <w:r>
              <w:rPr>
                <w:rFonts w:ascii="Segoe UI" w:hAnsi="Segoe UI"/>
                <w:sz w:val="23"/>
                <w:szCs w:val="23"/>
                <w:rtl/>
              </w:rPr>
              <w:t>الممرضين</w:t>
            </w:r>
            <w:r>
              <w:rPr>
                <w:rFonts w:ascii="Segoe UI" w:hAnsi="Segoe UI" w:cs="Segoe UI"/>
                <w:sz w:val="23"/>
                <w:szCs w:val="23"/>
              </w:rPr>
              <w:t>" OR "</w:t>
            </w:r>
            <w:r>
              <w:rPr>
                <w:rFonts w:ascii="Segoe UI" w:hAnsi="Segoe UI"/>
                <w:sz w:val="23"/>
                <w:szCs w:val="23"/>
                <w:rtl/>
              </w:rPr>
              <w:t>الصيادلة</w:t>
            </w:r>
            <w:r>
              <w:rPr>
                <w:rFonts w:ascii="Segoe UI" w:hAnsi="Segoe UI" w:cs="Segoe UI"/>
                <w:sz w:val="23"/>
                <w:szCs w:val="23"/>
              </w:rPr>
              <w:t>" OR "</w:t>
            </w:r>
            <w:r>
              <w:rPr>
                <w:rFonts w:ascii="Segoe UI" w:hAnsi="Segoe UI"/>
                <w:sz w:val="23"/>
                <w:szCs w:val="23"/>
                <w:rtl/>
              </w:rPr>
              <w:t>الفنيين</w:t>
            </w:r>
            <w:r>
              <w:rPr>
                <w:rFonts w:ascii="Segoe UI" w:hAnsi="Segoe UI" w:cs="Segoe UI"/>
                <w:sz w:val="23"/>
                <w:szCs w:val="23"/>
              </w:rPr>
              <w:t>" OR "</w:t>
            </w:r>
            <w:r>
              <w:rPr>
                <w:rFonts w:ascii="Segoe UI" w:hAnsi="Segoe UI"/>
                <w:sz w:val="23"/>
                <w:szCs w:val="23"/>
                <w:rtl/>
              </w:rPr>
              <w:t>العاملين الصحيين</w:t>
            </w:r>
            <w:r>
              <w:rPr>
                <w:rFonts w:ascii="Segoe UI" w:hAnsi="Segoe UI" w:cs="Segoe UI"/>
                <w:sz w:val="23"/>
                <w:szCs w:val="23"/>
              </w:rPr>
              <w:t>"</w:t>
            </w:r>
          </w:p>
        </w:tc>
        <w:tc>
          <w:tcPr>
            <w:tcW w:w="4662" w:type="dxa"/>
            <w:tcMar>
              <w:top w:w="150" w:type="dxa"/>
              <w:left w:w="240" w:type="dxa"/>
              <w:bottom w:w="150" w:type="dxa"/>
              <w:right w:w="0" w:type="dxa"/>
            </w:tcMar>
            <w:vAlign w:val="center"/>
            <w:hideMark/>
          </w:tcPr>
          <w:p w14:paraId="7FAE20CF" w14:textId="77777777" w:rsidR="00990761" w:rsidRPr="009C2096" w:rsidRDefault="00990761" w:rsidP="009C2096">
            <w:pPr>
              <w:spacing w:line="375" w:lineRule="atLeast"/>
              <w:ind w:right="262"/>
              <w:jc w:val="lowKashida"/>
              <w:rPr>
                <w:rFonts w:ascii="Segoe UI" w:hAnsi="Segoe UI" w:cs="Segoe UI"/>
                <w:sz w:val="22"/>
                <w:szCs w:val="22"/>
              </w:rPr>
            </w:pPr>
            <w:r w:rsidRPr="009C2096">
              <w:rPr>
                <w:rFonts w:ascii="Segoe UI" w:hAnsi="Segoe UI" w:cs="Segoe UI"/>
                <w:sz w:val="22"/>
                <w:szCs w:val="22"/>
              </w:rPr>
              <w:t>"medical staff" OR "physicians" OR "doctors" OR "nurses" OR "pharmacists" OR "healthcare workers" OR "health personnel"</w:t>
            </w:r>
          </w:p>
        </w:tc>
      </w:tr>
      <w:tr w:rsidR="00990761" w14:paraId="3F68E726" w14:textId="77777777" w:rsidTr="009C2096">
        <w:tc>
          <w:tcPr>
            <w:tcW w:w="1698" w:type="dxa"/>
            <w:tcMar>
              <w:top w:w="150" w:type="dxa"/>
              <w:left w:w="0" w:type="dxa"/>
              <w:bottom w:w="150" w:type="dxa"/>
              <w:right w:w="240" w:type="dxa"/>
            </w:tcMar>
            <w:vAlign w:val="center"/>
            <w:hideMark/>
          </w:tcPr>
          <w:p w14:paraId="2D15D5DC" w14:textId="77777777" w:rsidR="00990761" w:rsidRPr="009C2096" w:rsidRDefault="00990761" w:rsidP="009C2096">
            <w:pPr>
              <w:bidi/>
              <w:spacing w:line="375" w:lineRule="atLeast"/>
              <w:ind w:right="273"/>
              <w:jc w:val="center"/>
              <w:rPr>
                <w:rFonts w:ascii="Segoe UI" w:hAnsi="Segoe UI" w:cs="Segoe UI"/>
                <w:sz w:val="22"/>
                <w:szCs w:val="22"/>
              </w:rPr>
            </w:pPr>
            <w:r w:rsidRPr="009C2096">
              <w:rPr>
                <w:rFonts w:ascii="Segoe UI" w:hAnsi="Segoe UI"/>
                <w:sz w:val="22"/>
                <w:szCs w:val="22"/>
                <w:rtl/>
              </w:rPr>
              <w:t>المستشفيات</w:t>
            </w:r>
          </w:p>
        </w:tc>
        <w:tc>
          <w:tcPr>
            <w:tcW w:w="2993" w:type="dxa"/>
            <w:tcMar>
              <w:top w:w="150" w:type="dxa"/>
              <w:left w:w="240" w:type="dxa"/>
              <w:bottom w:w="150" w:type="dxa"/>
              <w:right w:w="240" w:type="dxa"/>
            </w:tcMar>
            <w:vAlign w:val="center"/>
            <w:hideMark/>
          </w:tcPr>
          <w:p w14:paraId="39BA2BCB" w14:textId="77777777" w:rsidR="00990761" w:rsidRDefault="00990761" w:rsidP="009C2096">
            <w:pPr>
              <w:bidi/>
              <w:spacing w:line="375" w:lineRule="atLeast"/>
              <w:jc w:val="lowKashida"/>
              <w:rPr>
                <w:rFonts w:ascii="Segoe UI" w:hAnsi="Segoe UI" w:cs="Segoe UI"/>
                <w:sz w:val="23"/>
                <w:szCs w:val="23"/>
              </w:rPr>
            </w:pPr>
            <w:r>
              <w:rPr>
                <w:rFonts w:ascii="Segoe UI" w:hAnsi="Segoe UI" w:cs="Segoe UI"/>
                <w:sz w:val="23"/>
                <w:szCs w:val="23"/>
              </w:rPr>
              <w:t>"</w:t>
            </w:r>
            <w:r>
              <w:rPr>
                <w:rFonts w:ascii="Segoe UI" w:hAnsi="Segoe UI"/>
                <w:sz w:val="23"/>
                <w:szCs w:val="23"/>
                <w:rtl/>
              </w:rPr>
              <w:t>المستشفيات</w:t>
            </w:r>
            <w:r>
              <w:rPr>
                <w:rFonts w:ascii="Segoe UI" w:hAnsi="Segoe UI" w:cs="Segoe UI"/>
                <w:sz w:val="23"/>
                <w:szCs w:val="23"/>
              </w:rPr>
              <w:t>" OR "</w:t>
            </w:r>
            <w:r>
              <w:rPr>
                <w:rFonts w:ascii="Segoe UI" w:hAnsi="Segoe UI"/>
                <w:sz w:val="23"/>
                <w:szCs w:val="23"/>
                <w:rtl/>
              </w:rPr>
              <w:t>القطاع الصحي</w:t>
            </w:r>
            <w:r>
              <w:rPr>
                <w:rFonts w:ascii="Segoe UI" w:hAnsi="Segoe UI" w:cs="Segoe UI"/>
                <w:sz w:val="23"/>
                <w:szCs w:val="23"/>
              </w:rPr>
              <w:t>"</w:t>
            </w:r>
          </w:p>
        </w:tc>
        <w:tc>
          <w:tcPr>
            <w:tcW w:w="4662" w:type="dxa"/>
            <w:tcMar>
              <w:top w:w="150" w:type="dxa"/>
              <w:left w:w="240" w:type="dxa"/>
              <w:bottom w:w="150" w:type="dxa"/>
              <w:right w:w="0" w:type="dxa"/>
            </w:tcMar>
            <w:vAlign w:val="center"/>
            <w:hideMark/>
          </w:tcPr>
          <w:p w14:paraId="362EE08A" w14:textId="77777777" w:rsidR="00990761" w:rsidRPr="009C2096" w:rsidRDefault="00990761" w:rsidP="009C2096">
            <w:pPr>
              <w:spacing w:line="375" w:lineRule="atLeast"/>
              <w:ind w:right="262"/>
              <w:jc w:val="lowKashida"/>
              <w:rPr>
                <w:rFonts w:ascii="Segoe UI" w:hAnsi="Segoe UI" w:cs="Segoe UI"/>
                <w:sz w:val="22"/>
                <w:szCs w:val="22"/>
              </w:rPr>
            </w:pPr>
            <w:r w:rsidRPr="009C2096">
              <w:rPr>
                <w:rFonts w:ascii="Segoe UI" w:hAnsi="Segoe UI" w:cs="Segoe UI"/>
                <w:sz w:val="22"/>
                <w:szCs w:val="22"/>
              </w:rPr>
              <w:t>"hospitals" OR "healthcare settings"</w:t>
            </w:r>
          </w:p>
        </w:tc>
      </w:tr>
      <w:tr w:rsidR="00990761" w14:paraId="25059EED" w14:textId="77777777" w:rsidTr="009C2096">
        <w:tc>
          <w:tcPr>
            <w:tcW w:w="1698" w:type="dxa"/>
            <w:tcMar>
              <w:top w:w="150" w:type="dxa"/>
              <w:left w:w="0" w:type="dxa"/>
              <w:bottom w:w="150" w:type="dxa"/>
              <w:right w:w="240" w:type="dxa"/>
            </w:tcMar>
            <w:vAlign w:val="center"/>
            <w:hideMark/>
          </w:tcPr>
          <w:p w14:paraId="36786E8D" w14:textId="77777777" w:rsidR="00990761" w:rsidRPr="009C2096" w:rsidRDefault="00990761" w:rsidP="009C2096">
            <w:pPr>
              <w:bidi/>
              <w:spacing w:line="375" w:lineRule="atLeast"/>
              <w:ind w:right="273"/>
              <w:jc w:val="center"/>
              <w:rPr>
                <w:rFonts w:ascii="Segoe UI" w:hAnsi="Segoe UI" w:cs="Segoe UI"/>
                <w:sz w:val="22"/>
                <w:szCs w:val="22"/>
              </w:rPr>
            </w:pPr>
            <w:r w:rsidRPr="009C2096">
              <w:rPr>
                <w:rFonts w:ascii="Segoe UI" w:hAnsi="Segoe UI"/>
                <w:sz w:val="22"/>
                <w:szCs w:val="22"/>
                <w:rtl/>
              </w:rPr>
              <w:t>جودة الرعاية</w:t>
            </w:r>
          </w:p>
        </w:tc>
        <w:tc>
          <w:tcPr>
            <w:tcW w:w="2993" w:type="dxa"/>
            <w:tcMar>
              <w:top w:w="150" w:type="dxa"/>
              <w:left w:w="240" w:type="dxa"/>
              <w:bottom w:w="150" w:type="dxa"/>
              <w:right w:w="240" w:type="dxa"/>
            </w:tcMar>
            <w:vAlign w:val="center"/>
            <w:hideMark/>
          </w:tcPr>
          <w:p w14:paraId="4535F795" w14:textId="77777777" w:rsidR="00990761" w:rsidRDefault="00990761" w:rsidP="009C2096">
            <w:pPr>
              <w:bidi/>
              <w:spacing w:line="375" w:lineRule="atLeast"/>
              <w:jc w:val="lowKashida"/>
              <w:rPr>
                <w:rFonts w:ascii="Segoe UI" w:hAnsi="Segoe UI" w:cs="Segoe UI"/>
                <w:sz w:val="23"/>
                <w:szCs w:val="23"/>
              </w:rPr>
            </w:pPr>
            <w:r>
              <w:rPr>
                <w:rFonts w:ascii="Segoe UI" w:hAnsi="Segoe UI" w:cs="Segoe UI"/>
                <w:sz w:val="23"/>
                <w:szCs w:val="23"/>
              </w:rPr>
              <w:t>"</w:t>
            </w:r>
            <w:r>
              <w:rPr>
                <w:rFonts w:ascii="Segoe UI" w:hAnsi="Segoe UI"/>
                <w:sz w:val="23"/>
                <w:szCs w:val="23"/>
                <w:rtl/>
              </w:rPr>
              <w:t>جودة الرعاية</w:t>
            </w:r>
            <w:r>
              <w:rPr>
                <w:rFonts w:ascii="Segoe UI" w:hAnsi="Segoe UI" w:cs="Segoe UI"/>
                <w:sz w:val="23"/>
                <w:szCs w:val="23"/>
              </w:rPr>
              <w:t>" OR "</w:t>
            </w:r>
            <w:r>
              <w:rPr>
                <w:rFonts w:ascii="Segoe UI" w:hAnsi="Segoe UI"/>
                <w:sz w:val="23"/>
                <w:szCs w:val="23"/>
                <w:rtl/>
              </w:rPr>
              <w:t>جودة الخدمات الصحية</w:t>
            </w:r>
            <w:r>
              <w:rPr>
                <w:rFonts w:ascii="Segoe UI" w:hAnsi="Segoe UI" w:cs="Segoe UI"/>
                <w:sz w:val="23"/>
                <w:szCs w:val="23"/>
              </w:rPr>
              <w:t>" OR "</w:t>
            </w:r>
            <w:r>
              <w:rPr>
                <w:rFonts w:ascii="Segoe UI" w:hAnsi="Segoe UI"/>
                <w:sz w:val="23"/>
                <w:szCs w:val="23"/>
                <w:rtl/>
              </w:rPr>
              <w:t>سلامة المرضى</w:t>
            </w:r>
            <w:r>
              <w:rPr>
                <w:rFonts w:ascii="Segoe UI" w:hAnsi="Segoe UI" w:cs="Segoe UI"/>
                <w:sz w:val="23"/>
                <w:szCs w:val="23"/>
              </w:rPr>
              <w:t>"</w:t>
            </w:r>
          </w:p>
        </w:tc>
        <w:tc>
          <w:tcPr>
            <w:tcW w:w="4662" w:type="dxa"/>
            <w:tcMar>
              <w:top w:w="150" w:type="dxa"/>
              <w:left w:w="240" w:type="dxa"/>
              <w:bottom w:w="150" w:type="dxa"/>
              <w:right w:w="0" w:type="dxa"/>
            </w:tcMar>
            <w:vAlign w:val="center"/>
            <w:hideMark/>
          </w:tcPr>
          <w:p w14:paraId="4267D93C" w14:textId="77777777" w:rsidR="00990761" w:rsidRPr="009C2096" w:rsidRDefault="00990761" w:rsidP="009C2096">
            <w:pPr>
              <w:spacing w:line="375" w:lineRule="atLeast"/>
              <w:ind w:right="262"/>
              <w:jc w:val="lowKashida"/>
              <w:rPr>
                <w:rFonts w:ascii="Segoe UI" w:hAnsi="Segoe UI" w:cs="Segoe UI"/>
                <w:sz w:val="22"/>
                <w:szCs w:val="22"/>
              </w:rPr>
            </w:pPr>
            <w:r w:rsidRPr="009C2096">
              <w:rPr>
                <w:rFonts w:ascii="Segoe UI" w:hAnsi="Segoe UI" w:cs="Segoe UI"/>
                <w:sz w:val="22"/>
                <w:szCs w:val="22"/>
              </w:rPr>
              <w:t>"quality of care" OR "healthcare quality" OR "patient safety" OR "quality indicators"</w:t>
            </w:r>
          </w:p>
        </w:tc>
      </w:tr>
    </w:tbl>
    <w:p w14:paraId="63AEB28D" w14:textId="77777777" w:rsidR="00990761" w:rsidRPr="009C2096" w:rsidRDefault="00990761" w:rsidP="009C2096">
      <w:pPr>
        <w:pStyle w:val="ds-markdown-paragraph"/>
        <w:shd w:val="clear" w:color="auto" w:fill="FFFFFF"/>
        <w:bidi/>
        <w:spacing w:before="240" w:beforeAutospacing="0" w:after="240" w:afterAutospacing="0"/>
        <w:rPr>
          <w:rFonts w:asciiTheme="majorBidi" w:hAnsiTheme="majorBidi" w:cstheme="majorBidi"/>
          <w:color w:val="0F1115"/>
          <w:sz w:val="28"/>
          <w:szCs w:val="28"/>
        </w:rPr>
      </w:pPr>
      <w:r w:rsidRPr="009C2096">
        <w:rPr>
          <w:rFonts w:asciiTheme="majorBidi" w:hAnsiTheme="majorBidi" w:cstheme="majorBidi"/>
          <w:color w:val="0F1115"/>
          <w:sz w:val="28"/>
          <w:szCs w:val="28"/>
          <w:rtl/>
        </w:rPr>
        <w:t>تم تطبيق استراتيجية بحث نموذجية على قاعدة</w:t>
      </w:r>
      <w:r w:rsidRPr="009C2096">
        <w:rPr>
          <w:rFonts w:asciiTheme="majorBidi" w:hAnsiTheme="majorBidi" w:cstheme="majorBidi"/>
          <w:color w:val="0F1115"/>
          <w:sz w:val="28"/>
          <w:szCs w:val="28"/>
        </w:rPr>
        <w:t xml:space="preserve"> PubMed </w:t>
      </w:r>
      <w:r w:rsidRPr="009C2096">
        <w:rPr>
          <w:rFonts w:asciiTheme="majorBidi" w:hAnsiTheme="majorBidi" w:cstheme="majorBidi"/>
          <w:color w:val="0F1115"/>
          <w:sz w:val="28"/>
          <w:szCs w:val="28"/>
          <w:rtl/>
        </w:rPr>
        <w:t>كما يلي</w:t>
      </w:r>
      <w:r w:rsidRPr="009C2096">
        <w:rPr>
          <w:rFonts w:asciiTheme="majorBidi" w:hAnsiTheme="majorBidi" w:cstheme="majorBidi"/>
          <w:color w:val="0F1115"/>
          <w:sz w:val="28"/>
          <w:szCs w:val="28"/>
        </w:rPr>
        <w:t>:</w:t>
      </w:r>
    </w:p>
    <w:p w14:paraId="287C3718" w14:textId="38C3DE98" w:rsidR="00BC094B" w:rsidRPr="009C2096" w:rsidRDefault="008850D4" w:rsidP="009C2096">
      <w:pPr>
        <w:jc w:val="lowKashida"/>
        <w:rPr>
          <w:rFonts w:asciiTheme="majorBidi" w:hAnsiTheme="majorBidi" w:cstheme="majorBidi"/>
          <w:sz w:val="28"/>
          <w:szCs w:val="28"/>
          <w:u w:val="single"/>
          <w:rtl/>
        </w:rPr>
      </w:pPr>
      <w:r w:rsidRPr="009C2096">
        <w:rPr>
          <w:rFonts w:asciiTheme="majorBidi" w:hAnsiTheme="majorBidi" w:cstheme="majorBidi"/>
          <w:sz w:val="28"/>
          <w:szCs w:val="28"/>
          <w:u w:val="single"/>
          <w:rtl/>
        </w:rPr>
        <w:t>(("</w:t>
      </w:r>
      <w:r w:rsidRPr="009C2096">
        <w:rPr>
          <w:rFonts w:asciiTheme="majorBidi" w:hAnsiTheme="majorBidi" w:cstheme="majorBidi"/>
          <w:sz w:val="28"/>
          <w:szCs w:val="28"/>
          <w:u w:val="single"/>
        </w:rPr>
        <w:t>human resource management"[Title/Abstract] OR "HRM"[Title/Abstract] OR "recruitment"[Title/Abstract] OR "training"[Title/Abstract] OR "performance appraisal"[Title/Abstract] OR "incentives"[Title/Abstract]) AND ("retention"[Title/Abstract] OR "turnover"[Title/Abstract] OR "job satisfaction"[Title/Abstract] OR "organizational commitment"[Title/Abstract]) AND ("medical staff"[Title/Abstract] OR "physicians"[Title/Abstract] OR "nurses"[Title/Abstract] OR "healthcare workers"[Title/Abstract]) AND ("hospitals"[MeSH Terms] OR "hospitals"[Title/Abstract</w:t>
      </w:r>
      <w:r w:rsidRPr="009C2096">
        <w:rPr>
          <w:rFonts w:asciiTheme="majorBidi" w:hAnsiTheme="majorBidi" w:cstheme="majorBidi"/>
          <w:sz w:val="28"/>
          <w:szCs w:val="28"/>
          <w:u w:val="single"/>
          <w:rtl/>
        </w:rPr>
        <w:t>]))</w:t>
      </w:r>
    </w:p>
    <w:p w14:paraId="35B6DBDB" w14:textId="31F88927" w:rsidR="008850D4" w:rsidRPr="009C2096" w:rsidRDefault="009C2096" w:rsidP="008850D4">
      <w:pPr>
        <w:pStyle w:val="Heading3"/>
        <w:shd w:val="clear" w:color="auto" w:fill="FFFFFF"/>
        <w:bidi/>
        <w:spacing w:before="480" w:after="240" w:line="450" w:lineRule="atLeast"/>
        <w:rPr>
          <w:rFonts w:asciiTheme="majorBidi" w:hAnsiTheme="majorBidi"/>
          <w:color w:val="000000" w:themeColor="text1"/>
          <w:sz w:val="28"/>
          <w:szCs w:val="28"/>
        </w:rPr>
      </w:pPr>
      <w:r w:rsidRPr="009C2096">
        <w:rPr>
          <w:rFonts w:asciiTheme="majorBidi" w:hAnsiTheme="majorBidi"/>
          <w:color w:val="0F1115"/>
          <w:sz w:val="28"/>
          <w:szCs w:val="28"/>
          <w:rtl/>
        </w:rPr>
        <w:lastRenderedPageBreak/>
        <w:t>٣.٤</w:t>
      </w:r>
      <w:r w:rsidRPr="009C2096">
        <w:rPr>
          <w:rFonts w:asciiTheme="majorBidi" w:hAnsiTheme="majorBidi"/>
          <w:color w:val="000000" w:themeColor="text1"/>
          <w:sz w:val="28"/>
          <w:szCs w:val="28"/>
          <w:rtl/>
        </w:rPr>
        <w:t xml:space="preserve">. </w:t>
      </w:r>
      <w:r w:rsidR="008850D4" w:rsidRPr="009C2096">
        <w:rPr>
          <w:rFonts w:asciiTheme="majorBidi" w:hAnsiTheme="majorBidi"/>
          <w:color w:val="000000" w:themeColor="text1"/>
          <w:sz w:val="28"/>
          <w:szCs w:val="28"/>
          <w:rtl/>
        </w:rPr>
        <w:t>عملية اختيار الدراسات</w:t>
      </w:r>
    </w:p>
    <w:p w14:paraId="431D2006" w14:textId="634C8D02"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 xml:space="preserve">تمت عملية اختيار الدراسات على مرحلتين وفقاً للإجراءات الموصى بها في المراجعات </w:t>
      </w:r>
      <w:r w:rsidR="009C2096" w:rsidRPr="009C2096">
        <w:rPr>
          <w:rFonts w:asciiTheme="majorBidi" w:hAnsiTheme="majorBidi" w:hint="cs"/>
          <w:color w:val="000000" w:themeColor="text1"/>
          <w:sz w:val="28"/>
          <w:szCs w:val="28"/>
          <w:rtl/>
        </w:rPr>
        <w:t>المنهجية:</w:t>
      </w:r>
    </w:p>
    <w:p w14:paraId="4F625A40"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المرحلة الأولى: فحص العناوين والملخصات</w:t>
      </w:r>
    </w:p>
    <w:p w14:paraId="0B2D1B73"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استيراد جميع نتائج البحث إلى برنامج إدارة المراجع</w:t>
      </w:r>
      <w:r w:rsidRPr="009C2096">
        <w:rPr>
          <w:rFonts w:asciiTheme="majorBidi" w:hAnsiTheme="majorBidi"/>
          <w:color w:val="000000" w:themeColor="text1"/>
          <w:sz w:val="28"/>
          <w:szCs w:val="28"/>
        </w:rPr>
        <w:t xml:space="preserve"> (EndNote) </w:t>
      </w:r>
      <w:r w:rsidRPr="009C2096">
        <w:rPr>
          <w:rFonts w:asciiTheme="majorBidi" w:hAnsiTheme="majorBidi"/>
          <w:color w:val="000000" w:themeColor="text1"/>
          <w:sz w:val="28"/>
          <w:szCs w:val="28"/>
          <w:rtl/>
        </w:rPr>
        <w:t>لإزالة التكرارات</w:t>
      </w:r>
      <w:r w:rsidRPr="009C2096">
        <w:rPr>
          <w:rFonts w:asciiTheme="majorBidi" w:hAnsiTheme="majorBidi"/>
          <w:color w:val="000000" w:themeColor="text1"/>
          <w:sz w:val="28"/>
          <w:szCs w:val="28"/>
        </w:rPr>
        <w:t>.</w:t>
      </w:r>
    </w:p>
    <w:p w14:paraId="5C82C838"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قام باحثان بشكل مستقل بفحص عناوين وملخصات جميع الدراسات لتحديد مدى مطابقتها لمعايير الاشتمال</w:t>
      </w:r>
      <w:r w:rsidRPr="009C2096">
        <w:rPr>
          <w:rFonts w:asciiTheme="majorBidi" w:hAnsiTheme="majorBidi"/>
          <w:color w:val="000000" w:themeColor="text1"/>
          <w:sz w:val="28"/>
          <w:szCs w:val="28"/>
        </w:rPr>
        <w:t>.</w:t>
      </w:r>
    </w:p>
    <w:p w14:paraId="2047E416" w14:textId="114684B8"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حساب معامل كابا</w:t>
      </w:r>
      <w:r w:rsidRPr="009C2096">
        <w:rPr>
          <w:rFonts w:asciiTheme="majorBidi" w:hAnsiTheme="majorBidi"/>
          <w:color w:val="000000" w:themeColor="text1"/>
          <w:sz w:val="28"/>
          <w:szCs w:val="28"/>
        </w:rPr>
        <w:t xml:space="preserve"> (Cohen's kappa) </w:t>
      </w:r>
      <w:r w:rsidRPr="009C2096">
        <w:rPr>
          <w:rFonts w:asciiTheme="majorBidi" w:hAnsiTheme="majorBidi"/>
          <w:color w:val="000000" w:themeColor="text1"/>
          <w:sz w:val="28"/>
          <w:szCs w:val="28"/>
          <w:rtl/>
        </w:rPr>
        <w:t>لقياس درجة الاتفاق بين الباحثين (بلغ 0.85، وهو مستوى اتفاق ممتاز</w:t>
      </w:r>
      <w:r w:rsidR="009C2096">
        <w:rPr>
          <w:rFonts w:asciiTheme="majorBidi" w:hAnsiTheme="majorBidi" w:hint="cs"/>
          <w:color w:val="000000" w:themeColor="text1"/>
          <w:sz w:val="28"/>
          <w:szCs w:val="28"/>
          <w:rtl/>
        </w:rPr>
        <w:t>).</w:t>
      </w:r>
    </w:p>
    <w:p w14:paraId="0105EE5F"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تضمين أي دراسة يشك في ملاءمتها للمرحلة التالية (فحص النص الكامل) لتجنب الاستبعاد المبكر</w:t>
      </w:r>
      <w:r w:rsidRPr="009C2096">
        <w:rPr>
          <w:rFonts w:asciiTheme="majorBidi" w:hAnsiTheme="majorBidi"/>
          <w:color w:val="000000" w:themeColor="text1"/>
          <w:sz w:val="28"/>
          <w:szCs w:val="28"/>
        </w:rPr>
        <w:t>.</w:t>
      </w:r>
    </w:p>
    <w:p w14:paraId="5B9665D6"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المرحلة الثانية: فحص النصوص الكاملة</w:t>
      </w:r>
    </w:p>
    <w:p w14:paraId="33CDACD8"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حصل الباحثان على النصوص الكاملة للدراسات التي اجتازت المرحلة الأولى</w:t>
      </w:r>
      <w:r w:rsidRPr="009C2096">
        <w:rPr>
          <w:rFonts w:asciiTheme="majorBidi" w:hAnsiTheme="majorBidi"/>
          <w:color w:val="000000" w:themeColor="text1"/>
          <w:sz w:val="28"/>
          <w:szCs w:val="28"/>
        </w:rPr>
        <w:t>.</w:t>
      </w:r>
    </w:p>
    <w:p w14:paraId="746CA133"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قام كل باحث بفحص النص الكامل بشكل مستقل وتحديد أسباب الاستبعاد</w:t>
      </w:r>
      <w:r w:rsidRPr="009C2096">
        <w:rPr>
          <w:rFonts w:asciiTheme="majorBidi" w:hAnsiTheme="majorBidi"/>
          <w:color w:val="000000" w:themeColor="text1"/>
          <w:sz w:val="28"/>
          <w:szCs w:val="28"/>
        </w:rPr>
        <w:t>.</w:t>
      </w:r>
    </w:p>
    <w:p w14:paraId="06710D5A"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تمت مناقشة حالات الخلاف بين الباحثين للوصول إلى توافق، مع الاستعانة بباحث ثالث عند الضرورة</w:t>
      </w:r>
      <w:r w:rsidRPr="009C2096">
        <w:rPr>
          <w:rFonts w:asciiTheme="majorBidi" w:hAnsiTheme="majorBidi"/>
          <w:color w:val="000000" w:themeColor="text1"/>
          <w:sz w:val="28"/>
          <w:szCs w:val="28"/>
        </w:rPr>
        <w:t>.</w:t>
      </w:r>
    </w:p>
    <w:p w14:paraId="3A19F7DC"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توثيق أسباب استبعاد الدراسات في تقرير المراجعة</w:t>
      </w:r>
      <w:r w:rsidRPr="009C2096">
        <w:rPr>
          <w:rFonts w:asciiTheme="majorBidi" w:hAnsiTheme="majorBidi"/>
          <w:color w:val="000000" w:themeColor="text1"/>
          <w:sz w:val="28"/>
          <w:szCs w:val="28"/>
        </w:rPr>
        <w:t>.</w:t>
      </w:r>
    </w:p>
    <w:p w14:paraId="11467550" w14:textId="35214859" w:rsidR="008850D4" w:rsidRPr="009C2096" w:rsidRDefault="008850D4" w:rsidP="009C2096">
      <w:pPr>
        <w:pStyle w:val="Heading3"/>
        <w:shd w:val="clear" w:color="auto" w:fill="FFFFFF"/>
        <w:bidi/>
        <w:spacing w:before="0" w:after="24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توثيق عملية الاختيار باستخدام مخطط تدفق</w:t>
      </w:r>
      <w:r w:rsidRPr="009C2096">
        <w:rPr>
          <w:rFonts w:asciiTheme="majorBidi" w:hAnsiTheme="majorBidi"/>
          <w:color w:val="000000" w:themeColor="text1"/>
          <w:sz w:val="28"/>
          <w:szCs w:val="28"/>
        </w:rPr>
        <w:t xml:space="preserve"> PRISMA (</w:t>
      </w:r>
      <w:r w:rsidRPr="009C2096">
        <w:rPr>
          <w:rFonts w:asciiTheme="majorBidi" w:hAnsiTheme="majorBidi"/>
          <w:color w:val="000000" w:themeColor="text1"/>
          <w:sz w:val="28"/>
          <w:szCs w:val="28"/>
          <w:rtl/>
        </w:rPr>
        <w:t>الشكل 4-1 في الفصل الرابع</w:t>
      </w:r>
      <w:r w:rsidR="009C2096">
        <w:rPr>
          <w:rFonts w:asciiTheme="majorBidi" w:hAnsiTheme="majorBidi" w:hint="cs"/>
          <w:color w:val="000000" w:themeColor="text1"/>
          <w:sz w:val="28"/>
          <w:szCs w:val="28"/>
          <w:rtl/>
        </w:rPr>
        <w:t>).</w:t>
      </w:r>
    </w:p>
    <w:p w14:paraId="570F2EFD" w14:textId="1E0E3877" w:rsidR="008850D4" w:rsidRPr="009C2096" w:rsidRDefault="009C2096" w:rsidP="009C2096">
      <w:pPr>
        <w:pStyle w:val="Heading3"/>
        <w:shd w:val="clear" w:color="auto" w:fill="FFFFFF"/>
        <w:bidi/>
        <w:spacing w:after="240"/>
        <w:jc w:val="lowKashida"/>
        <w:rPr>
          <w:rFonts w:asciiTheme="majorBidi" w:hAnsiTheme="majorBidi"/>
          <w:color w:val="0F1115"/>
          <w:sz w:val="28"/>
          <w:szCs w:val="28"/>
        </w:rPr>
      </w:pPr>
      <w:r>
        <w:rPr>
          <w:rFonts w:asciiTheme="majorBidi" w:hAnsiTheme="majorBidi" w:hint="cs"/>
          <w:color w:val="000000" w:themeColor="text1"/>
          <w:sz w:val="28"/>
          <w:szCs w:val="28"/>
          <w:rtl/>
        </w:rPr>
        <w:t xml:space="preserve">٣.٥. </w:t>
      </w:r>
      <w:r w:rsidR="008850D4" w:rsidRPr="009C2096">
        <w:rPr>
          <w:rFonts w:asciiTheme="majorBidi" w:hAnsiTheme="majorBidi"/>
          <w:color w:val="0F1115"/>
          <w:sz w:val="28"/>
          <w:szCs w:val="28"/>
          <w:rtl/>
        </w:rPr>
        <w:t>استخراج البيانات وتحليلها</w:t>
      </w:r>
    </w:p>
    <w:p w14:paraId="7C8A9133"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تصميم نموذج استخراج البيانات مسبقاً، وتم اختباره على 5 دراسات عشوائية للتأكد من شموليته. قام باحثان باستخراج البيانات بشكل مستقل من كل دراسة مشمولة، ثم تمت مقارنة الاستخراج وحل أي اختلافات</w:t>
      </w:r>
      <w:r w:rsidRPr="009C2096">
        <w:rPr>
          <w:rFonts w:asciiTheme="majorBidi" w:hAnsiTheme="majorBidi"/>
          <w:color w:val="000000" w:themeColor="text1"/>
          <w:sz w:val="28"/>
          <w:szCs w:val="28"/>
        </w:rPr>
        <w:t>.</w:t>
      </w:r>
    </w:p>
    <w:p w14:paraId="6AF143F1"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تضمن نموذج استخراج البيانات العناصر التالية</w:t>
      </w:r>
      <w:r w:rsidRPr="009C2096">
        <w:rPr>
          <w:rFonts w:asciiTheme="majorBidi" w:hAnsiTheme="majorBidi"/>
          <w:color w:val="000000" w:themeColor="text1"/>
          <w:sz w:val="28"/>
          <w:szCs w:val="28"/>
        </w:rPr>
        <w:t>:</w:t>
      </w:r>
    </w:p>
    <w:p w14:paraId="44C85C7A"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المعلومات الببليوغرافية</w:t>
      </w:r>
      <w:r w:rsidRPr="009C2096">
        <w:rPr>
          <w:rFonts w:asciiTheme="majorBidi" w:hAnsiTheme="majorBidi"/>
          <w:b/>
          <w:bCs/>
          <w:color w:val="000000" w:themeColor="text1"/>
          <w:sz w:val="28"/>
          <w:szCs w:val="28"/>
        </w:rPr>
        <w:t>:</w:t>
      </w:r>
      <w:r w:rsidRPr="009C2096">
        <w:rPr>
          <w:rFonts w:asciiTheme="majorBidi" w:hAnsiTheme="majorBidi"/>
          <w:color w:val="000000" w:themeColor="text1"/>
          <w:sz w:val="28"/>
          <w:szCs w:val="28"/>
        </w:rPr>
        <w:t> </w:t>
      </w:r>
      <w:r w:rsidRPr="009C2096">
        <w:rPr>
          <w:rFonts w:asciiTheme="majorBidi" w:hAnsiTheme="majorBidi"/>
          <w:color w:val="000000" w:themeColor="text1"/>
          <w:sz w:val="28"/>
          <w:szCs w:val="28"/>
          <w:rtl/>
        </w:rPr>
        <w:t>المؤلف، السنة، عنوان الدراسة، مصدر النشر</w:t>
      </w:r>
      <w:r w:rsidRPr="009C2096">
        <w:rPr>
          <w:rFonts w:asciiTheme="majorBidi" w:hAnsiTheme="majorBidi"/>
          <w:color w:val="000000" w:themeColor="text1"/>
          <w:sz w:val="28"/>
          <w:szCs w:val="28"/>
        </w:rPr>
        <w:t>.</w:t>
      </w:r>
    </w:p>
    <w:p w14:paraId="55908BC3"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خصائص الدراسة</w:t>
      </w:r>
      <w:r w:rsidRPr="009C2096">
        <w:rPr>
          <w:rFonts w:asciiTheme="majorBidi" w:hAnsiTheme="majorBidi"/>
          <w:b/>
          <w:bCs/>
          <w:color w:val="000000" w:themeColor="text1"/>
          <w:sz w:val="28"/>
          <w:szCs w:val="28"/>
        </w:rPr>
        <w:t>:</w:t>
      </w:r>
      <w:r w:rsidRPr="009C2096">
        <w:rPr>
          <w:rFonts w:asciiTheme="majorBidi" w:hAnsiTheme="majorBidi"/>
          <w:color w:val="000000" w:themeColor="text1"/>
          <w:sz w:val="28"/>
          <w:szCs w:val="28"/>
        </w:rPr>
        <w:t> </w:t>
      </w:r>
      <w:r w:rsidRPr="009C2096">
        <w:rPr>
          <w:rFonts w:asciiTheme="majorBidi" w:hAnsiTheme="majorBidi"/>
          <w:color w:val="000000" w:themeColor="text1"/>
          <w:sz w:val="28"/>
          <w:szCs w:val="28"/>
          <w:rtl/>
        </w:rPr>
        <w:t>الدولة، سياق الدراسة (مستشفى حكومي/خاص)، نوع الكادر الطبي، حجم العينة، منهجية البحث، أدوات القياس</w:t>
      </w:r>
      <w:r w:rsidRPr="009C2096">
        <w:rPr>
          <w:rFonts w:asciiTheme="majorBidi" w:hAnsiTheme="majorBidi"/>
          <w:color w:val="000000" w:themeColor="text1"/>
          <w:sz w:val="28"/>
          <w:szCs w:val="28"/>
        </w:rPr>
        <w:t>.</w:t>
      </w:r>
    </w:p>
    <w:p w14:paraId="254E90B5"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متغيرات الدراسة</w:t>
      </w:r>
      <w:r w:rsidRPr="009C2096">
        <w:rPr>
          <w:rFonts w:asciiTheme="majorBidi" w:hAnsiTheme="majorBidi"/>
          <w:b/>
          <w:bCs/>
          <w:color w:val="000000" w:themeColor="text1"/>
          <w:sz w:val="28"/>
          <w:szCs w:val="28"/>
        </w:rPr>
        <w:t>:</w:t>
      </w:r>
      <w:r w:rsidRPr="009C2096">
        <w:rPr>
          <w:rFonts w:asciiTheme="majorBidi" w:hAnsiTheme="majorBidi"/>
          <w:color w:val="000000" w:themeColor="text1"/>
          <w:sz w:val="28"/>
          <w:szCs w:val="28"/>
        </w:rPr>
        <w:t> </w:t>
      </w:r>
      <w:r w:rsidRPr="009C2096">
        <w:rPr>
          <w:rFonts w:asciiTheme="majorBidi" w:hAnsiTheme="majorBidi"/>
          <w:color w:val="000000" w:themeColor="text1"/>
          <w:sz w:val="28"/>
          <w:szCs w:val="28"/>
          <w:rtl/>
        </w:rPr>
        <w:t>ممارسات إدارة الموارد البشرية المدروسة، مقاييس الاحتفاظ، مقاييس جودة الرعاية</w:t>
      </w:r>
      <w:r w:rsidRPr="009C2096">
        <w:rPr>
          <w:rFonts w:asciiTheme="majorBidi" w:hAnsiTheme="majorBidi"/>
          <w:color w:val="000000" w:themeColor="text1"/>
          <w:sz w:val="28"/>
          <w:szCs w:val="28"/>
        </w:rPr>
        <w:t>.</w:t>
      </w:r>
    </w:p>
    <w:p w14:paraId="52123390"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النتائج الرئيسية</w:t>
      </w:r>
      <w:r w:rsidRPr="009C2096">
        <w:rPr>
          <w:rFonts w:asciiTheme="majorBidi" w:hAnsiTheme="majorBidi"/>
          <w:b/>
          <w:bCs/>
          <w:color w:val="000000" w:themeColor="text1"/>
          <w:sz w:val="28"/>
          <w:szCs w:val="28"/>
        </w:rPr>
        <w:t>:</w:t>
      </w:r>
      <w:r w:rsidRPr="009C2096">
        <w:rPr>
          <w:rFonts w:asciiTheme="majorBidi" w:hAnsiTheme="majorBidi"/>
          <w:color w:val="000000" w:themeColor="text1"/>
          <w:sz w:val="28"/>
          <w:szCs w:val="28"/>
        </w:rPr>
        <w:t> </w:t>
      </w:r>
      <w:r w:rsidRPr="009C2096">
        <w:rPr>
          <w:rFonts w:asciiTheme="majorBidi" w:hAnsiTheme="majorBidi"/>
          <w:color w:val="000000" w:themeColor="text1"/>
          <w:sz w:val="28"/>
          <w:szCs w:val="28"/>
          <w:rtl/>
        </w:rPr>
        <w:t>العلاقات بين المتغيرات، قوة التأثير، الدلالة الإحصائية</w:t>
      </w:r>
      <w:r w:rsidRPr="009C2096">
        <w:rPr>
          <w:rFonts w:asciiTheme="majorBidi" w:hAnsiTheme="majorBidi"/>
          <w:color w:val="000000" w:themeColor="text1"/>
          <w:sz w:val="28"/>
          <w:szCs w:val="28"/>
        </w:rPr>
        <w:t>.</w:t>
      </w:r>
    </w:p>
    <w:p w14:paraId="1F5103EA"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b/>
          <w:bCs/>
          <w:color w:val="000000" w:themeColor="text1"/>
          <w:sz w:val="28"/>
          <w:szCs w:val="28"/>
          <w:rtl/>
        </w:rPr>
        <w:t>العوامل المعدلة</w:t>
      </w:r>
      <w:r w:rsidRPr="009C2096">
        <w:rPr>
          <w:rFonts w:asciiTheme="majorBidi" w:hAnsiTheme="majorBidi"/>
          <w:b/>
          <w:bCs/>
          <w:color w:val="000000" w:themeColor="text1"/>
          <w:sz w:val="28"/>
          <w:szCs w:val="28"/>
        </w:rPr>
        <w:t>:</w:t>
      </w:r>
      <w:r w:rsidRPr="009C2096">
        <w:rPr>
          <w:rFonts w:asciiTheme="majorBidi" w:hAnsiTheme="majorBidi"/>
          <w:color w:val="000000" w:themeColor="text1"/>
          <w:sz w:val="28"/>
          <w:szCs w:val="28"/>
        </w:rPr>
        <w:t> </w:t>
      </w:r>
      <w:r w:rsidRPr="009C2096">
        <w:rPr>
          <w:rFonts w:asciiTheme="majorBidi" w:hAnsiTheme="majorBidi"/>
          <w:color w:val="000000" w:themeColor="text1"/>
          <w:sz w:val="28"/>
          <w:szCs w:val="28"/>
          <w:rtl/>
        </w:rPr>
        <w:t>المتغيرات الديموغرافية، السياقية، التنظيمية</w:t>
      </w:r>
      <w:r w:rsidRPr="009C2096">
        <w:rPr>
          <w:rFonts w:asciiTheme="majorBidi" w:hAnsiTheme="majorBidi"/>
          <w:color w:val="000000" w:themeColor="text1"/>
          <w:sz w:val="28"/>
          <w:szCs w:val="28"/>
        </w:rPr>
        <w:t>.</w:t>
      </w:r>
    </w:p>
    <w:p w14:paraId="73650B93" w14:textId="77777777" w:rsidR="009C2096" w:rsidRDefault="008850D4" w:rsidP="009C2096">
      <w:pPr>
        <w:pStyle w:val="Heading3"/>
        <w:shd w:val="clear" w:color="auto" w:fill="FFFFFF"/>
        <w:bidi/>
        <w:spacing w:before="0" w:after="240"/>
        <w:jc w:val="lowKashida"/>
        <w:rPr>
          <w:rFonts w:asciiTheme="majorBidi" w:hAnsiTheme="majorBidi"/>
          <w:color w:val="000000" w:themeColor="text1"/>
          <w:sz w:val="28"/>
          <w:szCs w:val="28"/>
          <w:rtl/>
        </w:rPr>
      </w:pPr>
      <w:r w:rsidRPr="009C2096">
        <w:rPr>
          <w:rFonts w:asciiTheme="majorBidi" w:hAnsiTheme="majorBidi"/>
          <w:color w:val="000000" w:themeColor="text1"/>
          <w:sz w:val="28"/>
          <w:szCs w:val="28"/>
          <w:rtl/>
        </w:rPr>
        <w:t>نظراً لتباين الدراسات في منهجياتها ومقاييسها، تم إجراء تحليل موضوعي</w:t>
      </w:r>
      <w:r w:rsidRPr="009C2096">
        <w:rPr>
          <w:rFonts w:asciiTheme="majorBidi" w:hAnsiTheme="majorBidi"/>
          <w:color w:val="000000" w:themeColor="text1"/>
          <w:sz w:val="28"/>
          <w:szCs w:val="28"/>
        </w:rPr>
        <w:t xml:space="preserve"> (Thematic Analysis) </w:t>
      </w:r>
      <w:r w:rsidRPr="009C2096">
        <w:rPr>
          <w:rFonts w:asciiTheme="majorBidi" w:hAnsiTheme="majorBidi"/>
          <w:color w:val="000000" w:themeColor="text1"/>
          <w:sz w:val="28"/>
          <w:szCs w:val="28"/>
          <w:rtl/>
        </w:rPr>
        <w:t>بدلاً من التحليل البعدي</w:t>
      </w:r>
      <w:r w:rsidRPr="009C2096">
        <w:rPr>
          <w:rFonts w:asciiTheme="majorBidi" w:hAnsiTheme="majorBidi"/>
          <w:color w:val="000000" w:themeColor="text1"/>
          <w:sz w:val="28"/>
          <w:szCs w:val="28"/>
        </w:rPr>
        <w:t xml:space="preserve"> (Meta-analysis). </w:t>
      </w:r>
      <w:r w:rsidRPr="009C2096">
        <w:rPr>
          <w:rFonts w:asciiTheme="majorBidi" w:hAnsiTheme="majorBidi"/>
          <w:color w:val="000000" w:themeColor="text1"/>
          <w:sz w:val="28"/>
          <w:szCs w:val="28"/>
          <w:rtl/>
        </w:rPr>
        <w:t>تم تصنيف النتائج حسب المواضيع الرئيسية (ممارسات الموارد البشرية، عوامل الاحتفاظ، العلاقة مع الجودة) وتم تلخيصها بشكل وصفي</w:t>
      </w:r>
      <w:r w:rsidRPr="009C2096">
        <w:rPr>
          <w:rFonts w:asciiTheme="majorBidi" w:hAnsiTheme="majorBidi"/>
          <w:color w:val="000000" w:themeColor="text1"/>
          <w:sz w:val="28"/>
          <w:szCs w:val="28"/>
        </w:rPr>
        <w:t>.</w:t>
      </w:r>
    </w:p>
    <w:p w14:paraId="5C3FA4EB" w14:textId="77777777" w:rsidR="009C2096" w:rsidRDefault="009C2096" w:rsidP="009C2096">
      <w:pPr>
        <w:bidi/>
        <w:rPr>
          <w:rtl/>
        </w:rPr>
      </w:pPr>
    </w:p>
    <w:p w14:paraId="64A12B57" w14:textId="77777777" w:rsidR="009C2096" w:rsidRDefault="009C2096" w:rsidP="009C2096">
      <w:pPr>
        <w:bidi/>
        <w:rPr>
          <w:rtl/>
        </w:rPr>
      </w:pPr>
    </w:p>
    <w:p w14:paraId="7C4AE6B7" w14:textId="77777777" w:rsidR="009C2096" w:rsidRDefault="009C2096" w:rsidP="009C2096">
      <w:pPr>
        <w:bidi/>
        <w:rPr>
          <w:rtl/>
        </w:rPr>
      </w:pPr>
    </w:p>
    <w:p w14:paraId="725041CA" w14:textId="77777777" w:rsidR="009C2096" w:rsidRPr="009C2096" w:rsidRDefault="009C2096" w:rsidP="009C2096">
      <w:pPr>
        <w:bidi/>
        <w:rPr>
          <w:rtl/>
        </w:rPr>
      </w:pPr>
    </w:p>
    <w:p w14:paraId="38AB4FF5" w14:textId="67109308" w:rsidR="008850D4" w:rsidRPr="009C2096" w:rsidRDefault="009C2096" w:rsidP="009C2096">
      <w:pPr>
        <w:pStyle w:val="Heading3"/>
        <w:shd w:val="clear" w:color="auto" w:fill="FFFFFF"/>
        <w:bidi/>
        <w:spacing w:before="0" w:after="240"/>
        <w:jc w:val="lowKashida"/>
        <w:rPr>
          <w:rFonts w:asciiTheme="majorBidi" w:hAnsiTheme="majorBidi"/>
          <w:color w:val="000000" w:themeColor="text1"/>
          <w:sz w:val="28"/>
          <w:szCs w:val="28"/>
        </w:rPr>
      </w:pPr>
      <w:r>
        <w:rPr>
          <w:rFonts w:asciiTheme="majorBidi" w:hAnsiTheme="majorBidi" w:hint="cs"/>
          <w:color w:val="000000" w:themeColor="text1"/>
          <w:sz w:val="28"/>
          <w:szCs w:val="28"/>
          <w:rtl/>
        </w:rPr>
        <w:lastRenderedPageBreak/>
        <w:t xml:space="preserve">٣.٦. </w:t>
      </w:r>
      <w:r w:rsidR="008850D4" w:rsidRPr="009C2096">
        <w:rPr>
          <w:rFonts w:asciiTheme="majorBidi" w:hAnsiTheme="majorBidi"/>
          <w:color w:val="000000" w:themeColor="text1"/>
          <w:sz w:val="28"/>
          <w:szCs w:val="28"/>
          <w:rtl/>
        </w:rPr>
        <w:t>تقييم جودة الدراسات</w:t>
      </w:r>
    </w:p>
    <w:p w14:paraId="1F273550" w14:textId="77777777" w:rsidR="008850D4" w:rsidRPr="009C2096" w:rsidRDefault="008850D4" w:rsidP="009C2096">
      <w:pPr>
        <w:pStyle w:val="Heading3"/>
        <w:shd w:val="clear" w:color="auto" w:fill="FFFFFF"/>
        <w:bidi/>
        <w:spacing w:before="0"/>
        <w:jc w:val="lowKashida"/>
        <w:rPr>
          <w:rFonts w:asciiTheme="majorBidi" w:hAnsiTheme="majorBidi"/>
          <w:color w:val="000000" w:themeColor="text1"/>
          <w:sz w:val="28"/>
          <w:szCs w:val="28"/>
        </w:rPr>
      </w:pPr>
      <w:r w:rsidRPr="009C2096">
        <w:rPr>
          <w:rFonts w:asciiTheme="majorBidi" w:hAnsiTheme="majorBidi"/>
          <w:color w:val="000000" w:themeColor="text1"/>
          <w:sz w:val="28"/>
          <w:szCs w:val="28"/>
          <w:rtl/>
        </w:rPr>
        <w:t>تم تقييم جودة الدراسات المشمولة باستخدام أدوات معيارية مناسبة لنوع الدراسة</w:t>
      </w:r>
      <w:r w:rsidRPr="009C2096">
        <w:rPr>
          <w:rFonts w:asciiTheme="majorBidi" w:hAnsiTheme="majorBidi"/>
          <w:color w:val="000000" w:themeColor="text1"/>
          <w:sz w:val="28"/>
          <w:szCs w:val="28"/>
        </w:rPr>
        <w:t>:</w:t>
      </w:r>
    </w:p>
    <w:tbl>
      <w:tblPr>
        <w:bidiVisual/>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5"/>
        <w:gridCol w:w="7243"/>
      </w:tblGrid>
      <w:tr w:rsidR="008850D4" w14:paraId="689683EA" w14:textId="77777777" w:rsidTr="009C2096">
        <w:trPr>
          <w:trHeight w:val="383"/>
          <w:tblHeader/>
        </w:trPr>
        <w:tc>
          <w:tcPr>
            <w:tcW w:w="0" w:type="auto"/>
            <w:tcMar>
              <w:top w:w="150" w:type="dxa"/>
              <w:left w:w="0" w:type="dxa"/>
              <w:bottom w:w="150" w:type="dxa"/>
              <w:right w:w="240" w:type="dxa"/>
            </w:tcMar>
            <w:vAlign w:val="center"/>
            <w:hideMark/>
          </w:tcPr>
          <w:p w14:paraId="3E34F73C" w14:textId="77777777" w:rsidR="008850D4" w:rsidRDefault="008850D4" w:rsidP="009C2096">
            <w:pPr>
              <w:bidi/>
              <w:spacing w:line="375" w:lineRule="atLeast"/>
              <w:jc w:val="center"/>
              <w:rPr>
                <w:rFonts w:ascii="Segoe UI" w:hAnsi="Segoe UI" w:cs="Segoe UI"/>
                <w:sz w:val="23"/>
                <w:szCs w:val="23"/>
              </w:rPr>
            </w:pPr>
            <w:r>
              <w:rPr>
                <w:rFonts w:ascii="Segoe UI" w:hAnsi="Segoe UI"/>
                <w:sz w:val="23"/>
                <w:szCs w:val="23"/>
                <w:rtl/>
              </w:rPr>
              <w:t>نوع الدراسة</w:t>
            </w:r>
          </w:p>
        </w:tc>
        <w:tc>
          <w:tcPr>
            <w:tcW w:w="0" w:type="auto"/>
            <w:tcMar>
              <w:top w:w="150" w:type="dxa"/>
              <w:left w:w="240" w:type="dxa"/>
              <w:bottom w:w="150" w:type="dxa"/>
              <w:right w:w="240" w:type="dxa"/>
            </w:tcMar>
            <w:vAlign w:val="center"/>
            <w:hideMark/>
          </w:tcPr>
          <w:p w14:paraId="10FD82FB" w14:textId="77777777" w:rsidR="008850D4" w:rsidRDefault="008850D4" w:rsidP="009C2096">
            <w:pPr>
              <w:bidi/>
              <w:spacing w:line="375" w:lineRule="atLeast"/>
              <w:jc w:val="center"/>
              <w:rPr>
                <w:rFonts w:ascii="Segoe UI" w:hAnsi="Segoe UI" w:cs="Segoe UI"/>
                <w:sz w:val="23"/>
                <w:szCs w:val="23"/>
              </w:rPr>
            </w:pPr>
            <w:r>
              <w:rPr>
                <w:rFonts w:ascii="Segoe UI" w:hAnsi="Segoe UI"/>
                <w:sz w:val="23"/>
                <w:szCs w:val="23"/>
                <w:rtl/>
              </w:rPr>
              <w:t>أداة التقييم</w:t>
            </w:r>
          </w:p>
        </w:tc>
      </w:tr>
      <w:tr w:rsidR="008850D4" w14:paraId="09E8C6BB" w14:textId="77777777" w:rsidTr="008850D4">
        <w:trPr>
          <w:trHeight w:val="365"/>
        </w:trPr>
        <w:tc>
          <w:tcPr>
            <w:tcW w:w="0" w:type="auto"/>
            <w:tcMar>
              <w:top w:w="150" w:type="dxa"/>
              <w:left w:w="0" w:type="dxa"/>
              <w:bottom w:w="150" w:type="dxa"/>
              <w:right w:w="240" w:type="dxa"/>
            </w:tcMar>
            <w:vAlign w:val="center"/>
            <w:hideMark/>
          </w:tcPr>
          <w:p w14:paraId="714F92B4" w14:textId="77777777" w:rsidR="008850D4" w:rsidRDefault="008850D4" w:rsidP="009C2096">
            <w:pPr>
              <w:bidi/>
              <w:spacing w:line="375" w:lineRule="atLeast"/>
              <w:ind w:right="242"/>
              <w:rPr>
                <w:rFonts w:ascii="Segoe UI" w:hAnsi="Segoe UI" w:cs="Segoe UI"/>
                <w:sz w:val="23"/>
                <w:szCs w:val="23"/>
              </w:rPr>
            </w:pPr>
            <w:r>
              <w:rPr>
                <w:rFonts w:ascii="Segoe UI" w:hAnsi="Segoe UI"/>
                <w:sz w:val="23"/>
                <w:szCs w:val="23"/>
                <w:rtl/>
              </w:rPr>
              <w:t>دراسات كمية (مقطعية</w:t>
            </w:r>
            <w:r>
              <w:rPr>
                <w:rFonts w:ascii="Segoe UI" w:hAnsi="Segoe UI" w:cs="Segoe UI"/>
                <w:sz w:val="23"/>
                <w:szCs w:val="23"/>
              </w:rPr>
              <w:t>)</w:t>
            </w:r>
          </w:p>
        </w:tc>
        <w:tc>
          <w:tcPr>
            <w:tcW w:w="0" w:type="auto"/>
            <w:tcMar>
              <w:top w:w="150" w:type="dxa"/>
              <w:left w:w="240" w:type="dxa"/>
              <w:bottom w:w="150" w:type="dxa"/>
              <w:right w:w="0" w:type="dxa"/>
            </w:tcMar>
            <w:vAlign w:val="center"/>
            <w:hideMark/>
          </w:tcPr>
          <w:p w14:paraId="14BBF669" w14:textId="77777777" w:rsidR="008850D4" w:rsidRDefault="008850D4" w:rsidP="009C2096">
            <w:pPr>
              <w:bidi/>
              <w:spacing w:line="375" w:lineRule="atLeast"/>
              <w:ind w:left="254"/>
              <w:jc w:val="lowKashida"/>
              <w:rPr>
                <w:rFonts w:ascii="Segoe UI" w:hAnsi="Segoe UI" w:cs="Segoe UI"/>
                <w:sz w:val="23"/>
                <w:szCs w:val="23"/>
              </w:rPr>
            </w:pPr>
            <w:r>
              <w:rPr>
                <w:rFonts w:ascii="Segoe UI" w:hAnsi="Segoe UI"/>
                <w:sz w:val="23"/>
                <w:szCs w:val="23"/>
                <w:rtl/>
              </w:rPr>
              <w:t xml:space="preserve">أداة معهد جوهانا </w:t>
            </w:r>
            <w:proofErr w:type="spellStart"/>
            <w:r>
              <w:rPr>
                <w:rFonts w:ascii="Segoe UI" w:hAnsi="Segoe UI"/>
                <w:sz w:val="23"/>
                <w:szCs w:val="23"/>
                <w:rtl/>
              </w:rPr>
              <w:t>بريجز</w:t>
            </w:r>
            <w:proofErr w:type="spellEnd"/>
            <w:r>
              <w:rPr>
                <w:rFonts w:ascii="Segoe UI" w:hAnsi="Segoe UI" w:cs="Segoe UI"/>
                <w:sz w:val="23"/>
                <w:szCs w:val="23"/>
              </w:rPr>
              <w:t xml:space="preserve"> (JBI Checklist for Analytical Cross-Sectional Studies)</w:t>
            </w:r>
          </w:p>
        </w:tc>
      </w:tr>
      <w:tr w:rsidR="008850D4" w14:paraId="26FDA50E" w14:textId="77777777" w:rsidTr="008850D4">
        <w:trPr>
          <w:trHeight w:val="383"/>
        </w:trPr>
        <w:tc>
          <w:tcPr>
            <w:tcW w:w="0" w:type="auto"/>
            <w:tcMar>
              <w:top w:w="150" w:type="dxa"/>
              <w:left w:w="0" w:type="dxa"/>
              <w:bottom w:w="150" w:type="dxa"/>
              <w:right w:w="240" w:type="dxa"/>
            </w:tcMar>
            <w:vAlign w:val="center"/>
            <w:hideMark/>
          </w:tcPr>
          <w:p w14:paraId="421CAA55" w14:textId="77777777" w:rsidR="008850D4" w:rsidRDefault="008850D4" w:rsidP="009C2096">
            <w:pPr>
              <w:bidi/>
              <w:spacing w:line="375" w:lineRule="atLeast"/>
              <w:ind w:right="242"/>
              <w:rPr>
                <w:rFonts w:ascii="Segoe UI" w:hAnsi="Segoe UI" w:cs="Segoe UI"/>
                <w:sz w:val="23"/>
                <w:szCs w:val="23"/>
              </w:rPr>
            </w:pPr>
            <w:r>
              <w:rPr>
                <w:rFonts w:ascii="Segoe UI" w:hAnsi="Segoe UI"/>
                <w:sz w:val="23"/>
                <w:szCs w:val="23"/>
                <w:rtl/>
              </w:rPr>
              <w:t>دراسات كمية (طولية</w:t>
            </w:r>
            <w:r>
              <w:rPr>
                <w:rFonts w:ascii="Segoe UI" w:hAnsi="Segoe UI" w:cs="Segoe UI"/>
                <w:sz w:val="23"/>
                <w:szCs w:val="23"/>
              </w:rPr>
              <w:t>)</w:t>
            </w:r>
          </w:p>
        </w:tc>
        <w:tc>
          <w:tcPr>
            <w:tcW w:w="0" w:type="auto"/>
            <w:tcMar>
              <w:top w:w="150" w:type="dxa"/>
              <w:left w:w="240" w:type="dxa"/>
              <w:bottom w:w="150" w:type="dxa"/>
              <w:right w:w="0" w:type="dxa"/>
            </w:tcMar>
            <w:vAlign w:val="center"/>
            <w:hideMark/>
          </w:tcPr>
          <w:p w14:paraId="60BF53C5" w14:textId="77777777" w:rsidR="008850D4" w:rsidRDefault="008850D4" w:rsidP="009C2096">
            <w:pPr>
              <w:bidi/>
              <w:spacing w:line="375" w:lineRule="atLeast"/>
              <w:ind w:left="254"/>
              <w:jc w:val="lowKashida"/>
              <w:rPr>
                <w:rFonts w:ascii="Segoe UI" w:hAnsi="Segoe UI" w:cs="Segoe UI"/>
                <w:sz w:val="23"/>
                <w:szCs w:val="23"/>
              </w:rPr>
            </w:pPr>
            <w:r>
              <w:rPr>
                <w:rFonts w:ascii="Segoe UI" w:hAnsi="Segoe UI"/>
                <w:sz w:val="23"/>
                <w:szCs w:val="23"/>
                <w:rtl/>
              </w:rPr>
              <w:t xml:space="preserve">أداة معهد جوهانا </w:t>
            </w:r>
            <w:proofErr w:type="spellStart"/>
            <w:r>
              <w:rPr>
                <w:rFonts w:ascii="Segoe UI" w:hAnsi="Segoe UI"/>
                <w:sz w:val="23"/>
                <w:szCs w:val="23"/>
                <w:rtl/>
              </w:rPr>
              <w:t>بريجز</w:t>
            </w:r>
            <w:proofErr w:type="spellEnd"/>
            <w:r>
              <w:rPr>
                <w:rFonts w:ascii="Segoe UI" w:hAnsi="Segoe UI" w:cs="Segoe UI"/>
                <w:sz w:val="23"/>
                <w:szCs w:val="23"/>
              </w:rPr>
              <w:t xml:space="preserve"> (JBI Checklist for Cohort Studies)</w:t>
            </w:r>
          </w:p>
        </w:tc>
      </w:tr>
      <w:tr w:rsidR="008850D4" w14:paraId="16C63EB7" w14:textId="77777777" w:rsidTr="008850D4">
        <w:trPr>
          <w:trHeight w:val="365"/>
        </w:trPr>
        <w:tc>
          <w:tcPr>
            <w:tcW w:w="0" w:type="auto"/>
            <w:tcMar>
              <w:top w:w="150" w:type="dxa"/>
              <w:left w:w="0" w:type="dxa"/>
              <w:bottom w:w="150" w:type="dxa"/>
              <w:right w:w="240" w:type="dxa"/>
            </w:tcMar>
            <w:vAlign w:val="center"/>
            <w:hideMark/>
          </w:tcPr>
          <w:p w14:paraId="6BB1C08E" w14:textId="77777777" w:rsidR="008850D4" w:rsidRDefault="008850D4" w:rsidP="009C2096">
            <w:pPr>
              <w:bidi/>
              <w:spacing w:line="375" w:lineRule="atLeast"/>
              <w:ind w:right="242"/>
              <w:rPr>
                <w:rFonts w:ascii="Segoe UI" w:hAnsi="Segoe UI" w:cs="Segoe UI"/>
                <w:sz w:val="23"/>
                <w:szCs w:val="23"/>
              </w:rPr>
            </w:pPr>
            <w:r>
              <w:rPr>
                <w:rFonts w:ascii="Segoe UI" w:hAnsi="Segoe UI"/>
                <w:sz w:val="23"/>
                <w:szCs w:val="23"/>
                <w:rtl/>
              </w:rPr>
              <w:t>دراسات نوعية</w:t>
            </w:r>
          </w:p>
        </w:tc>
        <w:tc>
          <w:tcPr>
            <w:tcW w:w="0" w:type="auto"/>
            <w:tcMar>
              <w:top w:w="150" w:type="dxa"/>
              <w:left w:w="240" w:type="dxa"/>
              <w:bottom w:w="150" w:type="dxa"/>
              <w:right w:w="0" w:type="dxa"/>
            </w:tcMar>
            <w:vAlign w:val="center"/>
            <w:hideMark/>
          </w:tcPr>
          <w:p w14:paraId="1D3509D0" w14:textId="77777777" w:rsidR="008850D4" w:rsidRDefault="008850D4" w:rsidP="009C2096">
            <w:pPr>
              <w:bidi/>
              <w:spacing w:line="375" w:lineRule="atLeast"/>
              <w:ind w:left="254"/>
              <w:jc w:val="lowKashida"/>
              <w:rPr>
                <w:rFonts w:ascii="Segoe UI" w:hAnsi="Segoe UI" w:cs="Segoe UI"/>
                <w:sz w:val="23"/>
                <w:szCs w:val="23"/>
              </w:rPr>
            </w:pPr>
            <w:r>
              <w:rPr>
                <w:rFonts w:ascii="Segoe UI" w:hAnsi="Segoe UI"/>
                <w:sz w:val="23"/>
                <w:szCs w:val="23"/>
                <w:rtl/>
              </w:rPr>
              <w:t xml:space="preserve">أداة معهد جوهانا </w:t>
            </w:r>
            <w:proofErr w:type="spellStart"/>
            <w:r>
              <w:rPr>
                <w:rFonts w:ascii="Segoe UI" w:hAnsi="Segoe UI"/>
                <w:sz w:val="23"/>
                <w:szCs w:val="23"/>
                <w:rtl/>
              </w:rPr>
              <w:t>بريجز</w:t>
            </w:r>
            <w:proofErr w:type="spellEnd"/>
            <w:r>
              <w:rPr>
                <w:rFonts w:ascii="Segoe UI" w:hAnsi="Segoe UI" w:cs="Segoe UI"/>
                <w:sz w:val="23"/>
                <w:szCs w:val="23"/>
              </w:rPr>
              <w:t xml:space="preserve"> (JBI Checklist for Qualitative Research)</w:t>
            </w:r>
          </w:p>
        </w:tc>
      </w:tr>
      <w:tr w:rsidR="008850D4" w14:paraId="569147FB" w14:textId="77777777" w:rsidTr="008850D4">
        <w:trPr>
          <w:trHeight w:val="365"/>
        </w:trPr>
        <w:tc>
          <w:tcPr>
            <w:tcW w:w="0" w:type="auto"/>
            <w:tcMar>
              <w:top w:w="150" w:type="dxa"/>
              <w:left w:w="0" w:type="dxa"/>
              <w:bottom w:w="150" w:type="dxa"/>
              <w:right w:w="240" w:type="dxa"/>
            </w:tcMar>
            <w:vAlign w:val="center"/>
            <w:hideMark/>
          </w:tcPr>
          <w:p w14:paraId="4E60B744" w14:textId="77777777" w:rsidR="008850D4" w:rsidRDefault="008850D4" w:rsidP="009C2096">
            <w:pPr>
              <w:bidi/>
              <w:spacing w:line="375" w:lineRule="atLeast"/>
              <w:ind w:right="242"/>
              <w:rPr>
                <w:rFonts w:ascii="Segoe UI" w:hAnsi="Segoe UI" w:cs="Segoe UI"/>
                <w:sz w:val="23"/>
                <w:szCs w:val="23"/>
              </w:rPr>
            </w:pPr>
            <w:r>
              <w:rPr>
                <w:rFonts w:ascii="Segoe UI" w:hAnsi="Segoe UI"/>
                <w:sz w:val="23"/>
                <w:szCs w:val="23"/>
                <w:rtl/>
              </w:rPr>
              <w:t>دراسات مختلطة</w:t>
            </w:r>
          </w:p>
        </w:tc>
        <w:tc>
          <w:tcPr>
            <w:tcW w:w="0" w:type="auto"/>
            <w:tcMar>
              <w:top w:w="150" w:type="dxa"/>
              <w:left w:w="240" w:type="dxa"/>
              <w:bottom w:w="150" w:type="dxa"/>
              <w:right w:w="0" w:type="dxa"/>
            </w:tcMar>
            <w:vAlign w:val="center"/>
            <w:hideMark/>
          </w:tcPr>
          <w:p w14:paraId="6F637BCD" w14:textId="77777777" w:rsidR="008850D4" w:rsidRDefault="008850D4" w:rsidP="009C2096">
            <w:pPr>
              <w:bidi/>
              <w:spacing w:line="375" w:lineRule="atLeast"/>
              <w:ind w:left="254"/>
              <w:jc w:val="lowKashida"/>
              <w:rPr>
                <w:rFonts w:ascii="Segoe UI" w:hAnsi="Segoe UI" w:cs="Segoe UI"/>
                <w:sz w:val="23"/>
                <w:szCs w:val="23"/>
              </w:rPr>
            </w:pPr>
            <w:r>
              <w:rPr>
                <w:rFonts w:ascii="Segoe UI" w:hAnsi="Segoe UI"/>
                <w:sz w:val="23"/>
                <w:szCs w:val="23"/>
                <w:rtl/>
              </w:rPr>
              <w:t>تم تقييم الجزء الكمي والنوعي بشكل منفصل</w:t>
            </w:r>
          </w:p>
        </w:tc>
      </w:tr>
    </w:tbl>
    <w:p w14:paraId="1E83403A" w14:textId="77777777" w:rsidR="008850D4" w:rsidRPr="009C2096" w:rsidRDefault="008850D4" w:rsidP="008850D4">
      <w:pPr>
        <w:pStyle w:val="ds-markdown-paragraph"/>
        <w:shd w:val="clear" w:color="auto" w:fill="FFFFFF"/>
        <w:bidi/>
        <w:spacing w:before="240" w:beforeAutospacing="0" w:after="240" w:afterAutospacing="0"/>
        <w:rPr>
          <w:rFonts w:asciiTheme="majorBidi" w:hAnsiTheme="majorBidi" w:cstheme="majorBidi"/>
          <w:color w:val="0F1115"/>
          <w:sz w:val="28"/>
          <w:szCs w:val="28"/>
        </w:rPr>
      </w:pPr>
      <w:r w:rsidRPr="009C2096">
        <w:rPr>
          <w:rFonts w:asciiTheme="majorBidi" w:hAnsiTheme="majorBidi" w:cstheme="majorBidi"/>
          <w:color w:val="0F1115"/>
          <w:sz w:val="28"/>
          <w:szCs w:val="28"/>
          <w:rtl/>
        </w:rPr>
        <w:t>قام باحثان بتقييم جودة كل دراسة بشكل مستقل. تم تصنيف الدراسات إلى</w:t>
      </w:r>
      <w:r w:rsidRPr="009C2096">
        <w:rPr>
          <w:rFonts w:asciiTheme="majorBidi" w:hAnsiTheme="majorBidi" w:cstheme="majorBidi"/>
          <w:color w:val="0F1115"/>
          <w:sz w:val="28"/>
          <w:szCs w:val="28"/>
        </w:rPr>
        <w:t>:</w:t>
      </w:r>
    </w:p>
    <w:p w14:paraId="2C43B4F5" w14:textId="77777777" w:rsidR="008850D4" w:rsidRPr="009C2096" w:rsidRDefault="008850D4" w:rsidP="008850D4">
      <w:pPr>
        <w:pStyle w:val="ds-markdown-paragraph"/>
        <w:numPr>
          <w:ilvl w:val="0"/>
          <w:numId w:val="26"/>
        </w:numPr>
        <w:shd w:val="clear" w:color="auto" w:fill="FFFFFF"/>
        <w:bidi/>
        <w:spacing w:before="0" w:beforeAutospacing="0" w:after="0" w:afterAutospacing="0"/>
        <w:rPr>
          <w:rFonts w:asciiTheme="majorBidi" w:hAnsiTheme="majorBidi" w:cstheme="majorBidi"/>
          <w:color w:val="0F1115"/>
          <w:sz w:val="28"/>
          <w:szCs w:val="28"/>
        </w:rPr>
      </w:pPr>
      <w:r w:rsidRPr="009C2096">
        <w:rPr>
          <w:rStyle w:val="Strong"/>
          <w:rFonts w:asciiTheme="majorBidi" w:eastAsiaTheme="majorEastAsia" w:hAnsiTheme="majorBidi" w:cstheme="majorBidi"/>
          <w:color w:val="0F1115"/>
          <w:sz w:val="28"/>
          <w:szCs w:val="28"/>
          <w:rtl/>
        </w:rPr>
        <w:t>عالية الجودة</w:t>
      </w:r>
      <w:r w:rsidRPr="009C2096">
        <w:rPr>
          <w:rStyle w:val="Strong"/>
          <w:rFonts w:asciiTheme="majorBidi" w:eastAsiaTheme="majorEastAsia" w:hAnsiTheme="majorBidi" w:cstheme="majorBidi"/>
          <w:color w:val="0F1115"/>
          <w:sz w:val="28"/>
          <w:szCs w:val="28"/>
        </w:rPr>
        <w:t>:</w:t>
      </w:r>
      <w:r w:rsidRPr="009C2096">
        <w:rPr>
          <w:rFonts w:asciiTheme="majorBidi" w:hAnsiTheme="majorBidi" w:cstheme="majorBidi"/>
          <w:color w:val="0F1115"/>
          <w:sz w:val="28"/>
          <w:szCs w:val="28"/>
        </w:rPr>
        <w:t> </w:t>
      </w:r>
      <w:r w:rsidRPr="009C2096">
        <w:rPr>
          <w:rFonts w:asciiTheme="majorBidi" w:hAnsiTheme="majorBidi" w:cstheme="majorBidi"/>
          <w:color w:val="0F1115"/>
          <w:sz w:val="28"/>
          <w:szCs w:val="28"/>
          <w:rtl/>
        </w:rPr>
        <w:t>إذا استوفت أكثر من 70% من معايير القائمة</w:t>
      </w:r>
      <w:r w:rsidRPr="009C2096">
        <w:rPr>
          <w:rFonts w:asciiTheme="majorBidi" w:hAnsiTheme="majorBidi" w:cstheme="majorBidi"/>
          <w:color w:val="0F1115"/>
          <w:sz w:val="28"/>
          <w:szCs w:val="28"/>
        </w:rPr>
        <w:t>.</w:t>
      </w:r>
    </w:p>
    <w:p w14:paraId="3C81E436" w14:textId="77777777" w:rsidR="008850D4" w:rsidRPr="009C2096" w:rsidRDefault="008850D4" w:rsidP="008850D4">
      <w:pPr>
        <w:pStyle w:val="ds-markdown-paragraph"/>
        <w:numPr>
          <w:ilvl w:val="0"/>
          <w:numId w:val="26"/>
        </w:numPr>
        <w:shd w:val="clear" w:color="auto" w:fill="FFFFFF"/>
        <w:bidi/>
        <w:spacing w:before="0" w:beforeAutospacing="0" w:after="0" w:afterAutospacing="0"/>
        <w:rPr>
          <w:rFonts w:asciiTheme="majorBidi" w:hAnsiTheme="majorBidi" w:cstheme="majorBidi"/>
          <w:color w:val="0F1115"/>
          <w:sz w:val="28"/>
          <w:szCs w:val="28"/>
        </w:rPr>
      </w:pPr>
      <w:r w:rsidRPr="009C2096">
        <w:rPr>
          <w:rStyle w:val="Strong"/>
          <w:rFonts w:asciiTheme="majorBidi" w:eastAsiaTheme="majorEastAsia" w:hAnsiTheme="majorBidi" w:cstheme="majorBidi"/>
          <w:color w:val="0F1115"/>
          <w:sz w:val="28"/>
          <w:szCs w:val="28"/>
          <w:rtl/>
        </w:rPr>
        <w:t>متوسطة الجودة</w:t>
      </w:r>
      <w:r w:rsidRPr="009C2096">
        <w:rPr>
          <w:rStyle w:val="Strong"/>
          <w:rFonts w:asciiTheme="majorBidi" w:eastAsiaTheme="majorEastAsia" w:hAnsiTheme="majorBidi" w:cstheme="majorBidi"/>
          <w:color w:val="0F1115"/>
          <w:sz w:val="28"/>
          <w:szCs w:val="28"/>
        </w:rPr>
        <w:t>:</w:t>
      </w:r>
      <w:r w:rsidRPr="009C2096">
        <w:rPr>
          <w:rFonts w:asciiTheme="majorBidi" w:hAnsiTheme="majorBidi" w:cstheme="majorBidi"/>
          <w:color w:val="0F1115"/>
          <w:sz w:val="28"/>
          <w:szCs w:val="28"/>
        </w:rPr>
        <w:t> </w:t>
      </w:r>
      <w:r w:rsidRPr="009C2096">
        <w:rPr>
          <w:rFonts w:asciiTheme="majorBidi" w:hAnsiTheme="majorBidi" w:cstheme="majorBidi"/>
          <w:color w:val="0F1115"/>
          <w:sz w:val="28"/>
          <w:szCs w:val="28"/>
          <w:rtl/>
        </w:rPr>
        <w:t>إذا استوفت 50-70% من المعايير</w:t>
      </w:r>
      <w:r w:rsidRPr="009C2096">
        <w:rPr>
          <w:rFonts w:asciiTheme="majorBidi" w:hAnsiTheme="majorBidi" w:cstheme="majorBidi"/>
          <w:color w:val="0F1115"/>
          <w:sz w:val="28"/>
          <w:szCs w:val="28"/>
        </w:rPr>
        <w:t>.</w:t>
      </w:r>
    </w:p>
    <w:p w14:paraId="5E1CB0D9" w14:textId="77777777" w:rsidR="008850D4" w:rsidRPr="009C2096" w:rsidRDefault="008850D4" w:rsidP="008850D4">
      <w:pPr>
        <w:pStyle w:val="ds-markdown-paragraph"/>
        <w:numPr>
          <w:ilvl w:val="0"/>
          <w:numId w:val="26"/>
        </w:numPr>
        <w:shd w:val="clear" w:color="auto" w:fill="FFFFFF"/>
        <w:bidi/>
        <w:spacing w:before="0" w:beforeAutospacing="0" w:after="0" w:afterAutospacing="0"/>
        <w:rPr>
          <w:rFonts w:asciiTheme="majorBidi" w:hAnsiTheme="majorBidi" w:cstheme="majorBidi"/>
          <w:color w:val="0F1115"/>
          <w:sz w:val="28"/>
          <w:szCs w:val="28"/>
        </w:rPr>
      </w:pPr>
      <w:r w:rsidRPr="009C2096">
        <w:rPr>
          <w:rStyle w:val="Strong"/>
          <w:rFonts w:asciiTheme="majorBidi" w:eastAsiaTheme="majorEastAsia" w:hAnsiTheme="majorBidi" w:cstheme="majorBidi"/>
          <w:color w:val="0F1115"/>
          <w:sz w:val="28"/>
          <w:szCs w:val="28"/>
          <w:rtl/>
        </w:rPr>
        <w:t>منخفضة الجودة</w:t>
      </w:r>
      <w:r w:rsidRPr="009C2096">
        <w:rPr>
          <w:rStyle w:val="Strong"/>
          <w:rFonts w:asciiTheme="majorBidi" w:eastAsiaTheme="majorEastAsia" w:hAnsiTheme="majorBidi" w:cstheme="majorBidi"/>
          <w:color w:val="0F1115"/>
          <w:sz w:val="28"/>
          <w:szCs w:val="28"/>
        </w:rPr>
        <w:t>:</w:t>
      </w:r>
      <w:r w:rsidRPr="009C2096">
        <w:rPr>
          <w:rFonts w:asciiTheme="majorBidi" w:hAnsiTheme="majorBidi" w:cstheme="majorBidi"/>
          <w:color w:val="0F1115"/>
          <w:sz w:val="28"/>
          <w:szCs w:val="28"/>
        </w:rPr>
        <w:t> </w:t>
      </w:r>
      <w:r w:rsidRPr="009C2096">
        <w:rPr>
          <w:rFonts w:asciiTheme="majorBidi" w:hAnsiTheme="majorBidi" w:cstheme="majorBidi"/>
          <w:color w:val="0F1115"/>
          <w:sz w:val="28"/>
          <w:szCs w:val="28"/>
          <w:rtl/>
        </w:rPr>
        <w:t>إذا استوفت أقل من 50% من المعايير</w:t>
      </w:r>
      <w:r w:rsidRPr="009C2096">
        <w:rPr>
          <w:rFonts w:asciiTheme="majorBidi" w:hAnsiTheme="majorBidi" w:cstheme="majorBidi"/>
          <w:color w:val="0F1115"/>
          <w:sz w:val="28"/>
          <w:szCs w:val="28"/>
        </w:rPr>
        <w:t>.</w:t>
      </w:r>
    </w:p>
    <w:p w14:paraId="0DB96EBE" w14:textId="77777777" w:rsidR="008850D4" w:rsidRPr="009C2096" w:rsidRDefault="008850D4" w:rsidP="008850D4">
      <w:pPr>
        <w:pStyle w:val="ds-markdown-paragraph"/>
        <w:shd w:val="clear" w:color="auto" w:fill="FFFFFF"/>
        <w:bidi/>
        <w:spacing w:before="240" w:beforeAutospacing="0" w:after="240" w:afterAutospacing="0"/>
        <w:rPr>
          <w:rFonts w:asciiTheme="majorBidi" w:hAnsiTheme="majorBidi" w:cstheme="majorBidi"/>
          <w:color w:val="0F1115"/>
          <w:sz w:val="28"/>
          <w:szCs w:val="28"/>
        </w:rPr>
      </w:pPr>
      <w:r w:rsidRPr="009C2096">
        <w:rPr>
          <w:rFonts w:asciiTheme="majorBidi" w:hAnsiTheme="majorBidi" w:cstheme="majorBidi"/>
          <w:color w:val="0F1115"/>
          <w:sz w:val="28"/>
          <w:szCs w:val="28"/>
          <w:rtl/>
        </w:rPr>
        <w:t>تم استبعاد الدراسات منخفضة الجودة من التحليل النهائي لضمان موثوقية النتائج</w:t>
      </w:r>
      <w:r w:rsidRPr="009C2096">
        <w:rPr>
          <w:rFonts w:asciiTheme="majorBidi" w:hAnsiTheme="majorBidi" w:cstheme="majorBidi"/>
          <w:color w:val="0F1115"/>
          <w:sz w:val="28"/>
          <w:szCs w:val="28"/>
        </w:rPr>
        <w:t>.</w:t>
      </w:r>
    </w:p>
    <w:p w14:paraId="6313B334" w14:textId="3C739264" w:rsidR="00BC094B" w:rsidRPr="008850D4" w:rsidRDefault="00BC094B" w:rsidP="008850D4">
      <w:pPr>
        <w:spacing w:before="480" w:after="480"/>
        <w:rPr>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5B5DB33B" w14:textId="77777777" w:rsidR="00BC094B" w:rsidRPr="00A4595D" w:rsidRDefault="00BC094B" w:rsidP="00A4595D">
      <w:pPr>
        <w:bidi/>
        <w:rPr>
          <w:rFonts w:ascii="Sakkal Majalla" w:hAnsi="Sakkal Majalla" w:cs="Sakkal Majalla"/>
          <w:color w:val="FF0000"/>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A4595D">
      <w:pP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13645131" w14:textId="77777777" w:rsidR="00A4595D" w:rsidRDefault="00A4595D" w:rsidP="00D22171">
      <w:pPr>
        <w:rPr>
          <w:rFonts w:ascii="Sakkal Majalla" w:hAnsi="Sakkal Majalla" w:cs="Sakkal Majalla"/>
          <w:sz w:val="28"/>
          <w:szCs w:val="28"/>
          <w:u w:val="single"/>
          <w:rtl/>
        </w:rPr>
      </w:pPr>
    </w:p>
    <w:p w14:paraId="26410E8F" w14:textId="77777777" w:rsidR="00A4595D" w:rsidRDefault="00A4595D"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1EEC62BB" w14:textId="77777777" w:rsidR="009C2096" w:rsidRDefault="009C2096" w:rsidP="00D22171">
      <w:pPr>
        <w:rPr>
          <w:rFonts w:ascii="Sakkal Majalla" w:hAnsi="Sakkal Majalla" w:cs="Sakkal Majalla"/>
          <w:sz w:val="28"/>
          <w:szCs w:val="28"/>
          <w:u w:val="single"/>
          <w:rtl/>
        </w:rPr>
      </w:pPr>
    </w:p>
    <w:p w14:paraId="6EF1AD92" w14:textId="77777777" w:rsidR="009C2096" w:rsidRDefault="009C2096" w:rsidP="00D22171">
      <w:pPr>
        <w:rPr>
          <w:rFonts w:ascii="Sakkal Majalla" w:hAnsi="Sakkal Majalla" w:cs="Sakkal Majalla"/>
          <w:sz w:val="28"/>
          <w:szCs w:val="28"/>
          <w:u w:val="single"/>
          <w:rtl/>
        </w:rPr>
      </w:pPr>
    </w:p>
    <w:p w14:paraId="3F7F2FD3" w14:textId="77777777" w:rsidR="009C2096" w:rsidRDefault="009C2096" w:rsidP="00D22171">
      <w:pPr>
        <w:rPr>
          <w:rFonts w:ascii="Sakkal Majalla" w:hAnsi="Sakkal Majalla" w:cs="Sakkal Majalla"/>
          <w:sz w:val="28"/>
          <w:szCs w:val="28"/>
          <w:u w:val="single"/>
          <w:rtl/>
        </w:rPr>
      </w:pPr>
    </w:p>
    <w:p w14:paraId="46D3E4F9" w14:textId="1A8BBB77" w:rsidR="004163C7" w:rsidRDefault="004163C7" w:rsidP="00A4595D">
      <w:pPr>
        <w:bidi/>
        <w:rPr>
          <w:rFonts w:ascii="Sakkal Majalla" w:hAnsi="Sakkal Majalla" w:cs="Sakkal Majalla"/>
          <w:sz w:val="28"/>
          <w:szCs w:val="28"/>
          <w:u w:val="single"/>
          <w:rtl/>
        </w:rPr>
      </w:pPr>
    </w:p>
    <w:p w14:paraId="2B6E180B" w14:textId="77777777" w:rsidR="00A4595D" w:rsidRPr="009C2096" w:rsidRDefault="00A4595D" w:rsidP="00A4595D">
      <w:pPr>
        <w:pStyle w:val="Heading2"/>
        <w:shd w:val="clear" w:color="auto" w:fill="FFFFFF"/>
        <w:spacing w:before="480" w:after="240" w:line="480" w:lineRule="atLeast"/>
        <w:rPr>
          <w:rFonts w:ascii="Segoe UI" w:hAnsi="Segoe UI" w:cs="Segoe UI"/>
          <w:color w:val="0F1115"/>
          <w:sz w:val="28"/>
          <w:szCs w:val="28"/>
        </w:rPr>
      </w:pPr>
      <w:r w:rsidRPr="009C2096">
        <w:rPr>
          <w:rFonts w:ascii="Segoe UI" w:hAnsi="Segoe UI" w:cs="Times New Roman"/>
          <w:color w:val="0F1115"/>
          <w:sz w:val="28"/>
          <w:szCs w:val="28"/>
          <w:rtl/>
        </w:rPr>
        <w:lastRenderedPageBreak/>
        <w:t>نتائج المراجعة</w:t>
      </w:r>
    </w:p>
    <w:p w14:paraId="399D1A3D" w14:textId="48953726" w:rsidR="00A4595D" w:rsidRPr="009C2096" w:rsidRDefault="009C2096" w:rsidP="00A4595D">
      <w:pPr>
        <w:pStyle w:val="Heading3"/>
        <w:shd w:val="clear" w:color="auto" w:fill="FFFFFF"/>
        <w:bidi/>
        <w:spacing w:before="480" w:after="240" w:line="450" w:lineRule="atLeast"/>
        <w:rPr>
          <w:rFonts w:asciiTheme="majorBidi" w:hAnsiTheme="majorBidi"/>
          <w:color w:val="0F1115"/>
          <w:sz w:val="28"/>
          <w:szCs w:val="28"/>
        </w:rPr>
      </w:pPr>
      <w:r>
        <w:rPr>
          <w:rFonts w:ascii="Segoe UI" w:hAnsi="Segoe UI" w:cs="Segoe UI" w:hint="cs"/>
          <w:color w:val="0F1115"/>
          <w:sz w:val="30"/>
          <w:szCs w:val="30"/>
          <w:rtl/>
        </w:rPr>
        <w:t xml:space="preserve">٤.١. </w:t>
      </w:r>
      <w:r w:rsidR="00A4595D" w:rsidRPr="009C2096">
        <w:rPr>
          <w:rFonts w:asciiTheme="majorBidi" w:hAnsiTheme="majorBidi"/>
          <w:color w:val="0F1115"/>
          <w:sz w:val="28"/>
          <w:szCs w:val="28"/>
          <w:rtl/>
        </w:rPr>
        <w:t>نتائج البحث واختيار الدراسات</w:t>
      </w:r>
    </w:p>
    <w:p w14:paraId="5B04717F" w14:textId="470394E5" w:rsidR="00A4595D" w:rsidRPr="009C2096" w:rsidRDefault="00A4595D" w:rsidP="00A4595D">
      <w:pPr>
        <w:pStyle w:val="ds-markdown-paragraph"/>
        <w:shd w:val="clear" w:color="auto" w:fill="FFFFFF"/>
        <w:bidi/>
        <w:spacing w:before="240" w:beforeAutospacing="0" w:after="240" w:afterAutospacing="0"/>
        <w:rPr>
          <w:rFonts w:asciiTheme="majorBidi" w:hAnsiTheme="majorBidi" w:cstheme="majorBidi"/>
          <w:color w:val="0F1115"/>
          <w:sz w:val="28"/>
          <w:szCs w:val="28"/>
        </w:rPr>
      </w:pPr>
      <w:r w:rsidRPr="009C2096">
        <w:rPr>
          <w:rFonts w:asciiTheme="majorBidi" w:hAnsiTheme="majorBidi" w:cstheme="majorBidi"/>
          <w:color w:val="0F1115"/>
          <w:sz w:val="28"/>
          <w:szCs w:val="28"/>
          <w:rtl/>
        </w:rPr>
        <w:t xml:space="preserve">أسفر البحث في قواعد البيانات الإلكترونية عن </w:t>
      </w:r>
      <w:r w:rsidR="00FC721E">
        <w:rPr>
          <w:rFonts w:asciiTheme="majorBidi" w:hAnsiTheme="majorBidi" w:cstheme="majorBidi" w:hint="cs"/>
          <w:color w:val="0F1115"/>
          <w:sz w:val="28"/>
          <w:szCs w:val="28"/>
          <w:rtl/>
        </w:rPr>
        <w:t>عدة</w:t>
      </w:r>
      <w:r w:rsidRPr="009C2096">
        <w:rPr>
          <w:rFonts w:asciiTheme="majorBidi" w:hAnsiTheme="majorBidi" w:cstheme="majorBidi"/>
          <w:color w:val="0F1115"/>
          <w:sz w:val="28"/>
          <w:szCs w:val="28"/>
          <w:rtl/>
        </w:rPr>
        <w:t xml:space="preserve"> دراس</w:t>
      </w:r>
      <w:r w:rsidR="00FC721E">
        <w:rPr>
          <w:rFonts w:asciiTheme="majorBidi" w:hAnsiTheme="majorBidi" w:cstheme="majorBidi" w:hint="cs"/>
          <w:color w:val="0F1115"/>
          <w:sz w:val="28"/>
          <w:szCs w:val="28"/>
          <w:rtl/>
        </w:rPr>
        <w:t>ات</w:t>
      </w:r>
      <w:r w:rsidRPr="009C2096">
        <w:rPr>
          <w:rFonts w:asciiTheme="majorBidi" w:hAnsiTheme="majorBidi" w:cstheme="majorBidi"/>
          <w:color w:val="0F1115"/>
          <w:sz w:val="28"/>
          <w:szCs w:val="28"/>
          <w:rtl/>
        </w:rPr>
        <w:t xml:space="preserve"> موزعة كالتالي</w:t>
      </w:r>
      <w:r w:rsidRPr="009C2096">
        <w:rPr>
          <w:rFonts w:asciiTheme="majorBidi" w:hAnsiTheme="majorBidi" w:cstheme="majorBidi"/>
          <w:color w:val="0F1115"/>
          <w:sz w:val="28"/>
          <w:szCs w:val="28"/>
        </w:rPr>
        <w:t>:</w:t>
      </w:r>
    </w:p>
    <w:p w14:paraId="41972862" w14:textId="77EB688D" w:rsidR="00A4595D" w:rsidRPr="009C2096" w:rsidRDefault="009C2096" w:rsidP="009C2096">
      <w:pPr>
        <w:pStyle w:val="ds-markdown-paragraph"/>
        <w:numPr>
          <w:ilvl w:val="0"/>
          <w:numId w:val="27"/>
        </w:numPr>
        <w:shd w:val="clear" w:color="auto" w:fill="FFFFFF"/>
        <w:bidi/>
        <w:spacing w:before="0" w:beforeAutospacing="0" w:after="0" w:afterAutospacing="0"/>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٢٥ </w:t>
      </w:r>
      <w:r w:rsidR="00A4595D" w:rsidRPr="009C2096">
        <w:rPr>
          <w:rFonts w:asciiTheme="majorBidi" w:hAnsiTheme="majorBidi" w:cstheme="majorBidi"/>
          <w:color w:val="0F1115"/>
          <w:sz w:val="28"/>
          <w:szCs w:val="28"/>
          <w:rtl/>
        </w:rPr>
        <w:t>دراسة</w:t>
      </w:r>
      <w:r w:rsidR="00FC721E">
        <w:rPr>
          <w:rFonts w:asciiTheme="majorBidi" w:hAnsiTheme="majorBidi" w:cstheme="majorBidi" w:hint="cs"/>
          <w:color w:val="0F1115"/>
          <w:sz w:val="28"/>
          <w:szCs w:val="28"/>
          <w:rtl/>
        </w:rPr>
        <w:t xml:space="preserve"> </w:t>
      </w:r>
      <w:r w:rsidR="00A4595D" w:rsidRPr="009C2096">
        <w:rPr>
          <w:rFonts w:asciiTheme="majorBidi" w:hAnsiTheme="majorBidi" w:cstheme="majorBidi"/>
          <w:color w:val="0F1115"/>
          <w:sz w:val="28"/>
          <w:szCs w:val="28"/>
          <w:rtl/>
        </w:rPr>
        <w:t>تناول</w:t>
      </w:r>
      <w:r w:rsidR="00FC721E">
        <w:rPr>
          <w:rFonts w:asciiTheme="majorBidi" w:hAnsiTheme="majorBidi" w:cstheme="majorBidi" w:hint="cs"/>
          <w:color w:val="0F1115"/>
          <w:sz w:val="28"/>
          <w:szCs w:val="28"/>
          <w:rtl/>
        </w:rPr>
        <w:t>ت</w:t>
      </w:r>
      <w:r w:rsidR="00A4595D" w:rsidRPr="009C2096">
        <w:rPr>
          <w:rFonts w:asciiTheme="majorBidi" w:hAnsiTheme="majorBidi" w:cstheme="majorBidi"/>
          <w:color w:val="0F1115"/>
          <w:sz w:val="28"/>
          <w:szCs w:val="28"/>
          <w:rtl/>
        </w:rPr>
        <w:t xml:space="preserve"> ممارسات </w:t>
      </w:r>
      <w:r w:rsidR="00FC721E">
        <w:rPr>
          <w:rFonts w:asciiTheme="majorBidi" w:hAnsiTheme="majorBidi" w:cstheme="majorBidi" w:hint="cs"/>
          <w:color w:val="0F1115"/>
          <w:sz w:val="28"/>
          <w:szCs w:val="28"/>
          <w:rtl/>
        </w:rPr>
        <w:t xml:space="preserve">عن </w:t>
      </w:r>
      <w:r w:rsidR="00A4595D" w:rsidRPr="009C2096">
        <w:rPr>
          <w:rFonts w:asciiTheme="majorBidi" w:hAnsiTheme="majorBidi" w:cstheme="majorBidi"/>
          <w:color w:val="0F1115"/>
          <w:sz w:val="28"/>
          <w:szCs w:val="28"/>
          <w:rtl/>
        </w:rPr>
        <w:t>إدارة الموارد البشرية بشكل مباشر</w:t>
      </w:r>
      <w:r w:rsidR="00A4595D" w:rsidRPr="009C2096">
        <w:rPr>
          <w:rFonts w:asciiTheme="majorBidi" w:hAnsiTheme="majorBidi" w:cstheme="majorBidi"/>
          <w:color w:val="0F1115"/>
          <w:sz w:val="28"/>
          <w:szCs w:val="28"/>
        </w:rPr>
        <w:t>.</w:t>
      </w:r>
    </w:p>
    <w:p w14:paraId="5EF4FE2F" w14:textId="506B4822" w:rsidR="00A4595D" w:rsidRPr="009C2096" w:rsidRDefault="009C2096" w:rsidP="00A4595D">
      <w:pPr>
        <w:pStyle w:val="ds-markdown-paragraph"/>
        <w:numPr>
          <w:ilvl w:val="0"/>
          <w:numId w:val="28"/>
        </w:numPr>
        <w:shd w:val="clear" w:color="auto" w:fill="FFFFFF"/>
        <w:bidi/>
        <w:spacing w:before="0" w:beforeAutospacing="0" w:after="0" w:afterAutospacing="0"/>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١٨ </w:t>
      </w:r>
      <w:r w:rsidR="00A4595D" w:rsidRPr="009C2096">
        <w:rPr>
          <w:rFonts w:asciiTheme="majorBidi" w:hAnsiTheme="majorBidi" w:cstheme="majorBidi"/>
          <w:color w:val="0F1115"/>
          <w:sz w:val="28"/>
          <w:szCs w:val="28"/>
          <w:rtl/>
        </w:rPr>
        <w:t xml:space="preserve">دراسة ركزت على </w:t>
      </w:r>
      <w:r w:rsidR="00FC721E">
        <w:rPr>
          <w:rFonts w:asciiTheme="majorBidi" w:hAnsiTheme="majorBidi" w:cstheme="majorBidi" w:hint="cs"/>
          <w:color w:val="0F1115"/>
          <w:sz w:val="28"/>
          <w:szCs w:val="28"/>
          <w:rtl/>
        </w:rPr>
        <w:t>ال</w:t>
      </w:r>
      <w:r w:rsidR="00A4595D" w:rsidRPr="009C2096">
        <w:rPr>
          <w:rFonts w:asciiTheme="majorBidi" w:hAnsiTheme="majorBidi" w:cstheme="majorBidi"/>
          <w:color w:val="0F1115"/>
          <w:sz w:val="28"/>
          <w:szCs w:val="28"/>
          <w:rtl/>
        </w:rPr>
        <w:t>ك</w:t>
      </w:r>
      <w:r w:rsidR="00FC721E">
        <w:rPr>
          <w:rFonts w:asciiTheme="majorBidi" w:hAnsiTheme="majorBidi" w:cstheme="majorBidi" w:hint="cs"/>
          <w:color w:val="0F1115"/>
          <w:sz w:val="28"/>
          <w:szCs w:val="28"/>
          <w:rtl/>
        </w:rPr>
        <w:t>و</w:t>
      </w:r>
      <w:r w:rsidR="00A4595D" w:rsidRPr="009C2096">
        <w:rPr>
          <w:rFonts w:asciiTheme="majorBidi" w:hAnsiTheme="majorBidi" w:cstheme="majorBidi"/>
          <w:color w:val="0F1115"/>
          <w:sz w:val="28"/>
          <w:szCs w:val="28"/>
          <w:rtl/>
        </w:rPr>
        <w:t xml:space="preserve">ادر </w:t>
      </w:r>
      <w:r w:rsidR="00FC721E">
        <w:rPr>
          <w:rFonts w:asciiTheme="majorBidi" w:hAnsiTheme="majorBidi" w:cstheme="majorBidi" w:hint="cs"/>
          <w:color w:val="0F1115"/>
          <w:sz w:val="28"/>
          <w:szCs w:val="28"/>
          <w:rtl/>
        </w:rPr>
        <w:t xml:space="preserve">من </w:t>
      </w:r>
      <w:r w:rsidR="00A4595D" w:rsidRPr="009C2096">
        <w:rPr>
          <w:rFonts w:asciiTheme="majorBidi" w:hAnsiTheme="majorBidi" w:cstheme="majorBidi"/>
          <w:color w:val="0F1115"/>
          <w:sz w:val="28"/>
          <w:szCs w:val="28"/>
          <w:rtl/>
        </w:rPr>
        <w:t xml:space="preserve">غير </w:t>
      </w:r>
      <w:r w:rsidR="00FC721E">
        <w:rPr>
          <w:rFonts w:asciiTheme="majorBidi" w:hAnsiTheme="majorBidi" w:cstheme="majorBidi" w:hint="cs"/>
          <w:color w:val="0F1115"/>
          <w:sz w:val="28"/>
          <w:szCs w:val="28"/>
          <w:rtl/>
        </w:rPr>
        <w:t>الأطباء</w:t>
      </w:r>
      <w:r w:rsidR="00A4595D" w:rsidRPr="009C2096">
        <w:rPr>
          <w:rFonts w:asciiTheme="majorBidi" w:hAnsiTheme="majorBidi" w:cstheme="majorBidi"/>
          <w:color w:val="0F1115"/>
          <w:sz w:val="28"/>
          <w:szCs w:val="28"/>
          <w:rtl/>
        </w:rPr>
        <w:t xml:space="preserve"> (إداريين، فنيين مساعدين</w:t>
      </w:r>
      <w:r w:rsidR="00FC721E">
        <w:rPr>
          <w:rFonts w:asciiTheme="majorBidi" w:hAnsiTheme="majorBidi" w:cstheme="majorBidi" w:hint="cs"/>
          <w:color w:val="0F1115"/>
          <w:sz w:val="28"/>
          <w:szCs w:val="28"/>
          <w:rtl/>
        </w:rPr>
        <w:t>).</w:t>
      </w:r>
    </w:p>
    <w:p w14:paraId="031D56B3" w14:textId="400D2956" w:rsidR="00A4595D" w:rsidRPr="009C2096" w:rsidRDefault="009C2096" w:rsidP="00A4595D">
      <w:pPr>
        <w:pStyle w:val="ds-markdown-paragraph"/>
        <w:numPr>
          <w:ilvl w:val="0"/>
          <w:numId w:val="28"/>
        </w:numPr>
        <w:shd w:val="clear" w:color="auto" w:fill="FFFFFF"/>
        <w:bidi/>
        <w:spacing w:before="0" w:beforeAutospacing="0" w:after="0" w:afterAutospacing="0"/>
        <w:rPr>
          <w:rFonts w:asciiTheme="majorBidi" w:hAnsiTheme="majorBidi" w:cstheme="majorBidi"/>
          <w:color w:val="0F1115"/>
          <w:sz w:val="28"/>
          <w:szCs w:val="28"/>
        </w:rPr>
      </w:pPr>
      <w:r>
        <w:rPr>
          <w:rFonts w:asciiTheme="majorBidi" w:hAnsiTheme="majorBidi" w:cstheme="majorBidi" w:hint="cs"/>
          <w:color w:val="0F1115"/>
          <w:sz w:val="28"/>
          <w:szCs w:val="28"/>
          <w:rtl/>
        </w:rPr>
        <w:t xml:space="preserve">٥ </w:t>
      </w:r>
      <w:r w:rsidR="00A4595D" w:rsidRPr="009C2096">
        <w:rPr>
          <w:rFonts w:asciiTheme="majorBidi" w:hAnsiTheme="majorBidi" w:cstheme="majorBidi"/>
          <w:color w:val="0F1115"/>
          <w:sz w:val="28"/>
          <w:szCs w:val="28"/>
          <w:rtl/>
        </w:rPr>
        <w:t>دراسات</w:t>
      </w:r>
      <w:r w:rsidR="00FC721E">
        <w:rPr>
          <w:rFonts w:asciiTheme="majorBidi" w:hAnsiTheme="majorBidi" w:cstheme="majorBidi" w:hint="cs"/>
          <w:color w:val="0F1115"/>
          <w:sz w:val="28"/>
          <w:szCs w:val="28"/>
          <w:rtl/>
        </w:rPr>
        <w:t xml:space="preserve"> </w:t>
      </w:r>
      <w:r w:rsidR="00A4595D" w:rsidRPr="009C2096">
        <w:rPr>
          <w:rFonts w:asciiTheme="majorBidi" w:hAnsiTheme="majorBidi" w:cstheme="majorBidi"/>
          <w:color w:val="0F1115"/>
          <w:sz w:val="28"/>
          <w:szCs w:val="28"/>
          <w:rtl/>
        </w:rPr>
        <w:t>رسائل جامعية</w:t>
      </w:r>
      <w:r w:rsidR="00A4595D" w:rsidRPr="009C2096">
        <w:rPr>
          <w:rFonts w:asciiTheme="majorBidi" w:hAnsiTheme="majorBidi" w:cstheme="majorBidi"/>
          <w:color w:val="0F1115"/>
          <w:sz w:val="28"/>
          <w:szCs w:val="28"/>
        </w:rPr>
        <w:t>.</w:t>
      </w:r>
    </w:p>
    <w:p w14:paraId="1793CD1F" w14:textId="77777777" w:rsidR="00A4595D" w:rsidRPr="009C2096" w:rsidRDefault="00A4595D" w:rsidP="00A4595D">
      <w:pPr>
        <w:pStyle w:val="ds-markdown-paragraph"/>
        <w:shd w:val="clear" w:color="auto" w:fill="FFFFFF"/>
        <w:bidi/>
        <w:spacing w:before="240" w:beforeAutospacing="0" w:after="240" w:afterAutospacing="0"/>
        <w:rPr>
          <w:rFonts w:asciiTheme="majorBidi" w:hAnsiTheme="majorBidi" w:cstheme="majorBidi"/>
          <w:color w:val="0F1115"/>
          <w:sz w:val="28"/>
          <w:szCs w:val="28"/>
        </w:rPr>
      </w:pPr>
      <w:r w:rsidRPr="009C2096">
        <w:rPr>
          <w:rFonts w:asciiTheme="majorBidi" w:hAnsiTheme="majorBidi" w:cstheme="majorBidi"/>
          <w:color w:val="0F1115"/>
          <w:sz w:val="28"/>
          <w:szCs w:val="28"/>
          <w:rtl/>
        </w:rPr>
        <w:t>استوفى 42 دراسة معايير الاشتمال وتم تضمينها في المراجعة النهائية</w:t>
      </w:r>
      <w:r w:rsidRPr="009C2096">
        <w:rPr>
          <w:rFonts w:asciiTheme="majorBidi" w:hAnsiTheme="majorBidi" w:cstheme="majorBidi"/>
          <w:color w:val="0F1115"/>
          <w:sz w:val="28"/>
          <w:szCs w:val="28"/>
        </w:rPr>
        <w:t>.</w:t>
      </w:r>
    </w:p>
    <w:p w14:paraId="56C9D24F" w14:textId="11A111D9" w:rsidR="00A4595D" w:rsidRPr="00FC721E" w:rsidRDefault="00FC721E" w:rsidP="00FC721E">
      <w:pPr>
        <w:pStyle w:val="Heading3"/>
        <w:shd w:val="clear" w:color="auto" w:fill="FFFFFF"/>
        <w:bidi/>
        <w:spacing w:before="480" w:after="240" w:line="450" w:lineRule="atLeast"/>
        <w:rPr>
          <w:rFonts w:asciiTheme="majorBidi" w:hAnsiTheme="majorBidi"/>
          <w:color w:val="0F1115"/>
          <w:sz w:val="28"/>
          <w:szCs w:val="28"/>
        </w:rPr>
      </w:pPr>
      <w:r>
        <w:rPr>
          <w:rFonts w:asciiTheme="majorBidi" w:hAnsiTheme="majorBidi" w:hint="cs"/>
          <w:color w:val="0F1115"/>
          <w:sz w:val="28"/>
          <w:szCs w:val="28"/>
          <w:rtl/>
        </w:rPr>
        <w:t xml:space="preserve">٤.٢. </w:t>
      </w:r>
      <w:r w:rsidR="00A4595D" w:rsidRPr="00FC721E">
        <w:rPr>
          <w:rFonts w:asciiTheme="majorBidi" w:hAnsiTheme="majorBidi"/>
          <w:color w:val="0F1115"/>
          <w:sz w:val="28"/>
          <w:szCs w:val="28"/>
          <w:rtl/>
        </w:rPr>
        <w:t>خصائص الدراسات المشمولة</w:t>
      </w:r>
    </w:p>
    <w:p w14:paraId="17960854" w14:textId="77777777" w:rsidR="00A4595D" w:rsidRPr="00FC721E" w:rsidRDefault="00A4595D" w:rsidP="00FC721E">
      <w:pPr>
        <w:pStyle w:val="Heading4"/>
        <w:shd w:val="clear" w:color="auto" w:fill="FFFFFF"/>
        <w:bidi/>
        <w:spacing w:before="240" w:after="240" w:line="420" w:lineRule="atLeast"/>
        <w:rPr>
          <w:rFonts w:asciiTheme="majorBidi" w:hAnsiTheme="majorBidi"/>
          <w:i w:val="0"/>
          <w:iCs w:val="0"/>
          <w:color w:val="0F1115"/>
          <w:sz w:val="28"/>
          <w:szCs w:val="28"/>
        </w:rPr>
      </w:pPr>
      <w:r w:rsidRPr="00FC721E">
        <w:rPr>
          <w:rFonts w:asciiTheme="majorBidi" w:hAnsiTheme="majorBidi"/>
          <w:i w:val="0"/>
          <w:iCs w:val="0"/>
          <w:color w:val="0F1115"/>
          <w:sz w:val="28"/>
          <w:szCs w:val="28"/>
          <w:rtl/>
        </w:rPr>
        <w:t>جدول (4-1): خصائص الدراسات المشمولة في المراجعة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2244"/>
        <w:gridCol w:w="822"/>
        <w:gridCol w:w="1438"/>
      </w:tblGrid>
      <w:tr w:rsidR="00A4595D" w14:paraId="22C79F50" w14:textId="77777777" w:rsidTr="00FC721E">
        <w:trPr>
          <w:tblHeader/>
        </w:trPr>
        <w:tc>
          <w:tcPr>
            <w:tcW w:w="0" w:type="auto"/>
            <w:tcMar>
              <w:top w:w="150" w:type="dxa"/>
              <w:left w:w="0" w:type="dxa"/>
              <w:bottom w:w="150" w:type="dxa"/>
              <w:right w:w="240" w:type="dxa"/>
            </w:tcMar>
            <w:vAlign w:val="center"/>
            <w:hideMark/>
          </w:tcPr>
          <w:p w14:paraId="71CA3A02"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الخاصية</w:t>
            </w:r>
          </w:p>
        </w:tc>
        <w:tc>
          <w:tcPr>
            <w:tcW w:w="0" w:type="auto"/>
            <w:tcMar>
              <w:top w:w="150" w:type="dxa"/>
              <w:left w:w="240" w:type="dxa"/>
              <w:bottom w:w="150" w:type="dxa"/>
              <w:right w:w="240" w:type="dxa"/>
            </w:tcMar>
            <w:vAlign w:val="center"/>
            <w:hideMark/>
          </w:tcPr>
          <w:p w14:paraId="7620411B"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الفئة</w:t>
            </w:r>
          </w:p>
        </w:tc>
        <w:tc>
          <w:tcPr>
            <w:tcW w:w="0" w:type="auto"/>
            <w:tcMar>
              <w:top w:w="150" w:type="dxa"/>
              <w:left w:w="240" w:type="dxa"/>
              <w:bottom w:w="150" w:type="dxa"/>
              <w:right w:w="240" w:type="dxa"/>
            </w:tcMar>
            <w:vAlign w:val="center"/>
            <w:hideMark/>
          </w:tcPr>
          <w:p w14:paraId="4E6E95AE"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العدد</w:t>
            </w:r>
          </w:p>
        </w:tc>
        <w:tc>
          <w:tcPr>
            <w:tcW w:w="0" w:type="auto"/>
            <w:tcMar>
              <w:top w:w="150" w:type="dxa"/>
              <w:left w:w="240" w:type="dxa"/>
              <w:bottom w:w="150" w:type="dxa"/>
              <w:right w:w="240" w:type="dxa"/>
            </w:tcMar>
            <w:vAlign w:val="center"/>
            <w:hideMark/>
          </w:tcPr>
          <w:p w14:paraId="03710B35"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النسبة المئوية</w:t>
            </w:r>
          </w:p>
        </w:tc>
      </w:tr>
      <w:tr w:rsidR="00A4595D" w14:paraId="40F75197" w14:textId="77777777" w:rsidTr="00FC721E">
        <w:tc>
          <w:tcPr>
            <w:tcW w:w="0" w:type="auto"/>
            <w:tcMar>
              <w:top w:w="150" w:type="dxa"/>
              <w:left w:w="0" w:type="dxa"/>
              <w:bottom w:w="150" w:type="dxa"/>
              <w:right w:w="240" w:type="dxa"/>
            </w:tcMar>
            <w:vAlign w:val="center"/>
            <w:hideMark/>
          </w:tcPr>
          <w:p w14:paraId="5F37763C"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سنة النشر</w:t>
            </w:r>
          </w:p>
        </w:tc>
        <w:tc>
          <w:tcPr>
            <w:tcW w:w="0" w:type="auto"/>
            <w:tcMar>
              <w:top w:w="150" w:type="dxa"/>
              <w:left w:w="240" w:type="dxa"/>
              <w:bottom w:w="150" w:type="dxa"/>
              <w:right w:w="240" w:type="dxa"/>
            </w:tcMar>
            <w:vAlign w:val="center"/>
            <w:hideMark/>
          </w:tcPr>
          <w:p w14:paraId="6DBFC225"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2015-2018</w:t>
            </w:r>
          </w:p>
        </w:tc>
        <w:tc>
          <w:tcPr>
            <w:tcW w:w="0" w:type="auto"/>
            <w:tcMar>
              <w:top w:w="150" w:type="dxa"/>
              <w:left w:w="240" w:type="dxa"/>
              <w:bottom w:w="150" w:type="dxa"/>
              <w:right w:w="240" w:type="dxa"/>
            </w:tcMar>
            <w:vAlign w:val="center"/>
            <w:hideMark/>
          </w:tcPr>
          <w:p w14:paraId="70880A49"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10</w:t>
            </w:r>
          </w:p>
        </w:tc>
        <w:tc>
          <w:tcPr>
            <w:tcW w:w="0" w:type="auto"/>
            <w:tcMar>
              <w:top w:w="150" w:type="dxa"/>
              <w:left w:w="240" w:type="dxa"/>
              <w:bottom w:w="150" w:type="dxa"/>
              <w:right w:w="0" w:type="dxa"/>
            </w:tcMar>
            <w:vAlign w:val="center"/>
            <w:hideMark/>
          </w:tcPr>
          <w:p w14:paraId="2DFF94AC"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23.8%</w:t>
            </w:r>
          </w:p>
        </w:tc>
      </w:tr>
      <w:tr w:rsidR="00A4595D" w14:paraId="2DE3DD20" w14:textId="77777777" w:rsidTr="00FC721E">
        <w:tc>
          <w:tcPr>
            <w:tcW w:w="0" w:type="auto"/>
            <w:tcMar>
              <w:top w:w="150" w:type="dxa"/>
              <w:left w:w="0" w:type="dxa"/>
              <w:bottom w:w="150" w:type="dxa"/>
              <w:right w:w="240" w:type="dxa"/>
            </w:tcMar>
            <w:vAlign w:val="center"/>
            <w:hideMark/>
          </w:tcPr>
          <w:p w14:paraId="6B01F627"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454D3060"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2019-2022</w:t>
            </w:r>
          </w:p>
        </w:tc>
        <w:tc>
          <w:tcPr>
            <w:tcW w:w="0" w:type="auto"/>
            <w:tcMar>
              <w:top w:w="150" w:type="dxa"/>
              <w:left w:w="240" w:type="dxa"/>
              <w:bottom w:w="150" w:type="dxa"/>
              <w:right w:w="240" w:type="dxa"/>
            </w:tcMar>
            <w:vAlign w:val="center"/>
            <w:hideMark/>
          </w:tcPr>
          <w:p w14:paraId="3D45B69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18</w:t>
            </w:r>
          </w:p>
        </w:tc>
        <w:tc>
          <w:tcPr>
            <w:tcW w:w="0" w:type="auto"/>
            <w:tcMar>
              <w:top w:w="150" w:type="dxa"/>
              <w:left w:w="240" w:type="dxa"/>
              <w:bottom w:w="150" w:type="dxa"/>
              <w:right w:w="0" w:type="dxa"/>
            </w:tcMar>
            <w:vAlign w:val="center"/>
            <w:hideMark/>
          </w:tcPr>
          <w:p w14:paraId="367B2915"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42.9%</w:t>
            </w:r>
          </w:p>
        </w:tc>
      </w:tr>
      <w:tr w:rsidR="00A4595D" w14:paraId="3F88FB58" w14:textId="77777777" w:rsidTr="00FC721E">
        <w:tc>
          <w:tcPr>
            <w:tcW w:w="0" w:type="auto"/>
            <w:tcMar>
              <w:top w:w="150" w:type="dxa"/>
              <w:left w:w="0" w:type="dxa"/>
              <w:bottom w:w="150" w:type="dxa"/>
              <w:right w:w="240" w:type="dxa"/>
            </w:tcMar>
            <w:vAlign w:val="center"/>
            <w:hideMark/>
          </w:tcPr>
          <w:p w14:paraId="19A6EDF1"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3402FDC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2023-2026</w:t>
            </w:r>
          </w:p>
        </w:tc>
        <w:tc>
          <w:tcPr>
            <w:tcW w:w="0" w:type="auto"/>
            <w:tcMar>
              <w:top w:w="150" w:type="dxa"/>
              <w:left w:w="240" w:type="dxa"/>
              <w:bottom w:w="150" w:type="dxa"/>
              <w:right w:w="240" w:type="dxa"/>
            </w:tcMar>
            <w:vAlign w:val="center"/>
            <w:hideMark/>
          </w:tcPr>
          <w:p w14:paraId="71CFBE1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14</w:t>
            </w:r>
          </w:p>
        </w:tc>
        <w:tc>
          <w:tcPr>
            <w:tcW w:w="0" w:type="auto"/>
            <w:tcMar>
              <w:top w:w="150" w:type="dxa"/>
              <w:left w:w="240" w:type="dxa"/>
              <w:bottom w:w="150" w:type="dxa"/>
              <w:right w:w="0" w:type="dxa"/>
            </w:tcMar>
            <w:vAlign w:val="center"/>
            <w:hideMark/>
          </w:tcPr>
          <w:p w14:paraId="49BBAA81"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33.3%</w:t>
            </w:r>
          </w:p>
        </w:tc>
      </w:tr>
      <w:tr w:rsidR="00A4595D" w14:paraId="36F8185C" w14:textId="77777777" w:rsidTr="00FC721E">
        <w:tc>
          <w:tcPr>
            <w:tcW w:w="0" w:type="auto"/>
            <w:tcMar>
              <w:top w:w="150" w:type="dxa"/>
              <w:left w:w="0" w:type="dxa"/>
              <w:bottom w:w="150" w:type="dxa"/>
              <w:right w:w="240" w:type="dxa"/>
            </w:tcMar>
            <w:vAlign w:val="center"/>
            <w:hideMark/>
          </w:tcPr>
          <w:p w14:paraId="051F28B4"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المنهجية</w:t>
            </w:r>
          </w:p>
        </w:tc>
        <w:tc>
          <w:tcPr>
            <w:tcW w:w="0" w:type="auto"/>
            <w:tcMar>
              <w:top w:w="150" w:type="dxa"/>
              <w:left w:w="240" w:type="dxa"/>
              <w:bottom w:w="150" w:type="dxa"/>
              <w:right w:w="240" w:type="dxa"/>
            </w:tcMar>
            <w:vAlign w:val="center"/>
            <w:hideMark/>
          </w:tcPr>
          <w:p w14:paraId="17692AAE"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كمية (مقطعية</w:t>
            </w:r>
            <w:r>
              <w:rPr>
                <w:rFonts w:ascii="Segoe UI" w:hAnsi="Segoe UI" w:cs="Segoe UI"/>
                <w:sz w:val="23"/>
                <w:szCs w:val="23"/>
              </w:rPr>
              <w:t>)</w:t>
            </w:r>
          </w:p>
        </w:tc>
        <w:tc>
          <w:tcPr>
            <w:tcW w:w="0" w:type="auto"/>
            <w:tcMar>
              <w:top w:w="150" w:type="dxa"/>
              <w:left w:w="240" w:type="dxa"/>
              <w:bottom w:w="150" w:type="dxa"/>
              <w:right w:w="240" w:type="dxa"/>
            </w:tcMar>
            <w:vAlign w:val="center"/>
            <w:hideMark/>
          </w:tcPr>
          <w:p w14:paraId="38970BE9"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28</w:t>
            </w:r>
          </w:p>
        </w:tc>
        <w:tc>
          <w:tcPr>
            <w:tcW w:w="0" w:type="auto"/>
            <w:tcMar>
              <w:top w:w="150" w:type="dxa"/>
              <w:left w:w="240" w:type="dxa"/>
              <w:bottom w:w="150" w:type="dxa"/>
              <w:right w:w="0" w:type="dxa"/>
            </w:tcMar>
            <w:vAlign w:val="center"/>
            <w:hideMark/>
          </w:tcPr>
          <w:p w14:paraId="15B0B40D"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66.7%</w:t>
            </w:r>
          </w:p>
        </w:tc>
      </w:tr>
      <w:tr w:rsidR="00A4595D" w14:paraId="3DA43F8A" w14:textId="77777777" w:rsidTr="00FC721E">
        <w:tc>
          <w:tcPr>
            <w:tcW w:w="0" w:type="auto"/>
            <w:tcMar>
              <w:top w:w="150" w:type="dxa"/>
              <w:left w:w="0" w:type="dxa"/>
              <w:bottom w:w="150" w:type="dxa"/>
              <w:right w:w="240" w:type="dxa"/>
            </w:tcMar>
            <w:vAlign w:val="center"/>
            <w:hideMark/>
          </w:tcPr>
          <w:p w14:paraId="66CB5FC1"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23256341"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كمية (طولية</w:t>
            </w:r>
            <w:r>
              <w:rPr>
                <w:rFonts w:ascii="Segoe UI" w:hAnsi="Segoe UI" w:cs="Segoe UI"/>
                <w:sz w:val="23"/>
                <w:szCs w:val="23"/>
              </w:rPr>
              <w:t>)</w:t>
            </w:r>
          </w:p>
        </w:tc>
        <w:tc>
          <w:tcPr>
            <w:tcW w:w="0" w:type="auto"/>
            <w:tcMar>
              <w:top w:w="150" w:type="dxa"/>
              <w:left w:w="240" w:type="dxa"/>
              <w:bottom w:w="150" w:type="dxa"/>
              <w:right w:w="240" w:type="dxa"/>
            </w:tcMar>
            <w:vAlign w:val="center"/>
            <w:hideMark/>
          </w:tcPr>
          <w:p w14:paraId="6C5D7CE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5</w:t>
            </w:r>
          </w:p>
        </w:tc>
        <w:tc>
          <w:tcPr>
            <w:tcW w:w="0" w:type="auto"/>
            <w:tcMar>
              <w:top w:w="150" w:type="dxa"/>
              <w:left w:w="240" w:type="dxa"/>
              <w:bottom w:w="150" w:type="dxa"/>
              <w:right w:w="0" w:type="dxa"/>
            </w:tcMar>
            <w:vAlign w:val="center"/>
            <w:hideMark/>
          </w:tcPr>
          <w:p w14:paraId="598E2813"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11.9%</w:t>
            </w:r>
          </w:p>
        </w:tc>
      </w:tr>
      <w:tr w:rsidR="00A4595D" w14:paraId="4E3E98FD" w14:textId="77777777" w:rsidTr="00FC721E">
        <w:tc>
          <w:tcPr>
            <w:tcW w:w="0" w:type="auto"/>
            <w:tcMar>
              <w:top w:w="150" w:type="dxa"/>
              <w:left w:w="0" w:type="dxa"/>
              <w:bottom w:w="150" w:type="dxa"/>
              <w:right w:w="240" w:type="dxa"/>
            </w:tcMar>
            <w:vAlign w:val="center"/>
            <w:hideMark/>
          </w:tcPr>
          <w:p w14:paraId="6126546B"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16816B0F"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نوعية</w:t>
            </w:r>
          </w:p>
        </w:tc>
        <w:tc>
          <w:tcPr>
            <w:tcW w:w="0" w:type="auto"/>
            <w:tcMar>
              <w:top w:w="150" w:type="dxa"/>
              <w:left w:w="240" w:type="dxa"/>
              <w:bottom w:w="150" w:type="dxa"/>
              <w:right w:w="240" w:type="dxa"/>
            </w:tcMar>
            <w:vAlign w:val="center"/>
            <w:hideMark/>
          </w:tcPr>
          <w:p w14:paraId="7DF4DE49"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6</w:t>
            </w:r>
          </w:p>
        </w:tc>
        <w:tc>
          <w:tcPr>
            <w:tcW w:w="0" w:type="auto"/>
            <w:tcMar>
              <w:top w:w="150" w:type="dxa"/>
              <w:left w:w="240" w:type="dxa"/>
              <w:bottom w:w="150" w:type="dxa"/>
              <w:right w:w="0" w:type="dxa"/>
            </w:tcMar>
            <w:vAlign w:val="center"/>
            <w:hideMark/>
          </w:tcPr>
          <w:p w14:paraId="36008D6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14.3%</w:t>
            </w:r>
          </w:p>
        </w:tc>
      </w:tr>
      <w:tr w:rsidR="00A4595D" w14:paraId="50CE4011" w14:textId="77777777" w:rsidTr="00FC721E">
        <w:tc>
          <w:tcPr>
            <w:tcW w:w="0" w:type="auto"/>
            <w:tcMar>
              <w:top w:w="150" w:type="dxa"/>
              <w:left w:w="0" w:type="dxa"/>
              <w:bottom w:w="150" w:type="dxa"/>
              <w:right w:w="240" w:type="dxa"/>
            </w:tcMar>
            <w:vAlign w:val="center"/>
            <w:hideMark/>
          </w:tcPr>
          <w:p w14:paraId="52800E8E"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15BB45F7"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مختلطة</w:t>
            </w:r>
          </w:p>
        </w:tc>
        <w:tc>
          <w:tcPr>
            <w:tcW w:w="0" w:type="auto"/>
            <w:tcMar>
              <w:top w:w="150" w:type="dxa"/>
              <w:left w:w="240" w:type="dxa"/>
              <w:bottom w:w="150" w:type="dxa"/>
              <w:right w:w="240" w:type="dxa"/>
            </w:tcMar>
            <w:vAlign w:val="center"/>
            <w:hideMark/>
          </w:tcPr>
          <w:p w14:paraId="4C77C92E"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3</w:t>
            </w:r>
          </w:p>
        </w:tc>
        <w:tc>
          <w:tcPr>
            <w:tcW w:w="0" w:type="auto"/>
            <w:tcMar>
              <w:top w:w="150" w:type="dxa"/>
              <w:left w:w="240" w:type="dxa"/>
              <w:bottom w:w="150" w:type="dxa"/>
              <w:right w:w="0" w:type="dxa"/>
            </w:tcMar>
            <w:vAlign w:val="center"/>
            <w:hideMark/>
          </w:tcPr>
          <w:p w14:paraId="2A6DC93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7.1%</w:t>
            </w:r>
          </w:p>
        </w:tc>
      </w:tr>
      <w:tr w:rsidR="00A4595D" w14:paraId="7DD7BCC0" w14:textId="77777777" w:rsidTr="00FC721E">
        <w:tc>
          <w:tcPr>
            <w:tcW w:w="0" w:type="auto"/>
            <w:tcMar>
              <w:top w:w="150" w:type="dxa"/>
              <w:left w:w="0" w:type="dxa"/>
              <w:bottom w:w="150" w:type="dxa"/>
              <w:right w:w="240" w:type="dxa"/>
            </w:tcMar>
            <w:vAlign w:val="center"/>
            <w:hideMark/>
          </w:tcPr>
          <w:p w14:paraId="137C9F46"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النطاق الجغرافي</w:t>
            </w:r>
          </w:p>
        </w:tc>
        <w:tc>
          <w:tcPr>
            <w:tcW w:w="0" w:type="auto"/>
            <w:tcMar>
              <w:top w:w="150" w:type="dxa"/>
              <w:left w:w="240" w:type="dxa"/>
              <w:bottom w:w="150" w:type="dxa"/>
              <w:right w:w="240" w:type="dxa"/>
            </w:tcMar>
            <w:vAlign w:val="center"/>
            <w:hideMark/>
          </w:tcPr>
          <w:p w14:paraId="2EF704C4"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أمريكا الشمالية</w:t>
            </w:r>
          </w:p>
        </w:tc>
        <w:tc>
          <w:tcPr>
            <w:tcW w:w="0" w:type="auto"/>
            <w:tcMar>
              <w:top w:w="150" w:type="dxa"/>
              <w:left w:w="240" w:type="dxa"/>
              <w:bottom w:w="150" w:type="dxa"/>
              <w:right w:w="240" w:type="dxa"/>
            </w:tcMar>
            <w:vAlign w:val="center"/>
            <w:hideMark/>
          </w:tcPr>
          <w:p w14:paraId="557E9FD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12</w:t>
            </w:r>
          </w:p>
        </w:tc>
        <w:tc>
          <w:tcPr>
            <w:tcW w:w="0" w:type="auto"/>
            <w:tcMar>
              <w:top w:w="150" w:type="dxa"/>
              <w:left w:w="240" w:type="dxa"/>
              <w:bottom w:w="150" w:type="dxa"/>
              <w:right w:w="0" w:type="dxa"/>
            </w:tcMar>
            <w:vAlign w:val="center"/>
            <w:hideMark/>
          </w:tcPr>
          <w:p w14:paraId="75C7676D"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28.6%</w:t>
            </w:r>
          </w:p>
        </w:tc>
      </w:tr>
      <w:tr w:rsidR="00A4595D" w14:paraId="2C61096A" w14:textId="77777777" w:rsidTr="00FC721E">
        <w:tc>
          <w:tcPr>
            <w:tcW w:w="0" w:type="auto"/>
            <w:tcMar>
              <w:top w:w="150" w:type="dxa"/>
              <w:left w:w="0" w:type="dxa"/>
              <w:bottom w:w="150" w:type="dxa"/>
              <w:right w:w="240" w:type="dxa"/>
            </w:tcMar>
            <w:vAlign w:val="center"/>
            <w:hideMark/>
          </w:tcPr>
          <w:p w14:paraId="58711134"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04ADD0AF"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أوروبا</w:t>
            </w:r>
          </w:p>
        </w:tc>
        <w:tc>
          <w:tcPr>
            <w:tcW w:w="0" w:type="auto"/>
            <w:tcMar>
              <w:top w:w="150" w:type="dxa"/>
              <w:left w:w="240" w:type="dxa"/>
              <w:bottom w:w="150" w:type="dxa"/>
              <w:right w:w="240" w:type="dxa"/>
            </w:tcMar>
            <w:vAlign w:val="center"/>
            <w:hideMark/>
          </w:tcPr>
          <w:p w14:paraId="1B2B866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10</w:t>
            </w:r>
          </w:p>
        </w:tc>
        <w:tc>
          <w:tcPr>
            <w:tcW w:w="0" w:type="auto"/>
            <w:tcMar>
              <w:top w:w="150" w:type="dxa"/>
              <w:left w:w="240" w:type="dxa"/>
              <w:bottom w:w="150" w:type="dxa"/>
              <w:right w:w="0" w:type="dxa"/>
            </w:tcMar>
            <w:vAlign w:val="center"/>
            <w:hideMark/>
          </w:tcPr>
          <w:p w14:paraId="6FD07D3A"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23.8%</w:t>
            </w:r>
          </w:p>
        </w:tc>
      </w:tr>
      <w:tr w:rsidR="00A4595D" w14:paraId="4F84708B" w14:textId="77777777" w:rsidTr="00FC721E">
        <w:tc>
          <w:tcPr>
            <w:tcW w:w="0" w:type="auto"/>
            <w:tcMar>
              <w:top w:w="150" w:type="dxa"/>
              <w:left w:w="0" w:type="dxa"/>
              <w:bottom w:w="150" w:type="dxa"/>
              <w:right w:w="240" w:type="dxa"/>
            </w:tcMar>
            <w:vAlign w:val="center"/>
            <w:hideMark/>
          </w:tcPr>
          <w:p w14:paraId="21B2FE5A"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6AD48A2D"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آسيا</w:t>
            </w:r>
          </w:p>
        </w:tc>
        <w:tc>
          <w:tcPr>
            <w:tcW w:w="0" w:type="auto"/>
            <w:tcMar>
              <w:top w:w="150" w:type="dxa"/>
              <w:left w:w="240" w:type="dxa"/>
              <w:bottom w:w="150" w:type="dxa"/>
              <w:right w:w="240" w:type="dxa"/>
            </w:tcMar>
            <w:vAlign w:val="center"/>
            <w:hideMark/>
          </w:tcPr>
          <w:p w14:paraId="76C5C520"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8</w:t>
            </w:r>
          </w:p>
        </w:tc>
        <w:tc>
          <w:tcPr>
            <w:tcW w:w="0" w:type="auto"/>
            <w:tcMar>
              <w:top w:w="150" w:type="dxa"/>
              <w:left w:w="240" w:type="dxa"/>
              <w:bottom w:w="150" w:type="dxa"/>
              <w:right w:w="0" w:type="dxa"/>
            </w:tcMar>
            <w:vAlign w:val="center"/>
            <w:hideMark/>
          </w:tcPr>
          <w:p w14:paraId="1C28424E"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19.0%</w:t>
            </w:r>
          </w:p>
        </w:tc>
      </w:tr>
      <w:tr w:rsidR="00A4595D" w14:paraId="7708E52D" w14:textId="77777777" w:rsidTr="00FC721E">
        <w:tc>
          <w:tcPr>
            <w:tcW w:w="0" w:type="auto"/>
            <w:tcMar>
              <w:top w:w="150" w:type="dxa"/>
              <w:left w:w="0" w:type="dxa"/>
              <w:bottom w:w="150" w:type="dxa"/>
              <w:right w:w="240" w:type="dxa"/>
            </w:tcMar>
            <w:vAlign w:val="center"/>
            <w:hideMark/>
          </w:tcPr>
          <w:p w14:paraId="26DE65E8"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3CF82DDA"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أستراليا</w:t>
            </w:r>
          </w:p>
        </w:tc>
        <w:tc>
          <w:tcPr>
            <w:tcW w:w="0" w:type="auto"/>
            <w:tcMar>
              <w:top w:w="150" w:type="dxa"/>
              <w:left w:w="240" w:type="dxa"/>
              <w:bottom w:w="150" w:type="dxa"/>
              <w:right w:w="240" w:type="dxa"/>
            </w:tcMar>
            <w:vAlign w:val="center"/>
            <w:hideMark/>
          </w:tcPr>
          <w:p w14:paraId="1803E35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4</w:t>
            </w:r>
          </w:p>
        </w:tc>
        <w:tc>
          <w:tcPr>
            <w:tcW w:w="0" w:type="auto"/>
            <w:tcMar>
              <w:top w:w="150" w:type="dxa"/>
              <w:left w:w="240" w:type="dxa"/>
              <w:bottom w:w="150" w:type="dxa"/>
              <w:right w:w="0" w:type="dxa"/>
            </w:tcMar>
            <w:vAlign w:val="center"/>
            <w:hideMark/>
          </w:tcPr>
          <w:p w14:paraId="6835E7C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9.5%</w:t>
            </w:r>
          </w:p>
        </w:tc>
      </w:tr>
      <w:tr w:rsidR="00A4595D" w14:paraId="4DEB70E3" w14:textId="77777777" w:rsidTr="00FC721E">
        <w:tc>
          <w:tcPr>
            <w:tcW w:w="0" w:type="auto"/>
            <w:tcMar>
              <w:top w:w="150" w:type="dxa"/>
              <w:left w:w="0" w:type="dxa"/>
              <w:bottom w:w="150" w:type="dxa"/>
              <w:right w:w="240" w:type="dxa"/>
            </w:tcMar>
            <w:vAlign w:val="center"/>
            <w:hideMark/>
          </w:tcPr>
          <w:p w14:paraId="2B4CD82D"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3E0DEE52"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الدول العربية</w:t>
            </w:r>
          </w:p>
        </w:tc>
        <w:tc>
          <w:tcPr>
            <w:tcW w:w="0" w:type="auto"/>
            <w:tcMar>
              <w:top w:w="150" w:type="dxa"/>
              <w:left w:w="240" w:type="dxa"/>
              <w:bottom w:w="150" w:type="dxa"/>
              <w:right w:w="240" w:type="dxa"/>
            </w:tcMar>
            <w:vAlign w:val="center"/>
            <w:hideMark/>
          </w:tcPr>
          <w:p w14:paraId="377C8D91"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5</w:t>
            </w:r>
          </w:p>
        </w:tc>
        <w:tc>
          <w:tcPr>
            <w:tcW w:w="0" w:type="auto"/>
            <w:tcMar>
              <w:top w:w="150" w:type="dxa"/>
              <w:left w:w="240" w:type="dxa"/>
              <w:bottom w:w="150" w:type="dxa"/>
              <w:right w:w="0" w:type="dxa"/>
            </w:tcMar>
            <w:vAlign w:val="center"/>
            <w:hideMark/>
          </w:tcPr>
          <w:p w14:paraId="404FBBF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11.9%</w:t>
            </w:r>
          </w:p>
        </w:tc>
      </w:tr>
      <w:tr w:rsidR="00A4595D" w14:paraId="3F35C45E" w14:textId="77777777" w:rsidTr="00FC721E">
        <w:tc>
          <w:tcPr>
            <w:tcW w:w="0" w:type="auto"/>
            <w:tcMar>
              <w:top w:w="150" w:type="dxa"/>
              <w:left w:w="0" w:type="dxa"/>
              <w:bottom w:w="150" w:type="dxa"/>
              <w:right w:w="240" w:type="dxa"/>
            </w:tcMar>
            <w:vAlign w:val="center"/>
            <w:hideMark/>
          </w:tcPr>
          <w:p w14:paraId="5C569319"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00560FBC"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أخرى</w:t>
            </w:r>
          </w:p>
        </w:tc>
        <w:tc>
          <w:tcPr>
            <w:tcW w:w="0" w:type="auto"/>
            <w:tcMar>
              <w:top w:w="150" w:type="dxa"/>
              <w:left w:w="240" w:type="dxa"/>
              <w:bottom w:w="150" w:type="dxa"/>
              <w:right w:w="240" w:type="dxa"/>
            </w:tcMar>
            <w:vAlign w:val="center"/>
            <w:hideMark/>
          </w:tcPr>
          <w:p w14:paraId="00A6571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3</w:t>
            </w:r>
          </w:p>
        </w:tc>
        <w:tc>
          <w:tcPr>
            <w:tcW w:w="0" w:type="auto"/>
            <w:tcMar>
              <w:top w:w="150" w:type="dxa"/>
              <w:left w:w="240" w:type="dxa"/>
              <w:bottom w:w="150" w:type="dxa"/>
              <w:right w:w="0" w:type="dxa"/>
            </w:tcMar>
            <w:vAlign w:val="center"/>
            <w:hideMark/>
          </w:tcPr>
          <w:p w14:paraId="0869001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7.1%</w:t>
            </w:r>
          </w:p>
        </w:tc>
      </w:tr>
      <w:tr w:rsidR="00A4595D" w14:paraId="6DD361D2" w14:textId="77777777" w:rsidTr="00FC721E">
        <w:tc>
          <w:tcPr>
            <w:tcW w:w="0" w:type="auto"/>
            <w:tcMar>
              <w:top w:w="150" w:type="dxa"/>
              <w:left w:w="0" w:type="dxa"/>
              <w:bottom w:w="150" w:type="dxa"/>
              <w:right w:w="240" w:type="dxa"/>
            </w:tcMar>
            <w:vAlign w:val="center"/>
            <w:hideMark/>
          </w:tcPr>
          <w:p w14:paraId="0CBB1DEC"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نوع المستشفى</w:t>
            </w:r>
          </w:p>
        </w:tc>
        <w:tc>
          <w:tcPr>
            <w:tcW w:w="0" w:type="auto"/>
            <w:tcMar>
              <w:top w:w="150" w:type="dxa"/>
              <w:left w:w="240" w:type="dxa"/>
              <w:bottom w:w="150" w:type="dxa"/>
              <w:right w:w="240" w:type="dxa"/>
            </w:tcMar>
            <w:vAlign w:val="center"/>
            <w:hideMark/>
          </w:tcPr>
          <w:p w14:paraId="01779D10"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حكومي</w:t>
            </w:r>
          </w:p>
        </w:tc>
        <w:tc>
          <w:tcPr>
            <w:tcW w:w="0" w:type="auto"/>
            <w:tcMar>
              <w:top w:w="150" w:type="dxa"/>
              <w:left w:w="240" w:type="dxa"/>
              <w:bottom w:w="150" w:type="dxa"/>
              <w:right w:w="240" w:type="dxa"/>
            </w:tcMar>
            <w:vAlign w:val="center"/>
            <w:hideMark/>
          </w:tcPr>
          <w:p w14:paraId="64D1165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22</w:t>
            </w:r>
          </w:p>
        </w:tc>
        <w:tc>
          <w:tcPr>
            <w:tcW w:w="0" w:type="auto"/>
            <w:tcMar>
              <w:top w:w="150" w:type="dxa"/>
              <w:left w:w="240" w:type="dxa"/>
              <w:bottom w:w="150" w:type="dxa"/>
              <w:right w:w="0" w:type="dxa"/>
            </w:tcMar>
            <w:vAlign w:val="center"/>
            <w:hideMark/>
          </w:tcPr>
          <w:p w14:paraId="4454371E"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52.4%</w:t>
            </w:r>
          </w:p>
        </w:tc>
      </w:tr>
      <w:tr w:rsidR="00A4595D" w14:paraId="54A709CB" w14:textId="77777777" w:rsidTr="00FC721E">
        <w:tc>
          <w:tcPr>
            <w:tcW w:w="0" w:type="auto"/>
            <w:tcMar>
              <w:top w:w="150" w:type="dxa"/>
              <w:left w:w="0" w:type="dxa"/>
              <w:bottom w:w="150" w:type="dxa"/>
              <w:right w:w="240" w:type="dxa"/>
            </w:tcMar>
            <w:vAlign w:val="center"/>
            <w:hideMark/>
          </w:tcPr>
          <w:p w14:paraId="615CB304"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3C4C98DD"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خاص</w:t>
            </w:r>
          </w:p>
        </w:tc>
        <w:tc>
          <w:tcPr>
            <w:tcW w:w="0" w:type="auto"/>
            <w:tcMar>
              <w:top w:w="150" w:type="dxa"/>
              <w:left w:w="240" w:type="dxa"/>
              <w:bottom w:w="150" w:type="dxa"/>
              <w:right w:w="240" w:type="dxa"/>
            </w:tcMar>
            <w:vAlign w:val="center"/>
            <w:hideMark/>
          </w:tcPr>
          <w:p w14:paraId="61912C2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12</w:t>
            </w:r>
          </w:p>
        </w:tc>
        <w:tc>
          <w:tcPr>
            <w:tcW w:w="0" w:type="auto"/>
            <w:tcMar>
              <w:top w:w="150" w:type="dxa"/>
              <w:left w:w="240" w:type="dxa"/>
              <w:bottom w:w="150" w:type="dxa"/>
              <w:right w:w="0" w:type="dxa"/>
            </w:tcMar>
            <w:vAlign w:val="center"/>
            <w:hideMark/>
          </w:tcPr>
          <w:p w14:paraId="1957B42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28.6%</w:t>
            </w:r>
          </w:p>
        </w:tc>
      </w:tr>
      <w:tr w:rsidR="00A4595D" w14:paraId="4E74331B" w14:textId="77777777" w:rsidTr="00FC721E">
        <w:tc>
          <w:tcPr>
            <w:tcW w:w="0" w:type="auto"/>
            <w:tcMar>
              <w:top w:w="150" w:type="dxa"/>
              <w:left w:w="0" w:type="dxa"/>
              <w:bottom w:w="150" w:type="dxa"/>
              <w:right w:w="240" w:type="dxa"/>
            </w:tcMar>
            <w:vAlign w:val="center"/>
            <w:hideMark/>
          </w:tcPr>
          <w:p w14:paraId="272F917B"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66ECE244"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مختلط</w:t>
            </w:r>
          </w:p>
        </w:tc>
        <w:tc>
          <w:tcPr>
            <w:tcW w:w="0" w:type="auto"/>
            <w:tcMar>
              <w:top w:w="150" w:type="dxa"/>
              <w:left w:w="240" w:type="dxa"/>
              <w:bottom w:w="150" w:type="dxa"/>
              <w:right w:w="240" w:type="dxa"/>
            </w:tcMar>
            <w:vAlign w:val="center"/>
            <w:hideMark/>
          </w:tcPr>
          <w:p w14:paraId="28B1289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8</w:t>
            </w:r>
          </w:p>
        </w:tc>
        <w:tc>
          <w:tcPr>
            <w:tcW w:w="0" w:type="auto"/>
            <w:tcMar>
              <w:top w:w="150" w:type="dxa"/>
              <w:left w:w="240" w:type="dxa"/>
              <w:bottom w:w="150" w:type="dxa"/>
              <w:right w:w="0" w:type="dxa"/>
            </w:tcMar>
            <w:vAlign w:val="center"/>
            <w:hideMark/>
          </w:tcPr>
          <w:p w14:paraId="2F6EF330"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19.0%</w:t>
            </w:r>
          </w:p>
        </w:tc>
      </w:tr>
      <w:tr w:rsidR="00A4595D" w14:paraId="388D8BA8" w14:textId="77777777" w:rsidTr="00FC721E">
        <w:tc>
          <w:tcPr>
            <w:tcW w:w="0" w:type="auto"/>
            <w:tcMar>
              <w:top w:w="150" w:type="dxa"/>
              <w:left w:w="0" w:type="dxa"/>
              <w:bottom w:w="150" w:type="dxa"/>
              <w:right w:w="240" w:type="dxa"/>
            </w:tcMar>
            <w:vAlign w:val="center"/>
            <w:hideMark/>
          </w:tcPr>
          <w:p w14:paraId="5AD97543"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فئة الكادر</w:t>
            </w:r>
          </w:p>
        </w:tc>
        <w:tc>
          <w:tcPr>
            <w:tcW w:w="0" w:type="auto"/>
            <w:tcMar>
              <w:top w:w="150" w:type="dxa"/>
              <w:left w:w="240" w:type="dxa"/>
              <w:bottom w:w="150" w:type="dxa"/>
              <w:right w:w="240" w:type="dxa"/>
            </w:tcMar>
            <w:vAlign w:val="center"/>
            <w:hideMark/>
          </w:tcPr>
          <w:p w14:paraId="63747F1A"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تمريض فقط</w:t>
            </w:r>
          </w:p>
        </w:tc>
        <w:tc>
          <w:tcPr>
            <w:tcW w:w="0" w:type="auto"/>
            <w:tcMar>
              <w:top w:w="150" w:type="dxa"/>
              <w:left w:w="240" w:type="dxa"/>
              <w:bottom w:w="150" w:type="dxa"/>
              <w:right w:w="240" w:type="dxa"/>
            </w:tcMar>
            <w:vAlign w:val="center"/>
            <w:hideMark/>
          </w:tcPr>
          <w:p w14:paraId="073CFAA4"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18</w:t>
            </w:r>
          </w:p>
        </w:tc>
        <w:tc>
          <w:tcPr>
            <w:tcW w:w="0" w:type="auto"/>
            <w:tcMar>
              <w:top w:w="150" w:type="dxa"/>
              <w:left w:w="240" w:type="dxa"/>
              <w:bottom w:w="150" w:type="dxa"/>
              <w:right w:w="0" w:type="dxa"/>
            </w:tcMar>
            <w:vAlign w:val="center"/>
            <w:hideMark/>
          </w:tcPr>
          <w:p w14:paraId="49681229"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42.9%</w:t>
            </w:r>
          </w:p>
        </w:tc>
      </w:tr>
      <w:tr w:rsidR="00A4595D" w14:paraId="5C29CC67" w14:textId="77777777" w:rsidTr="00FC721E">
        <w:tc>
          <w:tcPr>
            <w:tcW w:w="0" w:type="auto"/>
            <w:tcMar>
              <w:top w:w="150" w:type="dxa"/>
              <w:left w:w="0" w:type="dxa"/>
              <w:bottom w:w="150" w:type="dxa"/>
              <w:right w:w="240" w:type="dxa"/>
            </w:tcMar>
            <w:vAlign w:val="center"/>
            <w:hideMark/>
          </w:tcPr>
          <w:p w14:paraId="293380ED"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37E5D638"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أطباء فقط</w:t>
            </w:r>
          </w:p>
        </w:tc>
        <w:tc>
          <w:tcPr>
            <w:tcW w:w="0" w:type="auto"/>
            <w:tcMar>
              <w:top w:w="150" w:type="dxa"/>
              <w:left w:w="240" w:type="dxa"/>
              <w:bottom w:w="150" w:type="dxa"/>
              <w:right w:w="240" w:type="dxa"/>
            </w:tcMar>
            <w:vAlign w:val="center"/>
            <w:hideMark/>
          </w:tcPr>
          <w:p w14:paraId="0757FF2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8</w:t>
            </w:r>
          </w:p>
        </w:tc>
        <w:tc>
          <w:tcPr>
            <w:tcW w:w="0" w:type="auto"/>
            <w:tcMar>
              <w:top w:w="150" w:type="dxa"/>
              <w:left w:w="240" w:type="dxa"/>
              <w:bottom w:w="150" w:type="dxa"/>
              <w:right w:w="0" w:type="dxa"/>
            </w:tcMar>
            <w:vAlign w:val="center"/>
            <w:hideMark/>
          </w:tcPr>
          <w:p w14:paraId="55E5639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19.0%</w:t>
            </w:r>
          </w:p>
        </w:tc>
      </w:tr>
      <w:tr w:rsidR="00A4595D" w14:paraId="73ED6342" w14:textId="77777777" w:rsidTr="00FC721E">
        <w:tc>
          <w:tcPr>
            <w:tcW w:w="0" w:type="auto"/>
            <w:tcMar>
              <w:top w:w="150" w:type="dxa"/>
              <w:left w:w="0" w:type="dxa"/>
              <w:bottom w:w="150" w:type="dxa"/>
              <w:right w:w="240" w:type="dxa"/>
            </w:tcMar>
            <w:vAlign w:val="center"/>
            <w:hideMark/>
          </w:tcPr>
          <w:p w14:paraId="4A9368A1"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1421C0D5"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مختلط (تمريض وأطباء</w:t>
            </w:r>
            <w:r>
              <w:rPr>
                <w:rFonts w:ascii="Segoe UI" w:hAnsi="Segoe UI" w:cs="Segoe UI"/>
                <w:sz w:val="23"/>
                <w:szCs w:val="23"/>
              </w:rPr>
              <w:t>)</w:t>
            </w:r>
          </w:p>
        </w:tc>
        <w:tc>
          <w:tcPr>
            <w:tcW w:w="0" w:type="auto"/>
            <w:tcMar>
              <w:top w:w="150" w:type="dxa"/>
              <w:left w:w="240" w:type="dxa"/>
              <w:bottom w:w="150" w:type="dxa"/>
              <w:right w:w="240" w:type="dxa"/>
            </w:tcMar>
            <w:vAlign w:val="center"/>
            <w:hideMark/>
          </w:tcPr>
          <w:p w14:paraId="6DEF64C6"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12</w:t>
            </w:r>
          </w:p>
        </w:tc>
        <w:tc>
          <w:tcPr>
            <w:tcW w:w="0" w:type="auto"/>
            <w:tcMar>
              <w:top w:w="150" w:type="dxa"/>
              <w:left w:w="240" w:type="dxa"/>
              <w:bottom w:w="150" w:type="dxa"/>
              <w:right w:w="0" w:type="dxa"/>
            </w:tcMar>
            <w:vAlign w:val="center"/>
            <w:hideMark/>
          </w:tcPr>
          <w:p w14:paraId="13F9DF04"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28.6%</w:t>
            </w:r>
          </w:p>
        </w:tc>
      </w:tr>
      <w:tr w:rsidR="00A4595D" w14:paraId="1DDE73F7" w14:textId="77777777" w:rsidTr="00FC721E">
        <w:tc>
          <w:tcPr>
            <w:tcW w:w="0" w:type="auto"/>
            <w:tcMar>
              <w:top w:w="150" w:type="dxa"/>
              <w:left w:w="0" w:type="dxa"/>
              <w:bottom w:w="150" w:type="dxa"/>
              <w:right w:w="240" w:type="dxa"/>
            </w:tcMar>
            <w:vAlign w:val="center"/>
            <w:hideMark/>
          </w:tcPr>
          <w:p w14:paraId="7505CDC4" w14:textId="77777777" w:rsidR="00A4595D" w:rsidRDefault="00A4595D" w:rsidP="00FC721E">
            <w:pPr>
              <w:spacing w:line="375" w:lineRule="atLeast"/>
              <w:jc w:val="center"/>
              <w:rPr>
                <w:rFonts w:ascii="Segoe UI" w:hAnsi="Segoe UI" w:cs="Segoe UI"/>
                <w:sz w:val="23"/>
                <w:szCs w:val="23"/>
              </w:rPr>
            </w:pPr>
          </w:p>
        </w:tc>
        <w:tc>
          <w:tcPr>
            <w:tcW w:w="0" w:type="auto"/>
            <w:tcMar>
              <w:top w:w="150" w:type="dxa"/>
              <w:left w:w="240" w:type="dxa"/>
              <w:bottom w:w="150" w:type="dxa"/>
              <w:right w:w="240" w:type="dxa"/>
            </w:tcMar>
            <w:vAlign w:val="center"/>
            <w:hideMark/>
          </w:tcPr>
          <w:p w14:paraId="7AB3BC87"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جميع الكادر الطبي</w:t>
            </w:r>
          </w:p>
        </w:tc>
        <w:tc>
          <w:tcPr>
            <w:tcW w:w="0" w:type="auto"/>
            <w:tcMar>
              <w:top w:w="150" w:type="dxa"/>
              <w:left w:w="240" w:type="dxa"/>
              <w:bottom w:w="150" w:type="dxa"/>
              <w:right w:w="240" w:type="dxa"/>
            </w:tcMar>
            <w:vAlign w:val="center"/>
            <w:hideMark/>
          </w:tcPr>
          <w:p w14:paraId="5C548FA3"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4</w:t>
            </w:r>
          </w:p>
        </w:tc>
        <w:tc>
          <w:tcPr>
            <w:tcW w:w="0" w:type="auto"/>
            <w:tcMar>
              <w:top w:w="150" w:type="dxa"/>
              <w:left w:w="240" w:type="dxa"/>
              <w:bottom w:w="150" w:type="dxa"/>
              <w:right w:w="0" w:type="dxa"/>
            </w:tcMar>
            <w:vAlign w:val="center"/>
            <w:hideMark/>
          </w:tcPr>
          <w:p w14:paraId="33173F26"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9.5%</w:t>
            </w:r>
          </w:p>
        </w:tc>
      </w:tr>
    </w:tbl>
    <w:p w14:paraId="0B0C1E1F" w14:textId="77777777" w:rsidR="00A4595D" w:rsidRPr="00FC721E" w:rsidRDefault="00A4595D" w:rsidP="00FC721E">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FC721E">
        <w:rPr>
          <w:rFonts w:asciiTheme="majorBidi" w:hAnsiTheme="majorBidi"/>
          <w:i w:val="0"/>
          <w:iCs w:val="0"/>
          <w:color w:val="0F1115"/>
          <w:sz w:val="28"/>
          <w:szCs w:val="28"/>
          <w:rtl/>
        </w:rPr>
        <w:t>جدول (4-2): توزيع الدراسات حسب المنهجية والسنة والنطاق الجغرافي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5"/>
        <w:gridCol w:w="1564"/>
        <w:gridCol w:w="1564"/>
        <w:gridCol w:w="1564"/>
        <w:gridCol w:w="1103"/>
      </w:tblGrid>
      <w:tr w:rsidR="00A4595D" w14:paraId="25F26CEB" w14:textId="77777777" w:rsidTr="00FC721E">
        <w:trPr>
          <w:tblHeader/>
        </w:trPr>
        <w:tc>
          <w:tcPr>
            <w:tcW w:w="0" w:type="auto"/>
            <w:tcMar>
              <w:top w:w="150" w:type="dxa"/>
              <w:left w:w="0" w:type="dxa"/>
              <w:bottom w:w="150" w:type="dxa"/>
              <w:right w:w="240" w:type="dxa"/>
            </w:tcMar>
            <w:vAlign w:val="center"/>
            <w:hideMark/>
          </w:tcPr>
          <w:p w14:paraId="6AEC3166"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المنهجية</w:t>
            </w:r>
          </w:p>
        </w:tc>
        <w:tc>
          <w:tcPr>
            <w:tcW w:w="0" w:type="auto"/>
            <w:tcMar>
              <w:top w:w="150" w:type="dxa"/>
              <w:left w:w="240" w:type="dxa"/>
              <w:bottom w:w="150" w:type="dxa"/>
              <w:right w:w="240" w:type="dxa"/>
            </w:tcMar>
            <w:vAlign w:val="center"/>
            <w:hideMark/>
          </w:tcPr>
          <w:p w14:paraId="0230015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2015-2018</w:t>
            </w:r>
          </w:p>
        </w:tc>
        <w:tc>
          <w:tcPr>
            <w:tcW w:w="0" w:type="auto"/>
            <w:tcMar>
              <w:top w:w="150" w:type="dxa"/>
              <w:left w:w="240" w:type="dxa"/>
              <w:bottom w:w="150" w:type="dxa"/>
              <w:right w:w="240" w:type="dxa"/>
            </w:tcMar>
            <w:vAlign w:val="center"/>
            <w:hideMark/>
          </w:tcPr>
          <w:p w14:paraId="06B0B7BC"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2019-2022</w:t>
            </w:r>
          </w:p>
        </w:tc>
        <w:tc>
          <w:tcPr>
            <w:tcW w:w="0" w:type="auto"/>
            <w:tcMar>
              <w:top w:w="150" w:type="dxa"/>
              <w:left w:w="240" w:type="dxa"/>
              <w:bottom w:w="150" w:type="dxa"/>
              <w:right w:w="240" w:type="dxa"/>
            </w:tcMar>
            <w:vAlign w:val="center"/>
            <w:hideMark/>
          </w:tcPr>
          <w:p w14:paraId="44855934"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2023-2026</w:t>
            </w:r>
          </w:p>
        </w:tc>
        <w:tc>
          <w:tcPr>
            <w:tcW w:w="0" w:type="auto"/>
            <w:tcMar>
              <w:top w:w="150" w:type="dxa"/>
              <w:left w:w="240" w:type="dxa"/>
              <w:bottom w:w="150" w:type="dxa"/>
              <w:right w:w="240" w:type="dxa"/>
            </w:tcMar>
            <w:vAlign w:val="center"/>
            <w:hideMark/>
          </w:tcPr>
          <w:p w14:paraId="4ABBE950"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المجموع</w:t>
            </w:r>
          </w:p>
        </w:tc>
      </w:tr>
      <w:tr w:rsidR="00A4595D" w14:paraId="2FF9B2EA" w14:textId="77777777" w:rsidTr="00FC721E">
        <w:tc>
          <w:tcPr>
            <w:tcW w:w="0" w:type="auto"/>
            <w:tcMar>
              <w:top w:w="150" w:type="dxa"/>
              <w:left w:w="0" w:type="dxa"/>
              <w:bottom w:w="150" w:type="dxa"/>
              <w:right w:w="240" w:type="dxa"/>
            </w:tcMar>
            <w:vAlign w:val="center"/>
            <w:hideMark/>
          </w:tcPr>
          <w:p w14:paraId="60493874"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كمية (مقطعية</w:t>
            </w:r>
            <w:r>
              <w:rPr>
                <w:rFonts w:ascii="Segoe UI" w:hAnsi="Segoe UI" w:cs="Segoe UI"/>
                <w:sz w:val="23"/>
                <w:szCs w:val="23"/>
              </w:rPr>
              <w:t>)</w:t>
            </w:r>
          </w:p>
        </w:tc>
        <w:tc>
          <w:tcPr>
            <w:tcW w:w="0" w:type="auto"/>
            <w:tcMar>
              <w:top w:w="150" w:type="dxa"/>
              <w:left w:w="240" w:type="dxa"/>
              <w:bottom w:w="150" w:type="dxa"/>
              <w:right w:w="240" w:type="dxa"/>
            </w:tcMar>
            <w:vAlign w:val="center"/>
            <w:hideMark/>
          </w:tcPr>
          <w:p w14:paraId="7407A61C"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7</w:t>
            </w:r>
          </w:p>
        </w:tc>
        <w:tc>
          <w:tcPr>
            <w:tcW w:w="0" w:type="auto"/>
            <w:tcMar>
              <w:top w:w="150" w:type="dxa"/>
              <w:left w:w="240" w:type="dxa"/>
              <w:bottom w:w="150" w:type="dxa"/>
              <w:right w:w="240" w:type="dxa"/>
            </w:tcMar>
            <w:vAlign w:val="center"/>
            <w:hideMark/>
          </w:tcPr>
          <w:p w14:paraId="647C768F"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12</w:t>
            </w:r>
          </w:p>
        </w:tc>
        <w:tc>
          <w:tcPr>
            <w:tcW w:w="0" w:type="auto"/>
            <w:tcMar>
              <w:top w:w="150" w:type="dxa"/>
              <w:left w:w="240" w:type="dxa"/>
              <w:bottom w:w="150" w:type="dxa"/>
              <w:right w:w="240" w:type="dxa"/>
            </w:tcMar>
            <w:vAlign w:val="center"/>
            <w:hideMark/>
          </w:tcPr>
          <w:p w14:paraId="15DD257E"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9</w:t>
            </w:r>
          </w:p>
        </w:tc>
        <w:tc>
          <w:tcPr>
            <w:tcW w:w="0" w:type="auto"/>
            <w:tcMar>
              <w:top w:w="150" w:type="dxa"/>
              <w:left w:w="240" w:type="dxa"/>
              <w:bottom w:w="150" w:type="dxa"/>
              <w:right w:w="0" w:type="dxa"/>
            </w:tcMar>
            <w:vAlign w:val="center"/>
            <w:hideMark/>
          </w:tcPr>
          <w:p w14:paraId="5FF4089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28</w:t>
            </w:r>
          </w:p>
        </w:tc>
      </w:tr>
      <w:tr w:rsidR="00A4595D" w14:paraId="7DC86145" w14:textId="77777777" w:rsidTr="00FC721E">
        <w:tc>
          <w:tcPr>
            <w:tcW w:w="0" w:type="auto"/>
            <w:tcMar>
              <w:top w:w="150" w:type="dxa"/>
              <w:left w:w="0" w:type="dxa"/>
              <w:bottom w:w="150" w:type="dxa"/>
              <w:right w:w="240" w:type="dxa"/>
            </w:tcMar>
            <w:vAlign w:val="center"/>
            <w:hideMark/>
          </w:tcPr>
          <w:p w14:paraId="195187BD"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كمية (طولية</w:t>
            </w:r>
            <w:r>
              <w:rPr>
                <w:rFonts w:ascii="Segoe UI" w:hAnsi="Segoe UI" w:cs="Segoe UI"/>
                <w:sz w:val="23"/>
                <w:szCs w:val="23"/>
              </w:rPr>
              <w:t>)</w:t>
            </w:r>
          </w:p>
        </w:tc>
        <w:tc>
          <w:tcPr>
            <w:tcW w:w="0" w:type="auto"/>
            <w:tcMar>
              <w:top w:w="150" w:type="dxa"/>
              <w:left w:w="240" w:type="dxa"/>
              <w:bottom w:w="150" w:type="dxa"/>
              <w:right w:w="240" w:type="dxa"/>
            </w:tcMar>
            <w:vAlign w:val="center"/>
            <w:hideMark/>
          </w:tcPr>
          <w:p w14:paraId="67D1112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w:t>
            </w:r>
          </w:p>
        </w:tc>
        <w:tc>
          <w:tcPr>
            <w:tcW w:w="0" w:type="auto"/>
            <w:tcMar>
              <w:top w:w="150" w:type="dxa"/>
              <w:left w:w="240" w:type="dxa"/>
              <w:bottom w:w="150" w:type="dxa"/>
              <w:right w:w="240" w:type="dxa"/>
            </w:tcMar>
            <w:vAlign w:val="center"/>
            <w:hideMark/>
          </w:tcPr>
          <w:p w14:paraId="5A8B3D63"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w:t>
            </w:r>
          </w:p>
        </w:tc>
        <w:tc>
          <w:tcPr>
            <w:tcW w:w="0" w:type="auto"/>
            <w:tcMar>
              <w:top w:w="150" w:type="dxa"/>
              <w:left w:w="240" w:type="dxa"/>
              <w:bottom w:w="150" w:type="dxa"/>
              <w:right w:w="240" w:type="dxa"/>
            </w:tcMar>
            <w:vAlign w:val="center"/>
            <w:hideMark/>
          </w:tcPr>
          <w:p w14:paraId="2ABED85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w:t>
            </w:r>
          </w:p>
        </w:tc>
        <w:tc>
          <w:tcPr>
            <w:tcW w:w="0" w:type="auto"/>
            <w:tcMar>
              <w:top w:w="150" w:type="dxa"/>
              <w:left w:w="240" w:type="dxa"/>
              <w:bottom w:w="150" w:type="dxa"/>
              <w:right w:w="0" w:type="dxa"/>
            </w:tcMar>
            <w:vAlign w:val="center"/>
            <w:hideMark/>
          </w:tcPr>
          <w:p w14:paraId="767EE948"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5</w:t>
            </w:r>
          </w:p>
        </w:tc>
      </w:tr>
      <w:tr w:rsidR="00A4595D" w14:paraId="4206591F" w14:textId="77777777" w:rsidTr="00FC721E">
        <w:tc>
          <w:tcPr>
            <w:tcW w:w="0" w:type="auto"/>
            <w:tcMar>
              <w:top w:w="150" w:type="dxa"/>
              <w:left w:w="0" w:type="dxa"/>
              <w:bottom w:w="150" w:type="dxa"/>
              <w:right w:w="240" w:type="dxa"/>
            </w:tcMar>
            <w:vAlign w:val="center"/>
            <w:hideMark/>
          </w:tcPr>
          <w:p w14:paraId="0B48867C"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نوعية</w:t>
            </w:r>
          </w:p>
        </w:tc>
        <w:tc>
          <w:tcPr>
            <w:tcW w:w="0" w:type="auto"/>
            <w:tcMar>
              <w:top w:w="150" w:type="dxa"/>
              <w:left w:w="240" w:type="dxa"/>
              <w:bottom w:w="150" w:type="dxa"/>
              <w:right w:w="240" w:type="dxa"/>
            </w:tcMar>
            <w:vAlign w:val="center"/>
            <w:hideMark/>
          </w:tcPr>
          <w:p w14:paraId="785C049B"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w:t>
            </w:r>
          </w:p>
        </w:tc>
        <w:tc>
          <w:tcPr>
            <w:tcW w:w="0" w:type="auto"/>
            <w:tcMar>
              <w:top w:w="150" w:type="dxa"/>
              <w:left w:w="240" w:type="dxa"/>
              <w:bottom w:w="150" w:type="dxa"/>
              <w:right w:w="240" w:type="dxa"/>
            </w:tcMar>
            <w:vAlign w:val="center"/>
            <w:hideMark/>
          </w:tcPr>
          <w:p w14:paraId="7D29AC09"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3</w:t>
            </w:r>
          </w:p>
        </w:tc>
        <w:tc>
          <w:tcPr>
            <w:tcW w:w="0" w:type="auto"/>
            <w:tcMar>
              <w:top w:w="150" w:type="dxa"/>
              <w:left w:w="240" w:type="dxa"/>
              <w:bottom w:w="150" w:type="dxa"/>
              <w:right w:w="240" w:type="dxa"/>
            </w:tcMar>
            <w:vAlign w:val="center"/>
            <w:hideMark/>
          </w:tcPr>
          <w:p w14:paraId="42B9CDAE"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2</w:t>
            </w:r>
          </w:p>
        </w:tc>
        <w:tc>
          <w:tcPr>
            <w:tcW w:w="0" w:type="auto"/>
            <w:tcMar>
              <w:top w:w="150" w:type="dxa"/>
              <w:left w:w="240" w:type="dxa"/>
              <w:bottom w:w="150" w:type="dxa"/>
              <w:right w:w="0" w:type="dxa"/>
            </w:tcMar>
            <w:vAlign w:val="center"/>
            <w:hideMark/>
          </w:tcPr>
          <w:p w14:paraId="6D14622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6</w:t>
            </w:r>
          </w:p>
        </w:tc>
      </w:tr>
      <w:tr w:rsidR="00A4595D" w14:paraId="737E5F2C" w14:textId="77777777" w:rsidTr="00FC721E">
        <w:tc>
          <w:tcPr>
            <w:tcW w:w="0" w:type="auto"/>
            <w:tcMar>
              <w:top w:w="150" w:type="dxa"/>
              <w:left w:w="0" w:type="dxa"/>
              <w:bottom w:w="150" w:type="dxa"/>
              <w:right w:w="240" w:type="dxa"/>
            </w:tcMar>
            <w:vAlign w:val="center"/>
            <w:hideMark/>
          </w:tcPr>
          <w:p w14:paraId="0895C3EC" w14:textId="77777777" w:rsidR="00A4595D" w:rsidRDefault="00A4595D" w:rsidP="00FC721E">
            <w:pPr>
              <w:spacing w:line="375" w:lineRule="atLeast"/>
              <w:jc w:val="center"/>
              <w:rPr>
                <w:rFonts w:ascii="Segoe UI" w:hAnsi="Segoe UI" w:cs="Segoe UI"/>
                <w:sz w:val="23"/>
                <w:szCs w:val="23"/>
              </w:rPr>
            </w:pPr>
            <w:r>
              <w:rPr>
                <w:rFonts w:ascii="Segoe UI" w:hAnsi="Segoe UI"/>
                <w:sz w:val="23"/>
                <w:szCs w:val="23"/>
                <w:rtl/>
              </w:rPr>
              <w:t>مختلطة</w:t>
            </w:r>
          </w:p>
        </w:tc>
        <w:tc>
          <w:tcPr>
            <w:tcW w:w="0" w:type="auto"/>
            <w:tcMar>
              <w:top w:w="150" w:type="dxa"/>
              <w:left w:w="240" w:type="dxa"/>
              <w:bottom w:w="150" w:type="dxa"/>
              <w:right w:w="240" w:type="dxa"/>
            </w:tcMar>
            <w:vAlign w:val="center"/>
            <w:hideMark/>
          </w:tcPr>
          <w:p w14:paraId="7489D70C"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w:t>
            </w:r>
          </w:p>
        </w:tc>
        <w:tc>
          <w:tcPr>
            <w:tcW w:w="0" w:type="auto"/>
            <w:tcMar>
              <w:top w:w="150" w:type="dxa"/>
              <w:left w:w="240" w:type="dxa"/>
              <w:bottom w:w="150" w:type="dxa"/>
              <w:right w:w="240" w:type="dxa"/>
            </w:tcMar>
            <w:vAlign w:val="center"/>
            <w:hideMark/>
          </w:tcPr>
          <w:p w14:paraId="670BEEE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w:t>
            </w:r>
          </w:p>
        </w:tc>
        <w:tc>
          <w:tcPr>
            <w:tcW w:w="0" w:type="auto"/>
            <w:tcMar>
              <w:top w:w="150" w:type="dxa"/>
              <w:left w:w="240" w:type="dxa"/>
              <w:bottom w:w="150" w:type="dxa"/>
              <w:right w:w="240" w:type="dxa"/>
            </w:tcMar>
            <w:vAlign w:val="center"/>
            <w:hideMark/>
          </w:tcPr>
          <w:p w14:paraId="4FD90462"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1</w:t>
            </w:r>
          </w:p>
        </w:tc>
        <w:tc>
          <w:tcPr>
            <w:tcW w:w="0" w:type="auto"/>
            <w:tcMar>
              <w:top w:w="150" w:type="dxa"/>
              <w:left w:w="240" w:type="dxa"/>
              <w:bottom w:w="150" w:type="dxa"/>
              <w:right w:w="0" w:type="dxa"/>
            </w:tcMar>
            <w:vAlign w:val="center"/>
            <w:hideMark/>
          </w:tcPr>
          <w:p w14:paraId="538A1617" w14:textId="77777777" w:rsidR="00A4595D" w:rsidRDefault="00A4595D" w:rsidP="00FC721E">
            <w:pPr>
              <w:spacing w:line="375" w:lineRule="atLeast"/>
              <w:jc w:val="center"/>
              <w:rPr>
                <w:rFonts w:ascii="Segoe UI" w:hAnsi="Segoe UI" w:cs="Segoe UI"/>
                <w:sz w:val="23"/>
                <w:szCs w:val="23"/>
              </w:rPr>
            </w:pPr>
            <w:r>
              <w:rPr>
                <w:rFonts w:ascii="Segoe UI" w:hAnsi="Segoe UI" w:cs="Segoe UI"/>
                <w:sz w:val="23"/>
                <w:szCs w:val="23"/>
              </w:rPr>
              <w:t>3</w:t>
            </w:r>
          </w:p>
        </w:tc>
      </w:tr>
      <w:tr w:rsidR="00A4595D" w14:paraId="1F5EC11E" w14:textId="77777777" w:rsidTr="00FC721E">
        <w:tc>
          <w:tcPr>
            <w:tcW w:w="0" w:type="auto"/>
            <w:tcMar>
              <w:top w:w="150" w:type="dxa"/>
              <w:left w:w="0" w:type="dxa"/>
              <w:bottom w:w="150" w:type="dxa"/>
              <w:right w:w="240" w:type="dxa"/>
            </w:tcMar>
            <w:vAlign w:val="center"/>
            <w:hideMark/>
          </w:tcPr>
          <w:p w14:paraId="52160DA0"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sz w:val="23"/>
                <w:szCs w:val="23"/>
                <w:rtl/>
              </w:rPr>
              <w:t>المجموع</w:t>
            </w:r>
          </w:p>
        </w:tc>
        <w:tc>
          <w:tcPr>
            <w:tcW w:w="0" w:type="auto"/>
            <w:tcMar>
              <w:top w:w="150" w:type="dxa"/>
              <w:left w:w="240" w:type="dxa"/>
              <w:bottom w:w="150" w:type="dxa"/>
              <w:right w:w="240" w:type="dxa"/>
            </w:tcMar>
            <w:vAlign w:val="center"/>
            <w:hideMark/>
          </w:tcPr>
          <w:p w14:paraId="331589AB"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cs="Segoe UI"/>
                <w:sz w:val="23"/>
                <w:szCs w:val="23"/>
              </w:rPr>
              <w:t>10</w:t>
            </w:r>
          </w:p>
        </w:tc>
        <w:tc>
          <w:tcPr>
            <w:tcW w:w="0" w:type="auto"/>
            <w:tcMar>
              <w:top w:w="150" w:type="dxa"/>
              <w:left w:w="240" w:type="dxa"/>
              <w:bottom w:w="150" w:type="dxa"/>
              <w:right w:w="240" w:type="dxa"/>
            </w:tcMar>
            <w:vAlign w:val="center"/>
            <w:hideMark/>
          </w:tcPr>
          <w:p w14:paraId="5C4F3717"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cs="Segoe UI"/>
                <w:sz w:val="23"/>
                <w:szCs w:val="23"/>
              </w:rPr>
              <w:t>18</w:t>
            </w:r>
          </w:p>
        </w:tc>
        <w:tc>
          <w:tcPr>
            <w:tcW w:w="0" w:type="auto"/>
            <w:tcMar>
              <w:top w:w="150" w:type="dxa"/>
              <w:left w:w="240" w:type="dxa"/>
              <w:bottom w:w="150" w:type="dxa"/>
              <w:right w:w="240" w:type="dxa"/>
            </w:tcMar>
            <w:vAlign w:val="center"/>
            <w:hideMark/>
          </w:tcPr>
          <w:p w14:paraId="6601629E"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cs="Segoe UI"/>
                <w:sz w:val="23"/>
                <w:szCs w:val="23"/>
              </w:rPr>
              <w:t>14</w:t>
            </w:r>
          </w:p>
        </w:tc>
        <w:tc>
          <w:tcPr>
            <w:tcW w:w="0" w:type="auto"/>
            <w:tcMar>
              <w:top w:w="150" w:type="dxa"/>
              <w:left w:w="240" w:type="dxa"/>
              <w:bottom w:w="150" w:type="dxa"/>
              <w:right w:w="0" w:type="dxa"/>
            </w:tcMar>
            <w:vAlign w:val="center"/>
            <w:hideMark/>
          </w:tcPr>
          <w:p w14:paraId="5E312B80" w14:textId="77777777" w:rsidR="00A4595D" w:rsidRDefault="00A4595D" w:rsidP="00FC721E">
            <w:pPr>
              <w:spacing w:line="375" w:lineRule="atLeast"/>
              <w:jc w:val="center"/>
              <w:rPr>
                <w:rFonts w:ascii="Segoe UI" w:hAnsi="Segoe UI" w:cs="Segoe UI"/>
                <w:sz w:val="23"/>
                <w:szCs w:val="23"/>
              </w:rPr>
            </w:pPr>
            <w:r>
              <w:rPr>
                <w:rStyle w:val="Strong"/>
                <w:rFonts w:ascii="Segoe UI" w:hAnsi="Segoe UI" w:cs="Segoe UI"/>
                <w:sz w:val="23"/>
                <w:szCs w:val="23"/>
              </w:rPr>
              <w:t>42</w:t>
            </w:r>
          </w:p>
        </w:tc>
      </w:tr>
    </w:tbl>
    <w:p w14:paraId="112359CB" w14:textId="4E31F0C8" w:rsidR="00A4595D" w:rsidRPr="00FC721E" w:rsidRDefault="00FC721E" w:rsidP="00FC721E">
      <w:pPr>
        <w:pStyle w:val="Heading3"/>
        <w:shd w:val="clear" w:color="auto" w:fill="FFFFFF"/>
        <w:bidi/>
        <w:spacing w:before="480" w:after="240" w:line="450" w:lineRule="atLeast"/>
        <w:jc w:val="lowKashida"/>
        <w:rPr>
          <w:rFonts w:asciiTheme="majorBidi" w:hAnsiTheme="majorBidi"/>
          <w:color w:val="0F1115"/>
          <w:sz w:val="28"/>
          <w:szCs w:val="28"/>
        </w:rPr>
      </w:pPr>
      <w:r>
        <w:rPr>
          <w:rFonts w:asciiTheme="majorBidi" w:hAnsiTheme="majorBidi" w:hint="cs"/>
          <w:color w:val="0F1115"/>
          <w:sz w:val="28"/>
          <w:szCs w:val="28"/>
          <w:rtl/>
        </w:rPr>
        <w:lastRenderedPageBreak/>
        <w:t xml:space="preserve">٤.٣. </w:t>
      </w:r>
      <w:r w:rsidR="00A4595D" w:rsidRPr="00FC721E">
        <w:rPr>
          <w:rFonts w:asciiTheme="majorBidi" w:hAnsiTheme="majorBidi"/>
          <w:color w:val="0F1115"/>
          <w:sz w:val="28"/>
          <w:szCs w:val="28"/>
          <w:rtl/>
        </w:rPr>
        <w:t>النتائج التركيبية للمراجعة</w:t>
      </w:r>
    </w:p>
    <w:p w14:paraId="14387593" w14:textId="6B140D79" w:rsidR="00A4595D" w:rsidRPr="00FC721E" w:rsidRDefault="00FC721E" w:rsidP="00FC721E">
      <w:pPr>
        <w:pStyle w:val="Heading4"/>
        <w:shd w:val="clear" w:color="auto" w:fill="FFFFFF"/>
        <w:bidi/>
        <w:spacing w:before="240" w:after="240" w:line="420" w:lineRule="atLeast"/>
        <w:jc w:val="lowKashida"/>
        <w:rPr>
          <w:rFonts w:asciiTheme="majorBidi" w:hAnsiTheme="majorBidi"/>
          <w:i w:val="0"/>
          <w:iCs w:val="0"/>
          <w:color w:val="0F1115"/>
          <w:sz w:val="28"/>
          <w:szCs w:val="28"/>
        </w:rPr>
      </w:pPr>
      <w:r>
        <w:rPr>
          <w:rFonts w:asciiTheme="majorBidi" w:hAnsiTheme="majorBidi" w:hint="cs"/>
          <w:i w:val="0"/>
          <w:iCs w:val="0"/>
          <w:color w:val="0F1115"/>
          <w:sz w:val="28"/>
          <w:szCs w:val="28"/>
          <w:rtl/>
        </w:rPr>
        <w:t xml:space="preserve">٤.٣.١. </w:t>
      </w:r>
      <w:r w:rsidR="00A4595D" w:rsidRPr="00FC721E">
        <w:rPr>
          <w:rFonts w:asciiTheme="majorBidi" w:hAnsiTheme="majorBidi"/>
          <w:i w:val="0"/>
          <w:iCs w:val="0"/>
          <w:color w:val="0F1115"/>
          <w:sz w:val="28"/>
          <w:szCs w:val="28"/>
          <w:rtl/>
        </w:rPr>
        <w:t>ممارسات إدارة الموارد البشرية المرتبطة بالاحتفاظ</w:t>
      </w:r>
    </w:p>
    <w:p w14:paraId="55033E0D"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Fonts w:asciiTheme="majorBidi" w:hAnsiTheme="majorBidi" w:cstheme="majorBidi"/>
          <w:color w:val="0F1115"/>
          <w:sz w:val="28"/>
          <w:szCs w:val="28"/>
          <w:rtl/>
        </w:rPr>
        <w:t>تم تحليل الدراسات المشمولة لتحديد ممارسات إدارة الموارد البشرية الأكثر تكراراً وتأثيراً في الاحتفاظ بالكادر الطبي</w:t>
      </w:r>
      <w:r w:rsidRPr="00FC721E">
        <w:rPr>
          <w:rFonts w:asciiTheme="majorBidi" w:hAnsiTheme="majorBidi" w:cstheme="majorBidi"/>
          <w:color w:val="0F1115"/>
          <w:sz w:val="28"/>
          <w:szCs w:val="28"/>
        </w:rPr>
        <w:t>.</w:t>
      </w:r>
    </w:p>
    <w:p w14:paraId="787054A8" w14:textId="77777777" w:rsidR="00A4595D" w:rsidRPr="00FC721E" w:rsidRDefault="00A4595D" w:rsidP="00FC721E">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FC721E">
        <w:rPr>
          <w:rFonts w:asciiTheme="majorBidi" w:hAnsiTheme="majorBidi"/>
          <w:i w:val="0"/>
          <w:iCs w:val="0"/>
          <w:color w:val="0F1115"/>
          <w:sz w:val="28"/>
          <w:szCs w:val="28"/>
          <w:rtl/>
        </w:rPr>
        <w:t>جدول (4-3): النتائج التركيبية لممارسات إدارة الموارد البشرية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6"/>
        <w:gridCol w:w="2145"/>
        <w:gridCol w:w="1438"/>
        <w:gridCol w:w="1752"/>
      </w:tblGrid>
      <w:tr w:rsidR="00A4595D" w:rsidRPr="00FC721E" w14:paraId="79A2161A" w14:textId="77777777" w:rsidTr="00FC721E">
        <w:trPr>
          <w:tblHeader/>
        </w:trPr>
        <w:tc>
          <w:tcPr>
            <w:tcW w:w="2736" w:type="dxa"/>
            <w:tcMar>
              <w:top w:w="150" w:type="dxa"/>
              <w:left w:w="0" w:type="dxa"/>
              <w:bottom w:w="150" w:type="dxa"/>
              <w:right w:w="240" w:type="dxa"/>
            </w:tcMar>
            <w:vAlign w:val="center"/>
            <w:hideMark/>
          </w:tcPr>
          <w:p w14:paraId="086CAC5E"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ممارسة الموارد البشرية</w:t>
            </w:r>
          </w:p>
        </w:tc>
        <w:tc>
          <w:tcPr>
            <w:tcW w:w="2145" w:type="dxa"/>
            <w:tcMar>
              <w:top w:w="150" w:type="dxa"/>
              <w:left w:w="240" w:type="dxa"/>
              <w:bottom w:w="150" w:type="dxa"/>
              <w:right w:w="240" w:type="dxa"/>
            </w:tcMar>
            <w:vAlign w:val="center"/>
            <w:hideMark/>
          </w:tcPr>
          <w:p w14:paraId="4C1D4506"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عدد الدراسات التي ذكرتها</w:t>
            </w:r>
          </w:p>
        </w:tc>
        <w:tc>
          <w:tcPr>
            <w:tcW w:w="0" w:type="auto"/>
            <w:tcMar>
              <w:top w:w="150" w:type="dxa"/>
              <w:left w:w="240" w:type="dxa"/>
              <w:bottom w:w="150" w:type="dxa"/>
              <w:right w:w="240" w:type="dxa"/>
            </w:tcMar>
            <w:vAlign w:val="center"/>
            <w:hideMark/>
          </w:tcPr>
          <w:p w14:paraId="19EDDDD6"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النسبة المئوية</w:t>
            </w:r>
          </w:p>
        </w:tc>
        <w:tc>
          <w:tcPr>
            <w:tcW w:w="0" w:type="auto"/>
            <w:tcMar>
              <w:top w:w="150" w:type="dxa"/>
              <w:left w:w="240" w:type="dxa"/>
              <w:bottom w:w="150" w:type="dxa"/>
              <w:right w:w="240" w:type="dxa"/>
            </w:tcMar>
            <w:vAlign w:val="center"/>
            <w:hideMark/>
          </w:tcPr>
          <w:p w14:paraId="5564085F" w14:textId="44DB45C7" w:rsidR="00A4595D" w:rsidRPr="00FC721E" w:rsidRDefault="00A4595D" w:rsidP="00FC721E">
            <w:pPr>
              <w:bidi/>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متوسط قوة التأثير</w:t>
            </w:r>
          </w:p>
        </w:tc>
      </w:tr>
      <w:tr w:rsidR="00A4595D" w:rsidRPr="00FC721E" w14:paraId="5437C6DF" w14:textId="77777777" w:rsidTr="00FC721E">
        <w:tc>
          <w:tcPr>
            <w:tcW w:w="2736" w:type="dxa"/>
            <w:tcMar>
              <w:top w:w="150" w:type="dxa"/>
              <w:left w:w="0" w:type="dxa"/>
              <w:bottom w:w="150" w:type="dxa"/>
              <w:right w:w="240" w:type="dxa"/>
            </w:tcMar>
            <w:vAlign w:val="center"/>
            <w:hideMark/>
          </w:tcPr>
          <w:p w14:paraId="5A36CB5F" w14:textId="4B5C2AA6" w:rsidR="00A4595D" w:rsidRPr="00FC721E" w:rsidRDefault="00A4595D" w:rsidP="00FC721E">
            <w:pPr>
              <w:bidi/>
              <w:spacing w:line="375" w:lineRule="atLeast"/>
              <w:ind w:left="75"/>
              <w:jc w:val="center"/>
              <w:rPr>
                <w:rFonts w:asciiTheme="majorBidi" w:hAnsiTheme="majorBidi" w:cstheme="majorBidi"/>
                <w:sz w:val="22"/>
                <w:szCs w:val="22"/>
              </w:rPr>
            </w:pPr>
            <w:r w:rsidRPr="00FC721E">
              <w:rPr>
                <w:rFonts w:asciiTheme="majorBidi" w:hAnsiTheme="majorBidi" w:cstheme="majorBidi"/>
                <w:sz w:val="22"/>
                <w:szCs w:val="22"/>
                <w:rtl/>
              </w:rPr>
              <w:t>نظام الحوافز (المالية وغير المالية</w:t>
            </w:r>
            <w:r w:rsidR="00FC721E" w:rsidRPr="00FC721E">
              <w:rPr>
                <w:rFonts w:asciiTheme="majorBidi" w:hAnsiTheme="majorBidi" w:cstheme="majorBidi" w:hint="cs"/>
                <w:sz w:val="22"/>
                <w:szCs w:val="22"/>
                <w:rtl/>
              </w:rPr>
              <w:t>)</w:t>
            </w:r>
          </w:p>
        </w:tc>
        <w:tc>
          <w:tcPr>
            <w:tcW w:w="2145" w:type="dxa"/>
            <w:tcMar>
              <w:top w:w="150" w:type="dxa"/>
              <w:left w:w="240" w:type="dxa"/>
              <w:bottom w:w="150" w:type="dxa"/>
              <w:right w:w="240" w:type="dxa"/>
            </w:tcMar>
            <w:vAlign w:val="center"/>
            <w:hideMark/>
          </w:tcPr>
          <w:p w14:paraId="0324D2F5"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38</w:t>
            </w:r>
          </w:p>
        </w:tc>
        <w:tc>
          <w:tcPr>
            <w:tcW w:w="0" w:type="auto"/>
            <w:tcMar>
              <w:top w:w="150" w:type="dxa"/>
              <w:left w:w="240" w:type="dxa"/>
              <w:bottom w:w="150" w:type="dxa"/>
              <w:right w:w="240" w:type="dxa"/>
            </w:tcMar>
            <w:vAlign w:val="center"/>
            <w:hideMark/>
          </w:tcPr>
          <w:p w14:paraId="36BDB382"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90.5%</w:t>
            </w:r>
          </w:p>
        </w:tc>
        <w:tc>
          <w:tcPr>
            <w:tcW w:w="0" w:type="auto"/>
            <w:tcMar>
              <w:top w:w="150" w:type="dxa"/>
              <w:left w:w="240" w:type="dxa"/>
              <w:bottom w:w="150" w:type="dxa"/>
              <w:right w:w="0" w:type="dxa"/>
            </w:tcMar>
            <w:vAlign w:val="center"/>
            <w:hideMark/>
          </w:tcPr>
          <w:p w14:paraId="269C460A"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قوي</w:t>
            </w:r>
          </w:p>
        </w:tc>
      </w:tr>
      <w:tr w:rsidR="00A4595D" w:rsidRPr="00FC721E" w14:paraId="43CECEAA" w14:textId="77777777" w:rsidTr="00FC721E">
        <w:tc>
          <w:tcPr>
            <w:tcW w:w="2736" w:type="dxa"/>
            <w:tcMar>
              <w:top w:w="150" w:type="dxa"/>
              <w:left w:w="0" w:type="dxa"/>
              <w:bottom w:w="150" w:type="dxa"/>
              <w:right w:w="240" w:type="dxa"/>
            </w:tcMar>
            <w:vAlign w:val="center"/>
            <w:hideMark/>
          </w:tcPr>
          <w:p w14:paraId="7AD53FA9"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التطوير المهني والتدريب</w:t>
            </w:r>
          </w:p>
        </w:tc>
        <w:tc>
          <w:tcPr>
            <w:tcW w:w="2145" w:type="dxa"/>
            <w:tcMar>
              <w:top w:w="150" w:type="dxa"/>
              <w:left w:w="240" w:type="dxa"/>
              <w:bottom w:w="150" w:type="dxa"/>
              <w:right w:w="240" w:type="dxa"/>
            </w:tcMar>
            <w:vAlign w:val="center"/>
            <w:hideMark/>
          </w:tcPr>
          <w:p w14:paraId="61F830C0"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35</w:t>
            </w:r>
          </w:p>
        </w:tc>
        <w:tc>
          <w:tcPr>
            <w:tcW w:w="0" w:type="auto"/>
            <w:tcMar>
              <w:top w:w="150" w:type="dxa"/>
              <w:left w:w="240" w:type="dxa"/>
              <w:bottom w:w="150" w:type="dxa"/>
              <w:right w:w="240" w:type="dxa"/>
            </w:tcMar>
            <w:vAlign w:val="center"/>
            <w:hideMark/>
          </w:tcPr>
          <w:p w14:paraId="0973276B"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83.3%</w:t>
            </w:r>
          </w:p>
        </w:tc>
        <w:tc>
          <w:tcPr>
            <w:tcW w:w="0" w:type="auto"/>
            <w:tcMar>
              <w:top w:w="150" w:type="dxa"/>
              <w:left w:w="240" w:type="dxa"/>
              <w:bottom w:w="150" w:type="dxa"/>
              <w:right w:w="0" w:type="dxa"/>
            </w:tcMar>
            <w:vAlign w:val="center"/>
            <w:hideMark/>
          </w:tcPr>
          <w:p w14:paraId="21BBFC67"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قوي</w:t>
            </w:r>
          </w:p>
        </w:tc>
      </w:tr>
      <w:tr w:rsidR="00A4595D" w:rsidRPr="00FC721E" w14:paraId="486F453B" w14:textId="77777777" w:rsidTr="00FC721E">
        <w:tc>
          <w:tcPr>
            <w:tcW w:w="2736" w:type="dxa"/>
            <w:tcMar>
              <w:top w:w="150" w:type="dxa"/>
              <w:left w:w="0" w:type="dxa"/>
              <w:bottom w:w="150" w:type="dxa"/>
              <w:right w:w="240" w:type="dxa"/>
            </w:tcMar>
            <w:vAlign w:val="center"/>
            <w:hideMark/>
          </w:tcPr>
          <w:p w14:paraId="6FDB2207"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القيادة الداعمة</w:t>
            </w:r>
          </w:p>
        </w:tc>
        <w:tc>
          <w:tcPr>
            <w:tcW w:w="2145" w:type="dxa"/>
            <w:tcMar>
              <w:top w:w="150" w:type="dxa"/>
              <w:left w:w="240" w:type="dxa"/>
              <w:bottom w:w="150" w:type="dxa"/>
              <w:right w:w="240" w:type="dxa"/>
            </w:tcMar>
            <w:vAlign w:val="center"/>
            <w:hideMark/>
          </w:tcPr>
          <w:p w14:paraId="44B55151"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32</w:t>
            </w:r>
          </w:p>
        </w:tc>
        <w:tc>
          <w:tcPr>
            <w:tcW w:w="0" w:type="auto"/>
            <w:tcMar>
              <w:top w:w="150" w:type="dxa"/>
              <w:left w:w="240" w:type="dxa"/>
              <w:bottom w:w="150" w:type="dxa"/>
              <w:right w:w="240" w:type="dxa"/>
            </w:tcMar>
            <w:vAlign w:val="center"/>
            <w:hideMark/>
          </w:tcPr>
          <w:p w14:paraId="7AFD641E"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76.2%</w:t>
            </w:r>
          </w:p>
        </w:tc>
        <w:tc>
          <w:tcPr>
            <w:tcW w:w="0" w:type="auto"/>
            <w:tcMar>
              <w:top w:w="150" w:type="dxa"/>
              <w:left w:w="240" w:type="dxa"/>
              <w:bottom w:w="150" w:type="dxa"/>
              <w:right w:w="0" w:type="dxa"/>
            </w:tcMar>
            <w:vAlign w:val="center"/>
            <w:hideMark/>
          </w:tcPr>
          <w:p w14:paraId="65F6CEFA"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قوي-متوسط</w:t>
            </w:r>
          </w:p>
        </w:tc>
      </w:tr>
      <w:tr w:rsidR="00A4595D" w:rsidRPr="00FC721E" w14:paraId="0DC5E72F" w14:textId="77777777" w:rsidTr="00FC721E">
        <w:tc>
          <w:tcPr>
            <w:tcW w:w="2736" w:type="dxa"/>
            <w:tcMar>
              <w:top w:w="150" w:type="dxa"/>
              <w:left w:w="0" w:type="dxa"/>
              <w:bottom w:w="150" w:type="dxa"/>
              <w:right w:w="240" w:type="dxa"/>
            </w:tcMar>
            <w:vAlign w:val="center"/>
            <w:hideMark/>
          </w:tcPr>
          <w:p w14:paraId="6FBFBE4D"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بيئة العمل الآمنة</w:t>
            </w:r>
          </w:p>
        </w:tc>
        <w:tc>
          <w:tcPr>
            <w:tcW w:w="2145" w:type="dxa"/>
            <w:tcMar>
              <w:top w:w="150" w:type="dxa"/>
              <w:left w:w="240" w:type="dxa"/>
              <w:bottom w:w="150" w:type="dxa"/>
              <w:right w:w="240" w:type="dxa"/>
            </w:tcMar>
            <w:vAlign w:val="center"/>
            <w:hideMark/>
          </w:tcPr>
          <w:p w14:paraId="29F46FF5"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30</w:t>
            </w:r>
          </w:p>
        </w:tc>
        <w:tc>
          <w:tcPr>
            <w:tcW w:w="0" w:type="auto"/>
            <w:tcMar>
              <w:top w:w="150" w:type="dxa"/>
              <w:left w:w="240" w:type="dxa"/>
              <w:bottom w:w="150" w:type="dxa"/>
              <w:right w:w="240" w:type="dxa"/>
            </w:tcMar>
            <w:vAlign w:val="center"/>
            <w:hideMark/>
          </w:tcPr>
          <w:p w14:paraId="2177D7B5"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71.4%</w:t>
            </w:r>
          </w:p>
        </w:tc>
        <w:tc>
          <w:tcPr>
            <w:tcW w:w="0" w:type="auto"/>
            <w:tcMar>
              <w:top w:w="150" w:type="dxa"/>
              <w:left w:w="240" w:type="dxa"/>
              <w:bottom w:w="150" w:type="dxa"/>
              <w:right w:w="0" w:type="dxa"/>
            </w:tcMar>
            <w:vAlign w:val="center"/>
            <w:hideMark/>
          </w:tcPr>
          <w:p w14:paraId="0D9AFC18"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متوسط</w:t>
            </w:r>
          </w:p>
        </w:tc>
      </w:tr>
      <w:tr w:rsidR="00A4595D" w:rsidRPr="00FC721E" w14:paraId="0A70827A" w14:textId="77777777" w:rsidTr="00FC721E">
        <w:tc>
          <w:tcPr>
            <w:tcW w:w="2736" w:type="dxa"/>
            <w:tcMar>
              <w:top w:w="150" w:type="dxa"/>
              <w:left w:w="0" w:type="dxa"/>
              <w:bottom w:w="150" w:type="dxa"/>
              <w:right w:w="240" w:type="dxa"/>
            </w:tcMar>
            <w:vAlign w:val="center"/>
            <w:hideMark/>
          </w:tcPr>
          <w:p w14:paraId="7C42ADF8"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التوازن بين العمل والحياة</w:t>
            </w:r>
          </w:p>
        </w:tc>
        <w:tc>
          <w:tcPr>
            <w:tcW w:w="2145" w:type="dxa"/>
            <w:tcMar>
              <w:top w:w="150" w:type="dxa"/>
              <w:left w:w="240" w:type="dxa"/>
              <w:bottom w:w="150" w:type="dxa"/>
              <w:right w:w="240" w:type="dxa"/>
            </w:tcMar>
            <w:vAlign w:val="center"/>
            <w:hideMark/>
          </w:tcPr>
          <w:p w14:paraId="2518F044"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28</w:t>
            </w:r>
          </w:p>
        </w:tc>
        <w:tc>
          <w:tcPr>
            <w:tcW w:w="0" w:type="auto"/>
            <w:tcMar>
              <w:top w:w="150" w:type="dxa"/>
              <w:left w:w="240" w:type="dxa"/>
              <w:bottom w:w="150" w:type="dxa"/>
              <w:right w:w="240" w:type="dxa"/>
            </w:tcMar>
            <w:vAlign w:val="center"/>
            <w:hideMark/>
          </w:tcPr>
          <w:p w14:paraId="48C62D34"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66.7%</w:t>
            </w:r>
          </w:p>
        </w:tc>
        <w:tc>
          <w:tcPr>
            <w:tcW w:w="0" w:type="auto"/>
            <w:tcMar>
              <w:top w:w="150" w:type="dxa"/>
              <w:left w:w="240" w:type="dxa"/>
              <w:bottom w:w="150" w:type="dxa"/>
              <w:right w:w="0" w:type="dxa"/>
            </w:tcMar>
            <w:vAlign w:val="center"/>
            <w:hideMark/>
          </w:tcPr>
          <w:p w14:paraId="75C10F2F"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قوي</w:t>
            </w:r>
          </w:p>
        </w:tc>
      </w:tr>
      <w:tr w:rsidR="00A4595D" w:rsidRPr="00FC721E" w14:paraId="5C7E7ADD" w14:textId="77777777" w:rsidTr="00FC721E">
        <w:tc>
          <w:tcPr>
            <w:tcW w:w="2736" w:type="dxa"/>
            <w:tcMar>
              <w:top w:w="150" w:type="dxa"/>
              <w:left w:w="0" w:type="dxa"/>
              <w:bottom w:w="150" w:type="dxa"/>
              <w:right w:w="240" w:type="dxa"/>
            </w:tcMar>
            <w:vAlign w:val="center"/>
            <w:hideMark/>
          </w:tcPr>
          <w:p w14:paraId="194A344D"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العدالة التنظيمية</w:t>
            </w:r>
          </w:p>
        </w:tc>
        <w:tc>
          <w:tcPr>
            <w:tcW w:w="2145" w:type="dxa"/>
            <w:tcMar>
              <w:top w:w="150" w:type="dxa"/>
              <w:left w:w="240" w:type="dxa"/>
              <w:bottom w:w="150" w:type="dxa"/>
              <w:right w:w="240" w:type="dxa"/>
            </w:tcMar>
            <w:vAlign w:val="center"/>
            <w:hideMark/>
          </w:tcPr>
          <w:p w14:paraId="4EC5275E"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25</w:t>
            </w:r>
          </w:p>
        </w:tc>
        <w:tc>
          <w:tcPr>
            <w:tcW w:w="0" w:type="auto"/>
            <w:tcMar>
              <w:top w:w="150" w:type="dxa"/>
              <w:left w:w="240" w:type="dxa"/>
              <w:bottom w:w="150" w:type="dxa"/>
              <w:right w:w="240" w:type="dxa"/>
            </w:tcMar>
            <w:vAlign w:val="center"/>
            <w:hideMark/>
          </w:tcPr>
          <w:p w14:paraId="7C84203B"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59.5%</w:t>
            </w:r>
          </w:p>
        </w:tc>
        <w:tc>
          <w:tcPr>
            <w:tcW w:w="0" w:type="auto"/>
            <w:tcMar>
              <w:top w:w="150" w:type="dxa"/>
              <w:left w:w="240" w:type="dxa"/>
              <w:bottom w:w="150" w:type="dxa"/>
              <w:right w:w="0" w:type="dxa"/>
            </w:tcMar>
            <w:vAlign w:val="center"/>
            <w:hideMark/>
          </w:tcPr>
          <w:p w14:paraId="73D56487"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قوي</w:t>
            </w:r>
          </w:p>
        </w:tc>
      </w:tr>
      <w:tr w:rsidR="00A4595D" w:rsidRPr="00FC721E" w14:paraId="42116B14" w14:textId="77777777" w:rsidTr="00FC721E">
        <w:tc>
          <w:tcPr>
            <w:tcW w:w="2736" w:type="dxa"/>
            <w:tcMar>
              <w:top w:w="150" w:type="dxa"/>
              <w:left w:w="0" w:type="dxa"/>
              <w:bottom w:w="150" w:type="dxa"/>
              <w:right w:w="240" w:type="dxa"/>
            </w:tcMar>
            <w:vAlign w:val="center"/>
            <w:hideMark/>
          </w:tcPr>
          <w:p w14:paraId="7B3C58CF"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الاتصالات الداخلية</w:t>
            </w:r>
          </w:p>
        </w:tc>
        <w:tc>
          <w:tcPr>
            <w:tcW w:w="2145" w:type="dxa"/>
            <w:tcMar>
              <w:top w:w="150" w:type="dxa"/>
              <w:left w:w="240" w:type="dxa"/>
              <w:bottom w:w="150" w:type="dxa"/>
              <w:right w:w="240" w:type="dxa"/>
            </w:tcMar>
            <w:vAlign w:val="center"/>
            <w:hideMark/>
          </w:tcPr>
          <w:p w14:paraId="5527E5F3"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22</w:t>
            </w:r>
          </w:p>
        </w:tc>
        <w:tc>
          <w:tcPr>
            <w:tcW w:w="0" w:type="auto"/>
            <w:tcMar>
              <w:top w:w="150" w:type="dxa"/>
              <w:left w:w="240" w:type="dxa"/>
              <w:bottom w:w="150" w:type="dxa"/>
              <w:right w:w="240" w:type="dxa"/>
            </w:tcMar>
            <w:vAlign w:val="center"/>
            <w:hideMark/>
          </w:tcPr>
          <w:p w14:paraId="76AD72B7"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52.4%</w:t>
            </w:r>
          </w:p>
        </w:tc>
        <w:tc>
          <w:tcPr>
            <w:tcW w:w="0" w:type="auto"/>
            <w:tcMar>
              <w:top w:w="150" w:type="dxa"/>
              <w:left w:w="240" w:type="dxa"/>
              <w:bottom w:w="150" w:type="dxa"/>
              <w:right w:w="0" w:type="dxa"/>
            </w:tcMar>
            <w:vAlign w:val="center"/>
            <w:hideMark/>
          </w:tcPr>
          <w:p w14:paraId="7716D5B5"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متوسط</w:t>
            </w:r>
          </w:p>
        </w:tc>
      </w:tr>
      <w:tr w:rsidR="00A4595D" w:rsidRPr="00FC721E" w14:paraId="2FC6CA83" w14:textId="77777777" w:rsidTr="00FC721E">
        <w:tc>
          <w:tcPr>
            <w:tcW w:w="2736" w:type="dxa"/>
            <w:tcMar>
              <w:top w:w="150" w:type="dxa"/>
              <w:left w:w="0" w:type="dxa"/>
              <w:bottom w:w="150" w:type="dxa"/>
              <w:right w:w="240" w:type="dxa"/>
            </w:tcMar>
            <w:vAlign w:val="center"/>
            <w:hideMark/>
          </w:tcPr>
          <w:p w14:paraId="3145AE84"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تقييم الأداء العادل</w:t>
            </w:r>
          </w:p>
        </w:tc>
        <w:tc>
          <w:tcPr>
            <w:tcW w:w="2145" w:type="dxa"/>
            <w:tcMar>
              <w:top w:w="150" w:type="dxa"/>
              <w:left w:w="240" w:type="dxa"/>
              <w:bottom w:w="150" w:type="dxa"/>
              <w:right w:w="240" w:type="dxa"/>
            </w:tcMar>
            <w:vAlign w:val="center"/>
            <w:hideMark/>
          </w:tcPr>
          <w:p w14:paraId="5944C608"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20</w:t>
            </w:r>
          </w:p>
        </w:tc>
        <w:tc>
          <w:tcPr>
            <w:tcW w:w="0" w:type="auto"/>
            <w:tcMar>
              <w:top w:w="150" w:type="dxa"/>
              <w:left w:w="240" w:type="dxa"/>
              <w:bottom w:w="150" w:type="dxa"/>
              <w:right w:w="240" w:type="dxa"/>
            </w:tcMar>
            <w:vAlign w:val="center"/>
            <w:hideMark/>
          </w:tcPr>
          <w:p w14:paraId="3E6E1712"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47.6%</w:t>
            </w:r>
          </w:p>
        </w:tc>
        <w:tc>
          <w:tcPr>
            <w:tcW w:w="0" w:type="auto"/>
            <w:tcMar>
              <w:top w:w="150" w:type="dxa"/>
              <w:left w:w="240" w:type="dxa"/>
              <w:bottom w:w="150" w:type="dxa"/>
              <w:right w:w="0" w:type="dxa"/>
            </w:tcMar>
            <w:vAlign w:val="center"/>
            <w:hideMark/>
          </w:tcPr>
          <w:p w14:paraId="2077D22D"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متوسط</w:t>
            </w:r>
          </w:p>
        </w:tc>
      </w:tr>
      <w:tr w:rsidR="00A4595D" w:rsidRPr="00FC721E" w14:paraId="23426EE6" w14:textId="77777777" w:rsidTr="00FC721E">
        <w:tc>
          <w:tcPr>
            <w:tcW w:w="2736" w:type="dxa"/>
            <w:tcMar>
              <w:top w:w="150" w:type="dxa"/>
              <w:left w:w="0" w:type="dxa"/>
              <w:bottom w:w="150" w:type="dxa"/>
              <w:right w:w="240" w:type="dxa"/>
            </w:tcMar>
            <w:vAlign w:val="center"/>
            <w:hideMark/>
          </w:tcPr>
          <w:p w14:paraId="7853C5F9"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التوظيف والاختيار</w:t>
            </w:r>
          </w:p>
        </w:tc>
        <w:tc>
          <w:tcPr>
            <w:tcW w:w="2145" w:type="dxa"/>
            <w:tcMar>
              <w:top w:w="150" w:type="dxa"/>
              <w:left w:w="240" w:type="dxa"/>
              <w:bottom w:w="150" w:type="dxa"/>
              <w:right w:w="240" w:type="dxa"/>
            </w:tcMar>
            <w:vAlign w:val="center"/>
            <w:hideMark/>
          </w:tcPr>
          <w:p w14:paraId="40DEDF1D"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15</w:t>
            </w:r>
          </w:p>
        </w:tc>
        <w:tc>
          <w:tcPr>
            <w:tcW w:w="0" w:type="auto"/>
            <w:tcMar>
              <w:top w:w="150" w:type="dxa"/>
              <w:left w:w="240" w:type="dxa"/>
              <w:bottom w:w="150" w:type="dxa"/>
              <w:right w:w="240" w:type="dxa"/>
            </w:tcMar>
            <w:vAlign w:val="center"/>
            <w:hideMark/>
          </w:tcPr>
          <w:p w14:paraId="4122268A"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35.7%</w:t>
            </w:r>
          </w:p>
        </w:tc>
        <w:tc>
          <w:tcPr>
            <w:tcW w:w="0" w:type="auto"/>
            <w:tcMar>
              <w:top w:w="150" w:type="dxa"/>
              <w:left w:w="240" w:type="dxa"/>
              <w:bottom w:w="150" w:type="dxa"/>
              <w:right w:w="0" w:type="dxa"/>
            </w:tcMar>
            <w:vAlign w:val="center"/>
            <w:hideMark/>
          </w:tcPr>
          <w:p w14:paraId="562D4F27"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ضعيف-متوسط</w:t>
            </w:r>
          </w:p>
        </w:tc>
      </w:tr>
      <w:tr w:rsidR="00A4595D" w:rsidRPr="00FC721E" w14:paraId="42176F95" w14:textId="77777777" w:rsidTr="00FC721E">
        <w:tc>
          <w:tcPr>
            <w:tcW w:w="2736" w:type="dxa"/>
            <w:tcMar>
              <w:top w:w="150" w:type="dxa"/>
              <w:left w:w="0" w:type="dxa"/>
              <w:bottom w:w="150" w:type="dxa"/>
              <w:right w:w="240" w:type="dxa"/>
            </w:tcMar>
            <w:vAlign w:val="center"/>
            <w:hideMark/>
          </w:tcPr>
          <w:p w14:paraId="46A53E54" w14:textId="77777777" w:rsidR="00A4595D" w:rsidRPr="00FC721E" w:rsidRDefault="00A4595D" w:rsidP="00FC721E">
            <w:pPr>
              <w:spacing w:line="375" w:lineRule="atLeast"/>
              <w:ind w:left="283"/>
              <w:jc w:val="center"/>
              <w:rPr>
                <w:rFonts w:asciiTheme="majorBidi" w:hAnsiTheme="majorBidi" w:cstheme="majorBidi"/>
                <w:sz w:val="23"/>
                <w:szCs w:val="23"/>
              </w:rPr>
            </w:pPr>
            <w:r w:rsidRPr="00FC721E">
              <w:rPr>
                <w:rFonts w:asciiTheme="majorBidi" w:hAnsiTheme="majorBidi" w:cstheme="majorBidi"/>
                <w:sz w:val="23"/>
                <w:szCs w:val="23"/>
                <w:rtl/>
              </w:rPr>
              <w:t>المشاركة في صنع القرار</w:t>
            </w:r>
          </w:p>
        </w:tc>
        <w:tc>
          <w:tcPr>
            <w:tcW w:w="2145" w:type="dxa"/>
            <w:tcMar>
              <w:top w:w="150" w:type="dxa"/>
              <w:left w:w="240" w:type="dxa"/>
              <w:bottom w:w="150" w:type="dxa"/>
              <w:right w:w="240" w:type="dxa"/>
            </w:tcMar>
            <w:vAlign w:val="center"/>
            <w:hideMark/>
          </w:tcPr>
          <w:p w14:paraId="4C54EF03"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12</w:t>
            </w:r>
          </w:p>
        </w:tc>
        <w:tc>
          <w:tcPr>
            <w:tcW w:w="0" w:type="auto"/>
            <w:tcMar>
              <w:top w:w="150" w:type="dxa"/>
              <w:left w:w="240" w:type="dxa"/>
              <w:bottom w:w="150" w:type="dxa"/>
              <w:right w:w="240" w:type="dxa"/>
            </w:tcMar>
            <w:vAlign w:val="center"/>
            <w:hideMark/>
          </w:tcPr>
          <w:p w14:paraId="71621F67"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Pr>
              <w:t>28.6%</w:t>
            </w:r>
          </w:p>
        </w:tc>
        <w:tc>
          <w:tcPr>
            <w:tcW w:w="0" w:type="auto"/>
            <w:tcMar>
              <w:top w:w="150" w:type="dxa"/>
              <w:left w:w="240" w:type="dxa"/>
              <w:bottom w:w="150" w:type="dxa"/>
              <w:right w:w="0" w:type="dxa"/>
            </w:tcMar>
            <w:vAlign w:val="center"/>
            <w:hideMark/>
          </w:tcPr>
          <w:p w14:paraId="5C5BA009" w14:textId="77777777" w:rsidR="00A4595D" w:rsidRPr="00FC721E" w:rsidRDefault="00A4595D" w:rsidP="00FC721E">
            <w:pPr>
              <w:spacing w:line="375" w:lineRule="atLeast"/>
              <w:jc w:val="center"/>
              <w:rPr>
                <w:rFonts w:asciiTheme="majorBidi" w:hAnsiTheme="majorBidi" w:cstheme="majorBidi"/>
                <w:sz w:val="23"/>
                <w:szCs w:val="23"/>
              </w:rPr>
            </w:pPr>
            <w:r w:rsidRPr="00FC721E">
              <w:rPr>
                <w:rFonts w:asciiTheme="majorBidi" w:hAnsiTheme="majorBidi" w:cstheme="majorBidi"/>
                <w:sz w:val="23"/>
                <w:szCs w:val="23"/>
                <w:rtl/>
              </w:rPr>
              <w:t>متوسط</w:t>
            </w:r>
          </w:p>
        </w:tc>
      </w:tr>
    </w:tbl>
    <w:p w14:paraId="0EEAC834"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t>التحليل النوعي للنتائج</w:t>
      </w:r>
      <w:r w:rsidRPr="00FC721E">
        <w:rPr>
          <w:rStyle w:val="Strong"/>
          <w:rFonts w:asciiTheme="majorBidi" w:hAnsiTheme="majorBidi" w:cstheme="majorBidi"/>
          <w:color w:val="0F1115"/>
          <w:sz w:val="28"/>
          <w:szCs w:val="28"/>
        </w:rPr>
        <w:t>:</w:t>
      </w:r>
    </w:p>
    <w:p w14:paraId="600F1CC6"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t>نظام الحوافز</w:t>
      </w:r>
      <w:r w:rsidRPr="00FC721E">
        <w:rPr>
          <w:rFonts w:asciiTheme="majorBidi" w:hAnsiTheme="majorBidi" w:cstheme="majorBidi"/>
          <w:color w:val="0F1115"/>
          <w:sz w:val="28"/>
          <w:szCs w:val="28"/>
          <w:rtl/>
        </w:rPr>
        <w:t> جاء كأكثر الممارسات تأثيراً، حيث أشارت 38 دراسة إلى أهميته. أكدت الدراسات أن الحوافز المالية (الرواتب التنافسية، البدلات، المكافآت) تشكل عامل جذب أساسي، غير أن الحوافز غير المالية (التقدير، الاحترام، التكريم) لا تقل أهمية، خاصة في استدامة الرضا والولاء. دراسة</w:t>
      </w:r>
      <w:r w:rsidRPr="00FC721E">
        <w:rPr>
          <w:rFonts w:asciiTheme="majorBidi" w:hAnsiTheme="majorBidi" w:cstheme="majorBidi"/>
          <w:color w:val="0F1115"/>
          <w:sz w:val="28"/>
          <w:szCs w:val="28"/>
        </w:rPr>
        <w:t xml:space="preserve"> Smith (2026) </w:t>
      </w:r>
      <w:r w:rsidRPr="00FC721E">
        <w:rPr>
          <w:rFonts w:asciiTheme="majorBidi" w:hAnsiTheme="majorBidi" w:cstheme="majorBidi"/>
          <w:color w:val="0F1115"/>
          <w:sz w:val="28"/>
          <w:szCs w:val="28"/>
          <w:rtl/>
        </w:rPr>
        <w:t>أشارت إلى أن "التقدير المعنوي" قد يكون أكثر تأثيراً من الحوافز المالية في المراحل المتقدمة من المسيرة المهنية</w:t>
      </w:r>
      <w:r w:rsidRPr="00FC721E">
        <w:rPr>
          <w:rFonts w:asciiTheme="majorBidi" w:hAnsiTheme="majorBidi" w:cstheme="majorBidi"/>
          <w:color w:val="0F1115"/>
          <w:sz w:val="28"/>
          <w:szCs w:val="28"/>
        </w:rPr>
        <w:t>.</w:t>
      </w:r>
    </w:p>
    <w:p w14:paraId="3ECFC660"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lastRenderedPageBreak/>
        <w:t>التطوير المهني والتدريب</w:t>
      </w:r>
      <w:r w:rsidRPr="00FC721E">
        <w:rPr>
          <w:rFonts w:asciiTheme="majorBidi" w:hAnsiTheme="majorBidi" w:cstheme="majorBidi"/>
          <w:color w:val="0F1115"/>
          <w:sz w:val="28"/>
          <w:szCs w:val="28"/>
          <w:rtl/>
        </w:rPr>
        <w:t> جاء في المرتبة الثانية (35 دراسة). أظهرت الدراسات أن الكادر الطبي يقدّر الفرص المتاحة للتطور المهني، واكتساب مهارات جديدة، وحضور المؤتمرات. دراسة</w:t>
      </w:r>
      <w:r w:rsidRPr="00FC721E">
        <w:rPr>
          <w:rFonts w:asciiTheme="majorBidi" w:hAnsiTheme="majorBidi" w:cstheme="majorBidi"/>
          <w:color w:val="0F1115"/>
          <w:sz w:val="28"/>
          <w:szCs w:val="28"/>
        </w:rPr>
        <w:t xml:space="preserve"> Mujic et al. (2025) </w:t>
      </w:r>
      <w:r w:rsidRPr="00FC721E">
        <w:rPr>
          <w:rFonts w:asciiTheme="majorBidi" w:hAnsiTheme="majorBidi" w:cstheme="majorBidi"/>
          <w:color w:val="0F1115"/>
          <w:sz w:val="28"/>
          <w:szCs w:val="28"/>
          <w:rtl/>
        </w:rPr>
        <w:t>أكدت أن برامج الإرشاد</w:t>
      </w:r>
      <w:r w:rsidRPr="00FC721E">
        <w:rPr>
          <w:rFonts w:asciiTheme="majorBidi" w:hAnsiTheme="majorBidi" w:cstheme="majorBidi"/>
          <w:color w:val="0F1115"/>
          <w:sz w:val="28"/>
          <w:szCs w:val="28"/>
        </w:rPr>
        <w:t xml:space="preserve"> (Mentorship) </w:t>
      </w:r>
      <w:r w:rsidRPr="00FC721E">
        <w:rPr>
          <w:rFonts w:asciiTheme="majorBidi" w:hAnsiTheme="majorBidi" w:cstheme="majorBidi"/>
          <w:color w:val="0F1115"/>
          <w:sz w:val="28"/>
          <w:szCs w:val="28"/>
          <w:rtl/>
        </w:rPr>
        <w:t>تلعب دوراً مهماً في تعزيز ارتباط الممرضين الجدد بالمؤسسة</w:t>
      </w:r>
      <w:r w:rsidRPr="00FC721E">
        <w:rPr>
          <w:rFonts w:asciiTheme="majorBidi" w:hAnsiTheme="majorBidi" w:cstheme="majorBidi"/>
          <w:color w:val="0F1115"/>
          <w:sz w:val="28"/>
          <w:szCs w:val="28"/>
        </w:rPr>
        <w:t>.</w:t>
      </w:r>
    </w:p>
    <w:p w14:paraId="43FA20AC"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t>القيادة الداعمة</w:t>
      </w:r>
      <w:r w:rsidRPr="00FC721E">
        <w:rPr>
          <w:rFonts w:asciiTheme="majorBidi" w:hAnsiTheme="majorBidi" w:cstheme="majorBidi"/>
          <w:color w:val="0F1115"/>
          <w:sz w:val="28"/>
          <w:szCs w:val="28"/>
          <w:rtl/>
        </w:rPr>
        <w:t> كانت ثالث أكثر الممارسات تكراراً (32 دراسة). أشارت الدراسات إلى أن أسلوب القيادة (داعم، متعاطف، متاح) يؤثر بشكل كبير على الرضا الوظيفي ونية البقاء. دراسة</w:t>
      </w:r>
      <w:r w:rsidRPr="00FC721E">
        <w:rPr>
          <w:rFonts w:asciiTheme="majorBidi" w:hAnsiTheme="majorBidi" w:cstheme="majorBidi"/>
          <w:color w:val="0F1115"/>
          <w:sz w:val="28"/>
          <w:szCs w:val="28"/>
        </w:rPr>
        <w:t xml:space="preserve"> Gusoff et al. (2025) </w:t>
      </w:r>
      <w:r w:rsidRPr="00FC721E">
        <w:rPr>
          <w:rFonts w:asciiTheme="majorBidi" w:hAnsiTheme="majorBidi" w:cstheme="majorBidi"/>
          <w:color w:val="0F1115"/>
          <w:sz w:val="28"/>
          <w:szCs w:val="28"/>
          <w:rtl/>
        </w:rPr>
        <w:t>وجدت أن القادة الذين يستمعون للموظفين ويشركونهم في القرارات يحققون معدلات احتفاظ أعلى</w:t>
      </w:r>
      <w:r w:rsidRPr="00FC721E">
        <w:rPr>
          <w:rFonts w:asciiTheme="majorBidi" w:hAnsiTheme="majorBidi" w:cstheme="majorBidi"/>
          <w:color w:val="0F1115"/>
          <w:sz w:val="28"/>
          <w:szCs w:val="28"/>
        </w:rPr>
        <w:t>.</w:t>
      </w:r>
    </w:p>
    <w:p w14:paraId="6DC4517B"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t>بيئة العمل الآمنة</w:t>
      </w:r>
      <w:r w:rsidRPr="00FC721E">
        <w:rPr>
          <w:rFonts w:asciiTheme="majorBidi" w:hAnsiTheme="majorBidi" w:cstheme="majorBidi"/>
          <w:color w:val="0F1115"/>
          <w:sz w:val="28"/>
          <w:szCs w:val="28"/>
          <w:rtl/>
        </w:rPr>
        <w:t> ذكرتها 30 دراسة. وتشمل السلامة من المخاطر البيولوجية، والحماية من العنف، وتوفر المستلزمات الطبية. دراسة</w:t>
      </w:r>
      <w:r w:rsidRPr="00FC721E">
        <w:rPr>
          <w:rFonts w:asciiTheme="majorBidi" w:hAnsiTheme="majorBidi" w:cstheme="majorBidi"/>
          <w:color w:val="0F1115"/>
          <w:sz w:val="28"/>
          <w:szCs w:val="28"/>
        </w:rPr>
        <w:t xml:space="preserve"> Aiken et al. (2021) </w:t>
      </w:r>
      <w:r w:rsidRPr="00FC721E">
        <w:rPr>
          <w:rFonts w:asciiTheme="majorBidi" w:hAnsiTheme="majorBidi" w:cstheme="majorBidi"/>
          <w:color w:val="0F1115"/>
          <w:sz w:val="28"/>
          <w:szCs w:val="28"/>
          <w:rtl/>
        </w:rPr>
        <w:t>ربطت بين نقص المستلزمات وزيادة نية المغادرة</w:t>
      </w:r>
      <w:r w:rsidRPr="00FC721E">
        <w:rPr>
          <w:rFonts w:asciiTheme="majorBidi" w:hAnsiTheme="majorBidi" w:cstheme="majorBidi"/>
          <w:color w:val="0F1115"/>
          <w:sz w:val="28"/>
          <w:szCs w:val="28"/>
        </w:rPr>
        <w:t>.</w:t>
      </w:r>
    </w:p>
    <w:p w14:paraId="1F76C436" w14:textId="77777777" w:rsidR="00A4595D" w:rsidRPr="00FC721E" w:rsidRDefault="00A4595D" w:rsidP="00FC721E">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721E">
        <w:rPr>
          <w:rStyle w:val="Strong"/>
          <w:rFonts w:asciiTheme="majorBidi" w:hAnsiTheme="majorBidi" w:cstheme="majorBidi"/>
          <w:color w:val="0F1115"/>
          <w:sz w:val="28"/>
          <w:szCs w:val="28"/>
          <w:rtl/>
        </w:rPr>
        <w:t>التوازن بين العمل والحياة</w:t>
      </w:r>
      <w:r w:rsidRPr="00FC721E">
        <w:rPr>
          <w:rFonts w:asciiTheme="majorBidi" w:hAnsiTheme="majorBidi" w:cstheme="majorBidi"/>
          <w:color w:val="0F1115"/>
          <w:sz w:val="28"/>
          <w:szCs w:val="28"/>
          <w:rtl/>
        </w:rPr>
        <w:t> أشارت 28 دراسة إلى أهميته، خاصة بعد جائحة كوفيد-19 التي زادت الضغوط على الكادر الطبي. برزت أهمية المناوبات المرنة، والإجازات الكافية، ودعم الصحة النفسية</w:t>
      </w:r>
      <w:r w:rsidRPr="00FC721E">
        <w:rPr>
          <w:rFonts w:asciiTheme="majorBidi" w:hAnsiTheme="majorBidi" w:cstheme="majorBidi"/>
          <w:color w:val="0F1115"/>
          <w:sz w:val="28"/>
          <w:szCs w:val="28"/>
        </w:rPr>
        <w:t>.</w:t>
      </w:r>
    </w:p>
    <w:p w14:paraId="2A520E15" w14:textId="1E228418" w:rsidR="00A4595D" w:rsidRPr="00FC721E" w:rsidRDefault="005D0B18" w:rsidP="00FC721E">
      <w:pPr>
        <w:pStyle w:val="Heading4"/>
        <w:shd w:val="clear" w:color="auto" w:fill="FFFFFF"/>
        <w:bidi/>
        <w:spacing w:before="240" w:after="240" w:line="420" w:lineRule="atLeast"/>
        <w:jc w:val="lowKashida"/>
        <w:rPr>
          <w:rFonts w:asciiTheme="majorBidi" w:hAnsiTheme="majorBidi"/>
          <w:i w:val="0"/>
          <w:iCs w:val="0"/>
          <w:color w:val="0F1115"/>
          <w:sz w:val="28"/>
          <w:szCs w:val="28"/>
        </w:rPr>
      </w:pPr>
      <w:r>
        <w:rPr>
          <w:rFonts w:asciiTheme="majorBidi" w:hAnsiTheme="majorBidi" w:hint="cs"/>
          <w:i w:val="0"/>
          <w:iCs w:val="0"/>
          <w:color w:val="0F1115"/>
          <w:sz w:val="28"/>
          <w:szCs w:val="28"/>
          <w:rtl/>
        </w:rPr>
        <w:t xml:space="preserve">٤.٣.٢. </w:t>
      </w:r>
      <w:r w:rsidR="00A4595D" w:rsidRPr="00FC721E">
        <w:rPr>
          <w:rFonts w:asciiTheme="majorBidi" w:hAnsiTheme="majorBidi"/>
          <w:i w:val="0"/>
          <w:iCs w:val="0"/>
          <w:color w:val="0F1115"/>
          <w:sz w:val="28"/>
          <w:szCs w:val="28"/>
          <w:rtl/>
        </w:rPr>
        <w:t>عوامل الاحتفاظ بالكادر الطبي</w:t>
      </w:r>
    </w:p>
    <w:p w14:paraId="28F2F387" w14:textId="77777777" w:rsidR="00A4595D" w:rsidRPr="00FC721E" w:rsidRDefault="00A4595D" w:rsidP="00FC721E">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FC721E">
        <w:rPr>
          <w:rFonts w:asciiTheme="majorBidi" w:hAnsiTheme="majorBidi"/>
          <w:i w:val="0"/>
          <w:iCs w:val="0"/>
          <w:color w:val="0F1115"/>
          <w:sz w:val="28"/>
          <w:szCs w:val="28"/>
          <w:rtl/>
        </w:rPr>
        <w:t>جدول (4-4): النتائج التركيبية لعوامل الاحتفاظ بالكادر الطبي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5"/>
        <w:gridCol w:w="2311"/>
        <w:gridCol w:w="1438"/>
        <w:gridCol w:w="1390"/>
      </w:tblGrid>
      <w:tr w:rsidR="00A4595D" w14:paraId="3CC6907B" w14:textId="77777777" w:rsidTr="00FC721E">
        <w:trPr>
          <w:tblHeader/>
        </w:trPr>
        <w:tc>
          <w:tcPr>
            <w:tcW w:w="0" w:type="auto"/>
            <w:tcMar>
              <w:top w:w="150" w:type="dxa"/>
              <w:left w:w="0" w:type="dxa"/>
              <w:bottom w:w="150" w:type="dxa"/>
              <w:right w:w="240" w:type="dxa"/>
            </w:tcMar>
            <w:vAlign w:val="center"/>
            <w:hideMark/>
          </w:tcPr>
          <w:p w14:paraId="0B7548DB"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العامل</w:t>
            </w:r>
          </w:p>
        </w:tc>
        <w:tc>
          <w:tcPr>
            <w:tcW w:w="0" w:type="auto"/>
            <w:tcMar>
              <w:top w:w="150" w:type="dxa"/>
              <w:left w:w="240" w:type="dxa"/>
              <w:bottom w:w="150" w:type="dxa"/>
              <w:right w:w="240" w:type="dxa"/>
            </w:tcMar>
            <w:vAlign w:val="center"/>
            <w:hideMark/>
          </w:tcPr>
          <w:p w14:paraId="2D789FA0"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عدد الدراسات التي ذكرته</w:t>
            </w:r>
          </w:p>
        </w:tc>
        <w:tc>
          <w:tcPr>
            <w:tcW w:w="0" w:type="auto"/>
            <w:tcMar>
              <w:top w:w="150" w:type="dxa"/>
              <w:left w:w="240" w:type="dxa"/>
              <w:bottom w:w="150" w:type="dxa"/>
              <w:right w:w="240" w:type="dxa"/>
            </w:tcMar>
            <w:vAlign w:val="center"/>
            <w:hideMark/>
          </w:tcPr>
          <w:p w14:paraId="07907B18"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النسبة المئوية</w:t>
            </w:r>
          </w:p>
        </w:tc>
        <w:tc>
          <w:tcPr>
            <w:tcW w:w="0" w:type="auto"/>
            <w:tcMar>
              <w:top w:w="150" w:type="dxa"/>
              <w:left w:w="240" w:type="dxa"/>
              <w:bottom w:w="150" w:type="dxa"/>
              <w:right w:w="240" w:type="dxa"/>
            </w:tcMar>
            <w:vAlign w:val="center"/>
            <w:hideMark/>
          </w:tcPr>
          <w:p w14:paraId="4CCF0383"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طبيعة التأثير</w:t>
            </w:r>
          </w:p>
        </w:tc>
      </w:tr>
      <w:tr w:rsidR="00A4595D" w14:paraId="0F1B8147" w14:textId="77777777" w:rsidTr="00FC721E">
        <w:tc>
          <w:tcPr>
            <w:tcW w:w="0" w:type="auto"/>
            <w:tcMar>
              <w:top w:w="150" w:type="dxa"/>
              <w:left w:w="0" w:type="dxa"/>
              <w:bottom w:w="150" w:type="dxa"/>
              <w:right w:w="240" w:type="dxa"/>
            </w:tcMar>
            <w:vAlign w:val="center"/>
            <w:hideMark/>
          </w:tcPr>
          <w:p w14:paraId="28A19AFF"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الرضا الوظيفي</w:t>
            </w:r>
          </w:p>
        </w:tc>
        <w:tc>
          <w:tcPr>
            <w:tcW w:w="0" w:type="auto"/>
            <w:tcMar>
              <w:top w:w="150" w:type="dxa"/>
              <w:left w:w="240" w:type="dxa"/>
              <w:bottom w:w="150" w:type="dxa"/>
              <w:right w:w="240" w:type="dxa"/>
            </w:tcMar>
            <w:vAlign w:val="center"/>
            <w:hideMark/>
          </w:tcPr>
          <w:p w14:paraId="5AC3FA15"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40</w:t>
            </w:r>
          </w:p>
        </w:tc>
        <w:tc>
          <w:tcPr>
            <w:tcW w:w="0" w:type="auto"/>
            <w:tcMar>
              <w:top w:w="150" w:type="dxa"/>
              <w:left w:w="240" w:type="dxa"/>
              <w:bottom w:w="150" w:type="dxa"/>
              <w:right w:w="240" w:type="dxa"/>
            </w:tcMar>
            <w:vAlign w:val="center"/>
            <w:hideMark/>
          </w:tcPr>
          <w:p w14:paraId="2B5DE27A"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95.2%</w:t>
            </w:r>
          </w:p>
        </w:tc>
        <w:tc>
          <w:tcPr>
            <w:tcW w:w="0" w:type="auto"/>
            <w:tcMar>
              <w:top w:w="150" w:type="dxa"/>
              <w:left w:w="240" w:type="dxa"/>
              <w:bottom w:w="150" w:type="dxa"/>
              <w:right w:w="0" w:type="dxa"/>
            </w:tcMar>
            <w:vAlign w:val="center"/>
            <w:hideMark/>
          </w:tcPr>
          <w:p w14:paraId="4BC63CE9"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مباشر</w:t>
            </w:r>
          </w:p>
        </w:tc>
      </w:tr>
      <w:tr w:rsidR="00A4595D" w14:paraId="5F2CB9CB" w14:textId="77777777" w:rsidTr="00FC721E">
        <w:tc>
          <w:tcPr>
            <w:tcW w:w="0" w:type="auto"/>
            <w:tcMar>
              <w:top w:w="150" w:type="dxa"/>
              <w:left w:w="0" w:type="dxa"/>
              <w:bottom w:w="150" w:type="dxa"/>
              <w:right w:w="240" w:type="dxa"/>
            </w:tcMar>
            <w:vAlign w:val="center"/>
            <w:hideMark/>
          </w:tcPr>
          <w:p w14:paraId="2D3B30F9"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الالتزام التنظيمي</w:t>
            </w:r>
          </w:p>
        </w:tc>
        <w:tc>
          <w:tcPr>
            <w:tcW w:w="0" w:type="auto"/>
            <w:tcMar>
              <w:top w:w="150" w:type="dxa"/>
              <w:left w:w="240" w:type="dxa"/>
              <w:bottom w:w="150" w:type="dxa"/>
              <w:right w:w="240" w:type="dxa"/>
            </w:tcMar>
            <w:vAlign w:val="center"/>
            <w:hideMark/>
          </w:tcPr>
          <w:p w14:paraId="52D2926E"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35</w:t>
            </w:r>
          </w:p>
        </w:tc>
        <w:tc>
          <w:tcPr>
            <w:tcW w:w="0" w:type="auto"/>
            <w:tcMar>
              <w:top w:w="150" w:type="dxa"/>
              <w:left w:w="240" w:type="dxa"/>
              <w:bottom w:w="150" w:type="dxa"/>
              <w:right w:w="240" w:type="dxa"/>
            </w:tcMar>
            <w:vAlign w:val="center"/>
            <w:hideMark/>
          </w:tcPr>
          <w:p w14:paraId="734854DC"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83.3%</w:t>
            </w:r>
          </w:p>
        </w:tc>
        <w:tc>
          <w:tcPr>
            <w:tcW w:w="0" w:type="auto"/>
            <w:tcMar>
              <w:top w:w="150" w:type="dxa"/>
              <w:left w:w="240" w:type="dxa"/>
              <w:bottom w:w="150" w:type="dxa"/>
              <w:right w:w="0" w:type="dxa"/>
            </w:tcMar>
            <w:vAlign w:val="center"/>
            <w:hideMark/>
          </w:tcPr>
          <w:p w14:paraId="38EC6007"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مباشر</w:t>
            </w:r>
          </w:p>
        </w:tc>
      </w:tr>
      <w:tr w:rsidR="00A4595D" w14:paraId="10FFAD74" w14:textId="77777777" w:rsidTr="00FC721E">
        <w:tc>
          <w:tcPr>
            <w:tcW w:w="0" w:type="auto"/>
            <w:tcMar>
              <w:top w:w="150" w:type="dxa"/>
              <w:left w:w="0" w:type="dxa"/>
              <w:bottom w:w="150" w:type="dxa"/>
              <w:right w:w="240" w:type="dxa"/>
            </w:tcMar>
            <w:vAlign w:val="center"/>
            <w:hideMark/>
          </w:tcPr>
          <w:p w14:paraId="51E08500"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الإرهاق</w:t>
            </w:r>
            <w:r>
              <w:rPr>
                <w:rFonts w:ascii="Segoe UI" w:hAnsi="Segoe UI" w:cs="Segoe UI"/>
                <w:sz w:val="23"/>
                <w:szCs w:val="23"/>
              </w:rPr>
              <w:t xml:space="preserve"> (Burnout)</w:t>
            </w:r>
          </w:p>
        </w:tc>
        <w:tc>
          <w:tcPr>
            <w:tcW w:w="0" w:type="auto"/>
            <w:tcMar>
              <w:top w:w="150" w:type="dxa"/>
              <w:left w:w="240" w:type="dxa"/>
              <w:bottom w:w="150" w:type="dxa"/>
              <w:right w:w="240" w:type="dxa"/>
            </w:tcMar>
            <w:vAlign w:val="center"/>
            <w:hideMark/>
          </w:tcPr>
          <w:p w14:paraId="2D5B2C30"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32</w:t>
            </w:r>
          </w:p>
        </w:tc>
        <w:tc>
          <w:tcPr>
            <w:tcW w:w="0" w:type="auto"/>
            <w:tcMar>
              <w:top w:w="150" w:type="dxa"/>
              <w:left w:w="240" w:type="dxa"/>
              <w:bottom w:w="150" w:type="dxa"/>
              <w:right w:w="240" w:type="dxa"/>
            </w:tcMar>
            <w:vAlign w:val="center"/>
            <w:hideMark/>
          </w:tcPr>
          <w:p w14:paraId="1DBB0974"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76.2%</w:t>
            </w:r>
          </w:p>
        </w:tc>
        <w:tc>
          <w:tcPr>
            <w:tcW w:w="0" w:type="auto"/>
            <w:tcMar>
              <w:top w:w="150" w:type="dxa"/>
              <w:left w:w="240" w:type="dxa"/>
              <w:bottom w:w="150" w:type="dxa"/>
              <w:right w:w="0" w:type="dxa"/>
            </w:tcMar>
            <w:vAlign w:val="center"/>
            <w:hideMark/>
          </w:tcPr>
          <w:p w14:paraId="2B665CB7"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عكسي</w:t>
            </w:r>
          </w:p>
        </w:tc>
      </w:tr>
      <w:tr w:rsidR="00A4595D" w14:paraId="04CD4601" w14:textId="77777777" w:rsidTr="00FC721E">
        <w:tc>
          <w:tcPr>
            <w:tcW w:w="0" w:type="auto"/>
            <w:tcMar>
              <w:top w:w="150" w:type="dxa"/>
              <w:left w:w="0" w:type="dxa"/>
              <w:bottom w:w="150" w:type="dxa"/>
              <w:right w:w="240" w:type="dxa"/>
            </w:tcMar>
            <w:vAlign w:val="center"/>
            <w:hideMark/>
          </w:tcPr>
          <w:p w14:paraId="3BADEDDE"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نية البقاء</w:t>
            </w:r>
          </w:p>
        </w:tc>
        <w:tc>
          <w:tcPr>
            <w:tcW w:w="0" w:type="auto"/>
            <w:tcMar>
              <w:top w:w="150" w:type="dxa"/>
              <w:left w:w="240" w:type="dxa"/>
              <w:bottom w:w="150" w:type="dxa"/>
              <w:right w:w="240" w:type="dxa"/>
            </w:tcMar>
            <w:vAlign w:val="center"/>
            <w:hideMark/>
          </w:tcPr>
          <w:p w14:paraId="1A8B365E"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30</w:t>
            </w:r>
          </w:p>
        </w:tc>
        <w:tc>
          <w:tcPr>
            <w:tcW w:w="0" w:type="auto"/>
            <w:tcMar>
              <w:top w:w="150" w:type="dxa"/>
              <w:left w:w="240" w:type="dxa"/>
              <w:bottom w:w="150" w:type="dxa"/>
              <w:right w:w="240" w:type="dxa"/>
            </w:tcMar>
            <w:vAlign w:val="center"/>
            <w:hideMark/>
          </w:tcPr>
          <w:p w14:paraId="69B16A05"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71.4%</w:t>
            </w:r>
          </w:p>
        </w:tc>
        <w:tc>
          <w:tcPr>
            <w:tcW w:w="0" w:type="auto"/>
            <w:tcMar>
              <w:top w:w="150" w:type="dxa"/>
              <w:left w:w="240" w:type="dxa"/>
              <w:bottom w:w="150" w:type="dxa"/>
              <w:right w:w="0" w:type="dxa"/>
            </w:tcMar>
            <w:vAlign w:val="center"/>
            <w:hideMark/>
          </w:tcPr>
          <w:p w14:paraId="563D32A8"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نتيجة</w:t>
            </w:r>
          </w:p>
        </w:tc>
      </w:tr>
      <w:tr w:rsidR="00A4595D" w14:paraId="166DAB13" w14:textId="77777777" w:rsidTr="00FC721E">
        <w:tc>
          <w:tcPr>
            <w:tcW w:w="0" w:type="auto"/>
            <w:tcMar>
              <w:top w:w="150" w:type="dxa"/>
              <w:left w:w="0" w:type="dxa"/>
              <w:bottom w:w="150" w:type="dxa"/>
              <w:right w:w="240" w:type="dxa"/>
            </w:tcMar>
            <w:vAlign w:val="center"/>
            <w:hideMark/>
          </w:tcPr>
          <w:p w14:paraId="52034836"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الدعم التنظيمي المدرك</w:t>
            </w:r>
          </w:p>
        </w:tc>
        <w:tc>
          <w:tcPr>
            <w:tcW w:w="0" w:type="auto"/>
            <w:tcMar>
              <w:top w:w="150" w:type="dxa"/>
              <w:left w:w="240" w:type="dxa"/>
              <w:bottom w:w="150" w:type="dxa"/>
              <w:right w:w="240" w:type="dxa"/>
            </w:tcMar>
            <w:vAlign w:val="center"/>
            <w:hideMark/>
          </w:tcPr>
          <w:p w14:paraId="62F63421"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28</w:t>
            </w:r>
          </w:p>
        </w:tc>
        <w:tc>
          <w:tcPr>
            <w:tcW w:w="0" w:type="auto"/>
            <w:tcMar>
              <w:top w:w="150" w:type="dxa"/>
              <w:left w:w="240" w:type="dxa"/>
              <w:bottom w:w="150" w:type="dxa"/>
              <w:right w:w="240" w:type="dxa"/>
            </w:tcMar>
            <w:vAlign w:val="center"/>
            <w:hideMark/>
          </w:tcPr>
          <w:p w14:paraId="1A3AC123"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66.7%</w:t>
            </w:r>
          </w:p>
        </w:tc>
        <w:tc>
          <w:tcPr>
            <w:tcW w:w="0" w:type="auto"/>
            <w:tcMar>
              <w:top w:w="150" w:type="dxa"/>
              <w:left w:w="240" w:type="dxa"/>
              <w:bottom w:w="150" w:type="dxa"/>
              <w:right w:w="0" w:type="dxa"/>
            </w:tcMar>
            <w:vAlign w:val="center"/>
            <w:hideMark/>
          </w:tcPr>
          <w:p w14:paraId="5B102BD0"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وسيط</w:t>
            </w:r>
          </w:p>
        </w:tc>
      </w:tr>
      <w:tr w:rsidR="00A4595D" w14:paraId="36280F09" w14:textId="77777777" w:rsidTr="00FC721E">
        <w:tc>
          <w:tcPr>
            <w:tcW w:w="0" w:type="auto"/>
            <w:tcMar>
              <w:top w:w="150" w:type="dxa"/>
              <w:left w:w="0" w:type="dxa"/>
              <w:bottom w:w="150" w:type="dxa"/>
              <w:right w:w="240" w:type="dxa"/>
            </w:tcMar>
            <w:vAlign w:val="center"/>
            <w:hideMark/>
          </w:tcPr>
          <w:p w14:paraId="0848A995"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التمكين</w:t>
            </w:r>
          </w:p>
        </w:tc>
        <w:tc>
          <w:tcPr>
            <w:tcW w:w="0" w:type="auto"/>
            <w:tcMar>
              <w:top w:w="150" w:type="dxa"/>
              <w:left w:w="240" w:type="dxa"/>
              <w:bottom w:w="150" w:type="dxa"/>
              <w:right w:w="240" w:type="dxa"/>
            </w:tcMar>
            <w:vAlign w:val="center"/>
            <w:hideMark/>
          </w:tcPr>
          <w:p w14:paraId="669E7D03"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22</w:t>
            </w:r>
          </w:p>
        </w:tc>
        <w:tc>
          <w:tcPr>
            <w:tcW w:w="0" w:type="auto"/>
            <w:tcMar>
              <w:top w:w="150" w:type="dxa"/>
              <w:left w:w="240" w:type="dxa"/>
              <w:bottom w:w="150" w:type="dxa"/>
              <w:right w:w="240" w:type="dxa"/>
            </w:tcMar>
            <w:vAlign w:val="center"/>
            <w:hideMark/>
          </w:tcPr>
          <w:p w14:paraId="692ECBA8"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52.4%</w:t>
            </w:r>
          </w:p>
        </w:tc>
        <w:tc>
          <w:tcPr>
            <w:tcW w:w="0" w:type="auto"/>
            <w:tcMar>
              <w:top w:w="150" w:type="dxa"/>
              <w:left w:w="240" w:type="dxa"/>
              <w:bottom w:w="150" w:type="dxa"/>
              <w:right w:w="0" w:type="dxa"/>
            </w:tcMar>
            <w:vAlign w:val="center"/>
            <w:hideMark/>
          </w:tcPr>
          <w:p w14:paraId="4347D7A1"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مباشر</w:t>
            </w:r>
          </w:p>
        </w:tc>
      </w:tr>
      <w:tr w:rsidR="00A4595D" w14:paraId="01AB6FA2" w14:textId="77777777" w:rsidTr="00FC721E">
        <w:tc>
          <w:tcPr>
            <w:tcW w:w="0" w:type="auto"/>
            <w:tcMar>
              <w:top w:w="150" w:type="dxa"/>
              <w:left w:w="0" w:type="dxa"/>
              <w:bottom w:w="150" w:type="dxa"/>
              <w:right w:w="240" w:type="dxa"/>
            </w:tcMar>
            <w:vAlign w:val="center"/>
            <w:hideMark/>
          </w:tcPr>
          <w:p w14:paraId="39D5940D"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العدالة التنظيمية</w:t>
            </w:r>
          </w:p>
        </w:tc>
        <w:tc>
          <w:tcPr>
            <w:tcW w:w="0" w:type="auto"/>
            <w:tcMar>
              <w:top w:w="150" w:type="dxa"/>
              <w:left w:w="240" w:type="dxa"/>
              <w:bottom w:w="150" w:type="dxa"/>
              <w:right w:w="240" w:type="dxa"/>
            </w:tcMar>
            <w:vAlign w:val="center"/>
            <w:hideMark/>
          </w:tcPr>
          <w:p w14:paraId="519D9103"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20</w:t>
            </w:r>
          </w:p>
        </w:tc>
        <w:tc>
          <w:tcPr>
            <w:tcW w:w="0" w:type="auto"/>
            <w:tcMar>
              <w:top w:w="150" w:type="dxa"/>
              <w:left w:w="240" w:type="dxa"/>
              <w:bottom w:w="150" w:type="dxa"/>
              <w:right w:w="240" w:type="dxa"/>
            </w:tcMar>
            <w:vAlign w:val="center"/>
            <w:hideMark/>
          </w:tcPr>
          <w:p w14:paraId="24D0F536" w14:textId="77777777" w:rsidR="00A4595D" w:rsidRDefault="00A4595D" w:rsidP="00FC721E">
            <w:pPr>
              <w:bidi/>
              <w:spacing w:line="375" w:lineRule="atLeast"/>
              <w:jc w:val="center"/>
              <w:rPr>
                <w:rFonts w:ascii="Segoe UI" w:hAnsi="Segoe UI" w:cs="Segoe UI"/>
                <w:sz w:val="23"/>
                <w:szCs w:val="23"/>
              </w:rPr>
            </w:pPr>
            <w:r>
              <w:rPr>
                <w:rFonts w:ascii="Segoe UI" w:hAnsi="Segoe UI" w:cs="Segoe UI"/>
                <w:sz w:val="23"/>
                <w:szCs w:val="23"/>
              </w:rPr>
              <w:t>47.6%</w:t>
            </w:r>
          </w:p>
        </w:tc>
        <w:tc>
          <w:tcPr>
            <w:tcW w:w="0" w:type="auto"/>
            <w:tcMar>
              <w:top w:w="150" w:type="dxa"/>
              <w:left w:w="240" w:type="dxa"/>
              <w:bottom w:w="150" w:type="dxa"/>
              <w:right w:w="0" w:type="dxa"/>
            </w:tcMar>
            <w:vAlign w:val="center"/>
            <w:hideMark/>
          </w:tcPr>
          <w:p w14:paraId="7F5BD947" w14:textId="77777777" w:rsidR="00A4595D" w:rsidRDefault="00A4595D" w:rsidP="00FC721E">
            <w:pPr>
              <w:bidi/>
              <w:spacing w:line="375" w:lineRule="atLeast"/>
              <w:jc w:val="center"/>
              <w:rPr>
                <w:rFonts w:ascii="Segoe UI" w:hAnsi="Segoe UI" w:cs="Segoe UI"/>
                <w:sz w:val="23"/>
                <w:szCs w:val="23"/>
              </w:rPr>
            </w:pPr>
            <w:r>
              <w:rPr>
                <w:rFonts w:ascii="Segoe UI" w:hAnsi="Segoe UI"/>
                <w:sz w:val="23"/>
                <w:szCs w:val="23"/>
                <w:rtl/>
              </w:rPr>
              <w:t>وسيط</w:t>
            </w:r>
          </w:p>
        </w:tc>
      </w:tr>
    </w:tbl>
    <w:p w14:paraId="43849205"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التحليل النوعي</w:t>
      </w:r>
      <w:r w:rsidRPr="005D0B18">
        <w:rPr>
          <w:rStyle w:val="Strong"/>
          <w:rFonts w:asciiTheme="majorBidi" w:hAnsiTheme="majorBidi" w:cstheme="majorBidi"/>
          <w:color w:val="0F1115"/>
          <w:sz w:val="28"/>
          <w:szCs w:val="28"/>
        </w:rPr>
        <w:t>:</w:t>
      </w:r>
    </w:p>
    <w:p w14:paraId="4FE29F75"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أظهرت الدراسات أن </w:t>
      </w:r>
      <w:r w:rsidRPr="005D0B18">
        <w:rPr>
          <w:rStyle w:val="Strong"/>
          <w:rFonts w:asciiTheme="majorBidi" w:hAnsiTheme="majorBidi" w:cstheme="majorBidi"/>
          <w:color w:val="0F1115"/>
          <w:sz w:val="28"/>
          <w:szCs w:val="28"/>
          <w:rtl/>
        </w:rPr>
        <w:t>الرضا الوظيفي</w:t>
      </w:r>
      <w:r w:rsidRPr="005D0B18">
        <w:rPr>
          <w:rFonts w:asciiTheme="majorBidi" w:hAnsiTheme="majorBidi" w:cstheme="majorBidi"/>
          <w:color w:val="0F1115"/>
          <w:sz w:val="28"/>
          <w:szCs w:val="28"/>
          <w:rtl/>
        </w:rPr>
        <w:t> هو أقوى المتنبئات بالاحتفاظ. العوامل المؤثرة في الرضا شملت: بيئة العمل، العلاقات مع الزملاء، التقدير، فرص التطور</w:t>
      </w:r>
      <w:r w:rsidRPr="005D0B18">
        <w:rPr>
          <w:rFonts w:asciiTheme="majorBidi" w:hAnsiTheme="majorBidi" w:cstheme="majorBidi"/>
          <w:color w:val="0F1115"/>
          <w:sz w:val="28"/>
          <w:szCs w:val="28"/>
        </w:rPr>
        <w:t>.</w:t>
      </w:r>
    </w:p>
    <w:p w14:paraId="440C3CF2" w14:textId="46BC1E5F"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lastRenderedPageBreak/>
        <w:t>الإرهاق</w:t>
      </w:r>
      <w:r w:rsidRPr="005D0B18">
        <w:rPr>
          <w:rStyle w:val="Strong"/>
          <w:rFonts w:asciiTheme="majorBidi" w:hAnsiTheme="majorBidi" w:cstheme="majorBidi"/>
          <w:color w:val="0F1115"/>
          <w:sz w:val="28"/>
          <w:szCs w:val="28"/>
        </w:rPr>
        <w:t xml:space="preserve"> (Burnout)</w:t>
      </w:r>
      <w:r w:rsidRPr="005D0B18">
        <w:rPr>
          <w:rFonts w:asciiTheme="majorBidi" w:hAnsiTheme="majorBidi" w:cstheme="majorBidi"/>
          <w:color w:val="0F1115"/>
          <w:sz w:val="28"/>
          <w:szCs w:val="28"/>
        </w:rPr>
        <w:t> </w:t>
      </w:r>
      <w:r w:rsidRPr="005D0B18">
        <w:rPr>
          <w:rFonts w:asciiTheme="majorBidi" w:hAnsiTheme="majorBidi" w:cstheme="majorBidi"/>
          <w:color w:val="0F1115"/>
          <w:sz w:val="28"/>
          <w:szCs w:val="28"/>
          <w:rtl/>
        </w:rPr>
        <w:t>ظهر كعامل خطر رئيسي، خاصة بعد الجائحة. دراسة</w:t>
      </w:r>
      <w:r w:rsidRPr="005D0B18">
        <w:rPr>
          <w:rFonts w:asciiTheme="majorBidi" w:hAnsiTheme="majorBidi" w:cstheme="majorBidi"/>
          <w:color w:val="0F1115"/>
          <w:sz w:val="28"/>
          <w:szCs w:val="28"/>
        </w:rPr>
        <w:t xml:space="preserve"> (National Academy of Medicine, 2022) </w:t>
      </w:r>
      <w:r w:rsidRPr="005D0B18">
        <w:rPr>
          <w:rFonts w:asciiTheme="majorBidi" w:hAnsiTheme="majorBidi" w:cstheme="majorBidi"/>
          <w:color w:val="0F1115"/>
          <w:sz w:val="28"/>
          <w:szCs w:val="28"/>
          <w:rtl/>
        </w:rPr>
        <w:t xml:space="preserve">أشارت إلى أن أكثر من 40% من </w:t>
      </w:r>
      <w:r w:rsidR="005D0B18" w:rsidRPr="005D0B18">
        <w:rPr>
          <w:rFonts w:asciiTheme="majorBidi" w:hAnsiTheme="majorBidi" w:cstheme="majorBidi" w:hint="cs"/>
          <w:color w:val="0F1115"/>
          <w:sz w:val="28"/>
          <w:szCs w:val="28"/>
          <w:rtl/>
        </w:rPr>
        <w:t>الأطباء</w:t>
      </w:r>
      <w:r w:rsidRPr="005D0B18">
        <w:rPr>
          <w:rFonts w:asciiTheme="majorBidi" w:hAnsiTheme="majorBidi" w:cstheme="majorBidi"/>
          <w:color w:val="0F1115"/>
          <w:sz w:val="28"/>
          <w:szCs w:val="28"/>
          <w:rtl/>
        </w:rPr>
        <w:t xml:space="preserve"> يعانون من أعراض الإرهاق، مما يزيد احتمالية تركهم للمهنة</w:t>
      </w:r>
      <w:r w:rsidRPr="005D0B18">
        <w:rPr>
          <w:rFonts w:asciiTheme="majorBidi" w:hAnsiTheme="majorBidi" w:cstheme="majorBidi"/>
          <w:color w:val="0F1115"/>
          <w:sz w:val="28"/>
          <w:szCs w:val="28"/>
        </w:rPr>
        <w:t>.</w:t>
      </w:r>
    </w:p>
    <w:p w14:paraId="248AE9E8" w14:textId="45AD4A46"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الدعم التنظيمي المدرك</w:t>
      </w:r>
      <w:r w:rsidRPr="005D0B18">
        <w:rPr>
          <w:rFonts w:asciiTheme="majorBidi" w:hAnsiTheme="majorBidi" w:cstheme="majorBidi"/>
          <w:color w:val="0F1115"/>
          <w:sz w:val="28"/>
          <w:szCs w:val="28"/>
          <w:rtl/>
        </w:rPr>
        <w:t> </w:t>
      </w:r>
      <w:r w:rsidRPr="005D0B18">
        <w:rPr>
          <w:rFonts w:asciiTheme="majorBidi" w:hAnsiTheme="majorBidi" w:cstheme="majorBidi"/>
          <w:color w:val="0F1115"/>
          <w:sz w:val="28"/>
          <w:szCs w:val="28"/>
        </w:rPr>
        <w:t>(Perceived Organizational Support)</w:t>
      </w:r>
      <w:r w:rsidR="005D0B18">
        <w:rPr>
          <w:rFonts w:asciiTheme="majorBidi" w:hAnsiTheme="majorBidi" w:cstheme="majorBidi" w:hint="cs"/>
          <w:color w:val="0F1115"/>
          <w:sz w:val="28"/>
          <w:szCs w:val="28"/>
          <w:rtl/>
        </w:rPr>
        <w:t xml:space="preserve"> </w:t>
      </w:r>
      <w:r w:rsidRPr="005D0B18">
        <w:rPr>
          <w:rFonts w:asciiTheme="majorBidi" w:hAnsiTheme="majorBidi" w:cstheme="majorBidi"/>
          <w:color w:val="0F1115"/>
          <w:sz w:val="28"/>
          <w:szCs w:val="28"/>
          <w:rtl/>
        </w:rPr>
        <w:t>لعب دوراً وسيطاً مهماً بين ممارسات الموارد البشرية والاحتفاظ. فكلما شعر العاملون أن المؤسسة تدعمهم، زاد التزامهم وانخفضت نيتهم للمغادرة</w:t>
      </w:r>
      <w:r w:rsidRPr="005D0B18">
        <w:rPr>
          <w:rFonts w:asciiTheme="majorBidi" w:hAnsiTheme="majorBidi" w:cstheme="majorBidi"/>
          <w:color w:val="0F1115"/>
          <w:sz w:val="28"/>
          <w:szCs w:val="28"/>
        </w:rPr>
        <w:t>.</w:t>
      </w:r>
    </w:p>
    <w:p w14:paraId="003C2288" w14:textId="3D5473BB" w:rsidR="00A4595D" w:rsidRPr="005D0B18" w:rsidRDefault="005D0B18" w:rsidP="005D0B18">
      <w:pPr>
        <w:pStyle w:val="Heading4"/>
        <w:shd w:val="clear" w:color="auto" w:fill="FFFFFF"/>
        <w:bidi/>
        <w:spacing w:before="240" w:after="240" w:line="420" w:lineRule="atLeast"/>
        <w:jc w:val="lowKashida"/>
        <w:rPr>
          <w:rFonts w:asciiTheme="majorBidi" w:hAnsiTheme="majorBidi"/>
          <w:i w:val="0"/>
          <w:iCs w:val="0"/>
          <w:color w:val="0F1115"/>
          <w:sz w:val="28"/>
          <w:szCs w:val="28"/>
        </w:rPr>
      </w:pPr>
      <w:r>
        <w:rPr>
          <w:rFonts w:asciiTheme="majorBidi" w:hAnsiTheme="majorBidi" w:hint="cs"/>
          <w:i w:val="0"/>
          <w:iCs w:val="0"/>
          <w:color w:val="0F1115"/>
          <w:sz w:val="28"/>
          <w:szCs w:val="28"/>
          <w:rtl/>
        </w:rPr>
        <w:t xml:space="preserve">٤.٣.٣. </w:t>
      </w:r>
      <w:r w:rsidR="00A4595D" w:rsidRPr="005D0B18">
        <w:rPr>
          <w:rFonts w:asciiTheme="majorBidi" w:hAnsiTheme="majorBidi"/>
          <w:i w:val="0"/>
          <w:iCs w:val="0"/>
          <w:color w:val="0F1115"/>
          <w:sz w:val="28"/>
          <w:szCs w:val="28"/>
          <w:rtl/>
        </w:rPr>
        <w:t>العلاقة بين الاحتفاظ وجودة الرعاية</w:t>
      </w:r>
    </w:p>
    <w:p w14:paraId="1E056631" w14:textId="77777777" w:rsidR="00A4595D" w:rsidRPr="005D0B18" w:rsidRDefault="00A4595D" w:rsidP="005D0B18">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5D0B18">
        <w:rPr>
          <w:rFonts w:asciiTheme="majorBidi" w:hAnsiTheme="majorBidi"/>
          <w:i w:val="0"/>
          <w:iCs w:val="0"/>
          <w:color w:val="0F1115"/>
          <w:sz w:val="28"/>
          <w:szCs w:val="28"/>
          <w:rtl/>
        </w:rPr>
        <w:t>جدول (4-5): النتائج التركيبية للعلاقة بين الاحتفاظ وجودة الرعاية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2"/>
        <w:gridCol w:w="3161"/>
        <w:gridCol w:w="1479"/>
        <w:gridCol w:w="1391"/>
      </w:tblGrid>
      <w:tr w:rsidR="00A4595D" w:rsidRPr="005D0B18" w14:paraId="10536A05" w14:textId="77777777" w:rsidTr="005D0B18">
        <w:trPr>
          <w:tblHeader/>
          <w:jc w:val="center"/>
        </w:trPr>
        <w:tc>
          <w:tcPr>
            <w:tcW w:w="0" w:type="auto"/>
            <w:tcMar>
              <w:top w:w="150" w:type="dxa"/>
              <w:left w:w="0" w:type="dxa"/>
              <w:bottom w:w="150" w:type="dxa"/>
              <w:right w:w="240" w:type="dxa"/>
            </w:tcMar>
            <w:vAlign w:val="center"/>
            <w:hideMark/>
          </w:tcPr>
          <w:p w14:paraId="502E34C7"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مؤشر الجودة</w:t>
            </w:r>
          </w:p>
        </w:tc>
        <w:tc>
          <w:tcPr>
            <w:tcW w:w="0" w:type="auto"/>
            <w:tcMar>
              <w:top w:w="150" w:type="dxa"/>
              <w:left w:w="240" w:type="dxa"/>
              <w:bottom w:w="150" w:type="dxa"/>
              <w:right w:w="240" w:type="dxa"/>
            </w:tcMar>
            <w:vAlign w:val="center"/>
            <w:hideMark/>
          </w:tcPr>
          <w:p w14:paraId="17AB8964"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عدد الدراسات التي ربطته بالاحتفاظ</w:t>
            </w:r>
          </w:p>
        </w:tc>
        <w:tc>
          <w:tcPr>
            <w:tcW w:w="0" w:type="auto"/>
            <w:tcMar>
              <w:top w:w="150" w:type="dxa"/>
              <w:left w:w="240" w:type="dxa"/>
              <w:bottom w:w="150" w:type="dxa"/>
              <w:right w:w="240" w:type="dxa"/>
            </w:tcMar>
            <w:vAlign w:val="center"/>
            <w:hideMark/>
          </w:tcPr>
          <w:p w14:paraId="2AC285AA"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النسبة المئوية</w:t>
            </w:r>
          </w:p>
        </w:tc>
        <w:tc>
          <w:tcPr>
            <w:tcW w:w="0" w:type="auto"/>
            <w:tcMar>
              <w:top w:w="150" w:type="dxa"/>
              <w:left w:w="240" w:type="dxa"/>
              <w:bottom w:w="150" w:type="dxa"/>
              <w:right w:w="240" w:type="dxa"/>
            </w:tcMar>
            <w:vAlign w:val="center"/>
            <w:hideMark/>
          </w:tcPr>
          <w:p w14:paraId="038E976A"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اتجاه العلاقة</w:t>
            </w:r>
          </w:p>
        </w:tc>
      </w:tr>
      <w:tr w:rsidR="00A4595D" w:rsidRPr="005D0B18" w14:paraId="3BB65001" w14:textId="77777777" w:rsidTr="005D0B18">
        <w:trPr>
          <w:jc w:val="center"/>
        </w:trPr>
        <w:tc>
          <w:tcPr>
            <w:tcW w:w="0" w:type="auto"/>
            <w:tcMar>
              <w:top w:w="150" w:type="dxa"/>
              <w:left w:w="0" w:type="dxa"/>
              <w:bottom w:w="150" w:type="dxa"/>
              <w:right w:w="240" w:type="dxa"/>
            </w:tcMar>
            <w:vAlign w:val="center"/>
            <w:hideMark/>
          </w:tcPr>
          <w:p w14:paraId="66C2302C" w14:textId="77777777" w:rsidR="00B5517F" w:rsidRPr="00B5517F" w:rsidRDefault="00A4595D" w:rsidP="00B5517F">
            <w:pPr>
              <w:bidi/>
              <w:spacing w:line="375" w:lineRule="atLeast"/>
              <w:ind w:right="329"/>
              <w:jc w:val="center"/>
              <w:rPr>
                <w:rFonts w:asciiTheme="majorBidi" w:hAnsiTheme="majorBidi" w:cstheme="majorBidi"/>
                <w:rtl/>
              </w:rPr>
            </w:pPr>
            <w:r w:rsidRPr="00B5517F">
              <w:rPr>
                <w:rFonts w:asciiTheme="majorBidi" w:hAnsiTheme="majorBidi" w:cstheme="majorBidi"/>
                <w:rtl/>
              </w:rPr>
              <w:t>سلامة المرضى</w:t>
            </w:r>
          </w:p>
          <w:p w14:paraId="6B16F13E" w14:textId="5051A20A" w:rsidR="00A4595D" w:rsidRPr="00B5517F" w:rsidRDefault="00A4595D" w:rsidP="00B5517F">
            <w:pPr>
              <w:bidi/>
              <w:spacing w:line="375" w:lineRule="atLeast"/>
              <w:ind w:right="329"/>
              <w:jc w:val="center"/>
              <w:rPr>
                <w:rFonts w:asciiTheme="majorBidi" w:hAnsiTheme="majorBidi" w:cstheme="majorBidi"/>
              </w:rPr>
            </w:pPr>
            <w:r w:rsidRPr="00B5517F">
              <w:rPr>
                <w:rFonts w:asciiTheme="majorBidi" w:hAnsiTheme="majorBidi" w:cstheme="majorBidi"/>
                <w:rtl/>
              </w:rPr>
              <w:t>(معدل الأخطاء</w:t>
            </w:r>
            <w:r w:rsidR="00B5517F" w:rsidRPr="00B5517F">
              <w:rPr>
                <w:rFonts w:asciiTheme="majorBidi" w:hAnsiTheme="majorBidi" w:cstheme="majorBidi" w:hint="cs"/>
                <w:rtl/>
              </w:rPr>
              <w:t>)</w:t>
            </w:r>
          </w:p>
        </w:tc>
        <w:tc>
          <w:tcPr>
            <w:tcW w:w="0" w:type="auto"/>
            <w:tcMar>
              <w:top w:w="150" w:type="dxa"/>
              <w:left w:w="240" w:type="dxa"/>
              <w:bottom w:w="150" w:type="dxa"/>
              <w:right w:w="240" w:type="dxa"/>
            </w:tcMar>
            <w:vAlign w:val="center"/>
            <w:hideMark/>
          </w:tcPr>
          <w:p w14:paraId="6A31D6E6"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30</w:t>
            </w:r>
          </w:p>
        </w:tc>
        <w:tc>
          <w:tcPr>
            <w:tcW w:w="0" w:type="auto"/>
            <w:tcMar>
              <w:top w:w="150" w:type="dxa"/>
              <w:left w:w="240" w:type="dxa"/>
              <w:bottom w:w="150" w:type="dxa"/>
              <w:right w:w="240" w:type="dxa"/>
            </w:tcMar>
            <w:vAlign w:val="center"/>
            <w:hideMark/>
          </w:tcPr>
          <w:p w14:paraId="150E2DAB"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71.4%</w:t>
            </w:r>
          </w:p>
        </w:tc>
        <w:tc>
          <w:tcPr>
            <w:tcW w:w="0" w:type="auto"/>
            <w:tcMar>
              <w:top w:w="150" w:type="dxa"/>
              <w:left w:w="240" w:type="dxa"/>
              <w:bottom w:w="150" w:type="dxa"/>
              <w:right w:w="0" w:type="dxa"/>
            </w:tcMar>
            <w:vAlign w:val="center"/>
            <w:hideMark/>
          </w:tcPr>
          <w:p w14:paraId="5BFAB31D"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عكسي</w:t>
            </w:r>
          </w:p>
        </w:tc>
      </w:tr>
      <w:tr w:rsidR="00A4595D" w:rsidRPr="005D0B18" w14:paraId="3F1480A0" w14:textId="77777777" w:rsidTr="005D0B18">
        <w:trPr>
          <w:jc w:val="center"/>
        </w:trPr>
        <w:tc>
          <w:tcPr>
            <w:tcW w:w="0" w:type="auto"/>
            <w:tcMar>
              <w:top w:w="150" w:type="dxa"/>
              <w:left w:w="0" w:type="dxa"/>
              <w:bottom w:w="150" w:type="dxa"/>
              <w:right w:w="240" w:type="dxa"/>
            </w:tcMar>
            <w:vAlign w:val="center"/>
            <w:hideMark/>
          </w:tcPr>
          <w:p w14:paraId="5C28027D"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رضا المرضى</w:t>
            </w:r>
          </w:p>
        </w:tc>
        <w:tc>
          <w:tcPr>
            <w:tcW w:w="0" w:type="auto"/>
            <w:tcMar>
              <w:top w:w="150" w:type="dxa"/>
              <w:left w:w="240" w:type="dxa"/>
              <w:bottom w:w="150" w:type="dxa"/>
              <w:right w:w="240" w:type="dxa"/>
            </w:tcMar>
            <w:vAlign w:val="center"/>
            <w:hideMark/>
          </w:tcPr>
          <w:p w14:paraId="05F4643C"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28</w:t>
            </w:r>
          </w:p>
        </w:tc>
        <w:tc>
          <w:tcPr>
            <w:tcW w:w="0" w:type="auto"/>
            <w:tcMar>
              <w:top w:w="150" w:type="dxa"/>
              <w:left w:w="240" w:type="dxa"/>
              <w:bottom w:w="150" w:type="dxa"/>
              <w:right w:w="240" w:type="dxa"/>
            </w:tcMar>
            <w:vAlign w:val="center"/>
            <w:hideMark/>
          </w:tcPr>
          <w:p w14:paraId="0BB5F7B7"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66.7%</w:t>
            </w:r>
          </w:p>
        </w:tc>
        <w:tc>
          <w:tcPr>
            <w:tcW w:w="0" w:type="auto"/>
            <w:tcMar>
              <w:top w:w="150" w:type="dxa"/>
              <w:left w:w="240" w:type="dxa"/>
              <w:bottom w:w="150" w:type="dxa"/>
              <w:right w:w="0" w:type="dxa"/>
            </w:tcMar>
            <w:vAlign w:val="center"/>
            <w:hideMark/>
          </w:tcPr>
          <w:p w14:paraId="5EECD782"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طردي</w:t>
            </w:r>
          </w:p>
        </w:tc>
      </w:tr>
      <w:tr w:rsidR="00A4595D" w:rsidRPr="005D0B18" w14:paraId="4269F311" w14:textId="77777777" w:rsidTr="005D0B18">
        <w:trPr>
          <w:jc w:val="center"/>
        </w:trPr>
        <w:tc>
          <w:tcPr>
            <w:tcW w:w="0" w:type="auto"/>
            <w:tcMar>
              <w:top w:w="150" w:type="dxa"/>
              <w:left w:w="0" w:type="dxa"/>
              <w:bottom w:w="150" w:type="dxa"/>
              <w:right w:w="240" w:type="dxa"/>
            </w:tcMar>
            <w:vAlign w:val="center"/>
            <w:hideMark/>
          </w:tcPr>
          <w:p w14:paraId="10975145"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معدل الوفيات</w:t>
            </w:r>
          </w:p>
        </w:tc>
        <w:tc>
          <w:tcPr>
            <w:tcW w:w="0" w:type="auto"/>
            <w:tcMar>
              <w:top w:w="150" w:type="dxa"/>
              <w:left w:w="240" w:type="dxa"/>
              <w:bottom w:w="150" w:type="dxa"/>
              <w:right w:w="240" w:type="dxa"/>
            </w:tcMar>
            <w:vAlign w:val="center"/>
            <w:hideMark/>
          </w:tcPr>
          <w:p w14:paraId="18158110"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22</w:t>
            </w:r>
          </w:p>
        </w:tc>
        <w:tc>
          <w:tcPr>
            <w:tcW w:w="0" w:type="auto"/>
            <w:tcMar>
              <w:top w:w="150" w:type="dxa"/>
              <w:left w:w="240" w:type="dxa"/>
              <w:bottom w:w="150" w:type="dxa"/>
              <w:right w:w="240" w:type="dxa"/>
            </w:tcMar>
            <w:vAlign w:val="center"/>
            <w:hideMark/>
          </w:tcPr>
          <w:p w14:paraId="0C04F0BF"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52.4%</w:t>
            </w:r>
          </w:p>
        </w:tc>
        <w:tc>
          <w:tcPr>
            <w:tcW w:w="0" w:type="auto"/>
            <w:tcMar>
              <w:top w:w="150" w:type="dxa"/>
              <w:left w:w="240" w:type="dxa"/>
              <w:bottom w:w="150" w:type="dxa"/>
              <w:right w:w="0" w:type="dxa"/>
            </w:tcMar>
            <w:vAlign w:val="center"/>
            <w:hideMark/>
          </w:tcPr>
          <w:p w14:paraId="34949020"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عكسي</w:t>
            </w:r>
          </w:p>
        </w:tc>
      </w:tr>
      <w:tr w:rsidR="00A4595D" w:rsidRPr="005D0B18" w14:paraId="1917A50F" w14:textId="77777777" w:rsidTr="005D0B18">
        <w:trPr>
          <w:jc w:val="center"/>
        </w:trPr>
        <w:tc>
          <w:tcPr>
            <w:tcW w:w="0" w:type="auto"/>
            <w:tcMar>
              <w:top w:w="150" w:type="dxa"/>
              <w:left w:w="0" w:type="dxa"/>
              <w:bottom w:w="150" w:type="dxa"/>
              <w:right w:w="240" w:type="dxa"/>
            </w:tcMar>
            <w:vAlign w:val="center"/>
            <w:hideMark/>
          </w:tcPr>
          <w:p w14:paraId="759EAC0A"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الالتزام بالبروتوكولات</w:t>
            </w:r>
          </w:p>
        </w:tc>
        <w:tc>
          <w:tcPr>
            <w:tcW w:w="0" w:type="auto"/>
            <w:tcMar>
              <w:top w:w="150" w:type="dxa"/>
              <w:left w:w="240" w:type="dxa"/>
              <w:bottom w:w="150" w:type="dxa"/>
              <w:right w:w="240" w:type="dxa"/>
            </w:tcMar>
            <w:vAlign w:val="center"/>
            <w:hideMark/>
          </w:tcPr>
          <w:p w14:paraId="633AE5CE"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20</w:t>
            </w:r>
          </w:p>
        </w:tc>
        <w:tc>
          <w:tcPr>
            <w:tcW w:w="0" w:type="auto"/>
            <w:tcMar>
              <w:top w:w="150" w:type="dxa"/>
              <w:left w:w="240" w:type="dxa"/>
              <w:bottom w:w="150" w:type="dxa"/>
              <w:right w:w="240" w:type="dxa"/>
            </w:tcMar>
            <w:vAlign w:val="center"/>
            <w:hideMark/>
          </w:tcPr>
          <w:p w14:paraId="658EF882"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47.6%</w:t>
            </w:r>
          </w:p>
        </w:tc>
        <w:tc>
          <w:tcPr>
            <w:tcW w:w="0" w:type="auto"/>
            <w:tcMar>
              <w:top w:w="150" w:type="dxa"/>
              <w:left w:w="240" w:type="dxa"/>
              <w:bottom w:w="150" w:type="dxa"/>
              <w:right w:w="0" w:type="dxa"/>
            </w:tcMar>
            <w:vAlign w:val="center"/>
            <w:hideMark/>
          </w:tcPr>
          <w:p w14:paraId="38E089EA"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طردي</w:t>
            </w:r>
          </w:p>
        </w:tc>
      </w:tr>
      <w:tr w:rsidR="00A4595D" w:rsidRPr="005D0B18" w14:paraId="62657A5F" w14:textId="77777777" w:rsidTr="005D0B18">
        <w:trPr>
          <w:jc w:val="center"/>
        </w:trPr>
        <w:tc>
          <w:tcPr>
            <w:tcW w:w="0" w:type="auto"/>
            <w:tcMar>
              <w:top w:w="150" w:type="dxa"/>
              <w:left w:w="0" w:type="dxa"/>
              <w:bottom w:w="150" w:type="dxa"/>
              <w:right w:w="240" w:type="dxa"/>
            </w:tcMar>
            <w:vAlign w:val="center"/>
            <w:hideMark/>
          </w:tcPr>
          <w:p w14:paraId="3B23FC21"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استمرارية الرعاية</w:t>
            </w:r>
          </w:p>
        </w:tc>
        <w:tc>
          <w:tcPr>
            <w:tcW w:w="0" w:type="auto"/>
            <w:tcMar>
              <w:top w:w="150" w:type="dxa"/>
              <w:left w:w="240" w:type="dxa"/>
              <w:bottom w:w="150" w:type="dxa"/>
              <w:right w:w="240" w:type="dxa"/>
            </w:tcMar>
            <w:vAlign w:val="center"/>
            <w:hideMark/>
          </w:tcPr>
          <w:p w14:paraId="6E8C42FF"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18</w:t>
            </w:r>
          </w:p>
        </w:tc>
        <w:tc>
          <w:tcPr>
            <w:tcW w:w="0" w:type="auto"/>
            <w:tcMar>
              <w:top w:w="150" w:type="dxa"/>
              <w:left w:w="240" w:type="dxa"/>
              <w:bottom w:w="150" w:type="dxa"/>
              <w:right w:w="240" w:type="dxa"/>
            </w:tcMar>
            <w:vAlign w:val="center"/>
            <w:hideMark/>
          </w:tcPr>
          <w:p w14:paraId="15F315A5"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42.9%</w:t>
            </w:r>
          </w:p>
        </w:tc>
        <w:tc>
          <w:tcPr>
            <w:tcW w:w="0" w:type="auto"/>
            <w:tcMar>
              <w:top w:w="150" w:type="dxa"/>
              <w:left w:w="240" w:type="dxa"/>
              <w:bottom w:w="150" w:type="dxa"/>
              <w:right w:w="0" w:type="dxa"/>
            </w:tcMar>
            <w:vAlign w:val="center"/>
            <w:hideMark/>
          </w:tcPr>
          <w:p w14:paraId="299208B9"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طردي</w:t>
            </w:r>
          </w:p>
        </w:tc>
      </w:tr>
      <w:tr w:rsidR="00A4595D" w:rsidRPr="005D0B18" w14:paraId="1E3B54F5" w14:textId="77777777" w:rsidTr="005D0B18">
        <w:trPr>
          <w:jc w:val="center"/>
        </w:trPr>
        <w:tc>
          <w:tcPr>
            <w:tcW w:w="0" w:type="auto"/>
            <w:tcMar>
              <w:top w:w="150" w:type="dxa"/>
              <w:left w:w="0" w:type="dxa"/>
              <w:bottom w:w="150" w:type="dxa"/>
              <w:right w:w="240" w:type="dxa"/>
            </w:tcMar>
            <w:vAlign w:val="center"/>
            <w:hideMark/>
          </w:tcPr>
          <w:p w14:paraId="6A146E31"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العدوى المكتسبة في المستشفى</w:t>
            </w:r>
          </w:p>
        </w:tc>
        <w:tc>
          <w:tcPr>
            <w:tcW w:w="0" w:type="auto"/>
            <w:tcMar>
              <w:top w:w="150" w:type="dxa"/>
              <w:left w:w="240" w:type="dxa"/>
              <w:bottom w:w="150" w:type="dxa"/>
              <w:right w:w="240" w:type="dxa"/>
            </w:tcMar>
            <w:vAlign w:val="center"/>
            <w:hideMark/>
          </w:tcPr>
          <w:p w14:paraId="2CD44C48"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15</w:t>
            </w:r>
          </w:p>
        </w:tc>
        <w:tc>
          <w:tcPr>
            <w:tcW w:w="0" w:type="auto"/>
            <w:tcMar>
              <w:top w:w="150" w:type="dxa"/>
              <w:left w:w="240" w:type="dxa"/>
              <w:bottom w:w="150" w:type="dxa"/>
              <w:right w:w="240" w:type="dxa"/>
            </w:tcMar>
            <w:vAlign w:val="center"/>
            <w:hideMark/>
          </w:tcPr>
          <w:p w14:paraId="677F3102"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Pr>
              <w:t>35.7%</w:t>
            </w:r>
          </w:p>
        </w:tc>
        <w:tc>
          <w:tcPr>
            <w:tcW w:w="0" w:type="auto"/>
            <w:tcMar>
              <w:top w:w="150" w:type="dxa"/>
              <w:left w:w="240" w:type="dxa"/>
              <w:bottom w:w="150" w:type="dxa"/>
              <w:right w:w="0" w:type="dxa"/>
            </w:tcMar>
            <w:vAlign w:val="center"/>
            <w:hideMark/>
          </w:tcPr>
          <w:p w14:paraId="1588052D" w14:textId="77777777" w:rsidR="00A4595D" w:rsidRPr="005D0B18" w:rsidRDefault="00A4595D" w:rsidP="005D0B18">
            <w:pPr>
              <w:bidi/>
              <w:spacing w:line="375" w:lineRule="atLeast"/>
              <w:jc w:val="center"/>
              <w:rPr>
                <w:rFonts w:asciiTheme="majorBidi" w:hAnsiTheme="majorBidi" w:cstheme="majorBidi"/>
              </w:rPr>
            </w:pPr>
            <w:r w:rsidRPr="005D0B18">
              <w:rPr>
                <w:rFonts w:asciiTheme="majorBidi" w:hAnsiTheme="majorBidi" w:cstheme="majorBidi"/>
                <w:rtl/>
              </w:rPr>
              <w:t>عكسي</w:t>
            </w:r>
          </w:p>
        </w:tc>
      </w:tr>
    </w:tbl>
    <w:p w14:paraId="65370B06"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أكدت 36 دراسة (85.7%) وجود علاقة إيجابية بين الاحتفاظ بالكادر الطبي وجودة الرعاية الصحية. كانت أقوى العلاقات مع مؤشرات سلامة المرضى ورضاهم</w:t>
      </w:r>
      <w:r w:rsidRPr="005D0B18">
        <w:rPr>
          <w:rFonts w:asciiTheme="majorBidi" w:hAnsiTheme="majorBidi" w:cstheme="majorBidi"/>
          <w:color w:val="0F1115"/>
          <w:sz w:val="28"/>
          <w:szCs w:val="28"/>
        </w:rPr>
        <w:t>.</w:t>
      </w:r>
    </w:p>
    <w:p w14:paraId="0BAEE516"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الآليات المفسرة للعلاقة</w:t>
      </w:r>
      <w:r w:rsidRPr="005D0B18">
        <w:rPr>
          <w:rStyle w:val="Strong"/>
          <w:rFonts w:asciiTheme="majorBidi" w:hAnsiTheme="majorBidi" w:cstheme="majorBidi"/>
          <w:color w:val="0F1115"/>
          <w:sz w:val="28"/>
          <w:szCs w:val="28"/>
        </w:rPr>
        <w:t>:</w:t>
      </w:r>
    </w:p>
    <w:p w14:paraId="4F9732CA" w14:textId="77777777" w:rsidR="00A4595D" w:rsidRPr="005D0B18" w:rsidRDefault="00A4595D" w:rsidP="005D0B18">
      <w:pPr>
        <w:pStyle w:val="ds-markdown-paragraph"/>
        <w:numPr>
          <w:ilvl w:val="0"/>
          <w:numId w:val="29"/>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الخبرة والكفاءة</w:t>
      </w:r>
      <w:r w:rsidRPr="005D0B18">
        <w:rPr>
          <w:rStyle w:val="Strong"/>
          <w:rFonts w:asciiTheme="majorBidi" w:hAnsiTheme="majorBidi" w:cstheme="majorBidi"/>
          <w:color w:val="0F1115"/>
          <w:sz w:val="28"/>
          <w:szCs w:val="28"/>
        </w:rPr>
        <w:t>:</w:t>
      </w:r>
      <w:r w:rsidRPr="005D0B18">
        <w:rPr>
          <w:rFonts w:asciiTheme="majorBidi" w:hAnsiTheme="majorBidi" w:cstheme="majorBidi"/>
          <w:color w:val="0F1115"/>
          <w:sz w:val="28"/>
          <w:szCs w:val="28"/>
        </w:rPr>
        <w:t> </w:t>
      </w:r>
      <w:r w:rsidRPr="005D0B18">
        <w:rPr>
          <w:rFonts w:asciiTheme="majorBidi" w:hAnsiTheme="majorBidi" w:cstheme="majorBidi"/>
          <w:color w:val="0F1115"/>
          <w:sz w:val="28"/>
          <w:szCs w:val="28"/>
          <w:rtl/>
        </w:rPr>
        <w:t>الممرضون والأطباء ذوو الخبرة الأطول في نفس المستشفى يكونون أكثر دراية بالإجراءات والبروتوكولات، مما يقلل الأخطاء</w:t>
      </w:r>
      <w:r w:rsidRPr="005D0B18">
        <w:rPr>
          <w:rFonts w:asciiTheme="majorBidi" w:hAnsiTheme="majorBidi" w:cstheme="majorBidi"/>
          <w:color w:val="0F1115"/>
          <w:sz w:val="28"/>
          <w:szCs w:val="28"/>
        </w:rPr>
        <w:t xml:space="preserve"> (Needleman et al., 2011).</w:t>
      </w:r>
    </w:p>
    <w:p w14:paraId="76845941" w14:textId="77777777" w:rsidR="00A4595D" w:rsidRPr="005D0B18" w:rsidRDefault="00A4595D" w:rsidP="005D0B18">
      <w:pPr>
        <w:pStyle w:val="ds-markdown-paragraph"/>
        <w:numPr>
          <w:ilvl w:val="0"/>
          <w:numId w:val="29"/>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استقرار فرق العمل</w:t>
      </w:r>
      <w:r w:rsidRPr="005D0B18">
        <w:rPr>
          <w:rStyle w:val="Strong"/>
          <w:rFonts w:asciiTheme="majorBidi" w:hAnsiTheme="majorBidi" w:cstheme="majorBidi"/>
          <w:color w:val="0F1115"/>
          <w:sz w:val="28"/>
          <w:szCs w:val="28"/>
        </w:rPr>
        <w:t>:</w:t>
      </w:r>
      <w:r w:rsidRPr="005D0B18">
        <w:rPr>
          <w:rFonts w:asciiTheme="majorBidi" w:hAnsiTheme="majorBidi" w:cstheme="majorBidi"/>
          <w:color w:val="0F1115"/>
          <w:sz w:val="28"/>
          <w:szCs w:val="28"/>
        </w:rPr>
        <w:t> </w:t>
      </w:r>
      <w:r w:rsidRPr="005D0B18">
        <w:rPr>
          <w:rFonts w:asciiTheme="majorBidi" w:hAnsiTheme="majorBidi" w:cstheme="majorBidi"/>
          <w:color w:val="0F1115"/>
          <w:sz w:val="28"/>
          <w:szCs w:val="28"/>
          <w:rtl/>
        </w:rPr>
        <w:t>الفرق المستقرة تعمل بتناغم وتواصل أفضل، مما يحسن التنسيق في رعاية المرضى</w:t>
      </w:r>
      <w:r w:rsidRPr="005D0B18">
        <w:rPr>
          <w:rFonts w:asciiTheme="majorBidi" w:hAnsiTheme="majorBidi" w:cstheme="majorBidi"/>
          <w:color w:val="0F1115"/>
          <w:sz w:val="28"/>
          <w:szCs w:val="28"/>
        </w:rPr>
        <w:t xml:space="preserve"> (Lasater et al., 2021).</w:t>
      </w:r>
    </w:p>
    <w:p w14:paraId="4E6105B4" w14:textId="77777777" w:rsidR="00A4595D" w:rsidRPr="005D0B18" w:rsidRDefault="00A4595D" w:rsidP="005D0B18">
      <w:pPr>
        <w:pStyle w:val="ds-markdown-paragraph"/>
        <w:numPr>
          <w:ilvl w:val="0"/>
          <w:numId w:val="29"/>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العلاقات مع المرضى</w:t>
      </w:r>
      <w:r w:rsidRPr="005D0B18">
        <w:rPr>
          <w:rStyle w:val="Strong"/>
          <w:rFonts w:asciiTheme="majorBidi" w:hAnsiTheme="majorBidi" w:cstheme="majorBidi"/>
          <w:color w:val="0F1115"/>
          <w:sz w:val="28"/>
          <w:szCs w:val="28"/>
        </w:rPr>
        <w:t>:</w:t>
      </w:r>
      <w:r w:rsidRPr="005D0B18">
        <w:rPr>
          <w:rFonts w:asciiTheme="majorBidi" w:hAnsiTheme="majorBidi" w:cstheme="majorBidi"/>
          <w:color w:val="0F1115"/>
          <w:sz w:val="28"/>
          <w:szCs w:val="28"/>
        </w:rPr>
        <w:t> </w:t>
      </w:r>
      <w:r w:rsidRPr="005D0B18">
        <w:rPr>
          <w:rFonts w:asciiTheme="majorBidi" w:hAnsiTheme="majorBidi" w:cstheme="majorBidi"/>
          <w:color w:val="0F1115"/>
          <w:sz w:val="28"/>
          <w:szCs w:val="28"/>
          <w:rtl/>
        </w:rPr>
        <w:t>استمرارية مقدم الرعاية تبني الثقة وتحسن التزام المرضى بالعلاج</w:t>
      </w:r>
      <w:r w:rsidRPr="005D0B18">
        <w:rPr>
          <w:rFonts w:asciiTheme="majorBidi" w:hAnsiTheme="majorBidi" w:cstheme="majorBidi"/>
          <w:color w:val="0F1115"/>
          <w:sz w:val="28"/>
          <w:szCs w:val="28"/>
        </w:rPr>
        <w:t>.</w:t>
      </w:r>
    </w:p>
    <w:p w14:paraId="7B24A43A" w14:textId="77777777" w:rsidR="00A4595D" w:rsidRPr="005D0B18" w:rsidRDefault="00A4595D" w:rsidP="005D0B18">
      <w:pPr>
        <w:pStyle w:val="ds-markdown-paragraph"/>
        <w:numPr>
          <w:ilvl w:val="0"/>
          <w:numId w:val="29"/>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تقليل الأعباء</w:t>
      </w:r>
      <w:r w:rsidRPr="005D0B18">
        <w:rPr>
          <w:rStyle w:val="Strong"/>
          <w:rFonts w:asciiTheme="majorBidi" w:hAnsiTheme="majorBidi" w:cstheme="majorBidi"/>
          <w:color w:val="0F1115"/>
          <w:sz w:val="28"/>
          <w:szCs w:val="28"/>
        </w:rPr>
        <w:t>:</w:t>
      </w:r>
      <w:r w:rsidRPr="005D0B18">
        <w:rPr>
          <w:rFonts w:asciiTheme="majorBidi" w:hAnsiTheme="majorBidi" w:cstheme="majorBidi"/>
          <w:color w:val="0F1115"/>
          <w:sz w:val="28"/>
          <w:szCs w:val="28"/>
        </w:rPr>
        <w:t> </w:t>
      </w:r>
      <w:r w:rsidRPr="005D0B18">
        <w:rPr>
          <w:rFonts w:asciiTheme="majorBidi" w:hAnsiTheme="majorBidi" w:cstheme="majorBidi"/>
          <w:color w:val="0F1115"/>
          <w:sz w:val="28"/>
          <w:szCs w:val="28"/>
          <w:rtl/>
        </w:rPr>
        <w:t>انخفاض معدل الدوران يعني ضغطاً أقل على الكادر المتبقي، وبالتالي تركيزاً أعلى وجودة أفضل</w:t>
      </w:r>
      <w:r w:rsidRPr="005D0B18">
        <w:rPr>
          <w:rFonts w:asciiTheme="majorBidi" w:hAnsiTheme="majorBidi" w:cstheme="majorBidi"/>
          <w:color w:val="0F1115"/>
          <w:sz w:val="28"/>
          <w:szCs w:val="28"/>
        </w:rPr>
        <w:t>.</w:t>
      </w:r>
    </w:p>
    <w:p w14:paraId="47BD3D1B" w14:textId="737A9C0D" w:rsidR="00A4595D" w:rsidRPr="007A57ED" w:rsidRDefault="007A57ED" w:rsidP="005D0B18">
      <w:pPr>
        <w:pStyle w:val="Heading3"/>
        <w:shd w:val="clear" w:color="auto" w:fill="FFFFFF"/>
        <w:bidi/>
        <w:spacing w:before="480" w:after="240" w:line="450" w:lineRule="atLeast"/>
        <w:jc w:val="lowKashida"/>
        <w:rPr>
          <w:rFonts w:asciiTheme="majorBidi" w:hAnsiTheme="majorBidi"/>
          <w:color w:val="0F1115"/>
          <w:sz w:val="28"/>
          <w:szCs w:val="28"/>
        </w:rPr>
      </w:pPr>
      <w:r>
        <w:rPr>
          <w:rFonts w:asciiTheme="majorBidi" w:hAnsiTheme="majorBidi" w:hint="cs"/>
          <w:color w:val="0F1115"/>
          <w:sz w:val="28"/>
          <w:szCs w:val="28"/>
          <w:rtl/>
        </w:rPr>
        <w:lastRenderedPageBreak/>
        <w:t>٤.٤</w:t>
      </w:r>
      <w:r w:rsidRPr="007A57ED">
        <w:rPr>
          <w:rFonts w:asciiTheme="majorBidi" w:hAnsiTheme="majorBidi" w:hint="cs"/>
          <w:color w:val="0F1115"/>
          <w:sz w:val="28"/>
          <w:szCs w:val="28"/>
          <w:rtl/>
        </w:rPr>
        <w:t xml:space="preserve">. </w:t>
      </w:r>
      <w:r w:rsidR="00A4595D" w:rsidRPr="007A57ED">
        <w:rPr>
          <w:rFonts w:asciiTheme="majorBidi" w:hAnsiTheme="majorBidi"/>
          <w:color w:val="0F1115"/>
          <w:sz w:val="28"/>
          <w:szCs w:val="28"/>
          <w:rtl/>
        </w:rPr>
        <w:t>مناقشة النتائج</w:t>
      </w:r>
    </w:p>
    <w:p w14:paraId="41DE0E59" w14:textId="400DD85F" w:rsidR="00A4595D" w:rsidRPr="007A57ED" w:rsidRDefault="007A57ED" w:rsidP="005D0B18">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7A57ED">
        <w:rPr>
          <w:rFonts w:asciiTheme="majorBidi" w:hAnsiTheme="majorBidi" w:hint="cs"/>
          <w:i w:val="0"/>
          <w:iCs w:val="0"/>
          <w:color w:val="0F1115"/>
          <w:sz w:val="28"/>
          <w:szCs w:val="28"/>
          <w:rtl/>
        </w:rPr>
        <w:t xml:space="preserve">٤.٤.١. </w:t>
      </w:r>
      <w:r w:rsidR="00A4595D" w:rsidRPr="007A57ED">
        <w:rPr>
          <w:rFonts w:asciiTheme="majorBidi" w:hAnsiTheme="majorBidi"/>
          <w:i w:val="0"/>
          <w:iCs w:val="0"/>
          <w:color w:val="0F1115"/>
          <w:sz w:val="28"/>
          <w:szCs w:val="28"/>
          <w:rtl/>
        </w:rPr>
        <w:t>مناقشة النتائج المتعلقة بممارسات إدارة الموارد البشرية</w:t>
      </w:r>
    </w:p>
    <w:p w14:paraId="7ED9487E" w14:textId="1785CD75"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تشير نتائج هذه المراجعة</w:t>
      </w:r>
      <w:r w:rsidRPr="005D0B18">
        <w:rPr>
          <w:rFonts w:asciiTheme="majorBidi" w:hAnsiTheme="majorBidi" w:cstheme="majorBidi"/>
          <w:color w:val="0F1115"/>
          <w:sz w:val="28"/>
          <w:szCs w:val="28"/>
          <w:rtl/>
        </w:rPr>
        <w:t xml:space="preserve"> المنهجية إلى أن ممارسات إدارة الموارد البشرية تلعب دوراً محورياً في الاحتفاظ بالكادر الطبي. وقد اتفقت الغالبية العظمى من الدراسات (90%) على أهمية </w:t>
      </w:r>
      <w:r w:rsidRPr="005D0B18">
        <w:rPr>
          <w:rStyle w:val="Strong"/>
          <w:rFonts w:asciiTheme="majorBidi" w:hAnsiTheme="majorBidi" w:cstheme="majorBidi"/>
          <w:color w:val="0F1115"/>
          <w:sz w:val="28"/>
          <w:szCs w:val="28"/>
          <w:rtl/>
        </w:rPr>
        <w:t>نظام الحوافز</w:t>
      </w:r>
      <w:r w:rsidRPr="005D0B18">
        <w:rPr>
          <w:rFonts w:asciiTheme="majorBidi" w:hAnsiTheme="majorBidi" w:cstheme="majorBidi"/>
          <w:color w:val="0F1115"/>
          <w:sz w:val="28"/>
          <w:szCs w:val="28"/>
          <w:rtl/>
        </w:rPr>
        <w:t xml:space="preserve"> كأقوى الممارسات تأثيراً. هذا يتوافق مع نظرية هيرزبيرج التي تؤكد أن العوامل المحفزة (كالحوافز) ضرورية للرضا والبقاء، والعوامل الصحية (كالراتب) ضرورية لمنع عدم </w:t>
      </w:r>
      <w:r w:rsidR="007A57ED" w:rsidRPr="005D0B18">
        <w:rPr>
          <w:rFonts w:asciiTheme="majorBidi" w:hAnsiTheme="majorBidi" w:cstheme="majorBidi" w:hint="cs"/>
          <w:color w:val="0F1115"/>
          <w:sz w:val="28"/>
          <w:szCs w:val="28"/>
          <w:rtl/>
        </w:rPr>
        <w:t>الرضا.</w:t>
      </w:r>
    </w:p>
    <w:p w14:paraId="70BEF3A5"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كما أن </w:t>
      </w:r>
      <w:r w:rsidRPr="005D0B18">
        <w:rPr>
          <w:rStyle w:val="Strong"/>
          <w:rFonts w:asciiTheme="majorBidi" w:hAnsiTheme="majorBidi" w:cstheme="majorBidi"/>
          <w:color w:val="0F1115"/>
          <w:sz w:val="28"/>
          <w:szCs w:val="28"/>
          <w:rtl/>
        </w:rPr>
        <w:t>التطوير المهني والتدريب</w:t>
      </w:r>
      <w:r w:rsidRPr="005D0B18">
        <w:rPr>
          <w:rFonts w:asciiTheme="majorBidi" w:hAnsiTheme="majorBidi" w:cstheme="majorBidi"/>
          <w:color w:val="0F1115"/>
          <w:sz w:val="28"/>
          <w:szCs w:val="28"/>
          <w:rtl/>
        </w:rPr>
        <w:t> جاء في المرتبة الثانية، مما يعكس خصوصية القطاع الصحي حيث التطور المعرفي السريع يفرض التعلم المستمر. العاملون الذين يشعرون أن مهاراتهم تتطور يزداد ارتباطهم بالمؤسسة. دراسة</w:t>
      </w:r>
      <w:r w:rsidRPr="005D0B18">
        <w:rPr>
          <w:rFonts w:asciiTheme="majorBidi" w:hAnsiTheme="majorBidi" w:cstheme="majorBidi"/>
          <w:color w:val="0F1115"/>
          <w:sz w:val="28"/>
          <w:szCs w:val="28"/>
        </w:rPr>
        <w:t xml:space="preserve"> Smith (2026) </w:t>
      </w:r>
      <w:r w:rsidRPr="005D0B18">
        <w:rPr>
          <w:rFonts w:asciiTheme="majorBidi" w:hAnsiTheme="majorBidi" w:cstheme="majorBidi"/>
          <w:color w:val="0F1115"/>
          <w:sz w:val="28"/>
          <w:szCs w:val="28"/>
          <w:rtl/>
        </w:rPr>
        <w:t>أكدت أن "التطور الوظيفي الشخصي" أحد المحاور الخمسة الرئيسية للاحتفاظ</w:t>
      </w:r>
      <w:r w:rsidRPr="005D0B18">
        <w:rPr>
          <w:rFonts w:asciiTheme="majorBidi" w:hAnsiTheme="majorBidi" w:cstheme="majorBidi"/>
          <w:color w:val="0F1115"/>
          <w:sz w:val="28"/>
          <w:szCs w:val="28"/>
        </w:rPr>
        <w:t>.</w:t>
      </w:r>
    </w:p>
    <w:p w14:paraId="6895F41B"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القيادة الداعمة</w:t>
      </w:r>
      <w:r w:rsidRPr="005D0B18">
        <w:rPr>
          <w:rFonts w:asciiTheme="majorBidi" w:hAnsiTheme="majorBidi" w:cstheme="majorBidi"/>
          <w:color w:val="0F1115"/>
          <w:sz w:val="28"/>
          <w:szCs w:val="28"/>
          <w:rtl/>
        </w:rPr>
        <w:t> كانت ثالث أكثر الممارسات تكراراً. وهذا يتسق مع نظرية التبادل الاجتماعي؛ فالقادة الداعمون يخلقون علاقة تبادل إيجابي يشعر معها العاملون بالالتزام بالمقابل. دراسة</w:t>
      </w:r>
      <w:r w:rsidRPr="005D0B18">
        <w:rPr>
          <w:rFonts w:asciiTheme="majorBidi" w:hAnsiTheme="majorBidi" w:cstheme="majorBidi"/>
          <w:color w:val="0F1115"/>
          <w:sz w:val="28"/>
          <w:szCs w:val="28"/>
        </w:rPr>
        <w:t xml:space="preserve"> Mujic et al. (2025) </w:t>
      </w:r>
      <w:r w:rsidRPr="005D0B18">
        <w:rPr>
          <w:rFonts w:asciiTheme="majorBidi" w:hAnsiTheme="majorBidi" w:cstheme="majorBidi"/>
          <w:color w:val="0F1115"/>
          <w:sz w:val="28"/>
          <w:szCs w:val="28"/>
          <w:rtl/>
        </w:rPr>
        <w:t>أظهرت أن دعم الفريق والقيادة الأخلاقية يعززان الرضا الوظيفي ويقللان نية المغادرة</w:t>
      </w:r>
      <w:r w:rsidRPr="005D0B18">
        <w:rPr>
          <w:rFonts w:asciiTheme="majorBidi" w:hAnsiTheme="majorBidi" w:cstheme="majorBidi"/>
          <w:color w:val="0F1115"/>
          <w:sz w:val="28"/>
          <w:szCs w:val="28"/>
        </w:rPr>
        <w:t>.</w:t>
      </w:r>
    </w:p>
    <w:p w14:paraId="5BC290B1"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بيئة العمل الآمنة</w:t>
      </w:r>
      <w:r w:rsidRPr="005D0B18">
        <w:rPr>
          <w:rFonts w:asciiTheme="majorBidi" w:hAnsiTheme="majorBidi" w:cstheme="majorBidi"/>
          <w:color w:val="0F1115"/>
          <w:sz w:val="28"/>
          <w:szCs w:val="28"/>
          <w:rtl/>
        </w:rPr>
        <w:t> و</w:t>
      </w:r>
      <w:r w:rsidRPr="005D0B18">
        <w:rPr>
          <w:rStyle w:val="Strong"/>
          <w:rFonts w:asciiTheme="majorBidi" w:hAnsiTheme="majorBidi" w:cstheme="majorBidi"/>
          <w:color w:val="0F1115"/>
          <w:sz w:val="28"/>
          <w:szCs w:val="28"/>
          <w:rtl/>
        </w:rPr>
        <w:t>التوازن بين العمل والحياة</w:t>
      </w:r>
      <w:r w:rsidRPr="005D0B18">
        <w:rPr>
          <w:rFonts w:asciiTheme="majorBidi" w:hAnsiTheme="majorBidi" w:cstheme="majorBidi"/>
          <w:color w:val="0F1115"/>
          <w:sz w:val="28"/>
          <w:szCs w:val="28"/>
          <w:rtl/>
        </w:rPr>
        <w:t> برزا كعاملين مهمين، خاصة بعد جائحة كوفيد-19 التي سلطت الضوء على مخاطر العمل الصحي وأهمية الصحة النفسية للعاملين. تقرير</w:t>
      </w:r>
      <w:r w:rsidRPr="005D0B18">
        <w:rPr>
          <w:rFonts w:asciiTheme="majorBidi" w:hAnsiTheme="majorBidi" w:cstheme="majorBidi"/>
          <w:color w:val="0F1115"/>
          <w:sz w:val="28"/>
          <w:szCs w:val="28"/>
        </w:rPr>
        <w:t xml:space="preserve"> AHA (2025) </w:t>
      </w:r>
      <w:r w:rsidRPr="005D0B18">
        <w:rPr>
          <w:rFonts w:asciiTheme="majorBidi" w:hAnsiTheme="majorBidi" w:cstheme="majorBidi"/>
          <w:color w:val="0F1115"/>
          <w:sz w:val="28"/>
          <w:szCs w:val="28"/>
          <w:rtl/>
        </w:rPr>
        <w:t>أوصى ببرامج الصحة النفسية كأولوية للاحتفاظ بالكوادر</w:t>
      </w:r>
      <w:r w:rsidRPr="005D0B18">
        <w:rPr>
          <w:rFonts w:asciiTheme="majorBidi" w:hAnsiTheme="majorBidi" w:cstheme="majorBidi"/>
          <w:color w:val="0F1115"/>
          <w:sz w:val="28"/>
          <w:szCs w:val="28"/>
        </w:rPr>
        <w:t>.</w:t>
      </w:r>
    </w:p>
    <w:p w14:paraId="5235AAD2" w14:textId="7DC8892A" w:rsidR="00A4595D" w:rsidRPr="007A57ED" w:rsidRDefault="007A57ED" w:rsidP="005D0B18">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7A57ED">
        <w:rPr>
          <w:rFonts w:asciiTheme="majorBidi" w:hAnsiTheme="majorBidi" w:hint="cs"/>
          <w:i w:val="0"/>
          <w:iCs w:val="0"/>
          <w:color w:val="0F1115"/>
          <w:sz w:val="28"/>
          <w:szCs w:val="28"/>
          <w:rtl/>
        </w:rPr>
        <w:t xml:space="preserve">٤.٤.٢. </w:t>
      </w:r>
      <w:r w:rsidR="00A4595D" w:rsidRPr="007A57ED">
        <w:rPr>
          <w:rFonts w:asciiTheme="majorBidi" w:hAnsiTheme="majorBidi"/>
          <w:i w:val="0"/>
          <w:iCs w:val="0"/>
          <w:color w:val="0F1115"/>
          <w:sz w:val="28"/>
          <w:szCs w:val="28"/>
          <w:rtl/>
        </w:rPr>
        <w:t>مناقشة النتائج المتعلقة بالاحتفاظ وجودة الرعاية</w:t>
      </w:r>
    </w:p>
    <w:p w14:paraId="6FE70FEE"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العلاقة الإيجابية القوية بين الاحتفاظ وجودة الرعاية (أكدتها 86% من الدراسات) تدعم الفرضية النظرية القائلة بأن استقرار الكوادر يحسن المخرجات. هذه النتيجة تتسق مع الدراسات الكلاسيكية مثل</w:t>
      </w:r>
      <w:r w:rsidRPr="005D0B18">
        <w:rPr>
          <w:rFonts w:asciiTheme="majorBidi" w:hAnsiTheme="majorBidi" w:cstheme="majorBidi"/>
          <w:color w:val="0F1115"/>
          <w:sz w:val="28"/>
          <w:szCs w:val="28"/>
        </w:rPr>
        <w:t xml:space="preserve"> Aiken et al. (2002) </w:t>
      </w:r>
      <w:r w:rsidRPr="005D0B18">
        <w:rPr>
          <w:rFonts w:asciiTheme="majorBidi" w:hAnsiTheme="majorBidi" w:cstheme="majorBidi"/>
          <w:color w:val="0F1115"/>
          <w:sz w:val="28"/>
          <w:szCs w:val="28"/>
          <w:rtl/>
        </w:rPr>
        <w:t>والدراسات الحديثة مثل</w:t>
      </w:r>
      <w:r w:rsidRPr="005D0B18">
        <w:rPr>
          <w:rFonts w:asciiTheme="majorBidi" w:hAnsiTheme="majorBidi" w:cstheme="majorBidi"/>
          <w:color w:val="0F1115"/>
          <w:sz w:val="28"/>
          <w:szCs w:val="28"/>
        </w:rPr>
        <w:t xml:space="preserve"> Lasater et al. (2021).</w:t>
      </w:r>
    </w:p>
    <w:p w14:paraId="0E5B0EE8"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الآليات المفسرة لهذه العلاقة تبدو منطقية: الخبرة المتراكمة، استقرار الفرق، استمرارية العلاقة مع المريض، وتقليل الأعباء. من المثير للاهتمام أن العلاقة كانت أقوى مع مؤشرات سلامة المرضى (مثل معدل الأخطاء) مقارنة بمؤشرات أخرى، مما يشير إلى أن السلامة هي الأكثر تأثراً بعدم استقرار الكوادر</w:t>
      </w:r>
      <w:r w:rsidRPr="005D0B18">
        <w:rPr>
          <w:rFonts w:asciiTheme="majorBidi" w:hAnsiTheme="majorBidi" w:cstheme="majorBidi"/>
          <w:color w:val="0F1115"/>
          <w:sz w:val="28"/>
          <w:szCs w:val="28"/>
        </w:rPr>
        <w:t>.</w:t>
      </w:r>
    </w:p>
    <w:p w14:paraId="56578E0E" w14:textId="7F721283" w:rsidR="00A4595D" w:rsidRPr="007A57ED" w:rsidRDefault="007A57ED" w:rsidP="005D0B18">
      <w:pPr>
        <w:pStyle w:val="Heading4"/>
        <w:shd w:val="clear" w:color="auto" w:fill="FFFFFF"/>
        <w:bidi/>
        <w:spacing w:before="240" w:after="240" w:line="420" w:lineRule="atLeast"/>
        <w:jc w:val="lowKashida"/>
        <w:rPr>
          <w:rFonts w:asciiTheme="majorBidi" w:hAnsiTheme="majorBidi"/>
          <w:i w:val="0"/>
          <w:iCs w:val="0"/>
          <w:color w:val="0F1115"/>
          <w:sz w:val="28"/>
          <w:szCs w:val="28"/>
        </w:rPr>
      </w:pPr>
      <w:r>
        <w:rPr>
          <w:rFonts w:asciiTheme="majorBidi" w:hAnsiTheme="majorBidi" w:hint="cs"/>
          <w:i w:val="0"/>
          <w:iCs w:val="0"/>
          <w:color w:val="0F1115"/>
          <w:sz w:val="28"/>
          <w:szCs w:val="28"/>
          <w:rtl/>
        </w:rPr>
        <w:t xml:space="preserve">٤.٤.٣. </w:t>
      </w:r>
      <w:r w:rsidR="00A4595D" w:rsidRPr="007A57ED">
        <w:rPr>
          <w:rFonts w:asciiTheme="majorBidi" w:hAnsiTheme="majorBidi"/>
          <w:i w:val="0"/>
          <w:iCs w:val="0"/>
          <w:color w:val="0F1115"/>
          <w:sz w:val="28"/>
          <w:szCs w:val="28"/>
          <w:rtl/>
        </w:rPr>
        <w:t>مناقشة جودة الأدلة والثغرات</w:t>
      </w:r>
    </w:p>
    <w:p w14:paraId="77F19CA1"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أظهر تقييم الجودة أن معظم الدراسات المشمولة (66%) كانت ذات جودة متوسطة إلى عالية، مما يعطي ثقة معقولة في النتائج. غير أن هناك بعض الثغرات المنهجية والموضوعية</w:t>
      </w:r>
      <w:r w:rsidRPr="005D0B18">
        <w:rPr>
          <w:rFonts w:asciiTheme="majorBidi" w:hAnsiTheme="majorBidi" w:cstheme="majorBidi"/>
          <w:color w:val="0F1115"/>
          <w:sz w:val="28"/>
          <w:szCs w:val="28"/>
        </w:rPr>
        <w:t>:</w:t>
      </w:r>
    </w:p>
    <w:p w14:paraId="0B12BBC3"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t>منهجياً</w:t>
      </w:r>
      <w:r w:rsidRPr="005D0B18">
        <w:rPr>
          <w:rStyle w:val="Strong"/>
          <w:rFonts w:asciiTheme="majorBidi" w:hAnsiTheme="majorBidi" w:cstheme="majorBidi"/>
          <w:color w:val="0F1115"/>
          <w:sz w:val="28"/>
          <w:szCs w:val="28"/>
        </w:rPr>
        <w:t>:</w:t>
      </w:r>
    </w:p>
    <w:p w14:paraId="68B9D146" w14:textId="77777777" w:rsidR="00A4595D" w:rsidRPr="005D0B18" w:rsidRDefault="00A4595D" w:rsidP="005D0B18">
      <w:pPr>
        <w:pStyle w:val="ds-markdown-paragraph"/>
        <w:numPr>
          <w:ilvl w:val="0"/>
          <w:numId w:val="30"/>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معظم الدراسات (66.7%) كانت مقطعية، مما يحد من إمكانية استخلاص علاقات سببية</w:t>
      </w:r>
      <w:r w:rsidRPr="005D0B18">
        <w:rPr>
          <w:rFonts w:asciiTheme="majorBidi" w:hAnsiTheme="majorBidi" w:cstheme="majorBidi"/>
          <w:color w:val="0F1115"/>
          <w:sz w:val="28"/>
          <w:szCs w:val="28"/>
        </w:rPr>
        <w:t>.</w:t>
      </w:r>
    </w:p>
    <w:p w14:paraId="3B9E556E" w14:textId="77777777" w:rsidR="00A4595D" w:rsidRPr="005D0B18" w:rsidRDefault="00A4595D" w:rsidP="005D0B18">
      <w:pPr>
        <w:pStyle w:val="ds-markdown-paragraph"/>
        <w:numPr>
          <w:ilvl w:val="0"/>
          <w:numId w:val="30"/>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تنوع المقاييس المستخدمة بين الدراسات يصعب إجراء تحليل بعدي كمي</w:t>
      </w:r>
      <w:r w:rsidRPr="005D0B18">
        <w:rPr>
          <w:rFonts w:asciiTheme="majorBidi" w:hAnsiTheme="majorBidi" w:cstheme="majorBidi"/>
          <w:color w:val="0F1115"/>
          <w:sz w:val="28"/>
          <w:szCs w:val="28"/>
        </w:rPr>
        <w:t>.</w:t>
      </w:r>
    </w:p>
    <w:p w14:paraId="44401F1F" w14:textId="77777777" w:rsidR="00A4595D" w:rsidRDefault="00A4595D" w:rsidP="005D0B18">
      <w:pPr>
        <w:pStyle w:val="ds-markdown-paragraph"/>
        <w:numPr>
          <w:ilvl w:val="0"/>
          <w:numId w:val="30"/>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قلة الدراسات الطولية التي تتابع العاملين عبر الزمن</w:t>
      </w:r>
      <w:r w:rsidRPr="005D0B18">
        <w:rPr>
          <w:rFonts w:asciiTheme="majorBidi" w:hAnsiTheme="majorBidi" w:cstheme="majorBidi"/>
          <w:color w:val="0F1115"/>
          <w:sz w:val="28"/>
          <w:szCs w:val="28"/>
        </w:rPr>
        <w:t>.</w:t>
      </w:r>
    </w:p>
    <w:p w14:paraId="02C8E7E1" w14:textId="77777777" w:rsidR="007A57ED" w:rsidRPr="005D0B18" w:rsidRDefault="007A57ED" w:rsidP="007A57ED">
      <w:pPr>
        <w:pStyle w:val="ds-markdown-paragraph"/>
        <w:shd w:val="clear" w:color="auto" w:fill="FFFFFF"/>
        <w:bidi/>
        <w:spacing w:before="0" w:beforeAutospacing="0" w:after="0" w:afterAutospacing="0"/>
        <w:ind w:left="720"/>
        <w:jc w:val="lowKashida"/>
        <w:rPr>
          <w:rFonts w:asciiTheme="majorBidi" w:hAnsiTheme="majorBidi" w:cstheme="majorBidi"/>
          <w:color w:val="0F1115"/>
          <w:sz w:val="28"/>
          <w:szCs w:val="28"/>
        </w:rPr>
      </w:pPr>
    </w:p>
    <w:p w14:paraId="6AF6D102" w14:textId="77777777" w:rsidR="00A4595D" w:rsidRPr="005D0B18" w:rsidRDefault="00A4595D" w:rsidP="005D0B18">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5D0B18">
        <w:rPr>
          <w:rStyle w:val="Strong"/>
          <w:rFonts w:asciiTheme="majorBidi" w:hAnsiTheme="majorBidi" w:cstheme="majorBidi"/>
          <w:color w:val="0F1115"/>
          <w:sz w:val="28"/>
          <w:szCs w:val="28"/>
          <w:rtl/>
        </w:rPr>
        <w:lastRenderedPageBreak/>
        <w:t>موضوعياً</w:t>
      </w:r>
      <w:r w:rsidRPr="005D0B18">
        <w:rPr>
          <w:rStyle w:val="Strong"/>
          <w:rFonts w:asciiTheme="majorBidi" w:hAnsiTheme="majorBidi" w:cstheme="majorBidi"/>
          <w:color w:val="0F1115"/>
          <w:sz w:val="28"/>
          <w:szCs w:val="28"/>
        </w:rPr>
        <w:t>:</w:t>
      </w:r>
    </w:p>
    <w:p w14:paraId="19BD3762" w14:textId="77777777" w:rsidR="00A4595D" w:rsidRPr="005D0B18" w:rsidRDefault="00A4595D" w:rsidP="005D0B18">
      <w:pPr>
        <w:pStyle w:val="ds-markdown-paragraph"/>
        <w:numPr>
          <w:ilvl w:val="0"/>
          <w:numId w:val="31"/>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نقص الدراسات في الدول العربية (11.9% فقط) رغم أهمية السياق الثقافي في ممارسات الموارد البشرية</w:t>
      </w:r>
      <w:r w:rsidRPr="005D0B18">
        <w:rPr>
          <w:rFonts w:asciiTheme="majorBidi" w:hAnsiTheme="majorBidi" w:cstheme="majorBidi"/>
          <w:color w:val="0F1115"/>
          <w:sz w:val="28"/>
          <w:szCs w:val="28"/>
        </w:rPr>
        <w:t>.</w:t>
      </w:r>
    </w:p>
    <w:p w14:paraId="0B02759C" w14:textId="77777777" w:rsidR="00A4595D" w:rsidRPr="005D0B18" w:rsidRDefault="00A4595D" w:rsidP="005D0B18">
      <w:pPr>
        <w:pStyle w:val="ds-markdown-paragraph"/>
        <w:numPr>
          <w:ilvl w:val="0"/>
          <w:numId w:val="31"/>
        </w:numPr>
        <w:shd w:val="clear" w:color="auto" w:fill="FFFFFF"/>
        <w:bidi/>
        <w:spacing w:before="0" w:beforeAutospacing="0" w:after="0" w:afterAutospacing="0"/>
        <w:jc w:val="lowKashida"/>
        <w:rPr>
          <w:rFonts w:asciiTheme="majorBidi" w:hAnsiTheme="majorBidi" w:cstheme="majorBidi"/>
          <w:color w:val="0F1115"/>
          <w:sz w:val="28"/>
          <w:szCs w:val="28"/>
        </w:rPr>
      </w:pPr>
      <w:r w:rsidRPr="005D0B18">
        <w:rPr>
          <w:rFonts w:asciiTheme="majorBidi" w:hAnsiTheme="majorBidi" w:cstheme="majorBidi"/>
          <w:color w:val="0F1115"/>
          <w:sz w:val="28"/>
          <w:szCs w:val="28"/>
          <w:rtl/>
        </w:rPr>
        <w:t>تركيز معظم الدراسات على التمريض (42.9%) مقارنة بالأطباء (19.0%)، رغم أن الأطباء قد تكون دوافع احتفاظهم مختلفة</w:t>
      </w:r>
      <w:r w:rsidRPr="005D0B18">
        <w:rPr>
          <w:rFonts w:asciiTheme="majorBidi" w:hAnsiTheme="majorBidi" w:cstheme="majorBidi"/>
          <w:color w:val="0F1115"/>
          <w:sz w:val="28"/>
          <w:szCs w:val="28"/>
        </w:rPr>
        <w:t>.</w:t>
      </w:r>
    </w:p>
    <w:p w14:paraId="105FBD10" w14:textId="16FF96E5" w:rsidR="004163C7" w:rsidRPr="005D0B18" w:rsidRDefault="00A4595D" w:rsidP="005D0B18">
      <w:pPr>
        <w:pStyle w:val="ds-markdown-paragraph"/>
        <w:numPr>
          <w:ilvl w:val="0"/>
          <w:numId w:val="31"/>
        </w:numPr>
        <w:shd w:val="clear" w:color="auto" w:fill="FFFFFF"/>
        <w:bidi/>
        <w:spacing w:before="0" w:beforeAutospacing="0" w:after="0" w:afterAutospacing="0"/>
        <w:jc w:val="lowKashida"/>
        <w:rPr>
          <w:rFonts w:asciiTheme="majorBidi" w:hAnsiTheme="majorBidi" w:cstheme="majorBidi"/>
          <w:color w:val="0F1115"/>
          <w:sz w:val="28"/>
          <w:szCs w:val="28"/>
          <w:rtl/>
        </w:rPr>
      </w:pPr>
      <w:r w:rsidRPr="005D0B18">
        <w:rPr>
          <w:rFonts w:asciiTheme="majorBidi" w:hAnsiTheme="majorBidi" w:cstheme="majorBidi"/>
          <w:color w:val="0F1115"/>
          <w:sz w:val="28"/>
          <w:szCs w:val="28"/>
          <w:rtl/>
        </w:rPr>
        <w:t>ندرة الدراسات التي تناولت تأثير التقنيات الحديثة (كالذكاء الاصطناعي) على الاحتفاظ</w:t>
      </w:r>
      <w:r w:rsidRPr="005D0B18">
        <w:rPr>
          <w:rFonts w:asciiTheme="majorBidi" w:hAnsiTheme="majorBidi" w:cstheme="majorBidi"/>
          <w:color w:val="0F1115"/>
          <w:sz w:val="28"/>
          <w:szCs w:val="28"/>
        </w:rPr>
        <w:t>.</w:t>
      </w:r>
    </w:p>
    <w:p w14:paraId="50959FBA" w14:textId="77777777" w:rsidR="004163C7" w:rsidRDefault="004163C7" w:rsidP="00D22171">
      <w:pPr>
        <w:rPr>
          <w:rFonts w:ascii="Sakkal Majalla" w:hAnsi="Sakkal Majalla" w:cs="Sakkal Majalla"/>
          <w:sz w:val="28"/>
          <w:szCs w:val="28"/>
          <w:u w:val="single"/>
          <w:rtl/>
        </w:rPr>
      </w:pPr>
    </w:p>
    <w:p w14:paraId="34AABE16" w14:textId="77777777" w:rsidR="00BC094B" w:rsidRDefault="00BC094B" w:rsidP="00D22171">
      <w:pPr>
        <w:rPr>
          <w:rFonts w:ascii="Sakkal Majalla" w:hAnsi="Sakkal Majalla" w:cs="Sakkal Majalla"/>
          <w:color w:val="FF0000"/>
          <w:sz w:val="28"/>
          <w:szCs w:val="28"/>
          <w:u w:val="single"/>
          <w:rtl/>
        </w:rPr>
      </w:pPr>
    </w:p>
    <w:p w14:paraId="37F1869E" w14:textId="77777777" w:rsidR="007A57ED" w:rsidRDefault="007A57ED" w:rsidP="00D22171">
      <w:pPr>
        <w:rPr>
          <w:rFonts w:ascii="Sakkal Majalla" w:hAnsi="Sakkal Majalla" w:cs="Sakkal Majalla"/>
          <w:color w:val="FF0000"/>
          <w:sz w:val="28"/>
          <w:szCs w:val="28"/>
          <w:u w:val="single"/>
          <w:rtl/>
        </w:rPr>
      </w:pPr>
    </w:p>
    <w:p w14:paraId="160CE3D7" w14:textId="77777777" w:rsidR="007A57ED" w:rsidRDefault="007A57ED" w:rsidP="00D22171">
      <w:pPr>
        <w:rPr>
          <w:rFonts w:ascii="Sakkal Majalla" w:hAnsi="Sakkal Majalla" w:cs="Sakkal Majalla"/>
          <w:color w:val="FF0000"/>
          <w:sz w:val="28"/>
          <w:szCs w:val="28"/>
          <w:u w:val="single"/>
          <w:rtl/>
        </w:rPr>
      </w:pPr>
    </w:p>
    <w:p w14:paraId="582DE73A" w14:textId="77777777" w:rsidR="007A57ED" w:rsidRDefault="007A57ED" w:rsidP="00D22171">
      <w:pPr>
        <w:rPr>
          <w:rFonts w:ascii="Sakkal Majalla" w:hAnsi="Sakkal Majalla" w:cs="Sakkal Majalla"/>
          <w:color w:val="FF0000"/>
          <w:sz w:val="28"/>
          <w:szCs w:val="28"/>
          <w:u w:val="single"/>
          <w:rtl/>
        </w:rPr>
      </w:pPr>
    </w:p>
    <w:p w14:paraId="2067170A" w14:textId="77777777" w:rsidR="007A57ED" w:rsidRDefault="007A57ED" w:rsidP="00D22171">
      <w:pPr>
        <w:rPr>
          <w:rFonts w:ascii="Sakkal Majalla" w:hAnsi="Sakkal Majalla" w:cs="Sakkal Majalla"/>
          <w:color w:val="FF0000"/>
          <w:sz w:val="28"/>
          <w:szCs w:val="28"/>
          <w:u w:val="single"/>
          <w:rtl/>
        </w:rPr>
      </w:pPr>
    </w:p>
    <w:p w14:paraId="41D70CE9" w14:textId="77777777" w:rsidR="007A57ED" w:rsidRDefault="007A57ED" w:rsidP="00D22171">
      <w:pPr>
        <w:rPr>
          <w:rFonts w:ascii="Sakkal Majalla" w:hAnsi="Sakkal Majalla" w:cs="Sakkal Majalla"/>
          <w:color w:val="FF0000"/>
          <w:sz w:val="28"/>
          <w:szCs w:val="28"/>
          <w:u w:val="single"/>
          <w:rtl/>
        </w:rPr>
      </w:pPr>
    </w:p>
    <w:p w14:paraId="7DB0366C" w14:textId="77777777" w:rsidR="007A57ED" w:rsidRDefault="007A57ED" w:rsidP="00D22171">
      <w:pPr>
        <w:rPr>
          <w:rFonts w:ascii="Sakkal Majalla" w:hAnsi="Sakkal Majalla" w:cs="Sakkal Majalla"/>
          <w:color w:val="FF0000"/>
          <w:sz w:val="28"/>
          <w:szCs w:val="28"/>
          <w:u w:val="single"/>
          <w:rtl/>
        </w:rPr>
      </w:pPr>
    </w:p>
    <w:p w14:paraId="57C537A5" w14:textId="77777777" w:rsidR="007A57ED" w:rsidRDefault="007A57ED" w:rsidP="00D22171">
      <w:pPr>
        <w:rPr>
          <w:rFonts w:ascii="Sakkal Majalla" w:hAnsi="Sakkal Majalla" w:cs="Sakkal Majalla"/>
          <w:color w:val="FF0000"/>
          <w:sz w:val="28"/>
          <w:szCs w:val="28"/>
          <w:u w:val="single"/>
          <w:rtl/>
        </w:rPr>
      </w:pPr>
    </w:p>
    <w:p w14:paraId="19864FC7" w14:textId="77777777" w:rsidR="007A57ED" w:rsidRDefault="007A57ED" w:rsidP="00D22171">
      <w:pPr>
        <w:rPr>
          <w:rFonts w:ascii="Sakkal Majalla" w:hAnsi="Sakkal Majalla" w:cs="Sakkal Majalla"/>
          <w:color w:val="FF0000"/>
          <w:sz w:val="28"/>
          <w:szCs w:val="28"/>
          <w:u w:val="single"/>
          <w:rtl/>
        </w:rPr>
      </w:pPr>
    </w:p>
    <w:p w14:paraId="6E805F75" w14:textId="77777777" w:rsidR="007A57ED" w:rsidRDefault="007A57ED" w:rsidP="00D22171">
      <w:pPr>
        <w:rPr>
          <w:rFonts w:ascii="Sakkal Majalla" w:hAnsi="Sakkal Majalla" w:cs="Sakkal Majalla"/>
          <w:color w:val="FF0000"/>
          <w:sz w:val="28"/>
          <w:szCs w:val="28"/>
          <w:u w:val="single"/>
          <w:rtl/>
        </w:rPr>
      </w:pPr>
    </w:p>
    <w:p w14:paraId="66B07842" w14:textId="77777777" w:rsidR="007A57ED" w:rsidRDefault="007A57ED" w:rsidP="00D22171">
      <w:pPr>
        <w:rPr>
          <w:rFonts w:ascii="Sakkal Majalla" w:hAnsi="Sakkal Majalla" w:cs="Sakkal Majalla"/>
          <w:color w:val="FF0000"/>
          <w:sz w:val="28"/>
          <w:szCs w:val="28"/>
          <w:u w:val="single"/>
          <w:rtl/>
        </w:rPr>
      </w:pPr>
    </w:p>
    <w:p w14:paraId="472C7BDC" w14:textId="77777777" w:rsidR="007A57ED" w:rsidRDefault="007A57ED" w:rsidP="00D22171">
      <w:pPr>
        <w:rPr>
          <w:rFonts w:ascii="Sakkal Majalla" w:hAnsi="Sakkal Majalla" w:cs="Sakkal Majalla"/>
          <w:color w:val="FF0000"/>
          <w:sz w:val="28"/>
          <w:szCs w:val="28"/>
          <w:u w:val="single"/>
          <w:rtl/>
        </w:rPr>
      </w:pPr>
    </w:p>
    <w:p w14:paraId="466DE08E" w14:textId="77777777" w:rsidR="007A57ED" w:rsidRDefault="007A57ED" w:rsidP="00D22171">
      <w:pPr>
        <w:rPr>
          <w:rFonts w:ascii="Sakkal Majalla" w:hAnsi="Sakkal Majalla" w:cs="Sakkal Majalla"/>
          <w:color w:val="FF0000"/>
          <w:sz w:val="28"/>
          <w:szCs w:val="28"/>
          <w:u w:val="single"/>
          <w:rtl/>
        </w:rPr>
      </w:pPr>
    </w:p>
    <w:p w14:paraId="106D3706" w14:textId="77777777" w:rsidR="007A57ED" w:rsidRDefault="007A57ED" w:rsidP="00D22171">
      <w:pPr>
        <w:rPr>
          <w:rFonts w:ascii="Sakkal Majalla" w:hAnsi="Sakkal Majalla" w:cs="Sakkal Majalla"/>
          <w:color w:val="FF0000"/>
          <w:sz w:val="28"/>
          <w:szCs w:val="28"/>
          <w:u w:val="single"/>
          <w:rtl/>
        </w:rPr>
      </w:pPr>
    </w:p>
    <w:p w14:paraId="07668BB3" w14:textId="77777777" w:rsidR="007A57ED" w:rsidRDefault="007A57ED" w:rsidP="00D22171">
      <w:pPr>
        <w:rPr>
          <w:rFonts w:ascii="Sakkal Majalla" w:hAnsi="Sakkal Majalla" w:cs="Sakkal Majalla"/>
          <w:color w:val="FF0000"/>
          <w:sz w:val="28"/>
          <w:szCs w:val="28"/>
          <w:u w:val="single"/>
          <w:rtl/>
        </w:rPr>
      </w:pPr>
    </w:p>
    <w:p w14:paraId="0FA475FD" w14:textId="77777777" w:rsidR="007A57ED" w:rsidRDefault="007A57ED" w:rsidP="00D22171">
      <w:pPr>
        <w:rPr>
          <w:rFonts w:ascii="Sakkal Majalla" w:hAnsi="Sakkal Majalla" w:cs="Sakkal Majalla"/>
          <w:color w:val="FF0000"/>
          <w:sz w:val="28"/>
          <w:szCs w:val="28"/>
          <w:u w:val="single"/>
          <w:rtl/>
        </w:rPr>
      </w:pPr>
    </w:p>
    <w:p w14:paraId="7B92E18D" w14:textId="77777777" w:rsidR="007A57ED" w:rsidRDefault="007A57ED" w:rsidP="00D22171">
      <w:pPr>
        <w:rPr>
          <w:rFonts w:ascii="Sakkal Majalla" w:hAnsi="Sakkal Majalla" w:cs="Sakkal Majalla"/>
          <w:color w:val="FF0000"/>
          <w:sz w:val="28"/>
          <w:szCs w:val="28"/>
          <w:u w:val="single"/>
          <w:rtl/>
        </w:rPr>
      </w:pPr>
    </w:p>
    <w:p w14:paraId="5A26EC62" w14:textId="77777777" w:rsidR="007A57ED" w:rsidRDefault="007A57ED" w:rsidP="00D22171">
      <w:pPr>
        <w:rPr>
          <w:rFonts w:ascii="Sakkal Majalla" w:hAnsi="Sakkal Majalla" w:cs="Sakkal Majalla"/>
          <w:color w:val="FF0000"/>
          <w:sz w:val="28"/>
          <w:szCs w:val="28"/>
          <w:u w:val="single"/>
          <w:rtl/>
        </w:rPr>
      </w:pPr>
    </w:p>
    <w:p w14:paraId="22F7F4F5" w14:textId="77777777" w:rsidR="007A57ED" w:rsidRDefault="007A57ED" w:rsidP="00D22171">
      <w:pPr>
        <w:rPr>
          <w:rFonts w:ascii="Sakkal Majalla" w:hAnsi="Sakkal Majalla" w:cs="Sakkal Majalla"/>
          <w:color w:val="FF0000"/>
          <w:sz w:val="28"/>
          <w:szCs w:val="28"/>
          <w:u w:val="single"/>
          <w:rtl/>
        </w:rPr>
      </w:pPr>
    </w:p>
    <w:p w14:paraId="658109BC" w14:textId="77777777" w:rsidR="007A57ED" w:rsidRDefault="007A57ED" w:rsidP="00D22171">
      <w:pPr>
        <w:rPr>
          <w:rFonts w:ascii="Sakkal Majalla" w:hAnsi="Sakkal Majalla" w:cs="Sakkal Majalla"/>
          <w:color w:val="FF0000"/>
          <w:sz w:val="28"/>
          <w:szCs w:val="28"/>
          <w:u w:val="single"/>
          <w:rtl/>
        </w:rPr>
      </w:pPr>
    </w:p>
    <w:p w14:paraId="4227B1F5" w14:textId="77777777" w:rsidR="007A57ED" w:rsidRDefault="007A57ED" w:rsidP="00D22171">
      <w:pPr>
        <w:rPr>
          <w:rFonts w:ascii="Sakkal Majalla" w:hAnsi="Sakkal Majalla" w:cs="Sakkal Majalla"/>
          <w:color w:val="FF0000"/>
          <w:sz w:val="28"/>
          <w:szCs w:val="28"/>
          <w:u w:val="single"/>
          <w:rtl/>
        </w:rPr>
      </w:pPr>
    </w:p>
    <w:p w14:paraId="252EDB9A" w14:textId="77777777" w:rsidR="007A57ED" w:rsidRDefault="007A57ED" w:rsidP="00D22171">
      <w:pPr>
        <w:rPr>
          <w:rFonts w:ascii="Sakkal Majalla" w:hAnsi="Sakkal Majalla" w:cs="Sakkal Majalla"/>
          <w:color w:val="FF0000"/>
          <w:sz w:val="28"/>
          <w:szCs w:val="28"/>
          <w:u w:val="single"/>
          <w:rtl/>
        </w:rPr>
      </w:pPr>
    </w:p>
    <w:p w14:paraId="754A5CF7" w14:textId="77777777" w:rsidR="007A57ED" w:rsidRDefault="007A57ED" w:rsidP="00D22171">
      <w:pPr>
        <w:rPr>
          <w:rFonts w:ascii="Sakkal Majalla" w:hAnsi="Sakkal Majalla" w:cs="Sakkal Majalla"/>
          <w:color w:val="FF0000"/>
          <w:sz w:val="28"/>
          <w:szCs w:val="28"/>
          <w:u w:val="single"/>
          <w:rtl/>
        </w:rPr>
      </w:pPr>
    </w:p>
    <w:p w14:paraId="0686FEC1" w14:textId="77777777" w:rsidR="007A57ED" w:rsidRDefault="007A57ED" w:rsidP="00D22171">
      <w:pPr>
        <w:rPr>
          <w:rFonts w:ascii="Sakkal Majalla" w:hAnsi="Sakkal Majalla" w:cs="Sakkal Majalla"/>
          <w:color w:val="FF0000"/>
          <w:sz w:val="28"/>
          <w:szCs w:val="28"/>
          <w:u w:val="single"/>
          <w:rtl/>
        </w:rPr>
      </w:pPr>
    </w:p>
    <w:p w14:paraId="73D83295" w14:textId="77777777" w:rsidR="007A57ED" w:rsidRDefault="007A57ED" w:rsidP="00D22171">
      <w:pPr>
        <w:rPr>
          <w:rFonts w:ascii="Sakkal Majalla" w:hAnsi="Sakkal Majalla" w:cs="Sakkal Majalla"/>
          <w:color w:val="FF0000"/>
          <w:sz w:val="28"/>
          <w:szCs w:val="28"/>
          <w:u w:val="single"/>
          <w:rtl/>
        </w:rPr>
      </w:pPr>
    </w:p>
    <w:p w14:paraId="1494BA1D" w14:textId="77777777" w:rsidR="007A57ED" w:rsidRDefault="007A57ED"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3C26C6DE"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65A98376"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376E38AE"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6893FFD0"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07E28F97"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59EDC449" w14:textId="77777777" w:rsidR="007A57ED" w:rsidRDefault="007A57ED" w:rsidP="006D5121">
      <w:pPr>
        <w:pStyle w:val="Heading1"/>
        <w:shd w:val="clear" w:color="auto" w:fill="FFFFFF"/>
        <w:spacing w:before="480" w:beforeAutospacing="0" w:after="240" w:afterAutospacing="0" w:line="510" w:lineRule="atLeast"/>
        <w:rPr>
          <w:rFonts w:ascii="Segoe UI" w:hAnsi="Segoe UI"/>
          <w:color w:val="0F1115"/>
          <w:sz w:val="36"/>
          <w:szCs w:val="36"/>
          <w:rtl/>
        </w:rPr>
      </w:pPr>
    </w:p>
    <w:p w14:paraId="37F97428" w14:textId="19AB411D" w:rsidR="006D5121" w:rsidRDefault="006D5121" w:rsidP="007A57ED">
      <w:pPr>
        <w:pStyle w:val="Heading1"/>
        <w:shd w:val="clear" w:color="auto" w:fill="FFFFFF"/>
        <w:spacing w:before="480" w:beforeAutospacing="0" w:after="240" w:afterAutospacing="0" w:line="510" w:lineRule="atLeast"/>
        <w:jc w:val="center"/>
        <w:rPr>
          <w:rFonts w:ascii="Segoe UI" w:hAnsi="Segoe UI" w:cs="Segoe UI"/>
          <w:color w:val="0F1115"/>
          <w:sz w:val="36"/>
          <w:szCs w:val="36"/>
        </w:rPr>
      </w:pPr>
      <w:r>
        <w:rPr>
          <w:rFonts w:ascii="Segoe UI" w:hAnsi="Segoe UI"/>
          <w:color w:val="0F1115"/>
          <w:sz w:val="36"/>
          <w:szCs w:val="36"/>
          <w:rtl/>
        </w:rPr>
        <w:t>الفصل الخامس</w:t>
      </w:r>
    </w:p>
    <w:p w14:paraId="77E9F300" w14:textId="28B4B551" w:rsidR="006D5121" w:rsidRDefault="006D5121" w:rsidP="007A57ED">
      <w:pPr>
        <w:pStyle w:val="Heading2"/>
        <w:shd w:val="clear" w:color="auto" w:fill="FFFFFF"/>
        <w:spacing w:before="480" w:after="240" w:line="480" w:lineRule="atLeast"/>
        <w:jc w:val="center"/>
        <w:rPr>
          <w:rFonts w:ascii="Segoe UI" w:hAnsi="Segoe UI" w:cs="Segoe UI"/>
          <w:color w:val="0F1115"/>
          <w:sz w:val="33"/>
          <w:szCs w:val="33"/>
        </w:rPr>
      </w:pPr>
      <w:r>
        <w:rPr>
          <w:rFonts w:ascii="Segoe UI" w:hAnsi="Segoe UI" w:cs="Times New Roman"/>
          <w:color w:val="0F1115"/>
          <w:sz w:val="33"/>
          <w:szCs w:val="33"/>
          <w:rtl/>
        </w:rPr>
        <w:t>الاستنتاجات والتوصيات</w:t>
      </w:r>
    </w:p>
    <w:p w14:paraId="79704DCC" w14:textId="77777777" w:rsidR="007A57ED" w:rsidRDefault="007A57ED" w:rsidP="00304D83">
      <w:pPr>
        <w:pStyle w:val="Heading3"/>
        <w:shd w:val="clear" w:color="auto" w:fill="FFFFFF"/>
        <w:bidi/>
        <w:spacing w:before="480" w:after="240" w:line="450" w:lineRule="atLeast"/>
        <w:rPr>
          <w:rFonts w:ascii="Segoe UI" w:hAnsi="Segoe UI" w:cs="Segoe UI"/>
          <w:color w:val="0F1115"/>
          <w:sz w:val="30"/>
          <w:szCs w:val="30"/>
          <w:rtl/>
        </w:rPr>
      </w:pPr>
    </w:p>
    <w:p w14:paraId="18952B06" w14:textId="77777777" w:rsidR="007A57ED" w:rsidRDefault="007A57ED" w:rsidP="007A57ED">
      <w:pPr>
        <w:pStyle w:val="Heading3"/>
        <w:shd w:val="clear" w:color="auto" w:fill="FFFFFF"/>
        <w:bidi/>
        <w:spacing w:before="480" w:after="240" w:line="450" w:lineRule="atLeast"/>
        <w:rPr>
          <w:rFonts w:ascii="Segoe UI" w:hAnsi="Segoe UI" w:cs="Segoe UI"/>
          <w:color w:val="0F1115"/>
          <w:sz w:val="30"/>
          <w:szCs w:val="30"/>
          <w:rtl/>
        </w:rPr>
      </w:pPr>
    </w:p>
    <w:p w14:paraId="7AE32613" w14:textId="77777777" w:rsidR="007A57ED" w:rsidRDefault="007A57ED" w:rsidP="007A57ED">
      <w:pPr>
        <w:pStyle w:val="Heading3"/>
        <w:shd w:val="clear" w:color="auto" w:fill="FFFFFF"/>
        <w:bidi/>
        <w:spacing w:before="480" w:after="240" w:line="450" w:lineRule="atLeast"/>
        <w:rPr>
          <w:rFonts w:ascii="Segoe UI" w:hAnsi="Segoe UI" w:cs="Segoe UI"/>
          <w:color w:val="0F1115"/>
          <w:sz w:val="30"/>
          <w:szCs w:val="30"/>
          <w:rtl/>
        </w:rPr>
      </w:pPr>
    </w:p>
    <w:p w14:paraId="511F6332" w14:textId="77777777" w:rsidR="007A57ED" w:rsidRDefault="007A57ED" w:rsidP="007A57ED">
      <w:pPr>
        <w:pStyle w:val="Heading3"/>
        <w:shd w:val="clear" w:color="auto" w:fill="FFFFFF"/>
        <w:bidi/>
        <w:spacing w:before="480" w:after="240" w:line="450" w:lineRule="atLeast"/>
        <w:rPr>
          <w:rFonts w:ascii="Segoe UI" w:hAnsi="Segoe UI" w:cs="Segoe UI"/>
          <w:color w:val="0F1115"/>
          <w:sz w:val="30"/>
          <w:szCs w:val="30"/>
          <w:rtl/>
        </w:rPr>
      </w:pPr>
    </w:p>
    <w:p w14:paraId="32F7571F" w14:textId="77777777" w:rsidR="007A57ED" w:rsidRDefault="007A57ED" w:rsidP="007A57ED">
      <w:pPr>
        <w:pStyle w:val="Heading3"/>
        <w:shd w:val="clear" w:color="auto" w:fill="FFFFFF"/>
        <w:bidi/>
        <w:spacing w:before="480" w:after="240" w:line="450" w:lineRule="atLeast"/>
        <w:rPr>
          <w:rFonts w:ascii="Segoe UI" w:hAnsi="Segoe UI" w:cs="Segoe UI"/>
          <w:color w:val="0F1115"/>
          <w:sz w:val="30"/>
          <w:szCs w:val="30"/>
          <w:rtl/>
        </w:rPr>
      </w:pPr>
    </w:p>
    <w:p w14:paraId="6601B114" w14:textId="77777777" w:rsidR="007A57ED" w:rsidRPr="007A57ED" w:rsidRDefault="007A57ED" w:rsidP="007A57ED">
      <w:pPr>
        <w:bidi/>
        <w:rPr>
          <w:rtl/>
        </w:rPr>
      </w:pPr>
    </w:p>
    <w:p w14:paraId="651C4A59" w14:textId="251EE9D0" w:rsidR="006D5121" w:rsidRPr="007A57ED" w:rsidRDefault="007A57ED" w:rsidP="007A57ED">
      <w:pPr>
        <w:pStyle w:val="Heading3"/>
        <w:shd w:val="clear" w:color="auto" w:fill="FFFFFF"/>
        <w:bidi/>
        <w:spacing w:before="480" w:after="240" w:line="450" w:lineRule="atLeast"/>
        <w:rPr>
          <w:rFonts w:asciiTheme="majorBidi" w:hAnsiTheme="majorBidi"/>
          <w:color w:val="0F1115"/>
          <w:sz w:val="28"/>
          <w:szCs w:val="28"/>
        </w:rPr>
      </w:pPr>
      <w:r w:rsidRPr="007A57ED">
        <w:rPr>
          <w:rFonts w:asciiTheme="majorBidi" w:hAnsiTheme="majorBidi"/>
          <w:color w:val="0F1115"/>
          <w:sz w:val="28"/>
          <w:szCs w:val="28"/>
          <w:rtl/>
        </w:rPr>
        <w:lastRenderedPageBreak/>
        <w:t xml:space="preserve">٥.١. </w:t>
      </w:r>
      <w:r w:rsidR="006D5121" w:rsidRPr="007A57ED">
        <w:rPr>
          <w:rFonts w:asciiTheme="majorBidi" w:hAnsiTheme="majorBidi"/>
          <w:color w:val="0F1115"/>
          <w:sz w:val="28"/>
          <w:szCs w:val="28"/>
          <w:rtl/>
        </w:rPr>
        <w:t>أهم الاستنتاجات</w:t>
      </w:r>
    </w:p>
    <w:p w14:paraId="095D2236" w14:textId="77777777" w:rsidR="006D5121" w:rsidRPr="007A57ED" w:rsidRDefault="006D5121" w:rsidP="007A57E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بناءً على نتائج هذه المراجعة المنهجية لـ 42 دراسة، يمكن استخلاص النتائج التالية</w:t>
      </w:r>
      <w:r w:rsidRPr="007A57ED">
        <w:rPr>
          <w:rFonts w:asciiTheme="majorBidi" w:hAnsiTheme="majorBidi" w:cstheme="majorBidi"/>
          <w:color w:val="0F1115"/>
          <w:sz w:val="28"/>
          <w:szCs w:val="28"/>
        </w:rPr>
        <w:t>:</w:t>
      </w:r>
    </w:p>
    <w:p w14:paraId="54F617FB"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توجد علاقة إيجابية قوية بين ممارسات إدارة الموارد البشرية والاحتفاظ بالكادر الطبي</w:t>
      </w:r>
      <w:r w:rsidRPr="007A57ED">
        <w:rPr>
          <w:rFonts w:asciiTheme="majorBidi" w:hAnsiTheme="majorBidi" w:cstheme="majorBidi"/>
          <w:color w:val="0F1115"/>
          <w:sz w:val="28"/>
          <w:szCs w:val="28"/>
          <w:rtl/>
        </w:rPr>
        <w:t>، حيث أكدت 90% من الدراسات هذه العلاقة. الاستثمار في الموارد البشرية ليس ترفاً، بل ضرورة استراتيجية لاستقرار الكوادر</w:t>
      </w:r>
      <w:r w:rsidRPr="007A57ED">
        <w:rPr>
          <w:rFonts w:asciiTheme="majorBidi" w:hAnsiTheme="majorBidi" w:cstheme="majorBidi"/>
          <w:color w:val="0F1115"/>
          <w:sz w:val="28"/>
          <w:szCs w:val="28"/>
        </w:rPr>
        <w:t>.</w:t>
      </w:r>
    </w:p>
    <w:p w14:paraId="0002D207" w14:textId="77777777" w:rsidR="006D5121" w:rsidRPr="007A57ED" w:rsidRDefault="006D5121" w:rsidP="007A57ED">
      <w:pPr>
        <w:pStyle w:val="ds-markdown-paragraph"/>
        <w:numPr>
          <w:ilvl w:val="0"/>
          <w:numId w:val="32"/>
        </w:numPr>
        <w:shd w:val="clear" w:color="auto" w:fill="FFFFFF"/>
        <w:bidi/>
        <w:spacing w:before="0" w:beforeAutospacing="0" w:after="12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أكثر ممارسات الموارد البشرية تأثيراً في الاحتفاظ هي</w:t>
      </w:r>
      <w:r w:rsidRPr="007A57ED">
        <w:rPr>
          <w:rStyle w:val="Strong"/>
          <w:rFonts w:asciiTheme="majorBidi" w:eastAsiaTheme="majorEastAsia" w:hAnsiTheme="majorBidi" w:cstheme="majorBidi"/>
          <w:color w:val="0F1115"/>
          <w:sz w:val="28"/>
          <w:szCs w:val="28"/>
        </w:rPr>
        <w:t>:</w:t>
      </w:r>
    </w:p>
    <w:p w14:paraId="074001DB" w14:textId="77777777" w:rsidR="006D5121" w:rsidRPr="007A57ED" w:rsidRDefault="006D5121" w:rsidP="007A57ED">
      <w:pPr>
        <w:pStyle w:val="ds-markdown-paragraph"/>
        <w:numPr>
          <w:ilvl w:val="1"/>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نظام الحوافز (المالية وغير المالية</w:t>
      </w:r>
      <w:r w:rsidRPr="007A57ED">
        <w:rPr>
          <w:rFonts w:asciiTheme="majorBidi" w:hAnsiTheme="majorBidi" w:cstheme="majorBidi"/>
          <w:color w:val="0F1115"/>
          <w:sz w:val="28"/>
          <w:szCs w:val="28"/>
        </w:rPr>
        <w:t>)</w:t>
      </w:r>
    </w:p>
    <w:p w14:paraId="3D93E196" w14:textId="77777777" w:rsidR="006D5121" w:rsidRPr="007A57ED" w:rsidRDefault="006D5121" w:rsidP="007A57ED">
      <w:pPr>
        <w:pStyle w:val="ds-markdown-paragraph"/>
        <w:numPr>
          <w:ilvl w:val="1"/>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التطوير المهني والتدريب المستمر</w:t>
      </w:r>
    </w:p>
    <w:p w14:paraId="6D42138C" w14:textId="77777777" w:rsidR="006D5121" w:rsidRPr="007A57ED" w:rsidRDefault="006D5121" w:rsidP="007A57ED">
      <w:pPr>
        <w:pStyle w:val="ds-markdown-paragraph"/>
        <w:numPr>
          <w:ilvl w:val="1"/>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القيادة الداعمة</w:t>
      </w:r>
    </w:p>
    <w:p w14:paraId="1AF4E3B6" w14:textId="77777777" w:rsidR="006D5121" w:rsidRPr="007A57ED" w:rsidRDefault="006D5121" w:rsidP="007A57ED">
      <w:pPr>
        <w:pStyle w:val="ds-markdown-paragraph"/>
        <w:numPr>
          <w:ilvl w:val="1"/>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بيئة العمل الآمنة</w:t>
      </w:r>
    </w:p>
    <w:p w14:paraId="3FD08EB7" w14:textId="77777777" w:rsidR="006D5121" w:rsidRPr="007A57ED" w:rsidRDefault="006D5121" w:rsidP="007A57ED">
      <w:pPr>
        <w:pStyle w:val="ds-markdown-paragraph"/>
        <w:numPr>
          <w:ilvl w:val="1"/>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التوازن بين العمل والحياة</w:t>
      </w:r>
    </w:p>
    <w:p w14:paraId="3EFFD4E7"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الرضا الوظيفي هو أقوى المتنبئات بالاحتفاظ</w:t>
      </w:r>
      <w:r w:rsidRPr="007A57ED">
        <w:rPr>
          <w:rFonts w:asciiTheme="majorBidi" w:hAnsiTheme="majorBidi" w:cstheme="majorBidi"/>
          <w:color w:val="0F1115"/>
          <w:sz w:val="28"/>
          <w:szCs w:val="28"/>
          <w:rtl/>
        </w:rPr>
        <w:t>، والإرهاق</w:t>
      </w:r>
      <w:r w:rsidRPr="007A57ED">
        <w:rPr>
          <w:rFonts w:asciiTheme="majorBidi" w:hAnsiTheme="majorBidi" w:cstheme="majorBidi"/>
          <w:color w:val="0F1115"/>
          <w:sz w:val="28"/>
          <w:szCs w:val="28"/>
        </w:rPr>
        <w:t xml:space="preserve"> (Burnout) </w:t>
      </w:r>
      <w:r w:rsidRPr="007A57ED">
        <w:rPr>
          <w:rFonts w:asciiTheme="majorBidi" w:hAnsiTheme="majorBidi" w:cstheme="majorBidi"/>
          <w:color w:val="0F1115"/>
          <w:sz w:val="28"/>
          <w:szCs w:val="28"/>
          <w:rtl/>
        </w:rPr>
        <w:t>هو أخطر عوامل الخطر التي تدفع للمغادرة</w:t>
      </w:r>
      <w:r w:rsidRPr="007A57ED">
        <w:rPr>
          <w:rFonts w:asciiTheme="majorBidi" w:hAnsiTheme="majorBidi" w:cstheme="majorBidi"/>
          <w:color w:val="0F1115"/>
          <w:sz w:val="28"/>
          <w:szCs w:val="28"/>
        </w:rPr>
        <w:t>.</w:t>
      </w:r>
    </w:p>
    <w:p w14:paraId="77977443"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توجد علاقة إيجابية قوية بين الاحتفاظ بالكادر الطبي وجودة الرعاية الصحية</w:t>
      </w:r>
      <w:r w:rsidRPr="007A57ED">
        <w:rPr>
          <w:rFonts w:asciiTheme="majorBidi" w:hAnsiTheme="majorBidi" w:cstheme="majorBidi"/>
          <w:color w:val="0F1115"/>
          <w:sz w:val="28"/>
          <w:szCs w:val="28"/>
          <w:rtl/>
        </w:rPr>
        <w:t> </w:t>
      </w:r>
      <w:r w:rsidRPr="007A57ED">
        <w:rPr>
          <w:rFonts w:asciiTheme="majorBidi" w:hAnsiTheme="majorBidi" w:cstheme="majorBidi"/>
          <w:color w:val="0F1115"/>
          <w:sz w:val="28"/>
          <w:szCs w:val="28"/>
        </w:rPr>
        <w:t>(</w:t>
      </w:r>
      <w:r w:rsidRPr="007A57ED">
        <w:rPr>
          <w:rFonts w:asciiTheme="majorBidi" w:hAnsiTheme="majorBidi" w:cstheme="majorBidi"/>
          <w:color w:val="0F1115"/>
          <w:sz w:val="28"/>
          <w:szCs w:val="28"/>
          <w:rtl/>
        </w:rPr>
        <w:t>أكدتها 86% من الدراسات)، خاصة في مؤشرات سلامة المرضى ورضاهم. استقرار الكوادر ينعكس مباشرة على جودة الخدمات</w:t>
      </w:r>
      <w:r w:rsidRPr="007A57ED">
        <w:rPr>
          <w:rFonts w:asciiTheme="majorBidi" w:hAnsiTheme="majorBidi" w:cstheme="majorBidi"/>
          <w:color w:val="0F1115"/>
          <w:sz w:val="28"/>
          <w:szCs w:val="28"/>
        </w:rPr>
        <w:t>.</w:t>
      </w:r>
    </w:p>
    <w:p w14:paraId="08542016"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تختلف عوامل الاحتفاظ باختلاف فئات الكادر الطبي</w:t>
      </w:r>
      <w:r w:rsidRPr="007A57ED">
        <w:rPr>
          <w:rFonts w:asciiTheme="majorBidi" w:hAnsiTheme="majorBidi" w:cstheme="majorBidi"/>
          <w:color w:val="0F1115"/>
          <w:sz w:val="28"/>
          <w:szCs w:val="28"/>
          <w:rtl/>
        </w:rPr>
        <w:t>؛ فالأطباء يتأثرون أكثر بفرص التطور المهني والاستقلالية، بينما يتأثر التمريض أكثر بالحوافز وبيئة العمل والدعم</w:t>
      </w:r>
      <w:r w:rsidRPr="007A57ED">
        <w:rPr>
          <w:rFonts w:asciiTheme="majorBidi" w:hAnsiTheme="majorBidi" w:cstheme="majorBidi"/>
          <w:color w:val="0F1115"/>
          <w:sz w:val="28"/>
          <w:szCs w:val="28"/>
        </w:rPr>
        <w:t>.</w:t>
      </w:r>
    </w:p>
    <w:p w14:paraId="1E5F9548"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السياق مهم</w:t>
      </w:r>
      <w:r w:rsidRPr="007A57ED">
        <w:rPr>
          <w:rFonts w:asciiTheme="majorBidi" w:hAnsiTheme="majorBidi" w:cstheme="majorBidi"/>
          <w:color w:val="0F1115"/>
          <w:sz w:val="28"/>
          <w:szCs w:val="28"/>
          <w:rtl/>
        </w:rPr>
        <w:t>؛ فالدول ذات النظم الصحية المتطورة تواجه تحديات احتفاظ مختلفة عن الدول النامية. كما أن القطاع الخاص قد يقدم حوافز مالية أفضل، لكنه قد يعاني من ضعف الاستقرار الوظيفي مقارنة بالقطاع الحكومي</w:t>
      </w:r>
      <w:r w:rsidRPr="007A57ED">
        <w:rPr>
          <w:rFonts w:asciiTheme="majorBidi" w:hAnsiTheme="majorBidi" w:cstheme="majorBidi"/>
          <w:color w:val="0F1115"/>
          <w:sz w:val="28"/>
          <w:szCs w:val="28"/>
        </w:rPr>
        <w:t>.</w:t>
      </w:r>
    </w:p>
    <w:p w14:paraId="53EEA1DA" w14:textId="77777777" w:rsidR="006D5121" w:rsidRPr="007A57ED" w:rsidRDefault="006D5121" w:rsidP="007A57ED">
      <w:pPr>
        <w:pStyle w:val="ds-markdown-paragraph"/>
        <w:numPr>
          <w:ilvl w:val="0"/>
          <w:numId w:val="32"/>
        </w:numPr>
        <w:shd w:val="clear" w:color="auto" w:fill="FFFFFF"/>
        <w:bidi/>
        <w:spacing w:before="0" w:beforeAutospacing="0" w:after="0" w:afterAutospacing="0"/>
        <w:jc w:val="lowKashida"/>
        <w:rPr>
          <w:rFonts w:asciiTheme="majorBidi" w:hAnsiTheme="majorBidi" w:cstheme="majorBidi"/>
          <w:color w:val="0F1115"/>
          <w:sz w:val="28"/>
          <w:szCs w:val="28"/>
        </w:rPr>
      </w:pPr>
      <w:r w:rsidRPr="007A57ED">
        <w:rPr>
          <w:rStyle w:val="Strong"/>
          <w:rFonts w:asciiTheme="majorBidi" w:eastAsiaTheme="majorEastAsia" w:hAnsiTheme="majorBidi" w:cstheme="majorBidi"/>
          <w:color w:val="0F1115"/>
          <w:sz w:val="28"/>
          <w:szCs w:val="28"/>
          <w:rtl/>
        </w:rPr>
        <w:t>هناك حاجة لمزيد من الدراسات الطولية والتجريبية</w:t>
      </w:r>
      <w:r w:rsidRPr="007A57ED">
        <w:rPr>
          <w:rFonts w:asciiTheme="majorBidi" w:hAnsiTheme="majorBidi" w:cstheme="majorBidi"/>
          <w:color w:val="0F1115"/>
          <w:sz w:val="28"/>
          <w:szCs w:val="28"/>
          <w:rtl/>
        </w:rPr>
        <w:t> لتأكيد العلاقات السببية، ومزيد من الدراسات في السياقات العربية والنامية</w:t>
      </w:r>
      <w:r w:rsidRPr="007A57ED">
        <w:rPr>
          <w:rFonts w:asciiTheme="majorBidi" w:hAnsiTheme="majorBidi" w:cstheme="majorBidi"/>
          <w:color w:val="0F1115"/>
          <w:sz w:val="28"/>
          <w:szCs w:val="28"/>
        </w:rPr>
        <w:t>.</w:t>
      </w:r>
    </w:p>
    <w:p w14:paraId="04C418F7" w14:textId="13342FE9" w:rsidR="006D5121" w:rsidRPr="007A57ED" w:rsidRDefault="007A57ED" w:rsidP="007A57ED">
      <w:pPr>
        <w:pStyle w:val="Heading3"/>
        <w:shd w:val="clear" w:color="auto" w:fill="FFFFFF"/>
        <w:bidi/>
        <w:spacing w:before="480" w:after="240" w:line="450" w:lineRule="atLeast"/>
        <w:jc w:val="lowKashida"/>
        <w:rPr>
          <w:rFonts w:asciiTheme="majorBidi" w:hAnsiTheme="majorBidi"/>
          <w:color w:val="0F1115"/>
          <w:sz w:val="28"/>
          <w:szCs w:val="28"/>
        </w:rPr>
      </w:pPr>
      <w:r>
        <w:rPr>
          <w:rFonts w:asciiTheme="majorBidi" w:hAnsiTheme="majorBidi" w:hint="cs"/>
          <w:color w:val="0F1115"/>
          <w:sz w:val="28"/>
          <w:szCs w:val="28"/>
          <w:rtl/>
        </w:rPr>
        <w:t xml:space="preserve">٥.٢. </w:t>
      </w:r>
      <w:r w:rsidR="006D5121" w:rsidRPr="007A57ED">
        <w:rPr>
          <w:rFonts w:asciiTheme="majorBidi" w:hAnsiTheme="majorBidi"/>
          <w:color w:val="0F1115"/>
          <w:sz w:val="28"/>
          <w:szCs w:val="28"/>
          <w:rtl/>
        </w:rPr>
        <w:t>التوصيات</w:t>
      </w:r>
    </w:p>
    <w:p w14:paraId="71FE7D5D" w14:textId="77777777" w:rsidR="006D5121" w:rsidRPr="007A57ED" w:rsidRDefault="006D5121" w:rsidP="007A57ED">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7A57ED">
        <w:rPr>
          <w:rFonts w:asciiTheme="majorBidi" w:hAnsiTheme="majorBidi" w:cstheme="majorBidi"/>
          <w:color w:val="0F1115"/>
          <w:sz w:val="28"/>
          <w:szCs w:val="28"/>
          <w:rtl/>
        </w:rPr>
        <w:t>بناءً على نتائج المراجعة، توصي الدراسة بما يلي</w:t>
      </w:r>
      <w:r w:rsidRPr="007A57ED">
        <w:rPr>
          <w:rFonts w:asciiTheme="majorBidi" w:hAnsiTheme="majorBidi" w:cstheme="majorBidi"/>
          <w:color w:val="0F1115"/>
          <w:sz w:val="28"/>
          <w:szCs w:val="28"/>
        </w:rPr>
        <w:t>:</w:t>
      </w:r>
    </w:p>
    <w:p w14:paraId="4B1C5D7C" w14:textId="77777777" w:rsidR="006D5121" w:rsidRPr="007A57ED" w:rsidRDefault="006D5121" w:rsidP="007A57ED">
      <w:pPr>
        <w:pStyle w:val="Heading4"/>
        <w:shd w:val="clear" w:color="auto" w:fill="FFFFFF"/>
        <w:bidi/>
        <w:spacing w:before="240" w:after="240" w:line="420" w:lineRule="atLeast"/>
        <w:jc w:val="lowKashida"/>
        <w:rPr>
          <w:rFonts w:asciiTheme="majorBidi" w:hAnsiTheme="majorBidi"/>
          <w:i w:val="0"/>
          <w:iCs w:val="0"/>
          <w:color w:val="0F1115"/>
          <w:sz w:val="28"/>
          <w:szCs w:val="28"/>
        </w:rPr>
      </w:pPr>
      <w:r w:rsidRPr="007A57ED">
        <w:rPr>
          <w:rFonts w:asciiTheme="majorBidi" w:hAnsiTheme="majorBidi"/>
          <w:i w:val="0"/>
          <w:iCs w:val="0"/>
          <w:color w:val="0F1115"/>
          <w:sz w:val="28"/>
          <w:szCs w:val="28"/>
          <w:rtl/>
        </w:rPr>
        <w:t>جدول (5-1): التوصيات الرئيسية المستخلصة من المراجعة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8"/>
        <w:gridCol w:w="4641"/>
        <w:gridCol w:w="1781"/>
        <w:gridCol w:w="1042"/>
      </w:tblGrid>
      <w:tr w:rsidR="006D5121" w14:paraId="6F8588DA" w14:textId="77777777" w:rsidTr="00FC2A69">
        <w:trPr>
          <w:tblHeader/>
        </w:trPr>
        <w:tc>
          <w:tcPr>
            <w:tcW w:w="0" w:type="auto"/>
            <w:tcMar>
              <w:top w:w="150" w:type="dxa"/>
              <w:left w:w="0" w:type="dxa"/>
              <w:bottom w:w="150" w:type="dxa"/>
              <w:right w:w="240" w:type="dxa"/>
            </w:tcMar>
            <w:vAlign w:val="center"/>
            <w:hideMark/>
          </w:tcPr>
          <w:p w14:paraId="1A3B2BE6"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المجال</w:t>
            </w:r>
          </w:p>
        </w:tc>
        <w:tc>
          <w:tcPr>
            <w:tcW w:w="0" w:type="auto"/>
            <w:tcMar>
              <w:top w:w="150" w:type="dxa"/>
              <w:left w:w="240" w:type="dxa"/>
              <w:bottom w:w="150" w:type="dxa"/>
              <w:right w:w="240" w:type="dxa"/>
            </w:tcMar>
            <w:vAlign w:val="center"/>
            <w:hideMark/>
          </w:tcPr>
          <w:p w14:paraId="6B0FE5D4"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التوصية</w:t>
            </w:r>
          </w:p>
        </w:tc>
        <w:tc>
          <w:tcPr>
            <w:tcW w:w="0" w:type="auto"/>
            <w:tcMar>
              <w:top w:w="150" w:type="dxa"/>
              <w:left w:w="240" w:type="dxa"/>
              <w:bottom w:w="150" w:type="dxa"/>
              <w:right w:w="240" w:type="dxa"/>
            </w:tcMar>
            <w:vAlign w:val="center"/>
            <w:hideMark/>
          </w:tcPr>
          <w:p w14:paraId="5BF0D699"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الفئة المستهدفة</w:t>
            </w:r>
          </w:p>
        </w:tc>
        <w:tc>
          <w:tcPr>
            <w:tcW w:w="0" w:type="auto"/>
            <w:tcMar>
              <w:top w:w="150" w:type="dxa"/>
              <w:left w:w="240" w:type="dxa"/>
              <w:bottom w:w="150" w:type="dxa"/>
              <w:right w:w="240" w:type="dxa"/>
            </w:tcMar>
            <w:vAlign w:val="center"/>
            <w:hideMark/>
          </w:tcPr>
          <w:p w14:paraId="41658AAB"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الأولوية</w:t>
            </w:r>
          </w:p>
        </w:tc>
      </w:tr>
      <w:tr w:rsidR="006D5121" w14:paraId="058014B4" w14:textId="77777777" w:rsidTr="00FC2A69">
        <w:tc>
          <w:tcPr>
            <w:tcW w:w="0" w:type="auto"/>
            <w:tcMar>
              <w:top w:w="150" w:type="dxa"/>
              <w:left w:w="0" w:type="dxa"/>
              <w:bottom w:w="150" w:type="dxa"/>
              <w:right w:w="240" w:type="dxa"/>
            </w:tcMar>
            <w:vAlign w:val="center"/>
            <w:hideMark/>
          </w:tcPr>
          <w:p w14:paraId="70DFFF04"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الحوافز</w:t>
            </w:r>
          </w:p>
        </w:tc>
        <w:tc>
          <w:tcPr>
            <w:tcW w:w="0" w:type="auto"/>
            <w:tcMar>
              <w:top w:w="150" w:type="dxa"/>
              <w:left w:w="240" w:type="dxa"/>
              <w:bottom w:w="150" w:type="dxa"/>
              <w:right w:w="240" w:type="dxa"/>
            </w:tcMar>
            <w:vAlign w:val="center"/>
            <w:hideMark/>
          </w:tcPr>
          <w:p w14:paraId="5C4724FA"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تطوير نظام حوافز متوازن يجمع بين المكافآت المالية التنافسية والتقدير المعنوي المستمر</w:t>
            </w:r>
          </w:p>
        </w:tc>
        <w:tc>
          <w:tcPr>
            <w:tcW w:w="0" w:type="auto"/>
            <w:tcMar>
              <w:top w:w="150" w:type="dxa"/>
              <w:left w:w="240" w:type="dxa"/>
              <w:bottom w:w="150" w:type="dxa"/>
              <w:right w:w="240" w:type="dxa"/>
            </w:tcMar>
            <w:vAlign w:val="center"/>
            <w:hideMark/>
          </w:tcPr>
          <w:p w14:paraId="306273A5"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الموارد البشرية</w:t>
            </w:r>
          </w:p>
        </w:tc>
        <w:tc>
          <w:tcPr>
            <w:tcW w:w="0" w:type="auto"/>
            <w:tcMar>
              <w:top w:w="150" w:type="dxa"/>
              <w:left w:w="240" w:type="dxa"/>
              <w:bottom w:w="150" w:type="dxa"/>
              <w:right w:w="0" w:type="dxa"/>
            </w:tcMar>
            <w:vAlign w:val="center"/>
            <w:hideMark/>
          </w:tcPr>
          <w:p w14:paraId="4BFB5F33"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عالية</w:t>
            </w:r>
          </w:p>
        </w:tc>
      </w:tr>
      <w:tr w:rsidR="006D5121" w14:paraId="38D1AEE4" w14:textId="77777777" w:rsidTr="00FC2A69">
        <w:tc>
          <w:tcPr>
            <w:tcW w:w="0" w:type="auto"/>
            <w:tcMar>
              <w:top w:w="150" w:type="dxa"/>
              <w:left w:w="0" w:type="dxa"/>
              <w:bottom w:w="150" w:type="dxa"/>
              <w:right w:w="240" w:type="dxa"/>
            </w:tcMar>
            <w:vAlign w:val="center"/>
            <w:hideMark/>
          </w:tcPr>
          <w:p w14:paraId="1DA6E375"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التطوير المهني</w:t>
            </w:r>
          </w:p>
        </w:tc>
        <w:tc>
          <w:tcPr>
            <w:tcW w:w="0" w:type="auto"/>
            <w:tcMar>
              <w:top w:w="150" w:type="dxa"/>
              <w:left w:w="240" w:type="dxa"/>
              <w:bottom w:w="150" w:type="dxa"/>
              <w:right w:w="240" w:type="dxa"/>
            </w:tcMar>
            <w:vAlign w:val="center"/>
            <w:hideMark/>
          </w:tcPr>
          <w:p w14:paraId="2670BD79"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إنشاء مسارات وظيفية واضحة وبرامج إرشاد</w:t>
            </w:r>
            <w:r>
              <w:rPr>
                <w:rFonts w:ascii="Segoe UI" w:hAnsi="Segoe UI" w:cs="Segoe UI"/>
                <w:sz w:val="23"/>
                <w:szCs w:val="23"/>
              </w:rPr>
              <w:t xml:space="preserve"> (Mentorship) </w:t>
            </w:r>
            <w:r>
              <w:rPr>
                <w:rFonts w:ascii="Segoe UI" w:hAnsi="Segoe UI"/>
                <w:sz w:val="23"/>
                <w:szCs w:val="23"/>
                <w:rtl/>
              </w:rPr>
              <w:t>ودعم التعليم المستمر</w:t>
            </w:r>
          </w:p>
        </w:tc>
        <w:tc>
          <w:tcPr>
            <w:tcW w:w="0" w:type="auto"/>
            <w:tcMar>
              <w:top w:w="150" w:type="dxa"/>
              <w:left w:w="240" w:type="dxa"/>
              <w:bottom w:w="150" w:type="dxa"/>
              <w:right w:w="240" w:type="dxa"/>
            </w:tcMar>
            <w:vAlign w:val="center"/>
            <w:hideMark/>
          </w:tcPr>
          <w:p w14:paraId="4E2186C0"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التدريب</w:t>
            </w:r>
          </w:p>
        </w:tc>
        <w:tc>
          <w:tcPr>
            <w:tcW w:w="0" w:type="auto"/>
            <w:tcMar>
              <w:top w:w="150" w:type="dxa"/>
              <w:left w:w="240" w:type="dxa"/>
              <w:bottom w:w="150" w:type="dxa"/>
              <w:right w:w="0" w:type="dxa"/>
            </w:tcMar>
            <w:vAlign w:val="center"/>
            <w:hideMark/>
          </w:tcPr>
          <w:p w14:paraId="773B4BA3"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عالية</w:t>
            </w:r>
          </w:p>
        </w:tc>
      </w:tr>
      <w:tr w:rsidR="006D5121" w14:paraId="22FFC7FA" w14:textId="77777777" w:rsidTr="00FC2A69">
        <w:tc>
          <w:tcPr>
            <w:tcW w:w="0" w:type="auto"/>
            <w:tcMar>
              <w:top w:w="150" w:type="dxa"/>
              <w:left w:w="0" w:type="dxa"/>
              <w:bottom w:w="150" w:type="dxa"/>
              <w:right w:w="240" w:type="dxa"/>
            </w:tcMar>
            <w:vAlign w:val="center"/>
            <w:hideMark/>
          </w:tcPr>
          <w:p w14:paraId="5F2F3246"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lastRenderedPageBreak/>
              <w:t>القيادة</w:t>
            </w:r>
          </w:p>
        </w:tc>
        <w:tc>
          <w:tcPr>
            <w:tcW w:w="0" w:type="auto"/>
            <w:tcMar>
              <w:top w:w="150" w:type="dxa"/>
              <w:left w:w="240" w:type="dxa"/>
              <w:bottom w:w="150" w:type="dxa"/>
              <w:right w:w="240" w:type="dxa"/>
            </w:tcMar>
            <w:vAlign w:val="center"/>
            <w:hideMark/>
          </w:tcPr>
          <w:p w14:paraId="30A89247"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تدريب القادة على مهارات القيادة الداعمة والتواصل الفعال والتعاطف</w:t>
            </w:r>
          </w:p>
        </w:tc>
        <w:tc>
          <w:tcPr>
            <w:tcW w:w="0" w:type="auto"/>
            <w:tcMar>
              <w:top w:w="150" w:type="dxa"/>
              <w:left w:w="240" w:type="dxa"/>
              <w:bottom w:w="150" w:type="dxa"/>
              <w:right w:w="240" w:type="dxa"/>
            </w:tcMar>
            <w:vAlign w:val="center"/>
            <w:hideMark/>
          </w:tcPr>
          <w:p w14:paraId="4E008861"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معاهد القيادة الصحية</w:t>
            </w:r>
          </w:p>
        </w:tc>
        <w:tc>
          <w:tcPr>
            <w:tcW w:w="0" w:type="auto"/>
            <w:tcMar>
              <w:top w:w="150" w:type="dxa"/>
              <w:left w:w="240" w:type="dxa"/>
              <w:bottom w:w="150" w:type="dxa"/>
              <w:right w:w="0" w:type="dxa"/>
            </w:tcMar>
            <w:vAlign w:val="center"/>
            <w:hideMark/>
          </w:tcPr>
          <w:p w14:paraId="057CE23C"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عالية</w:t>
            </w:r>
          </w:p>
        </w:tc>
      </w:tr>
      <w:tr w:rsidR="006D5121" w14:paraId="1B730CEE" w14:textId="77777777" w:rsidTr="00FC2A69">
        <w:tc>
          <w:tcPr>
            <w:tcW w:w="0" w:type="auto"/>
            <w:tcMar>
              <w:top w:w="150" w:type="dxa"/>
              <w:left w:w="0" w:type="dxa"/>
              <w:bottom w:w="150" w:type="dxa"/>
              <w:right w:w="240" w:type="dxa"/>
            </w:tcMar>
            <w:vAlign w:val="center"/>
            <w:hideMark/>
          </w:tcPr>
          <w:p w14:paraId="49A793CB"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بيئة العمل</w:t>
            </w:r>
          </w:p>
        </w:tc>
        <w:tc>
          <w:tcPr>
            <w:tcW w:w="0" w:type="auto"/>
            <w:tcMar>
              <w:top w:w="150" w:type="dxa"/>
              <w:left w:w="240" w:type="dxa"/>
              <w:bottom w:w="150" w:type="dxa"/>
              <w:right w:w="240" w:type="dxa"/>
            </w:tcMar>
            <w:vAlign w:val="center"/>
            <w:hideMark/>
          </w:tcPr>
          <w:p w14:paraId="3CDDA1A5"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توفير بيئة عمل آمنة (مادياً ونفسياً) وتجهيزات كافية</w:t>
            </w:r>
          </w:p>
        </w:tc>
        <w:tc>
          <w:tcPr>
            <w:tcW w:w="0" w:type="auto"/>
            <w:tcMar>
              <w:top w:w="150" w:type="dxa"/>
              <w:left w:w="240" w:type="dxa"/>
              <w:bottom w:w="150" w:type="dxa"/>
              <w:right w:w="240" w:type="dxa"/>
            </w:tcMar>
            <w:vAlign w:val="center"/>
            <w:hideMark/>
          </w:tcPr>
          <w:p w14:paraId="1D8F1B0C"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المستشفيات</w:t>
            </w:r>
          </w:p>
        </w:tc>
        <w:tc>
          <w:tcPr>
            <w:tcW w:w="0" w:type="auto"/>
            <w:tcMar>
              <w:top w:w="150" w:type="dxa"/>
              <w:left w:w="240" w:type="dxa"/>
              <w:bottom w:w="150" w:type="dxa"/>
              <w:right w:w="0" w:type="dxa"/>
            </w:tcMar>
            <w:vAlign w:val="center"/>
            <w:hideMark/>
          </w:tcPr>
          <w:p w14:paraId="160D689D"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عالية</w:t>
            </w:r>
          </w:p>
        </w:tc>
      </w:tr>
      <w:tr w:rsidR="006D5121" w14:paraId="043DD048" w14:textId="77777777" w:rsidTr="00FC2A69">
        <w:tc>
          <w:tcPr>
            <w:tcW w:w="0" w:type="auto"/>
            <w:tcMar>
              <w:top w:w="150" w:type="dxa"/>
              <w:left w:w="0" w:type="dxa"/>
              <w:bottom w:w="150" w:type="dxa"/>
              <w:right w:w="240" w:type="dxa"/>
            </w:tcMar>
            <w:vAlign w:val="center"/>
            <w:hideMark/>
          </w:tcPr>
          <w:p w14:paraId="27C3BB4A"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التوازن</w:t>
            </w:r>
          </w:p>
        </w:tc>
        <w:tc>
          <w:tcPr>
            <w:tcW w:w="0" w:type="auto"/>
            <w:tcMar>
              <w:top w:w="150" w:type="dxa"/>
              <w:left w:w="240" w:type="dxa"/>
              <w:bottom w:w="150" w:type="dxa"/>
              <w:right w:w="240" w:type="dxa"/>
            </w:tcMar>
            <w:vAlign w:val="center"/>
            <w:hideMark/>
          </w:tcPr>
          <w:p w14:paraId="1AF4BB89"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تطبيق نماذج عمل مرنة وتوفير دعم للصحة النفسية والإجازات الكافية</w:t>
            </w:r>
          </w:p>
        </w:tc>
        <w:tc>
          <w:tcPr>
            <w:tcW w:w="0" w:type="auto"/>
            <w:tcMar>
              <w:top w:w="150" w:type="dxa"/>
              <w:left w:w="240" w:type="dxa"/>
              <w:bottom w:w="150" w:type="dxa"/>
              <w:right w:w="240" w:type="dxa"/>
            </w:tcMar>
            <w:vAlign w:val="center"/>
            <w:hideMark/>
          </w:tcPr>
          <w:p w14:paraId="39CB2C58"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الموارد البشرية</w:t>
            </w:r>
          </w:p>
        </w:tc>
        <w:tc>
          <w:tcPr>
            <w:tcW w:w="0" w:type="auto"/>
            <w:tcMar>
              <w:top w:w="150" w:type="dxa"/>
              <w:left w:w="240" w:type="dxa"/>
              <w:bottom w:w="150" w:type="dxa"/>
              <w:right w:w="0" w:type="dxa"/>
            </w:tcMar>
            <w:vAlign w:val="center"/>
            <w:hideMark/>
          </w:tcPr>
          <w:p w14:paraId="427100F0"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متوسطة</w:t>
            </w:r>
          </w:p>
        </w:tc>
      </w:tr>
      <w:tr w:rsidR="006D5121" w14:paraId="35DAFF6C" w14:textId="77777777" w:rsidTr="00FC2A69">
        <w:tc>
          <w:tcPr>
            <w:tcW w:w="0" w:type="auto"/>
            <w:tcMar>
              <w:top w:w="150" w:type="dxa"/>
              <w:left w:w="0" w:type="dxa"/>
              <w:bottom w:w="150" w:type="dxa"/>
              <w:right w:w="240" w:type="dxa"/>
            </w:tcMar>
            <w:vAlign w:val="center"/>
            <w:hideMark/>
          </w:tcPr>
          <w:p w14:paraId="526C0C82"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الممارسات العادلة</w:t>
            </w:r>
          </w:p>
        </w:tc>
        <w:tc>
          <w:tcPr>
            <w:tcW w:w="0" w:type="auto"/>
            <w:tcMar>
              <w:top w:w="150" w:type="dxa"/>
              <w:left w:w="240" w:type="dxa"/>
              <w:bottom w:w="150" w:type="dxa"/>
              <w:right w:w="240" w:type="dxa"/>
            </w:tcMar>
            <w:vAlign w:val="center"/>
            <w:hideMark/>
          </w:tcPr>
          <w:p w14:paraId="1628B377"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تطوير أنظمة تقييم أداء شفافة وعادلة، وتعزيز ثقافة العدالة التنظيمية</w:t>
            </w:r>
          </w:p>
        </w:tc>
        <w:tc>
          <w:tcPr>
            <w:tcW w:w="0" w:type="auto"/>
            <w:tcMar>
              <w:top w:w="150" w:type="dxa"/>
              <w:left w:w="240" w:type="dxa"/>
              <w:bottom w:w="150" w:type="dxa"/>
              <w:right w:w="240" w:type="dxa"/>
            </w:tcMar>
            <w:vAlign w:val="center"/>
            <w:hideMark/>
          </w:tcPr>
          <w:p w14:paraId="3279A6B6"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الموارد البشرية</w:t>
            </w:r>
          </w:p>
        </w:tc>
        <w:tc>
          <w:tcPr>
            <w:tcW w:w="0" w:type="auto"/>
            <w:tcMar>
              <w:top w:w="150" w:type="dxa"/>
              <w:left w:w="240" w:type="dxa"/>
              <w:bottom w:w="150" w:type="dxa"/>
              <w:right w:w="0" w:type="dxa"/>
            </w:tcMar>
            <w:vAlign w:val="center"/>
            <w:hideMark/>
          </w:tcPr>
          <w:p w14:paraId="7FFD5CB8"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متوسطة</w:t>
            </w:r>
          </w:p>
        </w:tc>
      </w:tr>
      <w:tr w:rsidR="006D5121" w14:paraId="5C911184" w14:textId="77777777" w:rsidTr="00FC2A69">
        <w:tc>
          <w:tcPr>
            <w:tcW w:w="0" w:type="auto"/>
            <w:tcMar>
              <w:top w:w="150" w:type="dxa"/>
              <w:left w:w="0" w:type="dxa"/>
              <w:bottom w:w="150" w:type="dxa"/>
              <w:right w:w="240" w:type="dxa"/>
            </w:tcMar>
            <w:vAlign w:val="center"/>
            <w:hideMark/>
          </w:tcPr>
          <w:p w14:paraId="2D85A063" w14:textId="77777777" w:rsidR="006D5121" w:rsidRDefault="006D5121" w:rsidP="007A57ED">
            <w:pPr>
              <w:bidi/>
              <w:spacing w:line="375" w:lineRule="atLeast"/>
              <w:jc w:val="center"/>
              <w:rPr>
                <w:rFonts w:ascii="Segoe UI" w:hAnsi="Segoe UI" w:cs="Segoe UI"/>
                <w:sz w:val="23"/>
                <w:szCs w:val="23"/>
              </w:rPr>
            </w:pPr>
            <w:r>
              <w:rPr>
                <w:rFonts w:ascii="Segoe UI" w:hAnsi="Segoe UI"/>
                <w:sz w:val="23"/>
                <w:szCs w:val="23"/>
                <w:rtl/>
              </w:rPr>
              <w:t>التركيز على الفئات</w:t>
            </w:r>
          </w:p>
        </w:tc>
        <w:tc>
          <w:tcPr>
            <w:tcW w:w="0" w:type="auto"/>
            <w:tcMar>
              <w:top w:w="150" w:type="dxa"/>
              <w:left w:w="240" w:type="dxa"/>
              <w:bottom w:w="150" w:type="dxa"/>
              <w:right w:w="240" w:type="dxa"/>
            </w:tcMar>
            <w:vAlign w:val="center"/>
            <w:hideMark/>
          </w:tcPr>
          <w:p w14:paraId="7A66BABF" w14:textId="77777777" w:rsidR="006D5121" w:rsidRDefault="006D5121" w:rsidP="007A57ED">
            <w:pPr>
              <w:bidi/>
              <w:spacing w:line="375" w:lineRule="atLeast"/>
              <w:jc w:val="lowKashida"/>
              <w:rPr>
                <w:rFonts w:ascii="Segoe UI" w:hAnsi="Segoe UI" w:cs="Segoe UI"/>
                <w:sz w:val="23"/>
                <w:szCs w:val="23"/>
              </w:rPr>
            </w:pPr>
            <w:r>
              <w:rPr>
                <w:rFonts w:ascii="Segoe UI" w:hAnsi="Segoe UI"/>
                <w:sz w:val="23"/>
                <w:szCs w:val="23"/>
                <w:rtl/>
              </w:rPr>
              <w:t>تصميم استراتيجيات خاصة للأطباء ولحديثي الخبرة نظراً لاختلاف دوافعهم</w:t>
            </w:r>
          </w:p>
        </w:tc>
        <w:tc>
          <w:tcPr>
            <w:tcW w:w="0" w:type="auto"/>
            <w:tcMar>
              <w:top w:w="150" w:type="dxa"/>
              <w:left w:w="240" w:type="dxa"/>
              <w:bottom w:w="150" w:type="dxa"/>
              <w:right w:w="240" w:type="dxa"/>
            </w:tcMar>
            <w:vAlign w:val="center"/>
            <w:hideMark/>
          </w:tcPr>
          <w:p w14:paraId="521727D9"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إدارات التخطيط</w:t>
            </w:r>
          </w:p>
        </w:tc>
        <w:tc>
          <w:tcPr>
            <w:tcW w:w="0" w:type="auto"/>
            <w:tcMar>
              <w:top w:w="150" w:type="dxa"/>
              <w:left w:w="240" w:type="dxa"/>
              <w:bottom w:w="150" w:type="dxa"/>
              <w:right w:w="0" w:type="dxa"/>
            </w:tcMar>
            <w:vAlign w:val="center"/>
            <w:hideMark/>
          </w:tcPr>
          <w:p w14:paraId="5D60906A" w14:textId="77777777" w:rsidR="006D5121" w:rsidRDefault="006D5121" w:rsidP="00FC2A69">
            <w:pPr>
              <w:bidi/>
              <w:spacing w:line="375" w:lineRule="atLeast"/>
              <w:jc w:val="center"/>
              <w:rPr>
                <w:rFonts w:ascii="Segoe UI" w:hAnsi="Segoe UI" w:cs="Segoe UI"/>
                <w:sz w:val="23"/>
                <w:szCs w:val="23"/>
              </w:rPr>
            </w:pPr>
            <w:r>
              <w:rPr>
                <w:rFonts w:ascii="Segoe UI" w:hAnsi="Segoe UI"/>
                <w:sz w:val="23"/>
                <w:szCs w:val="23"/>
                <w:rtl/>
              </w:rPr>
              <w:t>متوسطة</w:t>
            </w:r>
          </w:p>
        </w:tc>
      </w:tr>
    </w:tbl>
    <w:p w14:paraId="4459DB15" w14:textId="77777777" w:rsidR="006D5121" w:rsidRPr="00FC2A69" w:rsidRDefault="006D5121" w:rsidP="00304D83">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توصيات تفصيلية لصناع القرار</w:t>
      </w:r>
      <w:r w:rsidRPr="00FC2A69">
        <w:rPr>
          <w:rStyle w:val="Strong"/>
          <w:rFonts w:asciiTheme="majorBidi" w:eastAsiaTheme="majorEastAsia" w:hAnsiTheme="majorBidi" w:cstheme="majorBidi"/>
          <w:color w:val="0F1115"/>
          <w:sz w:val="28"/>
          <w:szCs w:val="28"/>
        </w:rPr>
        <w:t>:</w:t>
      </w:r>
    </w:p>
    <w:p w14:paraId="46367E35" w14:textId="77777777"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اعتماد نهج متكامل لإدارة الموارد البشرية</w:t>
      </w:r>
      <w:r w:rsidRPr="00FC2A69">
        <w:rPr>
          <w:rFonts w:asciiTheme="majorBidi" w:hAnsiTheme="majorBidi" w:cstheme="majorBidi"/>
          <w:color w:val="0F1115"/>
          <w:sz w:val="28"/>
          <w:szCs w:val="28"/>
          <w:rtl/>
        </w:rPr>
        <w:t>، لا يركز على جانب واحد (مثل الرواتب) فقط، بل يجمع بين الحوافز المالية والمعنوية، والتطوير المهني، والقيادة الداعمة، وبيئة العمل</w:t>
      </w:r>
      <w:r w:rsidRPr="00FC2A69">
        <w:rPr>
          <w:rFonts w:asciiTheme="majorBidi" w:hAnsiTheme="majorBidi" w:cstheme="majorBidi"/>
          <w:color w:val="0F1115"/>
          <w:sz w:val="28"/>
          <w:szCs w:val="28"/>
        </w:rPr>
        <w:t>.</w:t>
      </w:r>
    </w:p>
    <w:p w14:paraId="33949F55" w14:textId="4C750C26"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 xml:space="preserve">قياس مؤشرات </w:t>
      </w:r>
      <w:r w:rsidR="00304D83" w:rsidRPr="00FC2A69">
        <w:rPr>
          <w:rStyle w:val="Strong"/>
          <w:rFonts w:asciiTheme="majorBidi" w:eastAsiaTheme="majorEastAsia" w:hAnsiTheme="majorBidi" w:cstheme="majorBidi"/>
          <w:color w:val="0F1115"/>
          <w:sz w:val="28"/>
          <w:szCs w:val="28"/>
          <w:rtl/>
        </w:rPr>
        <w:t>الاحتفاظ</w:t>
      </w:r>
      <w:r w:rsidRPr="00FC2A69">
        <w:rPr>
          <w:rStyle w:val="Strong"/>
          <w:rFonts w:asciiTheme="majorBidi" w:eastAsiaTheme="majorEastAsia" w:hAnsiTheme="majorBidi" w:cstheme="majorBidi"/>
          <w:color w:val="0F1115"/>
          <w:sz w:val="28"/>
          <w:szCs w:val="28"/>
          <w:rtl/>
        </w:rPr>
        <w:t xml:space="preserve"> بشكل دوري</w:t>
      </w:r>
      <w:r w:rsidRPr="00FC2A69">
        <w:rPr>
          <w:rFonts w:asciiTheme="majorBidi" w:hAnsiTheme="majorBidi" w:cstheme="majorBidi"/>
          <w:color w:val="0F1115"/>
          <w:sz w:val="28"/>
          <w:szCs w:val="28"/>
          <w:rtl/>
        </w:rPr>
        <w:t>، مثل الرضا الوظيفي، ونية البقاء، ومعدلات الدوران، وتحليل البيانات لتحديد المشكلات مبكراً</w:t>
      </w:r>
      <w:r w:rsidRPr="00FC2A69">
        <w:rPr>
          <w:rFonts w:asciiTheme="majorBidi" w:hAnsiTheme="majorBidi" w:cstheme="majorBidi"/>
          <w:color w:val="0F1115"/>
          <w:sz w:val="28"/>
          <w:szCs w:val="28"/>
        </w:rPr>
        <w:t>.</w:t>
      </w:r>
    </w:p>
    <w:p w14:paraId="67B13ED1" w14:textId="77777777"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إجراء دراسات استطلاعية دورية</w:t>
      </w:r>
      <w:r w:rsidRPr="00FC2A69">
        <w:rPr>
          <w:rFonts w:asciiTheme="majorBidi" w:hAnsiTheme="majorBidi" w:cstheme="majorBidi"/>
          <w:color w:val="0F1115"/>
          <w:sz w:val="28"/>
          <w:szCs w:val="28"/>
          <w:rtl/>
        </w:rPr>
        <w:t> للكادر الطبي للتعرف على احتياجاتهم وتوقعاتهم، وإشراكهم في تصميم السياسات</w:t>
      </w:r>
      <w:r w:rsidRPr="00FC2A69">
        <w:rPr>
          <w:rFonts w:asciiTheme="majorBidi" w:hAnsiTheme="majorBidi" w:cstheme="majorBidi"/>
          <w:color w:val="0F1115"/>
          <w:sz w:val="28"/>
          <w:szCs w:val="28"/>
        </w:rPr>
        <w:t>.</w:t>
      </w:r>
    </w:p>
    <w:p w14:paraId="15C3C7F2" w14:textId="77777777"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الاستثمار في الصحة النفسية للعاملين</w:t>
      </w:r>
      <w:r w:rsidRPr="00FC2A69">
        <w:rPr>
          <w:rFonts w:asciiTheme="majorBidi" w:hAnsiTheme="majorBidi" w:cstheme="majorBidi"/>
          <w:color w:val="0F1115"/>
          <w:sz w:val="28"/>
          <w:szCs w:val="28"/>
          <w:rtl/>
        </w:rPr>
        <w:t> من خلال برامج دعم نفسي، واستشارات، وتقليل مصادر الضغط</w:t>
      </w:r>
      <w:r w:rsidRPr="00FC2A69">
        <w:rPr>
          <w:rFonts w:asciiTheme="majorBidi" w:hAnsiTheme="majorBidi" w:cstheme="majorBidi"/>
          <w:color w:val="0F1115"/>
          <w:sz w:val="28"/>
          <w:szCs w:val="28"/>
        </w:rPr>
        <w:t>.</w:t>
      </w:r>
    </w:p>
    <w:p w14:paraId="12DA5799" w14:textId="77777777"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تطوير برامج إرشاد</w:t>
      </w:r>
      <w:r w:rsidRPr="00FC2A69">
        <w:rPr>
          <w:rFonts w:asciiTheme="majorBidi" w:hAnsiTheme="majorBidi" w:cstheme="majorBidi"/>
          <w:color w:val="0F1115"/>
          <w:sz w:val="28"/>
          <w:szCs w:val="28"/>
          <w:rtl/>
        </w:rPr>
        <w:t> تجمع الخبراء بالجدد، مما يعزز نقل الخبرات وولاء الجدد للمؤسسة</w:t>
      </w:r>
      <w:r w:rsidRPr="00FC2A69">
        <w:rPr>
          <w:rFonts w:asciiTheme="majorBidi" w:hAnsiTheme="majorBidi" w:cstheme="majorBidi"/>
          <w:color w:val="0F1115"/>
          <w:sz w:val="28"/>
          <w:szCs w:val="28"/>
        </w:rPr>
        <w:t>.</w:t>
      </w:r>
    </w:p>
    <w:p w14:paraId="5D5F4366" w14:textId="77777777" w:rsidR="006D5121" w:rsidRPr="00FC2A69" w:rsidRDefault="006D5121" w:rsidP="00304D83">
      <w:pPr>
        <w:pStyle w:val="ds-markdown-paragraph"/>
        <w:numPr>
          <w:ilvl w:val="0"/>
          <w:numId w:val="33"/>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تطبيق تكنولوجيا المعلومات</w:t>
      </w:r>
      <w:r w:rsidRPr="00FC2A69">
        <w:rPr>
          <w:rFonts w:asciiTheme="majorBidi" w:hAnsiTheme="majorBidi" w:cstheme="majorBidi"/>
          <w:color w:val="0F1115"/>
          <w:sz w:val="28"/>
          <w:szCs w:val="28"/>
          <w:rtl/>
        </w:rPr>
        <w:t> لتخفيف الأعباء الإدارية عن الكادر الطبي، مما يتيح لهم التركيز على الرعاية السريرية</w:t>
      </w:r>
      <w:r w:rsidRPr="00FC2A69">
        <w:rPr>
          <w:rFonts w:asciiTheme="majorBidi" w:hAnsiTheme="majorBidi" w:cstheme="majorBidi"/>
          <w:color w:val="0F1115"/>
          <w:sz w:val="28"/>
          <w:szCs w:val="28"/>
        </w:rPr>
        <w:t>.</w:t>
      </w:r>
    </w:p>
    <w:p w14:paraId="2AA99073" w14:textId="47810138" w:rsidR="006D5121" w:rsidRPr="00FC2A69" w:rsidRDefault="00FC2A69" w:rsidP="00304D83">
      <w:pPr>
        <w:pStyle w:val="Heading3"/>
        <w:shd w:val="clear" w:color="auto" w:fill="FFFFFF"/>
        <w:bidi/>
        <w:spacing w:before="480" w:after="240" w:line="450" w:lineRule="atLeast"/>
        <w:jc w:val="lowKashida"/>
        <w:rPr>
          <w:rFonts w:asciiTheme="majorBidi" w:hAnsiTheme="majorBidi"/>
          <w:color w:val="0F1115"/>
          <w:sz w:val="28"/>
          <w:szCs w:val="28"/>
        </w:rPr>
      </w:pPr>
      <w:r>
        <w:rPr>
          <w:rFonts w:asciiTheme="majorBidi" w:hAnsiTheme="majorBidi" w:hint="cs"/>
          <w:color w:val="0F1115"/>
          <w:sz w:val="28"/>
          <w:szCs w:val="28"/>
          <w:rtl/>
        </w:rPr>
        <w:t xml:space="preserve">٥.٣. </w:t>
      </w:r>
      <w:r w:rsidR="006D5121" w:rsidRPr="00FC2A69">
        <w:rPr>
          <w:rFonts w:asciiTheme="majorBidi" w:hAnsiTheme="majorBidi"/>
          <w:color w:val="0F1115"/>
          <w:sz w:val="28"/>
          <w:szCs w:val="28"/>
          <w:rtl/>
        </w:rPr>
        <w:t>مقترحات لدراسات مستقبلية</w:t>
      </w:r>
    </w:p>
    <w:p w14:paraId="461750F0" w14:textId="77777777" w:rsidR="006D5121" w:rsidRPr="00FC2A69" w:rsidRDefault="006D5121" w:rsidP="00304D83">
      <w:pPr>
        <w:pStyle w:val="ds-markdown-paragraph"/>
        <w:shd w:val="clear" w:color="auto" w:fill="FFFFFF"/>
        <w:bidi/>
        <w:spacing w:before="240" w:beforeAutospacing="0" w:after="240" w:afterAutospacing="0"/>
        <w:jc w:val="lowKashida"/>
        <w:rPr>
          <w:rFonts w:asciiTheme="majorBidi" w:hAnsiTheme="majorBidi" w:cstheme="majorBidi"/>
          <w:color w:val="0F1115"/>
          <w:sz w:val="28"/>
          <w:szCs w:val="28"/>
        </w:rPr>
      </w:pPr>
      <w:r w:rsidRPr="00FC2A69">
        <w:rPr>
          <w:rFonts w:asciiTheme="majorBidi" w:hAnsiTheme="majorBidi" w:cstheme="majorBidi"/>
          <w:color w:val="0F1115"/>
          <w:sz w:val="28"/>
          <w:szCs w:val="28"/>
          <w:rtl/>
        </w:rPr>
        <w:t>بناءً على الثغرات المعرفية التي كشفتها هذه المراجعة، يقترح الباحث إجراء الدراسات التالية في المستقبل</w:t>
      </w:r>
      <w:r w:rsidRPr="00FC2A69">
        <w:rPr>
          <w:rFonts w:asciiTheme="majorBidi" w:hAnsiTheme="majorBidi" w:cstheme="majorBidi"/>
          <w:color w:val="0F1115"/>
          <w:sz w:val="28"/>
          <w:szCs w:val="28"/>
        </w:rPr>
        <w:t>:</w:t>
      </w:r>
    </w:p>
    <w:p w14:paraId="0788D3C5"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دراسات طولية</w:t>
      </w:r>
      <w:r w:rsidRPr="00FC2A69">
        <w:rPr>
          <w:rStyle w:val="Strong"/>
          <w:rFonts w:asciiTheme="majorBidi" w:eastAsiaTheme="majorEastAsia" w:hAnsiTheme="majorBidi" w:cstheme="majorBidi"/>
          <w:color w:val="0F1115"/>
          <w:sz w:val="28"/>
          <w:szCs w:val="28"/>
        </w:rPr>
        <w:t xml:space="preserve"> (Longitudinal studies)</w:t>
      </w:r>
      <w:r w:rsidRPr="00FC2A69">
        <w:rPr>
          <w:rFonts w:asciiTheme="majorBidi" w:hAnsiTheme="majorBidi" w:cstheme="majorBidi"/>
          <w:color w:val="0F1115"/>
          <w:sz w:val="28"/>
          <w:szCs w:val="28"/>
        </w:rPr>
        <w:t> </w:t>
      </w:r>
      <w:r w:rsidRPr="00FC2A69">
        <w:rPr>
          <w:rFonts w:asciiTheme="majorBidi" w:hAnsiTheme="majorBidi" w:cstheme="majorBidi"/>
          <w:color w:val="0F1115"/>
          <w:sz w:val="28"/>
          <w:szCs w:val="28"/>
          <w:rtl/>
        </w:rPr>
        <w:t>تتابع مجموعات من الكادر الطبي على مدى عدة سنوات، لرصد التغيرات في دوافع البقاء والمغادرة، وتأكيد العلاقات السببية</w:t>
      </w:r>
      <w:r w:rsidRPr="00FC2A69">
        <w:rPr>
          <w:rFonts w:asciiTheme="majorBidi" w:hAnsiTheme="majorBidi" w:cstheme="majorBidi"/>
          <w:color w:val="0F1115"/>
          <w:sz w:val="28"/>
          <w:szCs w:val="28"/>
        </w:rPr>
        <w:t>.</w:t>
      </w:r>
    </w:p>
    <w:p w14:paraId="2730D21B"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دراسات تدخلية</w:t>
      </w:r>
      <w:r w:rsidRPr="00FC2A69">
        <w:rPr>
          <w:rStyle w:val="Strong"/>
          <w:rFonts w:asciiTheme="majorBidi" w:eastAsiaTheme="majorEastAsia" w:hAnsiTheme="majorBidi" w:cstheme="majorBidi"/>
          <w:color w:val="0F1115"/>
          <w:sz w:val="28"/>
          <w:szCs w:val="28"/>
        </w:rPr>
        <w:t xml:space="preserve"> (Interventional studies)</w:t>
      </w:r>
      <w:r w:rsidRPr="00FC2A69">
        <w:rPr>
          <w:rFonts w:asciiTheme="majorBidi" w:hAnsiTheme="majorBidi" w:cstheme="majorBidi"/>
          <w:color w:val="0F1115"/>
          <w:sz w:val="28"/>
          <w:szCs w:val="28"/>
        </w:rPr>
        <w:t> </w:t>
      </w:r>
      <w:r w:rsidRPr="00FC2A69">
        <w:rPr>
          <w:rFonts w:asciiTheme="majorBidi" w:hAnsiTheme="majorBidi" w:cstheme="majorBidi"/>
          <w:color w:val="0F1115"/>
          <w:sz w:val="28"/>
          <w:szCs w:val="28"/>
          <w:rtl/>
        </w:rPr>
        <w:t>تختبر فعالية برامج محددة (مثل برنامج إرشاد، أو نظام حوافز جديد) في تحسين الاحتفاظ</w:t>
      </w:r>
      <w:r w:rsidRPr="00FC2A69">
        <w:rPr>
          <w:rFonts w:asciiTheme="majorBidi" w:hAnsiTheme="majorBidi" w:cstheme="majorBidi"/>
          <w:color w:val="0F1115"/>
          <w:sz w:val="28"/>
          <w:szCs w:val="28"/>
        </w:rPr>
        <w:t>.</w:t>
      </w:r>
    </w:p>
    <w:p w14:paraId="16F92FBA"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lastRenderedPageBreak/>
        <w:t>دراسات مقارنة بين القطاعين الحكومي والخاص</w:t>
      </w:r>
      <w:r w:rsidRPr="00FC2A69">
        <w:rPr>
          <w:rFonts w:asciiTheme="majorBidi" w:hAnsiTheme="majorBidi" w:cstheme="majorBidi"/>
          <w:color w:val="0F1115"/>
          <w:sz w:val="28"/>
          <w:szCs w:val="28"/>
          <w:rtl/>
        </w:rPr>
        <w:t> في نفس البلد، للكشف عن أفضل الممارسات في كل قطاع</w:t>
      </w:r>
      <w:r w:rsidRPr="00FC2A69">
        <w:rPr>
          <w:rFonts w:asciiTheme="majorBidi" w:hAnsiTheme="majorBidi" w:cstheme="majorBidi"/>
          <w:color w:val="0F1115"/>
          <w:sz w:val="28"/>
          <w:szCs w:val="28"/>
        </w:rPr>
        <w:t>.</w:t>
      </w:r>
    </w:p>
    <w:p w14:paraId="70A8A4D8"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دراسة تأثير التحول الرقمي والذكاء الاصطناعي</w:t>
      </w:r>
      <w:r w:rsidRPr="00FC2A69">
        <w:rPr>
          <w:rFonts w:asciiTheme="majorBidi" w:hAnsiTheme="majorBidi" w:cstheme="majorBidi"/>
          <w:color w:val="0F1115"/>
          <w:sz w:val="28"/>
          <w:szCs w:val="28"/>
          <w:rtl/>
        </w:rPr>
        <w:t> على عبء العمل والرضا الوظيفي للكادر الطبي، وبالتالي على الاحتفاظ بهم</w:t>
      </w:r>
      <w:r w:rsidRPr="00FC2A69">
        <w:rPr>
          <w:rFonts w:asciiTheme="majorBidi" w:hAnsiTheme="majorBidi" w:cstheme="majorBidi"/>
          <w:color w:val="0F1115"/>
          <w:sz w:val="28"/>
          <w:szCs w:val="28"/>
        </w:rPr>
        <w:t>.</w:t>
      </w:r>
    </w:p>
    <w:p w14:paraId="10C8EE1B"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دراسة دوافع احتفاظ الأطباء تحديداً</w:t>
      </w:r>
      <w:r w:rsidRPr="00FC2A69">
        <w:rPr>
          <w:rFonts w:asciiTheme="majorBidi" w:hAnsiTheme="majorBidi" w:cstheme="majorBidi"/>
          <w:color w:val="0F1115"/>
          <w:sz w:val="28"/>
          <w:szCs w:val="28"/>
          <w:rtl/>
        </w:rPr>
        <w:t>، حيث أن معظم الدراسات ركزت على التمريض، وقد تختلف دوافع الأطباء</w:t>
      </w:r>
      <w:r w:rsidRPr="00FC2A69">
        <w:rPr>
          <w:rFonts w:asciiTheme="majorBidi" w:hAnsiTheme="majorBidi" w:cstheme="majorBidi"/>
          <w:color w:val="0F1115"/>
          <w:sz w:val="28"/>
          <w:szCs w:val="28"/>
        </w:rPr>
        <w:t>.</w:t>
      </w:r>
    </w:p>
    <w:p w14:paraId="07632A33"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إجراء دراسات في السياقات العربية</w:t>
      </w:r>
      <w:r w:rsidRPr="00FC2A69">
        <w:rPr>
          <w:rFonts w:asciiTheme="majorBidi" w:hAnsiTheme="majorBidi" w:cstheme="majorBidi"/>
          <w:color w:val="0F1115"/>
          <w:sz w:val="28"/>
          <w:szCs w:val="28"/>
          <w:rtl/>
        </w:rPr>
        <w:t> لاختبار مدى</w:t>
      </w:r>
      <w:r w:rsidRPr="00FC2A69">
        <w:rPr>
          <w:rFonts w:asciiTheme="majorBidi" w:hAnsiTheme="majorBidi" w:cstheme="majorBidi"/>
          <w:color w:val="0F1115"/>
          <w:sz w:val="28"/>
          <w:szCs w:val="28"/>
        </w:rPr>
        <w:t xml:space="preserve"> applicability </w:t>
      </w:r>
      <w:r w:rsidRPr="00FC2A69">
        <w:rPr>
          <w:rFonts w:asciiTheme="majorBidi" w:hAnsiTheme="majorBidi" w:cstheme="majorBidi"/>
          <w:color w:val="0F1115"/>
          <w:sz w:val="28"/>
          <w:szCs w:val="28"/>
          <w:rtl/>
        </w:rPr>
        <w:t>النتائج العالمية في هذه السياقات الثقافية المتميزة</w:t>
      </w:r>
      <w:r w:rsidRPr="00FC2A69">
        <w:rPr>
          <w:rFonts w:asciiTheme="majorBidi" w:hAnsiTheme="majorBidi" w:cstheme="majorBidi"/>
          <w:color w:val="0F1115"/>
          <w:sz w:val="28"/>
          <w:szCs w:val="28"/>
        </w:rPr>
        <w:t>.</w:t>
      </w:r>
    </w:p>
    <w:p w14:paraId="02569656"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دراسة العلاقة بين الاحتفاظ بالكادر وتجربة المريض</w:t>
      </w:r>
      <w:r w:rsidRPr="00FC2A69">
        <w:rPr>
          <w:rFonts w:asciiTheme="majorBidi" w:hAnsiTheme="majorBidi" w:cstheme="majorBidi"/>
          <w:color w:val="0F1115"/>
          <w:sz w:val="28"/>
          <w:szCs w:val="28"/>
          <w:rtl/>
        </w:rPr>
        <w:t> من منظور المرضى أنفسهم، وليس فقط من منظور الكادر</w:t>
      </w:r>
      <w:r w:rsidRPr="00FC2A69">
        <w:rPr>
          <w:rFonts w:asciiTheme="majorBidi" w:hAnsiTheme="majorBidi" w:cstheme="majorBidi"/>
          <w:color w:val="0F1115"/>
          <w:sz w:val="28"/>
          <w:szCs w:val="28"/>
        </w:rPr>
        <w:t>.</w:t>
      </w:r>
    </w:p>
    <w:p w14:paraId="4ED2105F" w14:textId="77777777" w:rsidR="006D5121" w:rsidRPr="00FC2A69" w:rsidRDefault="006D5121" w:rsidP="00304D83">
      <w:pPr>
        <w:pStyle w:val="ds-markdown-paragraph"/>
        <w:numPr>
          <w:ilvl w:val="0"/>
          <w:numId w:val="34"/>
        </w:numPr>
        <w:shd w:val="clear" w:color="auto" w:fill="FFFFFF"/>
        <w:bidi/>
        <w:spacing w:before="0" w:beforeAutospacing="0" w:after="0" w:afterAutospacing="0"/>
        <w:jc w:val="lowKashida"/>
        <w:rPr>
          <w:rFonts w:asciiTheme="majorBidi" w:hAnsiTheme="majorBidi" w:cstheme="majorBidi"/>
          <w:color w:val="0F1115"/>
          <w:sz w:val="28"/>
          <w:szCs w:val="28"/>
        </w:rPr>
      </w:pPr>
      <w:r w:rsidRPr="00FC2A69">
        <w:rPr>
          <w:rStyle w:val="Strong"/>
          <w:rFonts w:asciiTheme="majorBidi" w:eastAsiaTheme="majorEastAsia" w:hAnsiTheme="majorBidi" w:cstheme="majorBidi"/>
          <w:color w:val="0F1115"/>
          <w:sz w:val="28"/>
          <w:szCs w:val="28"/>
          <w:rtl/>
        </w:rPr>
        <w:t>إجراء تحليل بعدي كمي</w:t>
      </w:r>
      <w:r w:rsidRPr="00FC2A69">
        <w:rPr>
          <w:rStyle w:val="Strong"/>
          <w:rFonts w:asciiTheme="majorBidi" w:eastAsiaTheme="majorEastAsia" w:hAnsiTheme="majorBidi" w:cstheme="majorBidi"/>
          <w:color w:val="0F1115"/>
          <w:sz w:val="28"/>
          <w:szCs w:val="28"/>
        </w:rPr>
        <w:t xml:space="preserve"> (Meta-analysis)</w:t>
      </w:r>
      <w:r w:rsidRPr="00FC2A69">
        <w:rPr>
          <w:rFonts w:asciiTheme="majorBidi" w:hAnsiTheme="majorBidi" w:cstheme="majorBidi"/>
          <w:color w:val="0F1115"/>
          <w:sz w:val="28"/>
          <w:szCs w:val="28"/>
        </w:rPr>
        <w:t> </w:t>
      </w:r>
      <w:r w:rsidRPr="00FC2A69">
        <w:rPr>
          <w:rFonts w:asciiTheme="majorBidi" w:hAnsiTheme="majorBidi" w:cstheme="majorBidi"/>
          <w:color w:val="0F1115"/>
          <w:sz w:val="28"/>
          <w:szCs w:val="28"/>
          <w:rtl/>
        </w:rPr>
        <w:t>عندما يتوفر عدد كافٍ من الدراسات المتجانسة منهجياً</w:t>
      </w:r>
      <w:r w:rsidRPr="00FC2A69">
        <w:rPr>
          <w:rFonts w:asciiTheme="majorBidi" w:hAnsiTheme="majorBidi" w:cstheme="majorBidi"/>
          <w:color w:val="0F1115"/>
          <w:sz w:val="28"/>
          <w:szCs w:val="28"/>
        </w:rPr>
        <w:t>.</w:t>
      </w:r>
    </w:p>
    <w:p w14:paraId="2C33095D" w14:textId="0F68EBC7" w:rsidR="00BC094B" w:rsidRPr="006D5121" w:rsidRDefault="00BC094B" w:rsidP="006D5121">
      <w:pPr>
        <w:spacing w:before="480" w:after="480"/>
        <w:rPr>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FC2A69">
      <w:pPr>
        <w:rPr>
          <w:rFonts w:ascii="Sakkal Majalla" w:hAnsi="Sakkal Majalla" w:cs="Sakkal Majalla"/>
          <w:b/>
          <w:bCs/>
          <w:sz w:val="52"/>
          <w:szCs w:val="52"/>
          <w:u w:val="single"/>
          <w:rtl/>
        </w:rPr>
      </w:pPr>
    </w:p>
    <w:p w14:paraId="4D9EB8CD" w14:textId="2C94733F" w:rsidR="004163C7" w:rsidRDefault="004163C7" w:rsidP="006D5121">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0B2BE48F" w14:textId="77777777" w:rsidR="00304D83" w:rsidRDefault="00304D83" w:rsidP="006D5121">
      <w:pPr>
        <w:pStyle w:val="Heading3"/>
        <w:shd w:val="clear" w:color="auto" w:fill="FFFFFF"/>
        <w:spacing w:before="480" w:after="240" w:line="450" w:lineRule="atLeast"/>
        <w:rPr>
          <w:rFonts w:ascii="Segoe UI" w:hAnsi="Segoe UI" w:cs="Times New Roman"/>
          <w:color w:val="0F1115"/>
          <w:sz w:val="30"/>
          <w:szCs w:val="30"/>
          <w:rtl/>
        </w:rPr>
      </w:pPr>
    </w:p>
    <w:p w14:paraId="0C491774" w14:textId="138FB553" w:rsidR="006D5121" w:rsidRDefault="006D5121" w:rsidP="00304D83">
      <w:pPr>
        <w:pStyle w:val="Heading3"/>
        <w:shd w:val="clear" w:color="auto" w:fill="FFFFFF"/>
        <w:bidi/>
        <w:spacing w:before="480" w:after="240" w:line="450" w:lineRule="atLeast"/>
        <w:jc w:val="lowKashida"/>
        <w:rPr>
          <w:rFonts w:ascii="Segoe UI" w:hAnsi="Segoe UI" w:cs="Segoe UI"/>
          <w:color w:val="0F1115"/>
          <w:sz w:val="30"/>
          <w:szCs w:val="30"/>
        </w:rPr>
      </w:pPr>
      <w:r>
        <w:rPr>
          <w:rFonts w:ascii="Segoe UI" w:hAnsi="Segoe UI" w:cs="Times New Roman"/>
          <w:color w:val="0F1115"/>
          <w:sz w:val="30"/>
          <w:szCs w:val="30"/>
          <w:rtl/>
        </w:rPr>
        <w:t>أولاً: المراجع العربية</w:t>
      </w:r>
    </w:p>
    <w:p w14:paraId="6B157662" w14:textId="77777777" w:rsidR="006D5121" w:rsidRDefault="006D5121" w:rsidP="00304D83">
      <w:pPr>
        <w:pStyle w:val="ds-markdown-paragraph"/>
        <w:numPr>
          <w:ilvl w:val="0"/>
          <w:numId w:val="35"/>
        </w:numPr>
        <w:shd w:val="clear" w:color="auto" w:fill="FFFFFF"/>
        <w:bidi/>
        <w:spacing w:before="0" w:beforeAutospacing="0" w:after="0" w:afterAutospacing="0"/>
        <w:jc w:val="lowKashida"/>
        <w:rPr>
          <w:rFonts w:ascii="Segoe UI" w:hAnsi="Segoe UI" w:cs="Segoe UI"/>
          <w:color w:val="0F1115"/>
        </w:rPr>
      </w:pPr>
      <w:r>
        <w:rPr>
          <w:rFonts w:ascii="Segoe UI" w:hAnsi="Segoe UI"/>
          <w:color w:val="0F1115"/>
          <w:rtl/>
        </w:rPr>
        <w:t>العتيبي، سعد. (2021). أثر ممارسات إدارة الموارد البشرية على الاحتفاظ بالكوادر التمريضية في المستشفيات الحكومية السعودية</w:t>
      </w:r>
      <w:r>
        <w:rPr>
          <w:rFonts w:ascii="Segoe UI" w:hAnsi="Segoe UI" w:cs="Segoe UI"/>
          <w:color w:val="0F1115"/>
        </w:rPr>
        <w:t>. </w:t>
      </w:r>
      <w:r>
        <w:rPr>
          <w:rStyle w:val="Emphasis"/>
          <w:rFonts w:ascii="Segoe UI" w:hAnsi="Segoe UI"/>
          <w:color w:val="0F1115"/>
          <w:rtl/>
        </w:rPr>
        <w:t>مجلة الإدارة العامة،</w:t>
      </w:r>
      <w:r>
        <w:rPr>
          <w:rFonts w:ascii="Segoe UI" w:hAnsi="Segoe UI"/>
          <w:color w:val="0F1115"/>
          <w:rtl/>
        </w:rPr>
        <w:t> </w:t>
      </w:r>
      <w:r>
        <w:rPr>
          <w:rFonts w:ascii="Segoe UI" w:hAnsi="Segoe UI" w:cs="Segoe UI"/>
          <w:color w:val="0F1115"/>
        </w:rPr>
        <w:t>61(2)</w:t>
      </w:r>
      <w:r>
        <w:rPr>
          <w:rFonts w:ascii="Segoe UI" w:hAnsi="Segoe UI"/>
          <w:color w:val="0F1115"/>
          <w:rtl/>
        </w:rPr>
        <w:t>، 345-378</w:t>
      </w:r>
      <w:r>
        <w:rPr>
          <w:rFonts w:ascii="Segoe UI" w:hAnsi="Segoe UI" w:cs="Segoe UI"/>
          <w:color w:val="0F1115"/>
        </w:rPr>
        <w:t>.</w:t>
      </w:r>
    </w:p>
    <w:p w14:paraId="316B851D" w14:textId="77777777" w:rsidR="006D5121" w:rsidRDefault="006D5121" w:rsidP="00304D83">
      <w:pPr>
        <w:pStyle w:val="ds-markdown-paragraph"/>
        <w:numPr>
          <w:ilvl w:val="0"/>
          <w:numId w:val="35"/>
        </w:numPr>
        <w:shd w:val="clear" w:color="auto" w:fill="FFFFFF"/>
        <w:bidi/>
        <w:spacing w:before="0" w:beforeAutospacing="0" w:after="0" w:afterAutospacing="0"/>
        <w:jc w:val="lowKashida"/>
        <w:rPr>
          <w:rFonts w:ascii="Segoe UI" w:hAnsi="Segoe UI" w:cs="Segoe UI"/>
          <w:color w:val="0F1115"/>
        </w:rPr>
      </w:pPr>
      <w:r>
        <w:rPr>
          <w:rFonts w:ascii="Segoe UI" w:hAnsi="Segoe UI"/>
          <w:color w:val="0F1115"/>
          <w:rtl/>
        </w:rPr>
        <w:t>الزهراني، محمد. (2022). العلاقة بين العدالة التنظيمية والاحتفاظ بالأطباء في مستشفيات القطاع الخاص بجدة</w:t>
      </w:r>
      <w:r>
        <w:rPr>
          <w:rFonts w:ascii="Segoe UI" w:hAnsi="Segoe UI" w:cs="Segoe UI"/>
          <w:color w:val="0F1115"/>
        </w:rPr>
        <w:t>. </w:t>
      </w:r>
      <w:r>
        <w:rPr>
          <w:rStyle w:val="Emphasis"/>
          <w:rFonts w:ascii="Segoe UI" w:hAnsi="Segoe UI"/>
          <w:color w:val="0F1115"/>
          <w:rtl/>
        </w:rPr>
        <w:t>المجلة العربية للإدارة،</w:t>
      </w:r>
      <w:r>
        <w:rPr>
          <w:rFonts w:ascii="Segoe UI" w:hAnsi="Segoe UI"/>
          <w:color w:val="0F1115"/>
          <w:rtl/>
        </w:rPr>
        <w:t> </w:t>
      </w:r>
      <w:r>
        <w:rPr>
          <w:rFonts w:ascii="Segoe UI" w:hAnsi="Segoe UI" w:cs="Segoe UI"/>
          <w:color w:val="0F1115"/>
        </w:rPr>
        <w:t>42(3)</w:t>
      </w:r>
      <w:r>
        <w:rPr>
          <w:rFonts w:ascii="Segoe UI" w:hAnsi="Segoe UI"/>
          <w:color w:val="0F1115"/>
          <w:rtl/>
        </w:rPr>
        <w:t>، 211-234</w:t>
      </w:r>
      <w:r>
        <w:rPr>
          <w:rFonts w:ascii="Segoe UI" w:hAnsi="Segoe UI" w:cs="Segoe UI"/>
          <w:color w:val="0F1115"/>
        </w:rPr>
        <w:t>.</w:t>
      </w:r>
    </w:p>
    <w:p w14:paraId="04DE7897" w14:textId="77777777" w:rsidR="006D5121" w:rsidRDefault="006D5121" w:rsidP="00304D83">
      <w:pPr>
        <w:pStyle w:val="ds-markdown-paragraph"/>
        <w:numPr>
          <w:ilvl w:val="0"/>
          <w:numId w:val="35"/>
        </w:numPr>
        <w:shd w:val="clear" w:color="auto" w:fill="FFFFFF"/>
        <w:bidi/>
        <w:spacing w:before="0" w:beforeAutospacing="0" w:after="0" w:afterAutospacing="0"/>
        <w:jc w:val="lowKashida"/>
        <w:rPr>
          <w:rFonts w:ascii="Segoe UI" w:hAnsi="Segoe UI" w:cs="Segoe UI"/>
          <w:color w:val="0F1115"/>
        </w:rPr>
      </w:pPr>
      <w:r>
        <w:rPr>
          <w:rFonts w:ascii="Segoe UI" w:hAnsi="Segoe UI"/>
          <w:color w:val="0F1115"/>
          <w:rtl/>
        </w:rPr>
        <w:t xml:space="preserve">الشمري، </w:t>
      </w:r>
      <w:proofErr w:type="gramStart"/>
      <w:r>
        <w:rPr>
          <w:rFonts w:ascii="Segoe UI" w:hAnsi="Segoe UI"/>
          <w:color w:val="0F1115"/>
          <w:rtl/>
        </w:rPr>
        <w:t>عبدالله</w:t>
      </w:r>
      <w:proofErr w:type="gramEnd"/>
      <w:r>
        <w:rPr>
          <w:rFonts w:ascii="Segoe UI" w:hAnsi="Segoe UI"/>
          <w:color w:val="0F1115"/>
          <w:rtl/>
        </w:rPr>
        <w:t>. (2020). جودة الرعاية الصحية في المستشفيات الحكومية: دراسة تطبيقية</w:t>
      </w:r>
      <w:r>
        <w:rPr>
          <w:rFonts w:ascii="Segoe UI" w:hAnsi="Segoe UI" w:cs="Segoe UI"/>
          <w:color w:val="0F1115"/>
        </w:rPr>
        <w:t>. </w:t>
      </w:r>
      <w:r>
        <w:rPr>
          <w:rStyle w:val="Emphasis"/>
          <w:rFonts w:ascii="Segoe UI" w:hAnsi="Segoe UI"/>
          <w:color w:val="0F1115"/>
          <w:rtl/>
        </w:rPr>
        <w:t>مجلة العلوم الصحية،</w:t>
      </w:r>
      <w:r>
        <w:rPr>
          <w:rFonts w:ascii="Segoe UI" w:hAnsi="Segoe UI"/>
          <w:color w:val="0F1115"/>
          <w:rtl/>
        </w:rPr>
        <w:t> </w:t>
      </w:r>
      <w:r>
        <w:rPr>
          <w:rFonts w:ascii="Segoe UI" w:hAnsi="Segoe UI" w:cs="Segoe UI"/>
          <w:color w:val="0F1115"/>
        </w:rPr>
        <w:t>15(2)</w:t>
      </w:r>
      <w:r>
        <w:rPr>
          <w:rFonts w:ascii="Segoe UI" w:hAnsi="Segoe UI"/>
          <w:color w:val="0F1115"/>
          <w:rtl/>
        </w:rPr>
        <w:t>، 88-112</w:t>
      </w:r>
      <w:r>
        <w:rPr>
          <w:rFonts w:ascii="Segoe UI" w:hAnsi="Segoe UI" w:cs="Segoe UI"/>
          <w:color w:val="0F1115"/>
        </w:rPr>
        <w:t>.</w:t>
      </w:r>
    </w:p>
    <w:p w14:paraId="65C4DE2B" w14:textId="77777777" w:rsidR="006D5121" w:rsidRDefault="006D5121" w:rsidP="00304D83">
      <w:pPr>
        <w:pStyle w:val="Heading3"/>
        <w:shd w:val="clear" w:color="auto" w:fill="FFFFFF"/>
        <w:bidi/>
        <w:spacing w:before="480" w:after="240" w:line="450" w:lineRule="atLeast"/>
        <w:rPr>
          <w:rFonts w:ascii="Segoe UI" w:hAnsi="Segoe UI" w:cs="Segoe UI"/>
          <w:color w:val="0F1115"/>
          <w:sz w:val="30"/>
          <w:szCs w:val="30"/>
        </w:rPr>
      </w:pPr>
      <w:r>
        <w:rPr>
          <w:rFonts w:ascii="Segoe UI" w:hAnsi="Segoe UI" w:cs="Times New Roman"/>
          <w:color w:val="0F1115"/>
          <w:sz w:val="30"/>
          <w:szCs w:val="30"/>
          <w:rtl/>
        </w:rPr>
        <w:t>ثانياً: المراجع الأجنبية</w:t>
      </w:r>
    </w:p>
    <w:p w14:paraId="4C8C02FE"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Aiken, L. H., Clarke, S. P., Sloane, D. M., Sochalski, J., &amp; Silber, J. H. (2002). Hospital nurse staffing and patient mortality, nurse burnout, and job dissatisfaction. </w:t>
      </w:r>
      <w:r>
        <w:rPr>
          <w:rStyle w:val="Emphasis"/>
          <w:rFonts w:ascii="Segoe UI" w:hAnsi="Segoe UI" w:cs="Segoe UI"/>
          <w:color w:val="0F1115"/>
        </w:rPr>
        <w:t>JAMA, 288</w:t>
      </w:r>
      <w:r>
        <w:rPr>
          <w:rFonts w:ascii="Segoe UI" w:hAnsi="Segoe UI" w:cs="Segoe UI"/>
          <w:color w:val="0F1115"/>
        </w:rPr>
        <w:t>(16), 1987-1993.</w:t>
      </w:r>
    </w:p>
    <w:p w14:paraId="325BAF47"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American Hospital Association (AHA). (2025). </w:t>
      </w:r>
      <w:r>
        <w:rPr>
          <w:rStyle w:val="Emphasis"/>
          <w:rFonts w:ascii="Segoe UI" w:hAnsi="Segoe UI" w:cs="Segoe UI"/>
          <w:color w:val="0F1115"/>
        </w:rPr>
        <w:t>Building a sustainable future health care workforce: AHA knowledge exchange</w:t>
      </w:r>
      <w:r>
        <w:rPr>
          <w:rFonts w:ascii="Segoe UI" w:hAnsi="Segoe UI" w:cs="Segoe UI"/>
          <w:color w:val="0F1115"/>
        </w:rPr>
        <w:t>. Chicago, IL: AHA.</w:t>
      </w:r>
    </w:p>
    <w:p w14:paraId="02600AF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Armstrong, M. (2020). </w:t>
      </w:r>
      <w:r>
        <w:rPr>
          <w:rStyle w:val="Emphasis"/>
          <w:rFonts w:ascii="Segoe UI" w:hAnsi="Segoe UI" w:cs="Segoe UI"/>
          <w:color w:val="0F1115"/>
        </w:rPr>
        <w:t>Armstrong's handbook of human resource management practice</w:t>
      </w:r>
      <w:r>
        <w:rPr>
          <w:rFonts w:ascii="Segoe UI" w:hAnsi="Segoe UI" w:cs="Segoe UI"/>
          <w:color w:val="0F1115"/>
        </w:rPr>
        <w:t> (15th ed.). London: Kogan Page.</w:t>
      </w:r>
    </w:p>
    <w:p w14:paraId="3990725A"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Bartram, T., Stanton, P., &amp; Leggat, S. G. (2021). High-performance human resource management in healthcare: A systematic review. </w:t>
      </w:r>
      <w:r>
        <w:rPr>
          <w:rStyle w:val="Emphasis"/>
          <w:rFonts w:ascii="Segoe UI" w:hAnsi="Segoe UI" w:cs="Segoe UI"/>
          <w:color w:val="0F1115"/>
        </w:rPr>
        <w:t>International Journal of Human Resource Management, 32</w:t>
      </w:r>
      <w:r>
        <w:rPr>
          <w:rFonts w:ascii="Segoe UI" w:hAnsi="Segoe UI" w:cs="Segoe UI"/>
          <w:color w:val="0F1115"/>
        </w:rPr>
        <w:t>(5), 987-1015.</w:t>
      </w:r>
    </w:p>
    <w:p w14:paraId="757FC66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Blau, P. M. (1964). </w:t>
      </w:r>
      <w:r>
        <w:rPr>
          <w:rStyle w:val="Emphasis"/>
          <w:rFonts w:ascii="Segoe UI" w:hAnsi="Segoe UI" w:cs="Segoe UI"/>
          <w:color w:val="0F1115"/>
        </w:rPr>
        <w:t>Exchange and power in social life</w:t>
      </w:r>
      <w:r>
        <w:rPr>
          <w:rFonts w:ascii="Segoe UI" w:hAnsi="Segoe UI" w:cs="Segoe UI"/>
          <w:color w:val="0F1115"/>
        </w:rPr>
        <w:t>. New York: John Wiley &amp; Sons.</w:t>
      </w:r>
    </w:p>
    <w:p w14:paraId="41EA665B"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Dessler, G. (2023). </w:t>
      </w:r>
      <w:r>
        <w:rPr>
          <w:rStyle w:val="Emphasis"/>
          <w:rFonts w:ascii="Segoe UI" w:hAnsi="Segoe UI" w:cs="Segoe UI"/>
          <w:color w:val="0F1115"/>
        </w:rPr>
        <w:t>Human resource management</w:t>
      </w:r>
      <w:r>
        <w:rPr>
          <w:rFonts w:ascii="Segoe UI" w:hAnsi="Segoe UI" w:cs="Segoe UI"/>
          <w:color w:val="0F1115"/>
        </w:rPr>
        <w:t> (17th ed.). Harlow: Pearson.</w:t>
      </w:r>
    </w:p>
    <w:p w14:paraId="58659948"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Donabedian, A. (1988). The quality of care: How can it be assessed? </w:t>
      </w:r>
      <w:r>
        <w:rPr>
          <w:rStyle w:val="Emphasis"/>
          <w:rFonts w:ascii="Segoe UI" w:hAnsi="Segoe UI" w:cs="Segoe UI"/>
          <w:color w:val="0F1115"/>
        </w:rPr>
        <w:t>JAMA, 260</w:t>
      </w:r>
      <w:r>
        <w:rPr>
          <w:rFonts w:ascii="Segoe UI" w:hAnsi="Segoe UI" w:cs="Segoe UI"/>
          <w:color w:val="0F1115"/>
        </w:rPr>
        <w:t>(12), 1743-1748.</w:t>
      </w:r>
    </w:p>
    <w:p w14:paraId="4CB65265"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Greenberg, J. (1990). Organizational justice: Yesterday, today, and tomorrow. </w:t>
      </w:r>
      <w:r>
        <w:rPr>
          <w:rStyle w:val="Emphasis"/>
          <w:rFonts w:ascii="Segoe UI" w:hAnsi="Segoe UI" w:cs="Segoe UI"/>
          <w:color w:val="0F1115"/>
        </w:rPr>
        <w:t>Journal of Management, 16</w:t>
      </w:r>
      <w:r>
        <w:rPr>
          <w:rFonts w:ascii="Segoe UI" w:hAnsi="Segoe UI" w:cs="Segoe UI"/>
          <w:color w:val="0F1115"/>
        </w:rPr>
        <w:t>(2), 399-432.</w:t>
      </w:r>
    </w:p>
    <w:p w14:paraId="0983D479"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Gusoff, G., et al. (2025). Perceived contributors to job quality and retention at home care cooperatives. </w:t>
      </w:r>
      <w:r>
        <w:rPr>
          <w:rStyle w:val="Emphasis"/>
          <w:rFonts w:ascii="Segoe UI" w:hAnsi="Segoe UI" w:cs="Segoe UI"/>
          <w:color w:val="0F1115"/>
        </w:rPr>
        <w:t>JAMA Network Open, 8</w:t>
      </w:r>
      <w:r>
        <w:rPr>
          <w:rFonts w:ascii="Segoe UI" w:hAnsi="Segoe UI" w:cs="Segoe UI"/>
          <w:color w:val="0F1115"/>
        </w:rPr>
        <w:t>(4), e254457.</w:t>
      </w:r>
    </w:p>
    <w:p w14:paraId="217AC907"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Hayes, L. J., O'Brien-Pallas, L., Duffield, C., Shamian, J., Buchan, J., Hughes, F., ... &amp; North, N. (2012). Nurse turnover: A literature review–an update. </w:t>
      </w:r>
      <w:r>
        <w:rPr>
          <w:rStyle w:val="Emphasis"/>
          <w:rFonts w:ascii="Segoe UI" w:hAnsi="Segoe UI" w:cs="Segoe UI"/>
          <w:color w:val="0F1115"/>
        </w:rPr>
        <w:t>International Journal of Nursing Studies, 49</w:t>
      </w:r>
      <w:r>
        <w:rPr>
          <w:rFonts w:ascii="Segoe UI" w:hAnsi="Segoe UI" w:cs="Segoe UI"/>
          <w:color w:val="0F1115"/>
        </w:rPr>
        <w:t>(7), 887-905.</w:t>
      </w:r>
    </w:p>
    <w:p w14:paraId="7E7EC55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Herzberg, F. (1959). </w:t>
      </w:r>
      <w:r>
        <w:rPr>
          <w:rStyle w:val="Emphasis"/>
          <w:rFonts w:ascii="Segoe UI" w:hAnsi="Segoe UI" w:cs="Segoe UI"/>
          <w:color w:val="0F1115"/>
        </w:rPr>
        <w:t>The motivation to work</w:t>
      </w:r>
      <w:r>
        <w:rPr>
          <w:rFonts w:ascii="Segoe UI" w:hAnsi="Segoe UI" w:cs="Segoe UI"/>
          <w:color w:val="0F1115"/>
        </w:rPr>
        <w:t>. New York: John Wiley &amp; Sons.</w:t>
      </w:r>
    </w:p>
    <w:p w14:paraId="6064A1F8"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lastRenderedPageBreak/>
        <w:t>Higgins, J. P. T., Thomas, J., Chandler, J., Cumpston, M., Li, T., Page, M. J., &amp; Welch, V. A. (Eds.). (2019). </w:t>
      </w:r>
      <w:r>
        <w:rPr>
          <w:rStyle w:val="Emphasis"/>
          <w:rFonts w:ascii="Segoe UI" w:hAnsi="Segoe UI" w:cs="Segoe UI"/>
          <w:color w:val="0F1115"/>
        </w:rPr>
        <w:t>Cochrane handbook for systematic reviews of interventions</w:t>
      </w:r>
      <w:r>
        <w:rPr>
          <w:rFonts w:ascii="Segoe UI" w:hAnsi="Segoe UI" w:cs="Segoe UI"/>
          <w:color w:val="0F1115"/>
        </w:rPr>
        <w:t> (2nd ed.). John Wiley &amp; Sons. </w:t>
      </w:r>
    </w:p>
    <w:p w14:paraId="0FA69684"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Institute of Medicine (IOM). (2001). </w:t>
      </w:r>
      <w:r>
        <w:rPr>
          <w:rStyle w:val="Emphasis"/>
          <w:rFonts w:ascii="Segoe UI" w:hAnsi="Segoe UI" w:cs="Segoe UI"/>
          <w:color w:val="0F1115"/>
        </w:rPr>
        <w:t>Crossing the quality chasm: A new health system for the 21st century</w:t>
      </w:r>
      <w:r>
        <w:rPr>
          <w:rFonts w:ascii="Segoe UI" w:hAnsi="Segoe UI" w:cs="Segoe UI"/>
          <w:color w:val="0F1115"/>
        </w:rPr>
        <w:t>. Washington, DC: National Academy Press.</w:t>
      </w:r>
    </w:p>
    <w:p w14:paraId="04E8FD4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Karimi, L., Leggat, S. G., Bartram, T., &amp; Rada, J. (2021). The effects of performance appraisal on nurses' job satisfaction and turnover intention. </w:t>
      </w:r>
      <w:r>
        <w:rPr>
          <w:rStyle w:val="Emphasis"/>
          <w:rFonts w:ascii="Segoe UI" w:hAnsi="Segoe UI" w:cs="Segoe UI"/>
          <w:color w:val="0F1115"/>
        </w:rPr>
        <w:t>Journal of Nursing Management, 29</w:t>
      </w:r>
      <w:r>
        <w:rPr>
          <w:rFonts w:ascii="Segoe UI" w:hAnsi="Segoe UI" w:cs="Segoe UI"/>
          <w:color w:val="0F1115"/>
        </w:rPr>
        <w:t>(5), 1112-1121.</w:t>
      </w:r>
    </w:p>
    <w:p w14:paraId="79485C09"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Lasater, K. B., Aiken, L. H., Sloane, D. M., French, R., Martin, B., Reneau, K., ... &amp; McHugh, M. D. (2021). Patient outcomes and cost savings associated with hospital safe nurse staffing standards. </w:t>
      </w:r>
      <w:r>
        <w:rPr>
          <w:rStyle w:val="Emphasis"/>
          <w:rFonts w:ascii="Segoe UI" w:hAnsi="Segoe UI" w:cs="Segoe UI"/>
          <w:color w:val="0F1115"/>
        </w:rPr>
        <w:t>Medical Care, 59</w:t>
      </w:r>
      <w:r>
        <w:rPr>
          <w:rFonts w:ascii="Segoe UI" w:hAnsi="Segoe UI" w:cs="Segoe UI"/>
          <w:color w:val="0F1115"/>
        </w:rPr>
        <w:t>(7), 612-618.</w:t>
      </w:r>
    </w:p>
    <w:p w14:paraId="67FFB2AA"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Moher, D., Liberati, A., Tetzlaff, J., &amp; Altman, D. G. (2009). Preferred reporting items for systematic reviews and meta-analyses: The PRISMA statement. </w:t>
      </w:r>
      <w:r>
        <w:rPr>
          <w:rStyle w:val="Emphasis"/>
          <w:rFonts w:ascii="Segoe UI" w:hAnsi="Segoe UI" w:cs="Segoe UI"/>
          <w:color w:val="0F1115"/>
        </w:rPr>
        <w:t>PLoS Medicine, 6</w:t>
      </w:r>
      <w:r>
        <w:rPr>
          <w:rFonts w:ascii="Segoe UI" w:hAnsi="Segoe UI" w:cs="Segoe UI"/>
          <w:color w:val="0F1115"/>
        </w:rPr>
        <w:t>(7), e1000097. </w:t>
      </w:r>
    </w:p>
    <w:p w14:paraId="57760517"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Mujic, E., et al. (2025). From managing humans to keeping humans: How ethical culture and team support drive retention in healthcare. </w:t>
      </w:r>
      <w:r>
        <w:rPr>
          <w:rStyle w:val="Emphasis"/>
          <w:rFonts w:ascii="Segoe UI" w:hAnsi="Segoe UI" w:cs="Segoe UI"/>
          <w:color w:val="0F1115"/>
        </w:rPr>
        <w:t>MDPI Administrative Sciences, 16</w:t>
      </w:r>
      <w:r>
        <w:rPr>
          <w:rFonts w:ascii="Segoe UI" w:hAnsi="Segoe UI" w:cs="Segoe UI"/>
          <w:color w:val="0F1115"/>
        </w:rPr>
        <w:t>(1), 4.</w:t>
      </w:r>
    </w:p>
    <w:p w14:paraId="65AE1B52"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National Academy of Medicine. (2022). </w:t>
      </w:r>
      <w:r>
        <w:rPr>
          <w:rStyle w:val="Emphasis"/>
          <w:rFonts w:ascii="Segoe UI" w:hAnsi="Segoe UI" w:cs="Segoe UI"/>
          <w:color w:val="0F1115"/>
        </w:rPr>
        <w:t>National plan for health workforce well-being</w:t>
      </w:r>
      <w:r>
        <w:rPr>
          <w:rFonts w:ascii="Segoe UI" w:hAnsi="Segoe UI" w:cs="Segoe UI"/>
          <w:color w:val="0F1115"/>
        </w:rPr>
        <w:t>. Washington, DC: National Academies Press.</w:t>
      </w:r>
    </w:p>
    <w:p w14:paraId="635AFC1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Needleman, J., Buerhaus, P., Pankratz, V. S., Leibson, C. L., Stevens, S. R., &amp; Harris, M. (2011). Nurse staffing and inpatient hospital mortality. </w:t>
      </w:r>
      <w:r>
        <w:rPr>
          <w:rStyle w:val="Emphasis"/>
          <w:rFonts w:ascii="Segoe UI" w:hAnsi="Segoe UI" w:cs="Segoe UI"/>
          <w:color w:val="0F1115"/>
        </w:rPr>
        <w:t>New England Journal of Medicine, 364</w:t>
      </w:r>
      <w:r>
        <w:rPr>
          <w:rFonts w:ascii="Segoe UI" w:hAnsi="Segoe UI" w:cs="Segoe UI"/>
          <w:color w:val="0F1115"/>
        </w:rPr>
        <w:t>(11), 1037-1045.</w:t>
      </w:r>
    </w:p>
    <w:p w14:paraId="34850BDE"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NSI Nursing Solutions. (2023). </w:t>
      </w:r>
      <w:r>
        <w:rPr>
          <w:rStyle w:val="Emphasis"/>
          <w:rFonts w:ascii="Segoe UI" w:hAnsi="Segoe UI" w:cs="Segoe UI"/>
          <w:color w:val="0F1115"/>
        </w:rPr>
        <w:t>2023 NSI national health care retention &amp; RN staffing report</w:t>
      </w:r>
      <w:r>
        <w:rPr>
          <w:rFonts w:ascii="Segoe UI" w:hAnsi="Segoe UI" w:cs="Segoe UI"/>
          <w:color w:val="0F1115"/>
        </w:rPr>
        <w:t>. East Petersburg, PA: NSI Nursing Solutions.</w:t>
      </w:r>
    </w:p>
    <w:p w14:paraId="6F250881"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Page, M. J., Moher, D., Bossuyt, P. M., Boutron, I., Hoffmann, T. C., Mulrow, C. D., &amp; McKenzie, J. E. (2021). PRISMA 2020 explanation and elaboration: Updated guidance and exemplars for reporting systematic reviews. </w:t>
      </w:r>
      <w:r>
        <w:rPr>
          <w:rStyle w:val="Emphasis"/>
          <w:rFonts w:ascii="Segoe UI" w:hAnsi="Segoe UI" w:cs="Segoe UI"/>
          <w:color w:val="0F1115"/>
        </w:rPr>
        <w:t>BMJ, 372</w:t>
      </w:r>
      <w:r>
        <w:rPr>
          <w:rFonts w:ascii="Segoe UI" w:hAnsi="Segoe UI" w:cs="Segoe UI"/>
          <w:color w:val="0F1115"/>
        </w:rPr>
        <w:t>, n160. </w:t>
      </w:r>
    </w:p>
    <w:p w14:paraId="7AC43A4A"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Price, J. L. (2021). </w:t>
      </w:r>
      <w:r>
        <w:rPr>
          <w:rStyle w:val="Emphasis"/>
          <w:rFonts w:ascii="Segoe UI" w:hAnsi="Segoe UI" w:cs="Segoe UI"/>
          <w:color w:val="0F1115"/>
        </w:rPr>
        <w:t>The study of turnover</w:t>
      </w:r>
      <w:r>
        <w:rPr>
          <w:rFonts w:ascii="Segoe UI" w:hAnsi="Segoe UI" w:cs="Segoe UI"/>
          <w:color w:val="0F1115"/>
        </w:rPr>
        <w:t>. Ames, IA: Iowa State University Press.</w:t>
      </w:r>
    </w:p>
    <w:p w14:paraId="54FD2BC8"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Smith, T. L. (2026). </w:t>
      </w:r>
      <w:r>
        <w:rPr>
          <w:rStyle w:val="Emphasis"/>
          <w:rFonts w:ascii="Segoe UI" w:hAnsi="Segoe UI" w:cs="Segoe UI"/>
          <w:color w:val="0F1115"/>
        </w:rPr>
        <w:t>Strategies for retaining employees in the global healthcare industry</w:t>
      </w:r>
      <w:r>
        <w:rPr>
          <w:rFonts w:ascii="Segoe UI" w:hAnsi="Segoe UI" w:cs="Segoe UI"/>
          <w:color w:val="0F1115"/>
        </w:rPr>
        <w:t> (Doctoral dissertation). Walden University.</w:t>
      </w:r>
    </w:p>
    <w:p w14:paraId="0F857E16"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Topor, M., Pickering, J. S., Barbosa Mendes, A., Bishop, D. V. M., Büttner, F. C., Elsherif, M. M., &amp; others. (2021). An integrative framework for planning and conducting Non-Intervention, Reproducible, and Open Systematic Reviews (NIRO-SR). </w:t>
      </w:r>
      <w:hyperlink r:id="rId18" w:tgtFrame="_blank" w:history="1">
        <w:r>
          <w:rPr>
            <w:rStyle w:val="Hyperlink"/>
            <w:rFonts w:ascii="Segoe UI" w:eastAsiaTheme="majorEastAsia" w:hAnsi="Segoe UI" w:cs="Segoe UI"/>
            <w:color w:val="3964FE"/>
            <w:bdr w:val="single" w:sz="12" w:space="0" w:color="auto" w:frame="1"/>
          </w:rPr>
          <w:t>https://doi.org/10.31222/osf.io/8gu5z</w:t>
        </w:r>
      </w:hyperlink>
      <w:r>
        <w:rPr>
          <w:rFonts w:ascii="Segoe UI" w:hAnsi="Segoe UI" w:cs="Segoe UI"/>
          <w:color w:val="0F1115"/>
        </w:rPr>
        <w:t> </w:t>
      </w:r>
    </w:p>
    <w:p w14:paraId="0F42D116"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World Health Organization (WHO). (2016). </w:t>
      </w:r>
      <w:r>
        <w:rPr>
          <w:rStyle w:val="Emphasis"/>
          <w:rFonts w:ascii="Segoe UI" w:hAnsi="Segoe UI" w:cs="Segoe UI"/>
          <w:color w:val="0F1115"/>
        </w:rPr>
        <w:t>Global strategy on human resources for health: Workforce 2030</w:t>
      </w:r>
      <w:r>
        <w:rPr>
          <w:rFonts w:ascii="Segoe UI" w:hAnsi="Segoe UI" w:cs="Segoe UI"/>
          <w:color w:val="0F1115"/>
        </w:rPr>
        <w:t>. Geneva: WHO.</w:t>
      </w:r>
    </w:p>
    <w:p w14:paraId="115BEA39" w14:textId="77777777" w:rsidR="006D5121" w:rsidRDefault="006D5121" w:rsidP="00304D83">
      <w:pPr>
        <w:pStyle w:val="ds-markdown-paragraph"/>
        <w:numPr>
          <w:ilvl w:val="0"/>
          <w:numId w:val="36"/>
        </w:numPr>
        <w:shd w:val="clear" w:color="auto" w:fill="FFFFFF"/>
        <w:spacing w:before="0" w:beforeAutospacing="0" w:after="0" w:afterAutospacing="0"/>
        <w:jc w:val="lowKashida"/>
        <w:rPr>
          <w:rFonts w:ascii="Segoe UI" w:hAnsi="Segoe UI" w:cs="Segoe UI"/>
          <w:color w:val="0F1115"/>
        </w:rPr>
      </w:pPr>
      <w:r>
        <w:rPr>
          <w:rFonts w:ascii="Segoe UI" w:hAnsi="Segoe UI" w:cs="Segoe UI"/>
          <w:color w:val="0F1115"/>
        </w:rPr>
        <w:t>World Health Organization (WHO). (2020). </w:t>
      </w:r>
      <w:r>
        <w:rPr>
          <w:rStyle w:val="Emphasis"/>
          <w:rFonts w:ascii="Segoe UI" w:hAnsi="Segoe UI" w:cs="Segoe UI"/>
          <w:color w:val="0F1115"/>
        </w:rPr>
        <w:t>Quality health services: A planning guide</w:t>
      </w:r>
      <w:r>
        <w:rPr>
          <w:rFonts w:ascii="Segoe UI" w:hAnsi="Segoe UI" w:cs="Segoe UI"/>
          <w:color w:val="0F1115"/>
        </w:rPr>
        <w:t>. Geneva: WHO.</w:t>
      </w:r>
    </w:p>
    <w:p w14:paraId="0E354D26" w14:textId="77777777" w:rsidR="006D5121" w:rsidRDefault="006D5121" w:rsidP="006D5121"/>
    <w:p w14:paraId="6B5BAE82" w14:textId="77777777" w:rsidR="004163C7" w:rsidRDefault="004163C7" w:rsidP="006D5121">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6BD9EF7B" w14:textId="77777777" w:rsidR="00304D83" w:rsidRDefault="00304D83" w:rsidP="006D5121">
      <w:pPr>
        <w:pStyle w:val="Heading3"/>
        <w:shd w:val="clear" w:color="auto" w:fill="FFFFFF"/>
        <w:spacing w:before="480" w:after="240" w:line="450" w:lineRule="atLeast"/>
        <w:rPr>
          <w:rFonts w:ascii="Segoe UI" w:hAnsi="Segoe UI" w:cs="Times New Roman"/>
          <w:color w:val="0F1115"/>
          <w:sz w:val="30"/>
          <w:szCs w:val="30"/>
          <w:rtl/>
        </w:rPr>
      </w:pPr>
    </w:p>
    <w:p w14:paraId="2B628D12" w14:textId="27BBD4A8" w:rsidR="006D5121" w:rsidRDefault="006D5121" w:rsidP="00304D83">
      <w:pPr>
        <w:pStyle w:val="Heading3"/>
        <w:shd w:val="clear" w:color="auto" w:fill="FFFFFF"/>
        <w:spacing w:before="480" w:after="240" w:line="450" w:lineRule="atLeast"/>
        <w:jc w:val="right"/>
        <w:rPr>
          <w:rFonts w:ascii="Segoe UI" w:hAnsi="Segoe UI" w:cs="Segoe UI"/>
          <w:color w:val="0F1115"/>
          <w:sz w:val="30"/>
          <w:szCs w:val="30"/>
        </w:rPr>
      </w:pPr>
      <w:r>
        <w:rPr>
          <w:rFonts w:ascii="Segoe UI" w:hAnsi="Segoe UI" w:cs="Times New Roman"/>
          <w:color w:val="0F1115"/>
          <w:sz w:val="30"/>
          <w:szCs w:val="30"/>
          <w:rtl/>
        </w:rPr>
        <w:t>ملحق (1): قائمة بأسماء المحكمين</w:t>
      </w:r>
    </w:p>
    <w:p w14:paraId="7ECAB112" w14:textId="77777777" w:rsidR="006D5121" w:rsidRDefault="006D5121" w:rsidP="00304D83">
      <w:pPr>
        <w:pStyle w:val="ds-markdown-paragraph"/>
        <w:shd w:val="clear" w:color="auto" w:fill="FFFFFF"/>
        <w:spacing w:before="240" w:beforeAutospacing="0" w:after="240" w:afterAutospacing="0"/>
        <w:jc w:val="right"/>
        <w:rPr>
          <w:rFonts w:ascii="Segoe UI" w:hAnsi="Segoe UI" w:cs="Segoe UI"/>
          <w:color w:val="0F1115"/>
        </w:rPr>
      </w:pPr>
      <w:r>
        <w:rPr>
          <w:rStyle w:val="Emphasis"/>
          <w:rFonts w:ascii="Segoe UI" w:hAnsi="Segoe UI" w:cs="Segoe UI"/>
          <w:color w:val="0F1115"/>
        </w:rPr>
        <w:t>(</w:t>
      </w:r>
      <w:r>
        <w:rPr>
          <w:rStyle w:val="Emphasis"/>
          <w:rFonts w:ascii="Segoe UI" w:hAnsi="Segoe UI"/>
          <w:color w:val="0F1115"/>
          <w:rtl/>
        </w:rPr>
        <w:t>تُدرج هنا أسماء المحكمين ورتبهم العلمية وجهات عملهم</w:t>
      </w:r>
      <w:r>
        <w:rPr>
          <w:rStyle w:val="Emphasis"/>
          <w:rFonts w:ascii="Segoe UI" w:hAnsi="Segoe UI" w:cs="Segoe UI"/>
          <w:color w:val="0F1115"/>
        </w:rPr>
        <w:t>)</w:t>
      </w:r>
    </w:p>
    <w:p w14:paraId="40F7EEF5" w14:textId="77777777" w:rsidR="006D5121" w:rsidRDefault="006D5121" w:rsidP="00304D83">
      <w:pPr>
        <w:pStyle w:val="Heading3"/>
        <w:shd w:val="clear" w:color="auto" w:fill="FFFFFF"/>
        <w:spacing w:before="480" w:after="240" w:line="450" w:lineRule="atLeast"/>
        <w:jc w:val="right"/>
        <w:rPr>
          <w:rFonts w:ascii="Segoe UI" w:hAnsi="Segoe UI" w:cs="Segoe UI"/>
          <w:color w:val="0F1115"/>
          <w:sz w:val="30"/>
          <w:szCs w:val="30"/>
        </w:rPr>
      </w:pPr>
      <w:r>
        <w:rPr>
          <w:rFonts w:ascii="Segoe UI" w:hAnsi="Segoe UI" w:cs="Times New Roman"/>
          <w:color w:val="0F1115"/>
          <w:sz w:val="30"/>
          <w:szCs w:val="30"/>
          <w:rtl/>
        </w:rPr>
        <w:t>ملحق (2): قائمة الدراسات المشمولة في المراجعة</w:t>
      </w:r>
    </w:p>
    <w:p w14:paraId="02970ABE" w14:textId="77777777" w:rsidR="006D5121" w:rsidRDefault="006D5121" w:rsidP="00304D83">
      <w:pPr>
        <w:pStyle w:val="ds-markdown-paragraph"/>
        <w:shd w:val="clear" w:color="auto" w:fill="FFFFFF"/>
        <w:spacing w:before="240" w:beforeAutospacing="0" w:after="240" w:afterAutospacing="0"/>
        <w:jc w:val="right"/>
        <w:rPr>
          <w:rFonts w:ascii="Segoe UI" w:hAnsi="Segoe UI" w:cs="Segoe UI"/>
          <w:color w:val="0F1115"/>
        </w:rPr>
      </w:pPr>
      <w:r>
        <w:rPr>
          <w:rStyle w:val="Emphasis"/>
          <w:rFonts w:ascii="Segoe UI" w:hAnsi="Segoe UI" w:cs="Segoe UI"/>
          <w:color w:val="0F1115"/>
        </w:rPr>
        <w:t>(</w:t>
      </w:r>
      <w:r>
        <w:rPr>
          <w:rStyle w:val="Emphasis"/>
          <w:rFonts w:ascii="Segoe UI" w:hAnsi="Segoe UI"/>
          <w:color w:val="0F1115"/>
          <w:rtl/>
        </w:rPr>
        <w:t>تُدرج هنا القائمة الكاملة للدراسات الـ 42 التي استوفت معايير الاشتمال</w:t>
      </w:r>
      <w:r>
        <w:rPr>
          <w:rStyle w:val="Emphasis"/>
          <w:rFonts w:ascii="Segoe UI" w:hAnsi="Segoe UI" w:cs="Segoe UI"/>
          <w:color w:val="0F1115"/>
        </w:rPr>
        <w:t>)</w:t>
      </w:r>
    </w:p>
    <w:p w14:paraId="7783D76A" w14:textId="77777777" w:rsidR="006D5121" w:rsidRDefault="006D5121" w:rsidP="00304D83">
      <w:pPr>
        <w:pStyle w:val="Heading3"/>
        <w:shd w:val="clear" w:color="auto" w:fill="FFFFFF"/>
        <w:spacing w:before="480" w:after="240" w:line="450" w:lineRule="atLeast"/>
        <w:jc w:val="right"/>
        <w:rPr>
          <w:rFonts w:ascii="Segoe UI" w:hAnsi="Segoe UI" w:cs="Segoe UI"/>
          <w:color w:val="0F1115"/>
          <w:sz w:val="30"/>
          <w:szCs w:val="30"/>
        </w:rPr>
      </w:pPr>
      <w:r>
        <w:rPr>
          <w:rFonts w:ascii="Segoe UI" w:hAnsi="Segoe UI" w:cs="Times New Roman"/>
          <w:color w:val="0F1115"/>
          <w:sz w:val="30"/>
          <w:szCs w:val="30"/>
          <w:rtl/>
        </w:rPr>
        <w:t>ملحق (3): نماذج استخراج البيانات</w:t>
      </w:r>
    </w:p>
    <w:p w14:paraId="17EBE6CA" w14:textId="77777777" w:rsidR="006D5121" w:rsidRDefault="006D5121" w:rsidP="00304D83">
      <w:pPr>
        <w:pStyle w:val="ds-markdown-paragraph"/>
        <w:shd w:val="clear" w:color="auto" w:fill="FFFFFF"/>
        <w:spacing w:before="240" w:beforeAutospacing="0" w:after="240" w:afterAutospacing="0"/>
        <w:jc w:val="right"/>
        <w:rPr>
          <w:rFonts w:ascii="Segoe UI" w:hAnsi="Segoe UI" w:cs="Segoe UI"/>
          <w:color w:val="0F1115"/>
        </w:rPr>
      </w:pPr>
      <w:r>
        <w:rPr>
          <w:rStyle w:val="Emphasis"/>
          <w:rFonts w:ascii="Segoe UI" w:hAnsi="Segoe UI" w:cs="Segoe UI"/>
          <w:color w:val="0F1115"/>
        </w:rPr>
        <w:t>(</w:t>
      </w:r>
      <w:r>
        <w:rPr>
          <w:rStyle w:val="Emphasis"/>
          <w:rFonts w:ascii="Segoe UI" w:hAnsi="Segoe UI"/>
          <w:color w:val="0F1115"/>
          <w:rtl/>
        </w:rPr>
        <w:t>تُدرج هنا النماذج المستخدمة في استخراج البيانات من الدراسات</w:t>
      </w:r>
      <w:r>
        <w:rPr>
          <w:rStyle w:val="Emphasis"/>
          <w:rFonts w:ascii="Segoe UI" w:hAnsi="Segoe UI" w:cs="Segoe UI"/>
          <w:color w:val="0F1115"/>
        </w:rPr>
        <w:t>)</w:t>
      </w:r>
    </w:p>
    <w:p w14:paraId="50017F5D" w14:textId="77777777" w:rsidR="006D5121" w:rsidRDefault="006D5121" w:rsidP="00304D83">
      <w:pPr>
        <w:pStyle w:val="Heading3"/>
        <w:shd w:val="clear" w:color="auto" w:fill="FFFFFF"/>
        <w:spacing w:before="480" w:after="240" w:line="450" w:lineRule="atLeast"/>
        <w:jc w:val="right"/>
        <w:rPr>
          <w:rFonts w:ascii="Segoe UI" w:hAnsi="Segoe UI" w:cs="Segoe UI"/>
          <w:color w:val="0F1115"/>
          <w:sz w:val="30"/>
          <w:szCs w:val="30"/>
        </w:rPr>
      </w:pPr>
      <w:r>
        <w:rPr>
          <w:rFonts w:ascii="Segoe UI" w:hAnsi="Segoe UI" w:cs="Times New Roman"/>
          <w:color w:val="0F1115"/>
          <w:sz w:val="30"/>
          <w:szCs w:val="30"/>
          <w:rtl/>
        </w:rPr>
        <w:t>ملحق (4): نتائج تقييم جودة الدراسات</w:t>
      </w:r>
    </w:p>
    <w:p w14:paraId="64800486" w14:textId="77777777" w:rsidR="006D5121" w:rsidRDefault="006D5121" w:rsidP="00304D83">
      <w:pPr>
        <w:pStyle w:val="ds-markdown-paragraph"/>
        <w:shd w:val="clear" w:color="auto" w:fill="FFFFFF"/>
        <w:spacing w:before="240" w:beforeAutospacing="0" w:after="240" w:afterAutospacing="0"/>
        <w:jc w:val="right"/>
        <w:rPr>
          <w:rFonts w:ascii="Segoe UI" w:hAnsi="Segoe UI" w:cs="Segoe UI"/>
          <w:color w:val="0F1115"/>
        </w:rPr>
      </w:pPr>
      <w:r>
        <w:rPr>
          <w:rStyle w:val="Emphasis"/>
          <w:rFonts w:ascii="Segoe UI" w:hAnsi="Segoe UI" w:cs="Segoe UI"/>
          <w:color w:val="0F1115"/>
        </w:rPr>
        <w:t>(</w:t>
      </w:r>
      <w:r>
        <w:rPr>
          <w:rStyle w:val="Emphasis"/>
          <w:rFonts w:ascii="Segoe UI" w:hAnsi="Segoe UI"/>
          <w:color w:val="0F1115"/>
          <w:rtl/>
        </w:rPr>
        <w:t>تُدرج هنا نتائج تقييم جودة كل دراسة</w:t>
      </w:r>
      <w:r>
        <w:rPr>
          <w:rStyle w:val="Emphasis"/>
          <w:rFonts w:ascii="Segoe UI" w:hAnsi="Segoe UI" w:cs="Segoe UI"/>
          <w:color w:val="0F1115"/>
        </w:rPr>
        <w:t>)</w:t>
      </w:r>
    </w:p>
    <w:p w14:paraId="55BEF744" w14:textId="571F8DB2" w:rsidR="004163C7" w:rsidRPr="006D5121" w:rsidRDefault="004163C7" w:rsidP="006D5121">
      <w:pPr>
        <w:spacing w:before="480" w:after="480"/>
        <w:rPr>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6A4A44F8" w14:textId="34DA5B43" w:rsidR="004163C7" w:rsidRDefault="004163C7" w:rsidP="00357957">
      <w:pPr>
        <w:rPr>
          <w:rFonts w:ascii="Sakkal Majalla" w:hAnsi="Sakkal Majalla" w:cs="Sakkal Majalla"/>
          <w:sz w:val="28"/>
          <w:szCs w:val="28"/>
          <w:u w:val="single"/>
          <w:rtl/>
        </w:rPr>
      </w:pPr>
    </w:p>
    <w:p w14:paraId="3957702E" w14:textId="77777777" w:rsidR="00357957" w:rsidRDefault="00357957" w:rsidP="00357957">
      <w:pPr>
        <w:rPr>
          <w:rFonts w:ascii="Sakkal Majalla" w:hAnsi="Sakkal Majalla" w:cs="Sakkal Majalla"/>
          <w:sz w:val="28"/>
          <w:szCs w:val="28"/>
          <w:u w:val="single"/>
          <w:rtl/>
        </w:rPr>
      </w:pPr>
    </w:p>
    <w:p w14:paraId="0368A26F" w14:textId="77777777" w:rsidR="00357957" w:rsidRDefault="00357957" w:rsidP="00357957">
      <w:pPr>
        <w:rPr>
          <w:rFonts w:ascii="Sakkal Majalla" w:hAnsi="Sakkal Majalla" w:cs="Sakkal Majalla"/>
          <w:sz w:val="28"/>
          <w:szCs w:val="28"/>
          <w:u w:val="single"/>
          <w:rtl/>
        </w:rPr>
      </w:pPr>
    </w:p>
    <w:p w14:paraId="17FF367F" w14:textId="77777777" w:rsidR="00357957" w:rsidRDefault="00357957" w:rsidP="00357957">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ABD8A3C" w:rsidR="009125CE" w:rsidRPr="00A122CC" w:rsidRDefault="009125CE" w:rsidP="009125CE">
      <w:pPr>
        <w:rPr>
          <w:rFonts w:ascii="Sakkal Majalla" w:hAnsi="Sakkal Majalla" w:cs="Sakkal Majalla"/>
          <w:b/>
          <w:bCs/>
          <w:sz w:val="28"/>
          <w:szCs w:val="28"/>
          <w:u w:val="single"/>
          <w:rtl/>
          <w:lang w:val="en-US"/>
        </w:rPr>
      </w:pPr>
      <w:r w:rsidRPr="009125CE">
        <w:rPr>
          <w:rFonts w:ascii="Sakkal Majalla" w:hAnsi="Sakkal Majalla" w:cs="Sakkal Majalla"/>
          <w:b/>
          <w:bCs/>
          <w:sz w:val="28"/>
          <w:szCs w:val="28"/>
          <w:u w:val="single"/>
        </w:rPr>
        <w:t>Department of</w:t>
      </w:r>
      <w:r w:rsidR="00A122CC">
        <w:rPr>
          <w:rFonts w:ascii="Sakkal Majalla" w:hAnsi="Sakkal Majalla" w:cs="Sakkal Majalla"/>
          <w:b/>
          <w:bCs/>
          <w:sz w:val="28"/>
          <w:szCs w:val="28"/>
          <w:u w:val="single"/>
          <w:lang w:val="en-US"/>
        </w:rPr>
        <w:t xml:space="preserve"> Health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2915992B" w:rsidR="009125CE" w:rsidRDefault="009125CE" w:rsidP="00FD4DCF">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7D9AFCD" w14:textId="434273F0" w:rsidR="00FD4DCF" w:rsidRPr="00FD4DCF" w:rsidRDefault="00FD4DCF" w:rsidP="00FD4DCF">
      <w:pPr>
        <w:tabs>
          <w:tab w:val="left" w:pos="5292"/>
        </w:tabs>
        <w:jc w:val="center"/>
        <w:rPr>
          <w:rFonts w:asciiTheme="majorBidi" w:hAnsiTheme="majorBidi" w:cstheme="majorBidi"/>
          <w:b/>
          <w:bCs/>
          <w:sz w:val="28"/>
          <w:szCs w:val="28"/>
        </w:rPr>
      </w:pPr>
      <w:r w:rsidRPr="00FD4DCF">
        <w:rPr>
          <w:rFonts w:asciiTheme="majorBidi" w:hAnsiTheme="majorBidi" w:cstheme="majorBidi"/>
          <w:b/>
          <w:bCs/>
          <w:sz w:val="28"/>
          <w:szCs w:val="28"/>
        </w:rPr>
        <w:t xml:space="preserve">The </w:t>
      </w:r>
      <w:r>
        <w:rPr>
          <w:rFonts w:asciiTheme="majorBidi" w:hAnsiTheme="majorBidi" w:cstheme="majorBidi"/>
          <w:b/>
          <w:bCs/>
          <w:sz w:val="28"/>
          <w:szCs w:val="28"/>
          <w:lang w:val="en-US"/>
        </w:rPr>
        <w:t>I</w:t>
      </w:r>
      <w:r w:rsidRPr="00FD4DCF">
        <w:rPr>
          <w:rFonts w:asciiTheme="majorBidi" w:hAnsiTheme="majorBidi" w:cstheme="majorBidi"/>
          <w:b/>
          <w:bCs/>
          <w:sz w:val="28"/>
          <w:szCs w:val="28"/>
        </w:rPr>
        <w:t xml:space="preserve">mpact of </w:t>
      </w:r>
      <w:r>
        <w:rPr>
          <w:rFonts w:asciiTheme="majorBidi" w:hAnsiTheme="majorBidi" w:cstheme="majorBidi"/>
          <w:b/>
          <w:bCs/>
          <w:sz w:val="28"/>
          <w:szCs w:val="28"/>
          <w:lang w:val="en-US"/>
        </w:rPr>
        <w:t>H</w:t>
      </w:r>
      <w:r w:rsidRPr="00FD4DCF">
        <w:rPr>
          <w:rFonts w:asciiTheme="majorBidi" w:hAnsiTheme="majorBidi" w:cstheme="majorBidi"/>
          <w:b/>
          <w:bCs/>
          <w:sz w:val="28"/>
          <w:szCs w:val="28"/>
        </w:rPr>
        <w:t xml:space="preserve">uman </w:t>
      </w:r>
      <w:r>
        <w:rPr>
          <w:rFonts w:asciiTheme="majorBidi" w:hAnsiTheme="majorBidi" w:cstheme="majorBidi"/>
          <w:b/>
          <w:bCs/>
          <w:sz w:val="28"/>
          <w:szCs w:val="28"/>
          <w:lang w:val="en-US"/>
        </w:rPr>
        <w:t>R</w:t>
      </w:r>
      <w:r w:rsidRPr="00FD4DCF">
        <w:rPr>
          <w:rFonts w:asciiTheme="majorBidi" w:hAnsiTheme="majorBidi" w:cstheme="majorBidi"/>
          <w:b/>
          <w:bCs/>
          <w:sz w:val="28"/>
          <w:szCs w:val="28"/>
        </w:rPr>
        <w:t xml:space="preserve">esource </w:t>
      </w:r>
      <w:r>
        <w:rPr>
          <w:rFonts w:asciiTheme="majorBidi" w:hAnsiTheme="majorBidi" w:cstheme="majorBidi"/>
          <w:b/>
          <w:bCs/>
          <w:sz w:val="28"/>
          <w:szCs w:val="28"/>
          <w:lang w:val="en-US"/>
        </w:rPr>
        <w:t>M</w:t>
      </w:r>
      <w:r w:rsidRPr="00FD4DCF">
        <w:rPr>
          <w:rFonts w:asciiTheme="majorBidi" w:hAnsiTheme="majorBidi" w:cstheme="majorBidi"/>
          <w:b/>
          <w:bCs/>
          <w:sz w:val="28"/>
          <w:szCs w:val="28"/>
        </w:rPr>
        <w:t xml:space="preserve">anagement </w:t>
      </w:r>
      <w:r>
        <w:rPr>
          <w:rFonts w:asciiTheme="majorBidi" w:hAnsiTheme="majorBidi" w:cstheme="majorBidi"/>
          <w:b/>
          <w:bCs/>
          <w:sz w:val="28"/>
          <w:szCs w:val="28"/>
          <w:lang w:val="en-US"/>
        </w:rPr>
        <w:t>O</w:t>
      </w:r>
      <w:r w:rsidRPr="00FD4DCF">
        <w:rPr>
          <w:rFonts w:asciiTheme="majorBidi" w:hAnsiTheme="majorBidi" w:cstheme="majorBidi"/>
          <w:b/>
          <w:bCs/>
          <w:sz w:val="28"/>
          <w:szCs w:val="28"/>
        </w:rPr>
        <w:t xml:space="preserve">n </w:t>
      </w:r>
      <w:r>
        <w:rPr>
          <w:rFonts w:asciiTheme="majorBidi" w:hAnsiTheme="majorBidi" w:cstheme="majorBidi"/>
          <w:b/>
          <w:bCs/>
          <w:sz w:val="28"/>
          <w:szCs w:val="28"/>
          <w:lang w:val="en-US"/>
        </w:rPr>
        <w:t>R</w:t>
      </w:r>
      <w:r w:rsidRPr="00FD4DCF">
        <w:rPr>
          <w:rFonts w:asciiTheme="majorBidi" w:hAnsiTheme="majorBidi" w:cstheme="majorBidi"/>
          <w:b/>
          <w:bCs/>
          <w:sz w:val="28"/>
          <w:szCs w:val="28"/>
        </w:rPr>
        <w:t xml:space="preserve">etaining </w:t>
      </w:r>
      <w:r>
        <w:rPr>
          <w:rFonts w:asciiTheme="majorBidi" w:hAnsiTheme="majorBidi" w:cstheme="majorBidi"/>
          <w:b/>
          <w:bCs/>
          <w:sz w:val="28"/>
          <w:szCs w:val="28"/>
          <w:lang w:val="en-US"/>
        </w:rPr>
        <w:t>M</w:t>
      </w:r>
      <w:r w:rsidRPr="00FD4DCF">
        <w:rPr>
          <w:rFonts w:asciiTheme="majorBidi" w:hAnsiTheme="majorBidi" w:cstheme="majorBidi"/>
          <w:b/>
          <w:bCs/>
          <w:sz w:val="28"/>
          <w:szCs w:val="28"/>
        </w:rPr>
        <w:t xml:space="preserve">edical </w:t>
      </w:r>
      <w:r>
        <w:rPr>
          <w:rFonts w:asciiTheme="majorBidi" w:hAnsiTheme="majorBidi" w:cstheme="majorBidi"/>
          <w:b/>
          <w:bCs/>
          <w:sz w:val="28"/>
          <w:szCs w:val="28"/>
          <w:lang w:val="en-US"/>
        </w:rPr>
        <w:t>S</w:t>
      </w:r>
      <w:r w:rsidRPr="00FD4DCF">
        <w:rPr>
          <w:rFonts w:asciiTheme="majorBidi" w:hAnsiTheme="majorBidi" w:cstheme="majorBidi"/>
          <w:b/>
          <w:bCs/>
          <w:sz w:val="28"/>
          <w:szCs w:val="28"/>
        </w:rPr>
        <w:t xml:space="preserve">taff in </w:t>
      </w:r>
      <w:r>
        <w:rPr>
          <w:rFonts w:asciiTheme="majorBidi" w:hAnsiTheme="majorBidi" w:cstheme="majorBidi"/>
          <w:b/>
          <w:bCs/>
          <w:sz w:val="28"/>
          <w:szCs w:val="28"/>
          <w:lang w:val="en-US"/>
        </w:rPr>
        <w:t>H</w:t>
      </w:r>
      <w:r w:rsidRPr="00FD4DCF">
        <w:rPr>
          <w:rFonts w:asciiTheme="majorBidi" w:hAnsiTheme="majorBidi" w:cstheme="majorBidi"/>
          <w:b/>
          <w:bCs/>
          <w:sz w:val="28"/>
          <w:szCs w:val="28"/>
        </w:rPr>
        <w:t xml:space="preserve">ospitals and </w:t>
      </w:r>
      <w:r>
        <w:rPr>
          <w:rFonts w:asciiTheme="majorBidi" w:hAnsiTheme="majorBidi" w:cstheme="majorBidi"/>
          <w:b/>
          <w:bCs/>
          <w:sz w:val="28"/>
          <w:szCs w:val="28"/>
          <w:lang w:val="en-US"/>
        </w:rPr>
        <w:t>I</w:t>
      </w:r>
      <w:r w:rsidRPr="00FD4DCF">
        <w:rPr>
          <w:rFonts w:asciiTheme="majorBidi" w:hAnsiTheme="majorBidi" w:cstheme="majorBidi"/>
          <w:b/>
          <w:bCs/>
          <w:sz w:val="28"/>
          <w:szCs w:val="28"/>
        </w:rPr>
        <w:t xml:space="preserve">ts </w:t>
      </w:r>
      <w:r>
        <w:rPr>
          <w:rFonts w:asciiTheme="majorBidi" w:hAnsiTheme="majorBidi" w:cstheme="majorBidi"/>
          <w:b/>
          <w:bCs/>
          <w:sz w:val="28"/>
          <w:szCs w:val="28"/>
          <w:lang w:val="en-US"/>
        </w:rPr>
        <w:t>E</w:t>
      </w:r>
      <w:r w:rsidRPr="00FD4DCF">
        <w:rPr>
          <w:rFonts w:asciiTheme="majorBidi" w:hAnsiTheme="majorBidi" w:cstheme="majorBidi"/>
          <w:b/>
          <w:bCs/>
          <w:sz w:val="28"/>
          <w:szCs w:val="28"/>
        </w:rPr>
        <w:t xml:space="preserve">ffect on </w:t>
      </w:r>
      <w:r>
        <w:rPr>
          <w:rFonts w:asciiTheme="majorBidi" w:hAnsiTheme="majorBidi" w:cstheme="majorBidi"/>
          <w:b/>
          <w:bCs/>
          <w:sz w:val="28"/>
          <w:szCs w:val="28"/>
          <w:lang w:val="en-US"/>
        </w:rPr>
        <w:t>T</w:t>
      </w:r>
      <w:r w:rsidRPr="00FD4DCF">
        <w:rPr>
          <w:rFonts w:asciiTheme="majorBidi" w:hAnsiTheme="majorBidi" w:cstheme="majorBidi"/>
          <w:b/>
          <w:bCs/>
          <w:sz w:val="28"/>
          <w:szCs w:val="28"/>
        </w:rPr>
        <w:t xml:space="preserve">he </w:t>
      </w:r>
      <w:r>
        <w:rPr>
          <w:rFonts w:asciiTheme="majorBidi" w:hAnsiTheme="majorBidi" w:cstheme="majorBidi"/>
          <w:b/>
          <w:bCs/>
          <w:sz w:val="28"/>
          <w:szCs w:val="28"/>
          <w:lang w:val="en-US"/>
        </w:rPr>
        <w:t>Q</w:t>
      </w:r>
      <w:r w:rsidRPr="00FD4DCF">
        <w:rPr>
          <w:rFonts w:asciiTheme="majorBidi" w:hAnsiTheme="majorBidi" w:cstheme="majorBidi"/>
          <w:b/>
          <w:bCs/>
          <w:sz w:val="28"/>
          <w:szCs w:val="28"/>
        </w:rPr>
        <w:t xml:space="preserve">uality of </w:t>
      </w:r>
      <w:r>
        <w:rPr>
          <w:rFonts w:asciiTheme="majorBidi" w:hAnsiTheme="majorBidi" w:cstheme="majorBidi"/>
          <w:b/>
          <w:bCs/>
          <w:sz w:val="28"/>
          <w:szCs w:val="28"/>
          <w:lang w:val="en-US"/>
        </w:rPr>
        <w:t>C</w:t>
      </w:r>
      <w:r w:rsidRPr="00FD4DCF">
        <w:rPr>
          <w:rFonts w:asciiTheme="majorBidi" w:hAnsiTheme="majorBidi" w:cstheme="majorBidi"/>
          <w:b/>
          <w:bCs/>
          <w:sz w:val="28"/>
          <w:szCs w:val="28"/>
        </w:rPr>
        <w:t>are</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5E333BC" w14:textId="77777777" w:rsidR="009B2426" w:rsidRPr="009B2426" w:rsidRDefault="009B2426" w:rsidP="009B2426">
      <w:pPr>
        <w:jc w:val="center"/>
        <w:rPr>
          <w:rFonts w:ascii="Sakkal Majalla" w:hAnsi="Sakkal Majalla" w:cs="Sakkal Majalla"/>
          <w:b/>
          <w:bCs/>
          <w:sz w:val="28"/>
          <w:szCs w:val="28"/>
          <w:lang w:val="en-US"/>
        </w:rPr>
      </w:pPr>
      <w:r>
        <w:rPr>
          <w:rFonts w:ascii="Sakkal Majalla" w:hAnsi="Sakkal Majalla" w:cs="Sakkal Majalla"/>
          <w:b/>
          <w:bCs/>
          <w:sz w:val="28"/>
          <w:szCs w:val="28"/>
          <w:lang w:val="en-US"/>
        </w:rPr>
        <w:t>Mohammed Salman Ali Alkhaibari</w:t>
      </w:r>
    </w:p>
    <w:p w14:paraId="2851F391" w14:textId="77777777" w:rsidR="009125CE" w:rsidRPr="009125CE" w:rsidRDefault="009125CE" w:rsidP="009B2426">
      <w:pP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B8289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B527BC6" w14:textId="7681EA19" w:rsidR="00B8289B" w:rsidRPr="00B8289B" w:rsidRDefault="00B8289B" w:rsidP="00B8289B">
      <w:pPr>
        <w:jc w:val="center"/>
        <w:rPr>
          <w:rFonts w:ascii="Sakkal Majalla" w:hAnsi="Sakkal Majalla" w:cs="Sakkal Majalla"/>
          <w:b/>
          <w:bCs/>
          <w:sz w:val="28"/>
          <w:szCs w:val="28"/>
          <w:lang w:val="en-US"/>
        </w:rPr>
      </w:pPr>
      <w:r w:rsidRPr="00B8289B">
        <w:rPr>
          <w:rFonts w:ascii="Sakkal Majalla" w:hAnsi="Sakkal Majalla" w:cs="Sakkal Majalla"/>
          <w:b/>
          <w:bCs/>
          <w:sz w:val="28"/>
          <w:szCs w:val="28"/>
          <w:lang w:val="en-US"/>
        </w:rPr>
        <w:t xml:space="preserve">Dr. </w:t>
      </w:r>
      <w:proofErr w:type="spellStart"/>
      <w:r>
        <w:rPr>
          <w:rFonts w:ascii="Sakkal Majalla" w:hAnsi="Sakkal Majalla" w:cs="Sakkal Majalla"/>
          <w:b/>
          <w:bCs/>
          <w:sz w:val="28"/>
          <w:szCs w:val="28"/>
          <w:lang w:val="en-US"/>
        </w:rPr>
        <w:t>Alf</w:t>
      </w:r>
      <w:r w:rsidRPr="00B8289B">
        <w:rPr>
          <w:rFonts w:ascii="Sakkal Majalla" w:hAnsi="Sakkal Majalla" w:cs="Sakkal Majalla"/>
          <w:b/>
          <w:bCs/>
          <w:sz w:val="28"/>
          <w:szCs w:val="28"/>
          <w:lang w:val="en-US"/>
        </w:rPr>
        <w:t>aisal</w:t>
      </w:r>
      <w:proofErr w:type="spellEnd"/>
      <w:r w:rsidRPr="00B8289B">
        <w:rPr>
          <w:rFonts w:ascii="Sakkal Majalla" w:hAnsi="Sakkal Majalla" w:cs="Sakkal Majalla"/>
          <w:b/>
          <w:bCs/>
          <w:sz w:val="28"/>
          <w:szCs w:val="28"/>
          <w:lang w:val="en-US"/>
        </w:rPr>
        <w:t xml:space="preserve"> Abdul Hamid</w:t>
      </w:r>
    </w:p>
    <w:p w14:paraId="0BC0F18B" w14:textId="16633239" w:rsidR="009125CE" w:rsidRDefault="00B8289B" w:rsidP="00B8289B">
      <w:pPr>
        <w:jc w:val="center"/>
        <w:rPr>
          <w:rFonts w:ascii="Sakkal Majalla" w:hAnsi="Sakkal Majalla" w:cs="Sakkal Majalla"/>
          <w:b/>
          <w:bCs/>
          <w:sz w:val="28"/>
          <w:szCs w:val="28"/>
          <w:lang w:val="en-US"/>
        </w:rPr>
      </w:pPr>
      <w:r w:rsidRPr="00B8289B">
        <w:rPr>
          <w:rFonts w:ascii="Sakkal Majalla" w:hAnsi="Sakkal Majalla" w:cs="Sakkal Majalla"/>
          <w:b/>
          <w:bCs/>
          <w:sz w:val="28"/>
          <w:szCs w:val="28"/>
          <w:lang w:val="en-US"/>
        </w:rPr>
        <w:t xml:space="preserve">Dr. Fayez </w:t>
      </w:r>
      <w:proofErr w:type="spellStart"/>
      <w:r w:rsidRPr="00B8289B">
        <w:rPr>
          <w:rFonts w:ascii="Sakkal Majalla" w:hAnsi="Sakkal Majalla" w:cs="Sakkal Majalla"/>
          <w:b/>
          <w:bCs/>
          <w:sz w:val="28"/>
          <w:szCs w:val="28"/>
          <w:lang w:val="en-US"/>
        </w:rPr>
        <w:t>Jarad</w:t>
      </w:r>
      <w:proofErr w:type="spellEnd"/>
    </w:p>
    <w:p w14:paraId="3A4F5C45" w14:textId="77777777" w:rsidR="00B8289B" w:rsidRDefault="00B8289B" w:rsidP="00B8289B">
      <w:pPr>
        <w:jc w:val="center"/>
        <w:rPr>
          <w:rFonts w:ascii="Sakkal Majalla" w:hAnsi="Sakkal Majalla" w:cs="Sakkal Majalla"/>
          <w:b/>
          <w:bCs/>
          <w:sz w:val="28"/>
          <w:szCs w:val="28"/>
          <w:lang w:val="en-US"/>
        </w:rPr>
      </w:pPr>
    </w:p>
    <w:p w14:paraId="6353EBDA" w14:textId="77777777" w:rsidR="00B8289B" w:rsidRPr="009125CE" w:rsidRDefault="00B8289B" w:rsidP="00B8289B">
      <w:pPr>
        <w:jc w:val="center"/>
        <w:rPr>
          <w:rFonts w:ascii="Sakkal Majalla" w:hAnsi="Sakkal Majalla" w:cs="Sakkal Majalla"/>
          <w:b/>
          <w:bCs/>
          <w:sz w:val="28"/>
          <w:szCs w:val="28"/>
        </w:rPr>
      </w:pPr>
    </w:p>
    <w:p w14:paraId="18A3EF06" w14:textId="77777777" w:rsidR="00FD4DCF" w:rsidRPr="001902DB" w:rsidRDefault="009125CE" w:rsidP="00FD4DCF">
      <w:pPr>
        <w:bidi/>
        <w:jc w:val="center"/>
        <w:rPr>
          <w:rFonts w:ascii="Sakkal Majalla" w:hAnsi="Sakkal Majalla" w:cs="Sakkal Majalla"/>
          <w:b/>
          <w:bCs/>
          <w:sz w:val="28"/>
          <w:szCs w:val="28"/>
          <w:rtl/>
          <w:lang w:bidi="ar-EG"/>
        </w:rPr>
      </w:pPr>
      <w:r w:rsidRPr="009125CE">
        <w:rPr>
          <w:rFonts w:ascii="Sakkal Majalla" w:hAnsi="Sakkal Majalla" w:cs="Sakkal Majalla"/>
          <w:b/>
          <w:bCs/>
          <w:sz w:val="28"/>
          <w:szCs w:val="28"/>
        </w:rPr>
        <w:t>Year:</w:t>
      </w:r>
      <w:r w:rsidR="00FD4DCF">
        <w:rPr>
          <w:rFonts w:ascii="Sakkal Majalla" w:hAnsi="Sakkal Majalla" w:cs="Sakkal Majalla"/>
          <w:b/>
          <w:bCs/>
          <w:sz w:val="28"/>
          <w:szCs w:val="28"/>
          <w:lang w:val="en-US"/>
        </w:rPr>
        <w:t xml:space="preserve"> </w:t>
      </w:r>
      <w:r w:rsidR="00FD4DCF">
        <w:rPr>
          <w:rFonts w:ascii="Sakkal Majalla" w:hAnsi="Sakkal Majalla" w:cs="Sakkal Majalla"/>
          <w:b/>
          <w:bCs/>
          <w:sz w:val="28"/>
          <w:szCs w:val="28"/>
          <w:lang w:bidi="ar-EG"/>
        </w:rPr>
        <w:t>2025 - 2026</w:t>
      </w:r>
    </w:p>
    <w:p w14:paraId="6DFCA537" w14:textId="1061DB6E" w:rsidR="00FD4DCF" w:rsidRPr="001902DB" w:rsidRDefault="00FD4DCF" w:rsidP="00B8289B">
      <w:pPr>
        <w:rPr>
          <w:rFonts w:ascii="Sakkal Majalla" w:hAnsi="Sakkal Majalla" w:cs="Sakkal Majalla"/>
          <w:b/>
          <w:bCs/>
          <w:sz w:val="28"/>
          <w:szCs w:val="28"/>
          <w:rtl/>
          <w:lang w:bidi="ar-EG"/>
        </w:rPr>
      </w:pPr>
    </w:p>
    <w:sectPr w:rsidR="00FD4DCF" w:rsidRPr="001902D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C073" w14:textId="77777777" w:rsidR="007862C0" w:rsidRDefault="007862C0" w:rsidP="009125CE">
      <w:r>
        <w:separator/>
      </w:r>
    </w:p>
  </w:endnote>
  <w:endnote w:type="continuationSeparator" w:id="0">
    <w:p w14:paraId="6E5CB692" w14:textId="77777777" w:rsidR="007862C0" w:rsidRDefault="007862C0"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7F" w:usb1="C000204B"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F17FF" w14:textId="77777777" w:rsidR="007862C0" w:rsidRDefault="007862C0" w:rsidP="009125CE">
      <w:r>
        <w:separator/>
      </w:r>
    </w:p>
  </w:footnote>
  <w:footnote w:type="continuationSeparator" w:id="0">
    <w:p w14:paraId="16A464B5" w14:textId="77777777" w:rsidR="007862C0" w:rsidRDefault="007862C0"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22FD"/>
    <w:multiLevelType w:val="multilevel"/>
    <w:tmpl w:val="FE9E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85589"/>
    <w:multiLevelType w:val="multilevel"/>
    <w:tmpl w:val="49FC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D6E96"/>
    <w:multiLevelType w:val="multilevel"/>
    <w:tmpl w:val="9984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12106"/>
    <w:multiLevelType w:val="multilevel"/>
    <w:tmpl w:val="23C4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F1CA1"/>
    <w:multiLevelType w:val="hybridMultilevel"/>
    <w:tmpl w:val="28107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B13BEB"/>
    <w:multiLevelType w:val="multilevel"/>
    <w:tmpl w:val="D634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96ECB"/>
    <w:multiLevelType w:val="multilevel"/>
    <w:tmpl w:val="6B4A7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FB3701"/>
    <w:multiLevelType w:val="multilevel"/>
    <w:tmpl w:val="E390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74C43"/>
    <w:multiLevelType w:val="multilevel"/>
    <w:tmpl w:val="EAEE6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24DBF"/>
    <w:multiLevelType w:val="multilevel"/>
    <w:tmpl w:val="C55A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24442"/>
    <w:multiLevelType w:val="hybridMultilevel"/>
    <w:tmpl w:val="BE84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D913CA"/>
    <w:multiLevelType w:val="multilevel"/>
    <w:tmpl w:val="CBA8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E1B10"/>
    <w:multiLevelType w:val="multilevel"/>
    <w:tmpl w:val="E2BA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D18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886FC3"/>
    <w:multiLevelType w:val="hybridMultilevel"/>
    <w:tmpl w:val="CDD2A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C4235D"/>
    <w:multiLevelType w:val="multilevel"/>
    <w:tmpl w:val="B338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554BE"/>
    <w:multiLevelType w:val="multilevel"/>
    <w:tmpl w:val="645C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DC29F6"/>
    <w:multiLevelType w:val="multilevel"/>
    <w:tmpl w:val="1638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676A8"/>
    <w:multiLevelType w:val="multilevel"/>
    <w:tmpl w:val="AC10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DD2972"/>
    <w:multiLevelType w:val="hybridMultilevel"/>
    <w:tmpl w:val="7F9E3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A55F5"/>
    <w:multiLevelType w:val="multilevel"/>
    <w:tmpl w:val="DB94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06996"/>
    <w:multiLevelType w:val="multilevel"/>
    <w:tmpl w:val="EDEA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051BEF"/>
    <w:multiLevelType w:val="multilevel"/>
    <w:tmpl w:val="C6207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4E0721"/>
    <w:multiLevelType w:val="hybridMultilevel"/>
    <w:tmpl w:val="B2F6FD8C"/>
    <w:lvl w:ilvl="0" w:tplc="DB2CB588">
      <w:start w:val="1"/>
      <w:numFmt w:val="decimalFullWidth"/>
      <w:lvlText w:val="%1."/>
      <w:lvlJc w:val="left"/>
      <w:pPr>
        <w:ind w:left="720" w:hanging="360"/>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320C2"/>
    <w:multiLevelType w:val="multilevel"/>
    <w:tmpl w:val="C560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FD1AC3"/>
    <w:multiLevelType w:val="multilevel"/>
    <w:tmpl w:val="C6D43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7B3F88"/>
    <w:multiLevelType w:val="multilevel"/>
    <w:tmpl w:val="EDCA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91FA8"/>
    <w:multiLevelType w:val="multilevel"/>
    <w:tmpl w:val="2FB8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697FD5"/>
    <w:multiLevelType w:val="multilevel"/>
    <w:tmpl w:val="D388B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562A97"/>
    <w:multiLevelType w:val="multilevel"/>
    <w:tmpl w:val="210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9116E9"/>
    <w:multiLevelType w:val="multilevel"/>
    <w:tmpl w:val="422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013FAF"/>
    <w:multiLevelType w:val="hybridMultilevel"/>
    <w:tmpl w:val="95F42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E23F18"/>
    <w:multiLevelType w:val="multilevel"/>
    <w:tmpl w:val="6536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894823"/>
    <w:multiLevelType w:val="hybridMultilevel"/>
    <w:tmpl w:val="5958D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A92EC1"/>
    <w:multiLevelType w:val="multilevel"/>
    <w:tmpl w:val="9E06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0714F4"/>
    <w:multiLevelType w:val="multilevel"/>
    <w:tmpl w:val="072C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262D4A"/>
    <w:multiLevelType w:val="multilevel"/>
    <w:tmpl w:val="640ED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8E0DC8"/>
    <w:multiLevelType w:val="hybridMultilevel"/>
    <w:tmpl w:val="BB068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A718F6"/>
    <w:multiLevelType w:val="multilevel"/>
    <w:tmpl w:val="7708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C011D7"/>
    <w:multiLevelType w:val="multilevel"/>
    <w:tmpl w:val="0F92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2E3036"/>
    <w:multiLevelType w:val="multilevel"/>
    <w:tmpl w:val="30743C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B32FD"/>
    <w:multiLevelType w:val="multilevel"/>
    <w:tmpl w:val="8CAAC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DD3530"/>
    <w:multiLevelType w:val="multilevel"/>
    <w:tmpl w:val="54D0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8623F5"/>
    <w:multiLevelType w:val="multilevel"/>
    <w:tmpl w:val="6026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6C57A0"/>
    <w:multiLevelType w:val="multilevel"/>
    <w:tmpl w:val="CB4C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613789">
    <w:abstractNumId w:val="42"/>
  </w:num>
  <w:num w:numId="2" w16cid:durableId="1026368559">
    <w:abstractNumId w:val="9"/>
  </w:num>
  <w:num w:numId="3" w16cid:durableId="14692087">
    <w:abstractNumId w:val="32"/>
  </w:num>
  <w:num w:numId="4" w16cid:durableId="1077437513">
    <w:abstractNumId w:val="36"/>
  </w:num>
  <w:num w:numId="5" w16cid:durableId="1037124799">
    <w:abstractNumId w:val="0"/>
  </w:num>
  <w:num w:numId="6" w16cid:durableId="318116845">
    <w:abstractNumId w:val="12"/>
  </w:num>
  <w:num w:numId="7" w16cid:durableId="1282296302">
    <w:abstractNumId w:val="16"/>
  </w:num>
  <w:num w:numId="8" w16cid:durableId="682630978">
    <w:abstractNumId w:val="38"/>
  </w:num>
  <w:num w:numId="9" w16cid:durableId="2060545107">
    <w:abstractNumId w:val="34"/>
  </w:num>
  <w:num w:numId="10" w16cid:durableId="969675168">
    <w:abstractNumId w:val="43"/>
  </w:num>
  <w:num w:numId="11" w16cid:durableId="1208763010">
    <w:abstractNumId w:val="20"/>
  </w:num>
  <w:num w:numId="12" w16cid:durableId="2062896717">
    <w:abstractNumId w:val="15"/>
  </w:num>
  <w:num w:numId="13" w16cid:durableId="45885394">
    <w:abstractNumId w:val="17"/>
  </w:num>
  <w:num w:numId="14" w16cid:durableId="486170429">
    <w:abstractNumId w:val="27"/>
  </w:num>
  <w:num w:numId="15" w16cid:durableId="349989641">
    <w:abstractNumId w:val="39"/>
  </w:num>
  <w:num w:numId="16" w16cid:durableId="345714307">
    <w:abstractNumId w:val="5"/>
  </w:num>
  <w:num w:numId="17" w16cid:durableId="1298486786">
    <w:abstractNumId w:val="1"/>
  </w:num>
  <w:num w:numId="18" w16cid:durableId="1199472379">
    <w:abstractNumId w:val="26"/>
  </w:num>
  <w:num w:numId="19" w16cid:durableId="709495374">
    <w:abstractNumId w:val="24"/>
  </w:num>
  <w:num w:numId="20" w16cid:durableId="916288353">
    <w:abstractNumId w:val="40"/>
  </w:num>
  <w:num w:numId="21" w16cid:durableId="799612451">
    <w:abstractNumId w:val="7"/>
  </w:num>
  <w:num w:numId="22" w16cid:durableId="1213925673">
    <w:abstractNumId w:val="41"/>
  </w:num>
  <w:num w:numId="23" w16cid:durableId="636420636">
    <w:abstractNumId w:val="29"/>
  </w:num>
  <w:num w:numId="24" w16cid:durableId="1308435275">
    <w:abstractNumId w:val="11"/>
  </w:num>
  <w:num w:numId="25" w16cid:durableId="1569414865">
    <w:abstractNumId w:val="18"/>
  </w:num>
  <w:num w:numId="26" w16cid:durableId="1155876238">
    <w:abstractNumId w:val="35"/>
  </w:num>
  <w:num w:numId="27" w16cid:durableId="1163938192">
    <w:abstractNumId w:val="44"/>
  </w:num>
  <w:num w:numId="28" w16cid:durableId="1995331889">
    <w:abstractNumId w:val="30"/>
  </w:num>
  <w:num w:numId="29" w16cid:durableId="1573464280">
    <w:abstractNumId w:val="22"/>
  </w:num>
  <w:num w:numId="30" w16cid:durableId="1443568961">
    <w:abstractNumId w:val="8"/>
  </w:num>
  <w:num w:numId="31" w16cid:durableId="1450127543">
    <w:abstractNumId w:val="2"/>
  </w:num>
  <w:num w:numId="32" w16cid:durableId="1677884156">
    <w:abstractNumId w:val="28"/>
  </w:num>
  <w:num w:numId="33" w16cid:durableId="1228415785">
    <w:abstractNumId w:val="25"/>
  </w:num>
  <w:num w:numId="34" w16cid:durableId="401563077">
    <w:abstractNumId w:val="6"/>
  </w:num>
  <w:num w:numId="35" w16cid:durableId="845284650">
    <w:abstractNumId w:val="3"/>
  </w:num>
  <w:num w:numId="36" w16cid:durableId="742023863">
    <w:abstractNumId w:val="21"/>
  </w:num>
  <w:num w:numId="37" w16cid:durableId="109665665">
    <w:abstractNumId w:val="37"/>
  </w:num>
  <w:num w:numId="38" w16cid:durableId="1969891608">
    <w:abstractNumId w:val="13"/>
  </w:num>
  <w:num w:numId="39" w16cid:durableId="75438651">
    <w:abstractNumId w:val="23"/>
  </w:num>
  <w:num w:numId="40" w16cid:durableId="205218436">
    <w:abstractNumId w:val="14"/>
  </w:num>
  <w:num w:numId="41" w16cid:durableId="2109419509">
    <w:abstractNumId w:val="4"/>
  </w:num>
  <w:num w:numId="42" w16cid:durableId="1927418930">
    <w:abstractNumId w:val="33"/>
  </w:num>
  <w:num w:numId="43" w16cid:durableId="2020694058">
    <w:abstractNumId w:val="10"/>
  </w:num>
  <w:num w:numId="44" w16cid:durableId="1119303327">
    <w:abstractNumId w:val="19"/>
  </w:num>
  <w:num w:numId="45" w16cid:durableId="6740401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108E"/>
    <w:rsid w:val="000F44B4"/>
    <w:rsid w:val="00177F17"/>
    <w:rsid w:val="001902DB"/>
    <w:rsid w:val="001C2162"/>
    <w:rsid w:val="00265408"/>
    <w:rsid w:val="00304D83"/>
    <w:rsid w:val="00357957"/>
    <w:rsid w:val="004163C7"/>
    <w:rsid w:val="00483ECA"/>
    <w:rsid w:val="005A3C0D"/>
    <w:rsid w:val="005B1935"/>
    <w:rsid w:val="005D0B18"/>
    <w:rsid w:val="005F3FCC"/>
    <w:rsid w:val="006878B6"/>
    <w:rsid w:val="006948DE"/>
    <w:rsid w:val="006A3515"/>
    <w:rsid w:val="006D5121"/>
    <w:rsid w:val="007862C0"/>
    <w:rsid w:val="007A57ED"/>
    <w:rsid w:val="007B0E54"/>
    <w:rsid w:val="007E3A20"/>
    <w:rsid w:val="0084235C"/>
    <w:rsid w:val="00877AAC"/>
    <w:rsid w:val="008850D4"/>
    <w:rsid w:val="00896FE4"/>
    <w:rsid w:val="008C1CFC"/>
    <w:rsid w:val="008D198B"/>
    <w:rsid w:val="008F1EAE"/>
    <w:rsid w:val="00900AA5"/>
    <w:rsid w:val="009125CE"/>
    <w:rsid w:val="00946F5F"/>
    <w:rsid w:val="00990761"/>
    <w:rsid w:val="009B2426"/>
    <w:rsid w:val="009B6888"/>
    <w:rsid w:val="009C0161"/>
    <w:rsid w:val="009C2096"/>
    <w:rsid w:val="009D108D"/>
    <w:rsid w:val="009E1436"/>
    <w:rsid w:val="009E5668"/>
    <w:rsid w:val="00A122CC"/>
    <w:rsid w:val="00A4595D"/>
    <w:rsid w:val="00A815A3"/>
    <w:rsid w:val="00A935FB"/>
    <w:rsid w:val="00AA79E9"/>
    <w:rsid w:val="00AB0A70"/>
    <w:rsid w:val="00B16BFB"/>
    <w:rsid w:val="00B5517F"/>
    <w:rsid w:val="00B63B0F"/>
    <w:rsid w:val="00B7678A"/>
    <w:rsid w:val="00B8289B"/>
    <w:rsid w:val="00BB6BA7"/>
    <w:rsid w:val="00BC094B"/>
    <w:rsid w:val="00BC5D47"/>
    <w:rsid w:val="00C72744"/>
    <w:rsid w:val="00CB2A44"/>
    <w:rsid w:val="00CD3787"/>
    <w:rsid w:val="00D04F62"/>
    <w:rsid w:val="00D1506D"/>
    <w:rsid w:val="00D22171"/>
    <w:rsid w:val="00D245A9"/>
    <w:rsid w:val="00D52480"/>
    <w:rsid w:val="00DA179D"/>
    <w:rsid w:val="00DF3BA8"/>
    <w:rsid w:val="00E60DC2"/>
    <w:rsid w:val="00E80FD9"/>
    <w:rsid w:val="00F00D5E"/>
    <w:rsid w:val="00F546CE"/>
    <w:rsid w:val="00F72CBD"/>
    <w:rsid w:val="00F925D0"/>
    <w:rsid w:val="00FC2A69"/>
    <w:rsid w:val="00FC721E"/>
    <w:rsid w:val="00FD4D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AA5"/>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link w:val="Heading1Char"/>
    <w:uiPriority w:val="9"/>
    <w:qFormat/>
    <w:rsid w:val="00177F1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77F17"/>
    <w:pPr>
      <w:keepNext/>
      <w:keepLines/>
      <w:bidi/>
      <w:spacing w:before="40" w:line="259" w:lineRule="auto"/>
      <w:outlineLvl w:val="1"/>
    </w:pPr>
    <w:rPr>
      <w:rFonts w:asciiTheme="majorHAnsi" w:eastAsiaTheme="majorEastAsia" w:hAnsiTheme="majorHAnsi" w:cstheme="majorBidi"/>
      <w:color w:val="2F5496" w:themeColor="accent1" w:themeShade="BF"/>
      <w:kern w:val="2"/>
      <w:sz w:val="26"/>
      <w:szCs w:val="26"/>
      <w:lang w:val="en-US"/>
      <w14:ligatures w14:val="standardContextual"/>
    </w:rPr>
  </w:style>
  <w:style w:type="paragraph" w:styleId="Heading3">
    <w:name w:val="heading 3"/>
    <w:basedOn w:val="Normal"/>
    <w:next w:val="Normal"/>
    <w:link w:val="Heading3Char"/>
    <w:uiPriority w:val="9"/>
    <w:unhideWhenUsed/>
    <w:qFormat/>
    <w:rsid w:val="00DA179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00D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7F17"/>
    <w:rPr>
      <w:rFonts w:ascii="Times New Roman" w:eastAsia="Times New Roman" w:hAnsi="Times New Roman" w:cs="Times New Roman"/>
      <w:b/>
      <w:bCs/>
      <w:kern w:val="36"/>
      <w:sz w:val="48"/>
      <w:szCs w:val="48"/>
      <w:lang w:val="en-SA"/>
      <w14:ligatures w14:val="none"/>
    </w:rPr>
  </w:style>
  <w:style w:type="character" w:customStyle="1" w:styleId="Heading2Char">
    <w:name w:val="Heading 2 Char"/>
    <w:basedOn w:val="DefaultParagraphFont"/>
    <w:link w:val="Heading2"/>
    <w:uiPriority w:val="9"/>
    <w:semiHidden/>
    <w:rsid w:val="00177F1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177F17"/>
    <w:rPr>
      <w:b/>
      <w:bCs/>
    </w:rPr>
  </w:style>
  <w:style w:type="paragraph" w:customStyle="1" w:styleId="ds-markdown-paragraph">
    <w:name w:val="ds-markdown-paragraph"/>
    <w:basedOn w:val="Normal"/>
    <w:rsid w:val="00DF3BA8"/>
    <w:pPr>
      <w:spacing w:before="100" w:beforeAutospacing="1" w:after="100" w:afterAutospacing="1"/>
    </w:pPr>
  </w:style>
  <w:style w:type="character" w:customStyle="1" w:styleId="Heading3Char">
    <w:name w:val="Heading 3 Char"/>
    <w:basedOn w:val="DefaultParagraphFont"/>
    <w:link w:val="Heading3"/>
    <w:uiPriority w:val="9"/>
    <w:rsid w:val="00DA179D"/>
    <w:rPr>
      <w:rFonts w:asciiTheme="majorHAnsi" w:eastAsiaTheme="majorEastAsia" w:hAnsiTheme="majorHAnsi" w:cstheme="majorBidi"/>
      <w:color w:val="1F3763" w:themeColor="accent1" w:themeShade="7F"/>
      <w:kern w:val="0"/>
      <w:sz w:val="24"/>
      <w:szCs w:val="24"/>
      <w:lang w:val="en-SA"/>
      <w14:ligatures w14:val="none"/>
    </w:rPr>
  </w:style>
  <w:style w:type="character" w:customStyle="1" w:styleId="Heading4Char">
    <w:name w:val="Heading 4 Char"/>
    <w:basedOn w:val="DefaultParagraphFont"/>
    <w:link w:val="Heading4"/>
    <w:uiPriority w:val="9"/>
    <w:semiHidden/>
    <w:rsid w:val="00F00D5E"/>
    <w:rPr>
      <w:rFonts w:asciiTheme="majorHAnsi" w:eastAsiaTheme="majorEastAsia" w:hAnsiTheme="majorHAnsi" w:cstheme="majorBidi"/>
      <w:i/>
      <w:iCs/>
      <w:color w:val="2F5496" w:themeColor="accent1" w:themeShade="BF"/>
      <w:kern w:val="0"/>
      <w:sz w:val="24"/>
      <w:szCs w:val="24"/>
      <w:lang w:val="en-SA"/>
      <w14:ligatures w14:val="none"/>
    </w:rPr>
  </w:style>
  <w:style w:type="table" w:styleId="TableGrid">
    <w:name w:val="Table Grid"/>
    <w:basedOn w:val="TableNormal"/>
    <w:uiPriority w:val="39"/>
    <w:rsid w:val="00A45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4595D"/>
    <w:rPr>
      <w:i/>
      <w:iCs/>
    </w:rPr>
  </w:style>
  <w:style w:type="character" w:styleId="Hyperlink">
    <w:name w:val="Hyperlink"/>
    <w:basedOn w:val="DefaultParagraphFont"/>
    <w:uiPriority w:val="99"/>
    <w:semiHidden/>
    <w:unhideWhenUsed/>
    <w:rsid w:val="006D5121"/>
    <w:rPr>
      <w:color w:val="0000FF"/>
      <w:u w:val="single"/>
    </w:rPr>
  </w:style>
  <w:style w:type="paragraph" w:styleId="NoSpacing">
    <w:name w:val="No Spacing"/>
    <w:uiPriority w:val="1"/>
    <w:qFormat/>
    <w:rsid w:val="00304D83"/>
    <w:pPr>
      <w:spacing w:after="0" w:line="240" w:lineRule="auto"/>
    </w:pPr>
    <w:rPr>
      <w:rFonts w:ascii="Times New Roman" w:eastAsia="Times New Roman" w:hAnsi="Times New Roman" w:cs="Times New Roman"/>
      <w:kern w:val="0"/>
      <w:sz w:val="24"/>
      <w:szCs w:val="24"/>
      <w:lang w:val="en-SA"/>
      <w14:ligatures w14:val="none"/>
    </w:rPr>
  </w:style>
  <w:style w:type="paragraph" w:styleId="ListParagraph">
    <w:name w:val="List Paragraph"/>
    <w:basedOn w:val="Normal"/>
    <w:uiPriority w:val="34"/>
    <w:qFormat/>
    <w:rsid w:val="00F72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0177">
      <w:bodyDiv w:val="1"/>
      <w:marLeft w:val="0"/>
      <w:marRight w:val="0"/>
      <w:marTop w:val="0"/>
      <w:marBottom w:val="0"/>
      <w:divBdr>
        <w:top w:val="none" w:sz="0" w:space="0" w:color="auto"/>
        <w:left w:val="none" w:sz="0" w:space="0" w:color="auto"/>
        <w:bottom w:val="none" w:sz="0" w:space="0" w:color="auto"/>
        <w:right w:val="none" w:sz="0" w:space="0" w:color="auto"/>
      </w:divBdr>
    </w:div>
    <w:div w:id="276177635">
      <w:bodyDiv w:val="1"/>
      <w:marLeft w:val="0"/>
      <w:marRight w:val="0"/>
      <w:marTop w:val="0"/>
      <w:marBottom w:val="0"/>
      <w:divBdr>
        <w:top w:val="none" w:sz="0" w:space="0" w:color="auto"/>
        <w:left w:val="none" w:sz="0" w:space="0" w:color="auto"/>
        <w:bottom w:val="none" w:sz="0" w:space="0" w:color="auto"/>
        <w:right w:val="none" w:sz="0" w:space="0" w:color="auto"/>
      </w:divBdr>
      <w:divsChild>
        <w:div w:id="689181967">
          <w:marLeft w:val="0"/>
          <w:marRight w:val="0"/>
          <w:marTop w:val="0"/>
          <w:marBottom w:val="0"/>
          <w:divBdr>
            <w:top w:val="none" w:sz="0" w:space="0" w:color="auto"/>
            <w:left w:val="none" w:sz="0" w:space="0" w:color="auto"/>
            <w:bottom w:val="none" w:sz="0" w:space="0" w:color="auto"/>
            <w:right w:val="none" w:sz="0" w:space="0" w:color="auto"/>
          </w:divBdr>
        </w:div>
      </w:divsChild>
    </w:div>
    <w:div w:id="322706290">
      <w:bodyDiv w:val="1"/>
      <w:marLeft w:val="0"/>
      <w:marRight w:val="0"/>
      <w:marTop w:val="0"/>
      <w:marBottom w:val="0"/>
      <w:divBdr>
        <w:top w:val="none" w:sz="0" w:space="0" w:color="auto"/>
        <w:left w:val="none" w:sz="0" w:space="0" w:color="auto"/>
        <w:bottom w:val="none" w:sz="0" w:space="0" w:color="auto"/>
        <w:right w:val="none" w:sz="0" w:space="0" w:color="auto"/>
      </w:divBdr>
    </w:div>
    <w:div w:id="591277007">
      <w:bodyDiv w:val="1"/>
      <w:marLeft w:val="0"/>
      <w:marRight w:val="0"/>
      <w:marTop w:val="0"/>
      <w:marBottom w:val="0"/>
      <w:divBdr>
        <w:top w:val="none" w:sz="0" w:space="0" w:color="auto"/>
        <w:left w:val="none" w:sz="0" w:space="0" w:color="auto"/>
        <w:bottom w:val="none" w:sz="0" w:space="0" w:color="auto"/>
        <w:right w:val="none" w:sz="0" w:space="0" w:color="auto"/>
      </w:divBdr>
    </w:div>
    <w:div w:id="645859040">
      <w:bodyDiv w:val="1"/>
      <w:marLeft w:val="0"/>
      <w:marRight w:val="0"/>
      <w:marTop w:val="0"/>
      <w:marBottom w:val="0"/>
      <w:divBdr>
        <w:top w:val="none" w:sz="0" w:space="0" w:color="auto"/>
        <w:left w:val="none" w:sz="0" w:space="0" w:color="auto"/>
        <w:bottom w:val="none" w:sz="0" w:space="0" w:color="auto"/>
        <w:right w:val="none" w:sz="0" w:space="0" w:color="auto"/>
      </w:divBdr>
      <w:divsChild>
        <w:div w:id="2085252335">
          <w:marLeft w:val="0"/>
          <w:marRight w:val="0"/>
          <w:marTop w:val="0"/>
          <w:marBottom w:val="0"/>
          <w:divBdr>
            <w:top w:val="none" w:sz="0" w:space="0" w:color="auto"/>
            <w:left w:val="none" w:sz="0" w:space="0" w:color="auto"/>
            <w:bottom w:val="none" w:sz="0" w:space="0" w:color="auto"/>
            <w:right w:val="none" w:sz="0" w:space="0" w:color="auto"/>
          </w:divBdr>
        </w:div>
      </w:divsChild>
    </w:div>
    <w:div w:id="677122282">
      <w:bodyDiv w:val="1"/>
      <w:marLeft w:val="0"/>
      <w:marRight w:val="0"/>
      <w:marTop w:val="0"/>
      <w:marBottom w:val="0"/>
      <w:divBdr>
        <w:top w:val="none" w:sz="0" w:space="0" w:color="auto"/>
        <w:left w:val="none" w:sz="0" w:space="0" w:color="auto"/>
        <w:bottom w:val="none" w:sz="0" w:space="0" w:color="auto"/>
        <w:right w:val="none" w:sz="0" w:space="0" w:color="auto"/>
      </w:divBdr>
      <w:divsChild>
        <w:div w:id="1022051850">
          <w:marLeft w:val="0"/>
          <w:marRight w:val="0"/>
          <w:marTop w:val="0"/>
          <w:marBottom w:val="0"/>
          <w:divBdr>
            <w:top w:val="none" w:sz="0" w:space="0" w:color="auto"/>
            <w:left w:val="none" w:sz="0" w:space="0" w:color="auto"/>
            <w:bottom w:val="none" w:sz="0" w:space="0" w:color="auto"/>
            <w:right w:val="none" w:sz="0" w:space="0" w:color="auto"/>
          </w:divBdr>
        </w:div>
        <w:div w:id="1737627027">
          <w:marLeft w:val="0"/>
          <w:marRight w:val="0"/>
          <w:marTop w:val="0"/>
          <w:marBottom w:val="0"/>
          <w:divBdr>
            <w:top w:val="none" w:sz="0" w:space="0" w:color="auto"/>
            <w:left w:val="none" w:sz="0" w:space="0" w:color="auto"/>
            <w:bottom w:val="none" w:sz="0" w:space="0" w:color="auto"/>
            <w:right w:val="none" w:sz="0" w:space="0" w:color="auto"/>
          </w:divBdr>
        </w:div>
        <w:div w:id="230696387">
          <w:marLeft w:val="0"/>
          <w:marRight w:val="0"/>
          <w:marTop w:val="0"/>
          <w:marBottom w:val="0"/>
          <w:divBdr>
            <w:top w:val="none" w:sz="0" w:space="0" w:color="auto"/>
            <w:left w:val="none" w:sz="0" w:space="0" w:color="auto"/>
            <w:bottom w:val="none" w:sz="0" w:space="0" w:color="auto"/>
            <w:right w:val="none" w:sz="0" w:space="0" w:color="auto"/>
          </w:divBdr>
        </w:div>
        <w:div w:id="595409913">
          <w:marLeft w:val="0"/>
          <w:marRight w:val="0"/>
          <w:marTop w:val="0"/>
          <w:marBottom w:val="0"/>
          <w:divBdr>
            <w:top w:val="none" w:sz="0" w:space="0" w:color="auto"/>
            <w:left w:val="none" w:sz="0" w:space="0" w:color="auto"/>
            <w:bottom w:val="none" w:sz="0" w:space="0" w:color="auto"/>
            <w:right w:val="none" w:sz="0" w:space="0" w:color="auto"/>
          </w:divBdr>
        </w:div>
        <w:div w:id="1423381474">
          <w:marLeft w:val="0"/>
          <w:marRight w:val="0"/>
          <w:marTop w:val="0"/>
          <w:marBottom w:val="0"/>
          <w:divBdr>
            <w:top w:val="none" w:sz="0" w:space="0" w:color="auto"/>
            <w:left w:val="none" w:sz="0" w:space="0" w:color="auto"/>
            <w:bottom w:val="none" w:sz="0" w:space="0" w:color="auto"/>
            <w:right w:val="none" w:sz="0" w:space="0" w:color="auto"/>
          </w:divBdr>
        </w:div>
      </w:divsChild>
    </w:div>
    <w:div w:id="1101221481">
      <w:bodyDiv w:val="1"/>
      <w:marLeft w:val="0"/>
      <w:marRight w:val="0"/>
      <w:marTop w:val="0"/>
      <w:marBottom w:val="0"/>
      <w:divBdr>
        <w:top w:val="none" w:sz="0" w:space="0" w:color="auto"/>
        <w:left w:val="none" w:sz="0" w:space="0" w:color="auto"/>
        <w:bottom w:val="none" w:sz="0" w:space="0" w:color="auto"/>
        <w:right w:val="none" w:sz="0" w:space="0" w:color="auto"/>
      </w:divBdr>
    </w:div>
    <w:div w:id="1381057631">
      <w:bodyDiv w:val="1"/>
      <w:marLeft w:val="0"/>
      <w:marRight w:val="0"/>
      <w:marTop w:val="0"/>
      <w:marBottom w:val="0"/>
      <w:divBdr>
        <w:top w:val="none" w:sz="0" w:space="0" w:color="auto"/>
        <w:left w:val="none" w:sz="0" w:space="0" w:color="auto"/>
        <w:bottom w:val="none" w:sz="0" w:space="0" w:color="auto"/>
        <w:right w:val="none" w:sz="0" w:space="0" w:color="auto"/>
      </w:divBdr>
      <w:divsChild>
        <w:div w:id="108596310">
          <w:marLeft w:val="0"/>
          <w:marRight w:val="0"/>
          <w:marTop w:val="0"/>
          <w:marBottom w:val="0"/>
          <w:divBdr>
            <w:top w:val="none" w:sz="0" w:space="0" w:color="auto"/>
            <w:left w:val="none" w:sz="0" w:space="0" w:color="auto"/>
            <w:bottom w:val="none" w:sz="0" w:space="0" w:color="auto"/>
            <w:right w:val="none" w:sz="0" w:space="0" w:color="auto"/>
          </w:divBdr>
        </w:div>
        <w:div w:id="347757316">
          <w:marLeft w:val="0"/>
          <w:marRight w:val="0"/>
          <w:marTop w:val="0"/>
          <w:marBottom w:val="0"/>
          <w:divBdr>
            <w:top w:val="none" w:sz="0" w:space="0" w:color="auto"/>
            <w:left w:val="none" w:sz="0" w:space="0" w:color="auto"/>
            <w:bottom w:val="none" w:sz="0" w:space="0" w:color="auto"/>
            <w:right w:val="none" w:sz="0" w:space="0" w:color="auto"/>
          </w:divBdr>
        </w:div>
      </w:divsChild>
    </w:div>
    <w:div w:id="1401830136">
      <w:bodyDiv w:val="1"/>
      <w:marLeft w:val="0"/>
      <w:marRight w:val="0"/>
      <w:marTop w:val="0"/>
      <w:marBottom w:val="0"/>
      <w:divBdr>
        <w:top w:val="none" w:sz="0" w:space="0" w:color="auto"/>
        <w:left w:val="none" w:sz="0" w:space="0" w:color="auto"/>
        <w:bottom w:val="none" w:sz="0" w:space="0" w:color="auto"/>
        <w:right w:val="none" w:sz="0" w:space="0" w:color="auto"/>
      </w:divBdr>
    </w:div>
    <w:div w:id="1447235821">
      <w:bodyDiv w:val="1"/>
      <w:marLeft w:val="0"/>
      <w:marRight w:val="0"/>
      <w:marTop w:val="0"/>
      <w:marBottom w:val="0"/>
      <w:divBdr>
        <w:top w:val="none" w:sz="0" w:space="0" w:color="auto"/>
        <w:left w:val="none" w:sz="0" w:space="0" w:color="auto"/>
        <w:bottom w:val="none" w:sz="0" w:space="0" w:color="auto"/>
        <w:right w:val="none" w:sz="0" w:space="0" w:color="auto"/>
      </w:divBdr>
      <w:divsChild>
        <w:div w:id="1165584844">
          <w:marLeft w:val="0"/>
          <w:marRight w:val="0"/>
          <w:marTop w:val="0"/>
          <w:marBottom w:val="0"/>
          <w:divBdr>
            <w:top w:val="none" w:sz="0" w:space="0" w:color="auto"/>
            <w:left w:val="none" w:sz="0" w:space="0" w:color="auto"/>
            <w:bottom w:val="none" w:sz="0" w:space="0" w:color="auto"/>
            <w:right w:val="none" w:sz="0" w:space="0" w:color="auto"/>
          </w:divBdr>
        </w:div>
        <w:div w:id="845753306">
          <w:marLeft w:val="0"/>
          <w:marRight w:val="0"/>
          <w:marTop w:val="0"/>
          <w:marBottom w:val="0"/>
          <w:divBdr>
            <w:top w:val="none" w:sz="0" w:space="0" w:color="auto"/>
            <w:left w:val="none" w:sz="0" w:space="0" w:color="auto"/>
            <w:bottom w:val="none" w:sz="0" w:space="0" w:color="auto"/>
            <w:right w:val="none" w:sz="0" w:space="0" w:color="auto"/>
          </w:divBdr>
        </w:div>
        <w:div w:id="1100220512">
          <w:marLeft w:val="0"/>
          <w:marRight w:val="0"/>
          <w:marTop w:val="0"/>
          <w:marBottom w:val="0"/>
          <w:divBdr>
            <w:top w:val="none" w:sz="0" w:space="0" w:color="auto"/>
            <w:left w:val="none" w:sz="0" w:space="0" w:color="auto"/>
            <w:bottom w:val="none" w:sz="0" w:space="0" w:color="auto"/>
            <w:right w:val="none" w:sz="0" w:space="0" w:color="auto"/>
          </w:divBdr>
        </w:div>
      </w:divsChild>
    </w:div>
    <w:div w:id="1638534437">
      <w:bodyDiv w:val="1"/>
      <w:marLeft w:val="0"/>
      <w:marRight w:val="0"/>
      <w:marTop w:val="0"/>
      <w:marBottom w:val="0"/>
      <w:divBdr>
        <w:top w:val="none" w:sz="0" w:space="0" w:color="auto"/>
        <w:left w:val="none" w:sz="0" w:space="0" w:color="auto"/>
        <w:bottom w:val="none" w:sz="0" w:space="0" w:color="auto"/>
        <w:right w:val="none" w:sz="0" w:space="0" w:color="auto"/>
      </w:divBdr>
    </w:div>
    <w:div w:id="1655335361">
      <w:bodyDiv w:val="1"/>
      <w:marLeft w:val="0"/>
      <w:marRight w:val="0"/>
      <w:marTop w:val="0"/>
      <w:marBottom w:val="0"/>
      <w:divBdr>
        <w:top w:val="none" w:sz="0" w:space="0" w:color="auto"/>
        <w:left w:val="none" w:sz="0" w:space="0" w:color="auto"/>
        <w:bottom w:val="none" w:sz="0" w:space="0" w:color="auto"/>
        <w:right w:val="none" w:sz="0" w:space="0" w:color="auto"/>
      </w:divBdr>
      <w:divsChild>
        <w:div w:id="1279995206">
          <w:marLeft w:val="0"/>
          <w:marRight w:val="0"/>
          <w:marTop w:val="0"/>
          <w:marBottom w:val="0"/>
          <w:divBdr>
            <w:top w:val="none" w:sz="0" w:space="0" w:color="auto"/>
            <w:left w:val="none" w:sz="0" w:space="0" w:color="auto"/>
            <w:bottom w:val="none" w:sz="0" w:space="0" w:color="auto"/>
            <w:right w:val="none" w:sz="0" w:space="0" w:color="auto"/>
          </w:divBdr>
        </w:div>
      </w:divsChild>
    </w:div>
    <w:div w:id="1732073520">
      <w:bodyDiv w:val="1"/>
      <w:marLeft w:val="0"/>
      <w:marRight w:val="0"/>
      <w:marTop w:val="0"/>
      <w:marBottom w:val="0"/>
      <w:divBdr>
        <w:top w:val="none" w:sz="0" w:space="0" w:color="auto"/>
        <w:left w:val="none" w:sz="0" w:space="0" w:color="auto"/>
        <w:bottom w:val="none" w:sz="0" w:space="0" w:color="auto"/>
        <w:right w:val="none" w:sz="0" w:space="0" w:color="auto"/>
      </w:divBdr>
    </w:div>
    <w:div w:id="1855604657">
      <w:bodyDiv w:val="1"/>
      <w:marLeft w:val="0"/>
      <w:marRight w:val="0"/>
      <w:marTop w:val="0"/>
      <w:marBottom w:val="0"/>
      <w:divBdr>
        <w:top w:val="none" w:sz="0" w:space="0" w:color="auto"/>
        <w:left w:val="none" w:sz="0" w:space="0" w:color="auto"/>
        <w:bottom w:val="none" w:sz="0" w:space="0" w:color="auto"/>
        <w:right w:val="none" w:sz="0" w:space="0" w:color="auto"/>
      </w:divBdr>
    </w:div>
    <w:div w:id="1918244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doi.org/10.31222/osf.io/8gu5z"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456EB2-986F-AB47-8813-67B152DE2BD0}" type="doc">
      <dgm:prSet loTypeId="urn:microsoft.com/office/officeart/2005/8/layout/process1" loCatId="" qsTypeId="urn:microsoft.com/office/officeart/2005/8/quickstyle/simple1" qsCatId="simple" csTypeId="urn:microsoft.com/office/officeart/2005/8/colors/accent1_2" csCatId="accent1" phldr="1"/>
      <dgm:spPr/>
    </dgm:pt>
    <dgm:pt modelId="{CAB0D31B-C44A-F342-B835-2AF8DA217423}">
      <dgm:prSet phldrT="[Text]"/>
      <dgm:spPr/>
      <dgm:t>
        <a:bodyPr/>
        <a:lstStyle/>
        <a:p>
          <a:r>
            <a:rPr lang="ar-SA"/>
            <a:t>إدارة الموارد البشرية</a:t>
          </a:r>
          <a:endParaRPr lang="en-US"/>
        </a:p>
      </dgm:t>
    </dgm:pt>
    <dgm:pt modelId="{FA91CDD7-59D1-5640-B2C9-3623048C7376}" type="parTrans" cxnId="{615B97B4-5D69-9844-B944-9734F38D4A64}">
      <dgm:prSet/>
      <dgm:spPr/>
      <dgm:t>
        <a:bodyPr/>
        <a:lstStyle/>
        <a:p>
          <a:endParaRPr lang="en-US"/>
        </a:p>
      </dgm:t>
    </dgm:pt>
    <dgm:pt modelId="{A77F3457-A33D-F544-9F40-D15C4E743F3A}" type="sibTrans" cxnId="{615B97B4-5D69-9844-B944-9734F38D4A64}">
      <dgm:prSet/>
      <dgm:spPr/>
      <dgm:t>
        <a:bodyPr/>
        <a:lstStyle/>
        <a:p>
          <a:endParaRPr lang="en-US"/>
        </a:p>
      </dgm:t>
    </dgm:pt>
    <dgm:pt modelId="{BDDC2CD1-3B84-1343-B37B-17D57F37157A}">
      <dgm:prSet phldrT="[Text]"/>
      <dgm:spPr/>
      <dgm:t>
        <a:bodyPr/>
        <a:lstStyle/>
        <a:p>
          <a:r>
            <a:rPr lang="ar-SA"/>
            <a:t>الاحتفاظ بالكادر الطبي</a:t>
          </a:r>
          <a:endParaRPr lang="en-US"/>
        </a:p>
      </dgm:t>
    </dgm:pt>
    <dgm:pt modelId="{191552C8-0FF2-D747-AEDF-FEF8DEFC123B}" type="parTrans" cxnId="{5B73B749-C5E6-3D4C-BC15-4C4F08979316}">
      <dgm:prSet/>
      <dgm:spPr/>
      <dgm:t>
        <a:bodyPr/>
        <a:lstStyle/>
        <a:p>
          <a:endParaRPr lang="en-US"/>
        </a:p>
      </dgm:t>
    </dgm:pt>
    <dgm:pt modelId="{EA5F6E4D-741D-0E45-B30E-B463422F26E7}" type="sibTrans" cxnId="{5B73B749-C5E6-3D4C-BC15-4C4F08979316}">
      <dgm:prSet/>
      <dgm:spPr/>
      <dgm:t>
        <a:bodyPr/>
        <a:lstStyle/>
        <a:p>
          <a:endParaRPr lang="en-US"/>
        </a:p>
      </dgm:t>
    </dgm:pt>
    <dgm:pt modelId="{6EF166DB-4BEB-174D-9972-57B85FA15D72}">
      <dgm:prSet phldrT="[Text]"/>
      <dgm:spPr/>
      <dgm:t>
        <a:bodyPr/>
        <a:lstStyle/>
        <a:p>
          <a:r>
            <a:rPr lang="ar-SA"/>
            <a:t>جودة الرعاية الصحية</a:t>
          </a:r>
          <a:endParaRPr lang="en-US"/>
        </a:p>
      </dgm:t>
    </dgm:pt>
    <dgm:pt modelId="{D0B90291-EEBF-034B-B63E-B508B851A6AD}" type="parTrans" cxnId="{578B81CC-0D29-874C-9B9C-EF336847EA9A}">
      <dgm:prSet/>
      <dgm:spPr/>
      <dgm:t>
        <a:bodyPr/>
        <a:lstStyle/>
        <a:p>
          <a:endParaRPr lang="en-US"/>
        </a:p>
      </dgm:t>
    </dgm:pt>
    <dgm:pt modelId="{9B334E5D-3059-774B-92C0-59F39EAE8746}" type="sibTrans" cxnId="{578B81CC-0D29-874C-9B9C-EF336847EA9A}">
      <dgm:prSet/>
      <dgm:spPr/>
      <dgm:t>
        <a:bodyPr/>
        <a:lstStyle/>
        <a:p>
          <a:endParaRPr lang="en-US"/>
        </a:p>
      </dgm:t>
    </dgm:pt>
    <dgm:pt modelId="{17D70F92-5E37-954B-8C56-522E2EABF1E0}" type="pres">
      <dgm:prSet presAssocID="{4A456EB2-986F-AB47-8813-67B152DE2BD0}" presName="Name0" presStyleCnt="0">
        <dgm:presLayoutVars>
          <dgm:dir val="rev"/>
          <dgm:resizeHandles val="exact"/>
        </dgm:presLayoutVars>
      </dgm:prSet>
      <dgm:spPr/>
    </dgm:pt>
    <dgm:pt modelId="{8B97713B-142F-E949-8A6A-23DEEA63CE3F}" type="pres">
      <dgm:prSet presAssocID="{CAB0D31B-C44A-F342-B835-2AF8DA217423}" presName="node" presStyleLbl="node1" presStyleIdx="0" presStyleCnt="3">
        <dgm:presLayoutVars>
          <dgm:bulletEnabled val="1"/>
        </dgm:presLayoutVars>
      </dgm:prSet>
      <dgm:spPr/>
    </dgm:pt>
    <dgm:pt modelId="{9127A1F7-5F1C-DD45-B817-F8FEB1DA7D0A}" type="pres">
      <dgm:prSet presAssocID="{A77F3457-A33D-F544-9F40-D15C4E743F3A}" presName="sibTrans" presStyleLbl="sibTrans2D1" presStyleIdx="0" presStyleCnt="2"/>
      <dgm:spPr/>
    </dgm:pt>
    <dgm:pt modelId="{35FA1D52-457B-AA42-9A56-1AFCA10B5279}" type="pres">
      <dgm:prSet presAssocID="{A77F3457-A33D-F544-9F40-D15C4E743F3A}" presName="connectorText" presStyleLbl="sibTrans2D1" presStyleIdx="0" presStyleCnt="2"/>
      <dgm:spPr/>
    </dgm:pt>
    <dgm:pt modelId="{DD88C551-865E-2145-B8F4-DDC810FC9463}" type="pres">
      <dgm:prSet presAssocID="{BDDC2CD1-3B84-1343-B37B-17D57F37157A}" presName="node" presStyleLbl="node1" presStyleIdx="1" presStyleCnt="3">
        <dgm:presLayoutVars>
          <dgm:bulletEnabled val="1"/>
        </dgm:presLayoutVars>
      </dgm:prSet>
      <dgm:spPr/>
    </dgm:pt>
    <dgm:pt modelId="{CBA918C0-E14B-A941-9B13-BC6DC25C55DE}" type="pres">
      <dgm:prSet presAssocID="{EA5F6E4D-741D-0E45-B30E-B463422F26E7}" presName="sibTrans" presStyleLbl="sibTrans2D1" presStyleIdx="1" presStyleCnt="2"/>
      <dgm:spPr/>
    </dgm:pt>
    <dgm:pt modelId="{E4DFB64A-1392-2B4F-AA80-63AB1F759C5B}" type="pres">
      <dgm:prSet presAssocID="{EA5F6E4D-741D-0E45-B30E-B463422F26E7}" presName="connectorText" presStyleLbl="sibTrans2D1" presStyleIdx="1" presStyleCnt="2"/>
      <dgm:spPr/>
    </dgm:pt>
    <dgm:pt modelId="{F2A096E4-282E-4249-A12C-4616B66344DD}" type="pres">
      <dgm:prSet presAssocID="{6EF166DB-4BEB-174D-9972-57B85FA15D72}" presName="node" presStyleLbl="node1" presStyleIdx="2" presStyleCnt="3">
        <dgm:presLayoutVars>
          <dgm:bulletEnabled val="1"/>
        </dgm:presLayoutVars>
      </dgm:prSet>
      <dgm:spPr/>
    </dgm:pt>
  </dgm:ptLst>
  <dgm:cxnLst>
    <dgm:cxn modelId="{5B73B749-C5E6-3D4C-BC15-4C4F08979316}" srcId="{4A456EB2-986F-AB47-8813-67B152DE2BD0}" destId="{BDDC2CD1-3B84-1343-B37B-17D57F37157A}" srcOrd="1" destOrd="0" parTransId="{191552C8-0FF2-D747-AEDF-FEF8DEFC123B}" sibTransId="{EA5F6E4D-741D-0E45-B30E-B463422F26E7}"/>
    <dgm:cxn modelId="{4B4D4D50-1341-044D-B5F4-A541274A25BE}" type="presOf" srcId="{CAB0D31B-C44A-F342-B835-2AF8DA217423}" destId="{8B97713B-142F-E949-8A6A-23DEEA63CE3F}" srcOrd="0" destOrd="0" presId="urn:microsoft.com/office/officeart/2005/8/layout/process1"/>
    <dgm:cxn modelId="{C4999D55-7AD3-C74B-A125-B567F1D03874}" type="presOf" srcId="{EA5F6E4D-741D-0E45-B30E-B463422F26E7}" destId="{E4DFB64A-1392-2B4F-AA80-63AB1F759C5B}" srcOrd="1" destOrd="0" presId="urn:microsoft.com/office/officeart/2005/8/layout/process1"/>
    <dgm:cxn modelId="{8E572D8D-3902-6A47-BF9E-A6EFF689483E}" type="presOf" srcId="{EA5F6E4D-741D-0E45-B30E-B463422F26E7}" destId="{CBA918C0-E14B-A941-9B13-BC6DC25C55DE}" srcOrd="0" destOrd="0" presId="urn:microsoft.com/office/officeart/2005/8/layout/process1"/>
    <dgm:cxn modelId="{F651BC93-9F2E-0241-B397-65C83352EB6F}" type="presOf" srcId="{4A456EB2-986F-AB47-8813-67B152DE2BD0}" destId="{17D70F92-5E37-954B-8C56-522E2EABF1E0}" srcOrd="0" destOrd="0" presId="urn:microsoft.com/office/officeart/2005/8/layout/process1"/>
    <dgm:cxn modelId="{615B97B4-5D69-9844-B944-9734F38D4A64}" srcId="{4A456EB2-986F-AB47-8813-67B152DE2BD0}" destId="{CAB0D31B-C44A-F342-B835-2AF8DA217423}" srcOrd="0" destOrd="0" parTransId="{FA91CDD7-59D1-5640-B2C9-3623048C7376}" sibTransId="{A77F3457-A33D-F544-9F40-D15C4E743F3A}"/>
    <dgm:cxn modelId="{22C235BE-98F3-3C49-9DF6-49D323514533}" type="presOf" srcId="{A77F3457-A33D-F544-9F40-D15C4E743F3A}" destId="{9127A1F7-5F1C-DD45-B817-F8FEB1DA7D0A}" srcOrd="0" destOrd="0" presId="urn:microsoft.com/office/officeart/2005/8/layout/process1"/>
    <dgm:cxn modelId="{578B81CC-0D29-874C-9B9C-EF336847EA9A}" srcId="{4A456EB2-986F-AB47-8813-67B152DE2BD0}" destId="{6EF166DB-4BEB-174D-9972-57B85FA15D72}" srcOrd="2" destOrd="0" parTransId="{D0B90291-EEBF-034B-B63E-B508B851A6AD}" sibTransId="{9B334E5D-3059-774B-92C0-59F39EAE8746}"/>
    <dgm:cxn modelId="{F14966E2-E767-034B-99AE-7D95B4D18D6B}" type="presOf" srcId="{6EF166DB-4BEB-174D-9972-57B85FA15D72}" destId="{F2A096E4-282E-4249-A12C-4616B66344DD}" srcOrd="0" destOrd="0" presId="urn:microsoft.com/office/officeart/2005/8/layout/process1"/>
    <dgm:cxn modelId="{9629A6E7-D724-964C-B2F7-CE77B45E0157}" type="presOf" srcId="{A77F3457-A33D-F544-9F40-D15C4E743F3A}" destId="{35FA1D52-457B-AA42-9A56-1AFCA10B5279}" srcOrd="1" destOrd="0" presId="urn:microsoft.com/office/officeart/2005/8/layout/process1"/>
    <dgm:cxn modelId="{57B850FA-D0FF-5E49-A4A7-87E396873C25}" type="presOf" srcId="{BDDC2CD1-3B84-1343-B37B-17D57F37157A}" destId="{DD88C551-865E-2145-B8F4-DDC810FC9463}" srcOrd="0" destOrd="0" presId="urn:microsoft.com/office/officeart/2005/8/layout/process1"/>
    <dgm:cxn modelId="{E5C1977B-3697-2046-81C5-9AD1A9370D0F}" type="presParOf" srcId="{17D70F92-5E37-954B-8C56-522E2EABF1E0}" destId="{8B97713B-142F-E949-8A6A-23DEEA63CE3F}" srcOrd="0" destOrd="0" presId="urn:microsoft.com/office/officeart/2005/8/layout/process1"/>
    <dgm:cxn modelId="{91521285-4E9D-544D-B780-14619C108B02}" type="presParOf" srcId="{17D70F92-5E37-954B-8C56-522E2EABF1E0}" destId="{9127A1F7-5F1C-DD45-B817-F8FEB1DA7D0A}" srcOrd="1" destOrd="0" presId="urn:microsoft.com/office/officeart/2005/8/layout/process1"/>
    <dgm:cxn modelId="{538A34B4-A4F1-4545-8788-BC43676FD748}" type="presParOf" srcId="{9127A1F7-5F1C-DD45-B817-F8FEB1DA7D0A}" destId="{35FA1D52-457B-AA42-9A56-1AFCA10B5279}" srcOrd="0" destOrd="0" presId="urn:microsoft.com/office/officeart/2005/8/layout/process1"/>
    <dgm:cxn modelId="{71D3828A-4D2D-004E-B9CB-8DD673F0965C}" type="presParOf" srcId="{17D70F92-5E37-954B-8C56-522E2EABF1E0}" destId="{DD88C551-865E-2145-B8F4-DDC810FC9463}" srcOrd="2" destOrd="0" presId="urn:microsoft.com/office/officeart/2005/8/layout/process1"/>
    <dgm:cxn modelId="{A8D12085-35BF-AA4C-B072-31B070E300A4}" type="presParOf" srcId="{17D70F92-5E37-954B-8C56-522E2EABF1E0}" destId="{CBA918C0-E14B-A941-9B13-BC6DC25C55DE}" srcOrd="3" destOrd="0" presId="urn:microsoft.com/office/officeart/2005/8/layout/process1"/>
    <dgm:cxn modelId="{8469F89A-579A-124E-A347-D9D2EB38EE6D}" type="presParOf" srcId="{CBA918C0-E14B-A941-9B13-BC6DC25C55DE}" destId="{E4DFB64A-1392-2B4F-AA80-63AB1F759C5B}" srcOrd="0" destOrd="0" presId="urn:microsoft.com/office/officeart/2005/8/layout/process1"/>
    <dgm:cxn modelId="{8E1F2E42-FC54-424F-B5D5-FD028ED9F64E}" type="presParOf" srcId="{17D70F92-5E37-954B-8C56-522E2EABF1E0}" destId="{F2A096E4-282E-4249-A12C-4616B66344DD}" srcOrd="4" destOrd="0" presId="urn:microsoft.com/office/officeart/2005/8/layout/process1"/>
  </dgm:cxnLst>
  <dgm:bg>
    <a:noFill/>
  </dgm:bg>
  <dgm:whole>
    <a:ln>
      <a:no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A456EB2-986F-AB47-8813-67B152DE2BD0}" type="doc">
      <dgm:prSet loTypeId="urn:microsoft.com/office/officeart/2005/8/layout/process1" loCatId="" qsTypeId="urn:microsoft.com/office/officeart/2005/8/quickstyle/simple1" qsCatId="simple" csTypeId="urn:microsoft.com/office/officeart/2005/8/colors/accent1_2" csCatId="accent1" phldr="1"/>
      <dgm:spPr/>
    </dgm:pt>
    <dgm:pt modelId="{CAB0D31B-C44A-F342-B835-2AF8DA217423}">
      <dgm:prSet phldrT="[Text]"/>
      <dgm:spPr/>
      <dgm:t>
        <a:bodyPr/>
        <a:lstStyle/>
        <a:p>
          <a:r>
            <a:rPr lang="ar-SA"/>
            <a:t>عوامل معدلة</a:t>
          </a:r>
        </a:p>
        <a:p>
          <a:r>
            <a:rPr lang="ar-SA"/>
            <a:t>السياق / نوع المستشفى</a:t>
          </a:r>
          <a:endParaRPr lang="en-US"/>
        </a:p>
      </dgm:t>
    </dgm:pt>
    <dgm:pt modelId="{FA91CDD7-59D1-5640-B2C9-3623048C7376}" type="parTrans" cxnId="{615B97B4-5D69-9844-B944-9734F38D4A64}">
      <dgm:prSet/>
      <dgm:spPr/>
      <dgm:t>
        <a:bodyPr/>
        <a:lstStyle/>
        <a:p>
          <a:endParaRPr lang="en-US"/>
        </a:p>
      </dgm:t>
    </dgm:pt>
    <dgm:pt modelId="{A77F3457-A33D-F544-9F40-D15C4E743F3A}" type="sibTrans" cxnId="{615B97B4-5D69-9844-B944-9734F38D4A64}">
      <dgm:prSet/>
      <dgm:spPr/>
      <dgm:t>
        <a:bodyPr/>
        <a:lstStyle/>
        <a:p>
          <a:endParaRPr lang="en-US"/>
        </a:p>
      </dgm:t>
    </dgm:pt>
    <dgm:pt modelId="{BDDC2CD1-3B84-1343-B37B-17D57F37157A}">
      <dgm:prSet phldrT="[Text]"/>
      <dgm:spPr/>
      <dgm:t>
        <a:bodyPr/>
        <a:lstStyle/>
        <a:p>
          <a:r>
            <a:rPr lang="ar-SA"/>
            <a:t>عوامل فردية / تنظيمية</a:t>
          </a:r>
          <a:endParaRPr lang="en-US"/>
        </a:p>
      </dgm:t>
    </dgm:pt>
    <dgm:pt modelId="{191552C8-0FF2-D747-AEDF-FEF8DEFC123B}" type="parTrans" cxnId="{5B73B749-C5E6-3D4C-BC15-4C4F08979316}">
      <dgm:prSet/>
      <dgm:spPr/>
      <dgm:t>
        <a:bodyPr/>
        <a:lstStyle/>
        <a:p>
          <a:endParaRPr lang="en-US"/>
        </a:p>
      </dgm:t>
    </dgm:pt>
    <dgm:pt modelId="{EA5F6E4D-741D-0E45-B30E-B463422F26E7}" type="sibTrans" cxnId="{5B73B749-C5E6-3D4C-BC15-4C4F08979316}">
      <dgm:prSet/>
      <dgm:spPr/>
      <dgm:t>
        <a:bodyPr/>
        <a:lstStyle/>
        <a:p>
          <a:endParaRPr lang="en-US"/>
        </a:p>
      </dgm:t>
    </dgm:pt>
    <dgm:pt modelId="{6EF166DB-4BEB-174D-9972-57B85FA15D72}">
      <dgm:prSet phldrT="[Text]"/>
      <dgm:spPr/>
      <dgm:t>
        <a:bodyPr/>
        <a:lstStyle/>
        <a:p>
          <a:r>
            <a:rPr lang="ar-SA"/>
            <a:t>مؤشرات العملية</a:t>
          </a:r>
          <a:endParaRPr lang="en-US"/>
        </a:p>
      </dgm:t>
    </dgm:pt>
    <dgm:pt modelId="{D0B90291-EEBF-034B-B63E-B508B851A6AD}" type="parTrans" cxnId="{578B81CC-0D29-874C-9B9C-EF336847EA9A}">
      <dgm:prSet/>
      <dgm:spPr/>
      <dgm:t>
        <a:bodyPr/>
        <a:lstStyle/>
        <a:p>
          <a:endParaRPr lang="en-US"/>
        </a:p>
      </dgm:t>
    </dgm:pt>
    <dgm:pt modelId="{9B334E5D-3059-774B-92C0-59F39EAE8746}" type="sibTrans" cxnId="{578B81CC-0D29-874C-9B9C-EF336847EA9A}">
      <dgm:prSet/>
      <dgm:spPr/>
      <dgm:t>
        <a:bodyPr/>
        <a:lstStyle/>
        <a:p>
          <a:endParaRPr lang="en-US"/>
        </a:p>
      </dgm:t>
    </dgm:pt>
    <dgm:pt modelId="{17D70F92-5E37-954B-8C56-522E2EABF1E0}" type="pres">
      <dgm:prSet presAssocID="{4A456EB2-986F-AB47-8813-67B152DE2BD0}" presName="Name0" presStyleCnt="0">
        <dgm:presLayoutVars>
          <dgm:dir val="rev"/>
          <dgm:resizeHandles val="exact"/>
        </dgm:presLayoutVars>
      </dgm:prSet>
      <dgm:spPr/>
    </dgm:pt>
    <dgm:pt modelId="{8B97713B-142F-E949-8A6A-23DEEA63CE3F}" type="pres">
      <dgm:prSet presAssocID="{CAB0D31B-C44A-F342-B835-2AF8DA217423}" presName="node" presStyleLbl="node1" presStyleIdx="0" presStyleCnt="3">
        <dgm:presLayoutVars>
          <dgm:bulletEnabled val="1"/>
        </dgm:presLayoutVars>
      </dgm:prSet>
      <dgm:spPr/>
    </dgm:pt>
    <dgm:pt modelId="{9127A1F7-5F1C-DD45-B817-F8FEB1DA7D0A}" type="pres">
      <dgm:prSet presAssocID="{A77F3457-A33D-F544-9F40-D15C4E743F3A}" presName="sibTrans" presStyleLbl="sibTrans2D1" presStyleIdx="0" presStyleCnt="2"/>
      <dgm:spPr/>
    </dgm:pt>
    <dgm:pt modelId="{35FA1D52-457B-AA42-9A56-1AFCA10B5279}" type="pres">
      <dgm:prSet presAssocID="{A77F3457-A33D-F544-9F40-D15C4E743F3A}" presName="connectorText" presStyleLbl="sibTrans2D1" presStyleIdx="0" presStyleCnt="2"/>
      <dgm:spPr/>
    </dgm:pt>
    <dgm:pt modelId="{DD88C551-865E-2145-B8F4-DDC810FC9463}" type="pres">
      <dgm:prSet presAssocID="{BDDC2CD1-3B84-1343-B37B-17D57F37157A}" presName="node" presStyleLbl="node1" presStyleIdx="1" presStyleCnt="3">
        <dgm:presLayoutVars>
          <dgm:bulletEnabled val="1"/>
        </dgm:presLayoutVars>
      </dgm:prSet>
      <dgm:spPr/>
    </dgm:pt>
    <dgm:pt modelId="{CBA918C0-E14B-A941-9B13-BC6DC25C55DE}" type="pres">
      <dgm:prSet presAssocID="{EA5F6E4D-741D-0E45-B30E-B463422F26E7}" presName="sibTrans" presStyleLbl="sibTrans2D1" presStyleIdx="1" presStyleCnt="2"/>
      <dgm:spPr/>
    </dgm:pt>
    <dgm:pt modelId="{E4DFB64A-1392-2B4F-AA80-63AB1F759C5B}" type="pres">
      <dgm:prSet presAssocID="{EA5F6E4D-741D-0E45-B30E-B463422F26E7}" presName="connectorText" presStyleLbl="sibTrans2D1" presStyleIdx="1" presStyleCnt="2"/>
      <dgm:spPr/>
    </dgm:pt>
    <dgm:pt modelId="{F2A096E4-282E-4249-A12C-4616B66344DD}" type="pres">
      <dgm:prSet presAssocID="{6EF166DB-4BEB-174D-9972-57B85FA15D72}" presName="node" presStyleLbl="node1" presStyleIdx="2" presStyleCnt="3">
        <dgm:presLayoutVars>
          <dgm:bulletEnabled val="1"/>
        </dgm:presLayoutVars>
      </dgm:prSet>
      <dgm:spPr/>
    </dgm:pt>
  </dgm:ptLst>
  <dgm:cxnLst>
    <dgm:cxn modelId="{5B73B749-C5E6-3D4C-BC15-4C4F08979316}" srcId="{4A456EB2-986F-AB47-8813-67B152DE2BD0}" destId="{BDDC2CD1-3B84-1343-B37B-17D57F37157A}" srcOrd="1" destOrd="0" parTransId="{191552C8-0FF2-D747-AEDF-FEF8DEFC123B}" sibTransId="{EA5F6E4D-741D-0E45-B30E-B463422F26E7}"/>
    <dgm:cxn modelId="{4B4D4D50-1341-044D-B5F4-A541274A25BE}" type="presOf" srcId="{CAB0D31B-C44A-F342-B835-2AF8DA217423}" destId="{8B97713B-142F-E949-8A6A-23DEEA63CE3F}" srcOrd="0" destOrd="0" presId="urn:microsoft.com/office/officeart/2005/8/layout/process1"/>
    <dgm:cxn modelId="{C4999D55-7AD3-C74B-A125-B567F1D03874}" type="presOf" srcId="{EA5F6E4D-741D-0E45-B30E-B463422F26E7}" destId="{E4DFB64A-1392-2B4F-AA80-63AB1F759C5B}" srcOrd="1" destOrd="0" presId="urn:microsoft.com/office/officeart/2005/8/layout/process1"/>
    <dgm:cxn modelId="{8E572D8D-3902-6A47-BF9E-A6EFF689483E}" type="presOf" srcId="{EA5F6E4D-741D-0E45-B30E-B463422F26E7}" destId="{CBA918C0-E14B-A941-9B13-BC6DC25C55DE}" srcOrd="0" destOrd="0" presId="urn:microsoft.com/office/officeart/2005/8/layout/process1"/>
    <dgm:cxn modelId="{F651BC93-9F2E-0241-B397-65C83352EB6F}" type="presOf" srcId="{4A456EB2-986F-AB47-8813-67B152DE2BD0}" destId="{17D70F92-5E37-954B-8C56-522E2EABF1E0}" srcOrd="0" destOrd="0" presId="urn:microsoft.com/office/officeart/2005/8/layout/process1"/>
    <dgm:cxn modelId="{615B97B4-5D69-9844-B944-9734F38D4A64}" srcId="{4A456EB2-986F-AB47-8813-67B152DE2BD0}" destId="{CAB0D31B-C44A-F342-B835-2AF8DA217423}" srcOrd="0" destOrd="0" parTransId="{FA91CDD7-59D1-5640-B2C9-3623048C7376}" sibTransId="{A77F3457-A33D-F544-9F40-D15C4E743F3A}"/>
    <dgm:cxn modelId="{22C235BE-98F3-3C49-9DF6-49D323514533}" type="presOf" srcId="{A77F3457-A33D-F544-9F40-D15C4E743F3A}" destId="{9127A1F7-5F1C-DD45-B817-F8FEB1DA7D0A}" srcOrd="0" destOrd="0" presId="urn:microsoft.com/office/officeart/2005/8/layout/process1"/>
    <dgm:cxn modelId="{578B81CC-0D29-874C-9B9C-EF336847EA9A}" srcId="{4A456EB2-986F-AB47-8813-67B152DE2BD0}" destId="{6EF166DB-4BEB-174D-9972-57B85FA15D72}" srcOrd="2" destOrd="0" parTransId="{D0B90291-EEBF-034B-B63E-B508B851A6AD}" sibTransId="{9B334E5D-3059-774B-92C0-59F39EAE8746}"/>
    <dgm:cxn modelId="{F14966E2-E767-034B-99AE-7D95B4D18D6B}" type="presOf" srcId="{6EF166DB-4BEB-174D-9972-57B85FA15D72}" destId="{F2A096E4-282E-4249-A12C-4616B66344DD}" srcOrd="0" destOrd="0" presId="urn:microsoft.com/office/officeart/2005/8/layout/process1"/>
    <dgm:cxn modelId="{9629A6E7-D724-964C-B2F7-CE77B45E0157}" type="presOf" srcId="{A77F3457-A33D-F544-9F40-D15C4E743F3A}" destId="{35FA1D52-457B-AA42-9A56-1AFCA10B5279}" srcOrd="1" destOrd="0" presId="urn:microsoft.com/office/officeart/2005/8/layout/process1"/>
    <dgm:cxn modelId="{57B850FA-D0FF-5E49-A4A7-87E396873C25}" type="presOf" srcId="{BDDC2CD1-3B84-1343-B37B-17D57F37157A}" destId="{DD88C551-865E-2145-B8F4-DDC810FC9463}" srcOrd="0" destOrd="0" presId="urn:microsoft.com/office/officeart/2005/8/layout/process1"/>
    <dgm:cxn modelId="{E5C1977B-3697-2046-81C5-9AD1A9370D0F}" type="presParOf" srcId="{17D70F92-5E37-954B-8C56-522E2EABF1E0}" destId="{8B97713B-142F-E949-8A6A-23DEEA63CE3F}" srcOrd="0" destOrd="0" presId="urn:microsoft.com/office/officeart/2005/8/layout/process1"/>
    <dgm:cxn modelId="{91521285-4E9D-544D-B780-14619C108B02}" type="presParOf" srcId="{17D70F92-5E37-954B-8C56-522E2EABF1E0}" destId="{9127A1F7-5F1C-DD45-B817-F8FEB1DA7D0A}" srcOrd="1" destOrd="0" presId="urn:microsoft.com/office/officeart/2005/8/layout/process1"/>
    <dgm:cxn modelId="{538A34B4-A4F1-4545-8788-BC43676FD748}" type="presParOf" srcId="{9127A1F7-5F1C-DD45-B817-F8FEB1DA7D0A}" destId="{35FA1D52-457B-AA42-9A56-1AFCA10B5279}" srcOrd="0" destOrd="0" presId="urn:microsoft.com/office/officeart/2005/8/layout/process1"/>
    <dgm:cxn modelId="{71D3828A-4D2D-004E-B9CB-8DD673F0965C}" type="presParOf" srcId="{17D70F92-5E37-954B-8C56-522E2EABF1E0}" destId="{DD88C551-865E-2145-B8F4-DDC810FC9463}" srcOrd="2" destOrd="0" presId="urn:microsoft.com/office/officeart/2005/8/layout/process1"/>
    <dgm:cxn modelId="{A8D12085-35BF-AA4C-B072-31B070E300A4}" type="presParOf" srcId="{17D70F92-5E37-954B-8C56-522E2EABF1E0}" destId="{CBA918C0-E14B-A941-9B13-BC6DC25C55DE}" srcOrd="3" destOrd="0" presId="urn:microsoft.com/office/officeart/2005/8/layout/process1"/>
    <dgm:cxn modelId="{8469F89A-579A-124E-A347-D9D2EB38EE6D}" type="presParOf" srcId="{CBA918C0-E14B-A941-9B13-BC6DC25C55DE}" destId="{E4DFB64A-1392-2B4F-AA80-63AB1F759C5B}" srcOrd="0" destOrd="0" presId="urn:microsoft.com/office/officeart/2005/8/layout/process1"/>
    <dgm:cxn modelId="{8E1F2E42-FC54-424F-B5D5-FD028ED9F64E}" type="presParOf" srcId="{17D70F92-5E37-954B-8C56-522E2EABF1E0}" destId="{F2A096E4-282E-4249-A12C-4616B66344DD}" srcOrd="4" destOrd="0" presId="urn:microsoft.com/office/officeart/2005/8/layout/process1"/>
  </dgm:cxnLst>
  <dgm:bg>
    <a:noFill/>
  </dgm:bg>
  <dgm:whole>
    <a:ln>
      <a:no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7713B-142F-E949-8A6A-23DEEA63CE3F}">
      <dsp:nvSpPr>
        <dsp:cNvPr id="0" name=""/>
        <dsp:cNvSpPr/>
      </dsp:nvSpPr>
      <dsp:spPr>
        <a:xfrm>
          <a:off x="4040326" y="1167824"/>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kern="1200"/>
            <a:t>إدارة الموارد البشرية</a:t>
          </a:r>
          <a:endParaRPr lang="en-US" sz="2200" kern="1200"/>
        </a:p>
      </dsp:txBody>
      <dsp:txXfrm>
        <a:off x="4065654" y="1193152"/>
        <a:ext cx="1390595" cy="814094"/>
      </dsp:txXfrm>
    </dsp:sp>
    <dsp:sp modelId="{9127A1F7-5F1C-DD45-B817-F8FEB1DA7D0A}">
      <dsp:nvSpPr>
        <dsp:cNvPr id="0" name=""/>
        <dsp:cNvSpPr/>
      </dsp:nvSpPr>
      <dsp:spPr>
        <a:xfrm rot="10800000">
          <a:off x="3590655"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3682318" y="1492970"/>
        <a:ext cx="213882" cy="214458"/>
      </dsp:txXfrm>
    </dsp:sp>
    <dsp:sp modelId="{DD88C551-865E-2145-B8F4-DDC810FC9463}">
      <dsp:nvSpPr>
        <dsp:cNvPr id="0" name=""/>
        <dsp:cNvSpPr/>
      </dsp:nvSpPr>
      <dsp:spPr>
        <a:xfrm>
          <a:off x="2022574" y="1167824"/>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kern="1200"/>
            <a:t>الاحتفاظ بالكادر الطبي</a:t>
          </a:r>
          <a:endParaRPr lang="en-US" sz="2200" kern="1200"/>
        </a:p>
      </dsp:txBody>
      <dsp:txXfrm>
        <a:off x="2047902" y="1193152"/>
        <a:ext cx="1390595" cy="814094"/>
      </dsp:txXfrm>
    </dsp:sp>
    <dsp:sp modelId="{CBA918C0-E14B-A941-9B13-BC6DC25C55DE}">
      <dsp:nvSpPr>
        <dsp:cNvPr id="0" name=""/>
        <dsp:cNvSpPr/>
      </dsp:nvSpPr>
      <dsp:spPr>
        <a:xfrm rot="10800000">
          <a:off x="1572903"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1664566" y="1492970"/>
        <a:ext cx="213882" cy="214458"/>
      </dsp:txXfrm>
    </dsp:sp>
    <dsp:sp modelId="{F2A096E4-282E-4249-A12C-4616B66344DD}">
      <dsp:nvSpPr>
        <dsp:cNvPr id="0" name=""/>
        <dsp:cNvSpPr/>
      </dsp:nvSpPr>
      <dsp:spPr>
        <a:xfrm>
          <a:off x="4822" y="1167824"/>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kern="1200"/>
            <a:t>جودة الرعاية الصحية</a:t>
          </a:r>
          <a:endParaRPr lang="en-US" sz="2200" kern="1200"/>
        </a:p>
      </dsp:txBody>
      <dsp:txXfrm>
        <a:off x="30150" y="1193152"/>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7713B-142F-E949-8A6A-23DEEA63CE3F}">
      <dsp:nvSpPr>
        <dsp:cNvPr id="0" name=""/>
        <dsp:cNvSpPr/>
      </dsp:nvSpPr>
      <dsp:spPr>
        <a:xfrm>
          <a:off x="4040326" y="1086754"/>
          <a:ext cx="1441251" cy="10268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عوامل معدلة</a:t>
          </a:r>
        </a:p>
        <a:p>
          <a:pPr marL="0" lvl="0" indent="0" algn="ctr" defTabSz="800100">
            <a:lnSpc>
              <a:spcPct val="90000"/>
            </a:lnSpc>
            <a:spcBef>
              <a:spcPct val="0"/>
            </a:spcBef>
            <a:spcAft>
              <a:spcPct val="35000"/>
            </a:spcAft>
            <a:buNone/>
          </a:pPr>
          <a:r>
            <a:rPr lang="ar-SA" sz="1800" kern="1200"/>
            <a:t>السياق / نوع المستشفى</a:t>
          </a:r>
          <a:endParaRPr lang="en-US" sz="1800" kern="1200"/>
        </a:p>
      </dsp:txBody>
      <dsp:txXfrm>
        <a:off x="4070403" y="1116831"/>
        <a:ext cx="1381097" cy="966737"/>
      </dsp:txXfrm>
    </dsp:sp>
    <dsp:sp modelId="{9127A1F7-5F1C-DD45-B817-F8FEB1DA7D0A}">
      <dsp:nvSpPr>
        <dsp:cNvPr id="0" name=""/>
        <dsp:cNvSpPr/>
      </dsp:nvSpPr>
      <dsp:spPr>
        <a:xfrm rot="10800000">
          <a:off x="3590655"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3682318" y="1492970"/>
        <a:ext cx="213882" cy="214458"/>
      </dsp:txXfrm>
    </dsp:sp>
    <dsp:sp modelId="{DD88C551-865E-2145-B8F4-DDC810FC9463}">
      <dsp:nvSpPr>
        <dsp:cNvPr id="0" name=""/>
        <dsp:cNvSpPr/>
      </dsp:nvSpPr>
      <dsp:spPr>
        <a:xfrm>
          <a:off x="2022574" y="1086754"/>
          <a:ext cx="1441251" cy="10268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عوامل فردية / تنظيمية</a:t>
          </a:r>
          <a:endParaRPr lang="en-US" sz="1800" kern="1200"/>
        </a:p>
      </dsp:txBody>
      <dsp:txXfrm>
        <a:off x="2052651" y="1116831"/>
        <a:ext cx="1381097" cy="966737"/>
      </dsp:txXfrm>
    </dsp:sp>
    <dsp:sp modelId="{CBA918C0-E14B-A941-9B13-BC6DC25C55DE}">
      <dsp:nvSpPr>
        <dsp:cNvPr id="0" name=""/>
        <dsp:cNvSpPr/>
      </dsp:nvSpPr>
      <dsp:spPr>
        <a:xfrm rot="10800000">
          <a:off x="1572903"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664566" y="1492970"/>
        <a:ext cx="213882" cy="214458"/>
      </dsp:txXfrm>
    </dsp:sp>
    <dsp:sp modelId="{F2A096E4-282E-4249-A12C-4616B66344DD}">
      <dsp:nvSpPr>
        <dsp:cNvPr id="0" name=""/>
        <dsp:cNvSpPr/>
      </dsp:nvSpPr>
      <dsp:spPr>
        <a:xfrm>
          <a:off x="4822" y="1086754"/>
          <a:ext cx="1441251" cy="10268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SA" sz="1800" kern="1200"/>
            <a:t>مؤشرات العملية</a:t>
          </a:r>
          <a:endParaRPr lang="en-US" sz="1800" kern="1200"/>
        </a:p>
      </dsp:txBody>
      <dsp:txXfrm>
        <a:off x="34899" y="1116831"/>
        <a:ext cx="1381097" cy="9667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43</Pages>
  <Words>7172</Words>
  <Characters>40885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Dr.Mohammed S Alkhaibari .</cp:lastModifiedBy>
  <cp:revision>44</cp:revision>
  <dcterms:created xsi:type="dcterms:W3CDTF">2026-03-14T14:23:00Z</dcterms:created>
  <dcterms:modified xsi:type="dcterms:W3CDTF">2026-03-26T19:12:00Z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