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Times New Roman" w:cs="Times New Roman" w:hAnsi="Times New Roman" w:eastAsia="Times New Roman"/>
        </w:rPr>
      </w:pPr>
      <w:r>
        <w:rPr>
          <w:rFonts w:ascii="Aptos" w:cs="Times New Roman" w:hAnsi="Aptos" w:eastAsia="Aptos" w:hint="cs"/>
          <w:sz w:val="36"/>
          <w:szCs w:val="36"/>
          <w:rtl w:val="1"/>
          <w:lang w:val="ar-SA" w:bidi="ar-SA"/>
        </w:rPr>
        <w:t>الخاتمة</w:t>
      </w:r>
      <w:r>
        <w:rPr>
          <w:rFonts w:ascii="Times New Roman" w:hAnsi="Times New Roman"/>
          <w:sz w:val="36"/>
          <w:szCs w:val="36"/>
          <w:rtl w:val="1"/>
          <w:lang w:val="ar-SA" w:bidi="ar-SA"/>
        </w:rPr>
        <w:t>:</w:t>
      </w:r>
    </w:p>
    <w:p>
      <w:pPr>
        <w:pStyle w:val="Body"/>
        <w:jc w:val="both"/>
        <w:rPr>
          <w:rFonts w:ascii="Times New Roman" w:cs="Times New Roman" w:hAnsi="Times New Roman" w:eastAsia="Times New Roman"/>
        </w:rPr>
      </w:pPr>
      <w:r>
        <w:rPr>
          <w:rFonts w:ascii="Aptos" w:cs="Times New Roman" w:hAnsi="Aptos" w:eastAsia="Aptos" w:hint="cs"/>
          <w:rtl w:val="1"/>
          <w:lang w:val="ar-SA" w:bidi="ar-SA"/>
        </w:rPr>
        <w:t>خلصت هذه الدراسة إلى أن حماية حقوق الملكية الفكرية في البيئة الرقمية تمثل أحد أبرز التحديات القانونية المعاصرة، وذلك في ظل التطور التكنولوجي المتسارع الذي أفرز أنماطًا جديدة من المصنفات الرقمية، وسهّل في المقابل صور الاعتداء عليها، بما يفوق قدرة القواعد القانونية التقليدية على المواجهة الفعالة</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وقد بيّنت الدراسة، من خلال التحليل والمقارنة، أن التشريعات الوطنية، رغم ما شهدته من تطور ملحوظ، لا تزال تعاني من قصور في استيعاب الخصائص التقنية للبيئة الرقمية، سواء من حيث تعريف المصنفات الرقمية، أو آليات الحماية المدنية والجنائية، أو وسائل الإثبات، أو سرعة الفصل في المنازعات ذات الطابع الرقمي</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كما أظهرت الدراسة أن الاتفاقيات الدولية ذات الصلة، وعلى رأسها اتفاقية برن واتفاقية تريبس ومعاهدة الويبو بشأن حق المؤلف، أسهمت في إرساء إطار عام لحماية حقوق الملكية الفكرية، إلا أن هذا الإطار ما زال بحاجة إلى تطوير مستمر لمواكبة التحديات المستحدثة التي فرضتها البيئة الرقمية، ولا سيما ما يتعلق بالاعتداءات العابرة للحدود ودور المنصات الرقمية ومزودي خدمات الإنترنت</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وانتهت الدراسة إلى أن تحقيق حماية فعالة لحقوق الملكية الفكرية في البيئة الرقمية لا يمكن أن يقتصر على الحلول التشريعية وحدها، بل يستلزم تبني مقاربة متكاملة تقوم على تضافر الحماية القانونية، والآليات التقنية، والتنسيق المؤسسي، والتعاون الدولي، إلى جانب نشر الوعي المجتمعي بثقافة احترام حقوق الملكية الفكرية</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وفي هذا الإطار، تسهم هذه الدراسة في إثراء البحث القانوني من خلال تقديم معالجة تحليلية مقارنة لأوجه القصور التشريعي، واقتراح حلول عملية قابلة للتنفيذ، بما يحقق التوازن بين حماية حقوق المبدعين ومتطلبات إتاحة المعرفة، ويدعم الابتكار والاستثمار في العصر الرقمي</w:t>
      </w:r>
      <w:r>
        <w:rPr>
          <w:rFonts w:ascii="Times New Roman" w:hAnsi="Times New Roman"/>
          <w:rtl w:val="1"/>
          <w:lang w:val="ar-SA" w:bidi="ar-SA"/>
        </w:rPr>
        <w:t>.</w:t>
      </w: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sz w:val="36"/>
          <w:szCs w:val="36"/>
        </w:rPr>
      </w:pPr>
      <w:r>
        <w:rPr>
          <w:rFonts w:ascii="Aptos" w:cs="Times New Roman" w:hAnsi="Aptos" w:eastAsia="Aptos" w:hint="cs"/>
          <w:sz w:val="36"/>
          <w:szCs w:val="36"/>
          <w:rtl w:val="1"/>
          <w:lang w:val="ar-SA" w:bidi="ar-SA"/>
        </w:rPr>
        <w:t>النتائج والتوصيات</w:t>
      </w: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في ضوء ما تناولته هذه الدراسة من تحليل للإطار المفاهيمي لحقوق الملكية الفكرية، وبيان خصائص البيئة الرقمية، واستعراض الإشكاليات القانونية والتقنية المرتبطة بحماية المصنفات الرقمية، إلى جانب المقارنة بين النظم القانونية الوطنية والمقارنة، أمكن استخلاص مجموعة من النتائج الجوهرية التي كشفت عن أوجه القصور التشريعي والإجرائي في حماية حقوق الملكية الفكرية في البيئة الرقمية</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وانطلاقًا من هذه النتائج، لم تقتصر الدراسة على عرض نتائج نظرية، وإنما سعت إلى تقديم توصيات عملية قابلة للتنفيذ، مقرونة بآليات واضحة للتطبيق، ومحددة بمدى زمني واقعي، بما يسهم في تطوير المنظومة القانونية والقضائية، وتعزيز فاعلية حماية حقوق الملكية الفكرية في العصر الرقمي، وذلك على النحو المبين فيما يأتي</w:t>
      </w:r>
      <w:r>
        <w:rPr>
          <w:rFonts w:ascii="Times New Roman" w:hAnsi="Times New Roman"/>
          <w:rtl w:val="1"/>
          <w:lang w:val="ar-SA" w:bidi="ar-SA"/>
        </w:rPr>
        <w:t>.</w:t>
      </w: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لأغراض هذا البحث، يُقصد بالمدى الزمني المقترح لتنفيذ التوصيات ما يلي</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Times New Roman" w:hAnsi="Times New Roman" w:hint="default"/>
          <w:rtl w:val="1"/>
          <w:lang w:val="ar-SA" w:bidi="ar-SA"/>
        </w:rPr>
        <w:t>•</w:t>
      </w:r>
      <w:r>
        <w:rPr>
          <w:rFonts w:ascii="Times New Roman" w:cs="Times New Roman" w:hAnsi="Times New Roman" w:eastAsia="Times New Roman"/>
          <w:lang w:val="ar-SA" w:bidi="ar-SA"/>
        </w:rPr>
        <w:tab/>
      </w:r>
      <w:r>
        <w:rPr>
          <w:rFonts w:ascii="Aptos" w:cs="Times New Roman" w:hAnsi="Aptos" w:eastAsia="Aptos" w:hint="cs"/>
          <w:rtl w:val="1"/>
          <w:lang w:val="ar-SA" w:bidi="ar-SA"/>
        </w:rPr>
        <w:t>قصير الأجل</w:t>
      </w:r>
      <w:r>
        <w:rPr>
          <w:rFonts w:ascii="Times New Roman" w:hAnsi="Times New Roman"/>
          <w:rtl w:val="1"/>
          <w:lang w:val="ar-SA" w:bidi="ar-SA"/>
        </w:rPr>
        <w:t xml:space="preserve">: </w:t>
      </w:r>
      <w:r>
        <w:rPr>
          <w:rFonts w:ascii="Aptos" w:cs="Times New Roman" w:hAnsi="Aptos" w:eastAsia="Aptos" w:hint="cs"/>
          <w:rtl w:val="1"/>
          <w:lang w:val="ar-SA" w:bidi="ar-SA"/>
        </w:rPr>
        <w:t>الإجراءات التي يمكن تنفيذها خلال فترة لا تتجاوز سنة واحدة، والتي لا تتطلب تعديلات تشريعية جوهرية، وإنما تقتصر على قرارات تنظيمية أو إدارية، أو تطبيقات تقنية مباشرة</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Times New Roman" w:hAnsi="Times New Roman" w:hint="default"/>
          <w:rtl w:val="1"/>
          <w:lang w:val="ar-SA" w:bidi="ar-SA"/>
        </w:rPr>
        <w:t>•</w:t>
      </w:r>
      <w:r>
        <w:rPr>
          <w:rFonts w:ascii="Times New Roman" w:cs="Times New Roman" w:hAnsi="Times New Roman" w:eastAsia="Times New Roman"/>
          <w:lang w:val="ar-SA" w:bidi="ar-SA"/>
        </w:rPr>
        <w:tab/>
      </w:r>
      <w:r>
        <w:rPr>
          <w:rFonts w:ascii="Aptos" w:cs="Times New Roman" w:hAnsi="Aptos" w:eastAsia="Aptos" w:hint="cs"/>
          <w:rtl w:val="1"/>
          <w:lang w:val="ar-SA" w:bidi="ar-SA"/>
        </w:rPr>
        <w:t>متوسط الأجل</w:t>
      </w:r>
      <w:r>
        <w:rPr>
          <w:rFonts w:ascii="Times New Roman" w:hAnsi="Times New Roman"/>
          <w:rtl w:val="1"/>
          <w:lang w:val="ar-SA" w:bidi="ar-SA"/>
        </w:rPr>
        <w:t xml:space="preserve">: </w:t>
      </w:r>
      <w:r>
        <w:rPr>
          <w:rFonts w:ascii="Aptos" w:cs="Times New Roman" w:hAnsi="Aptos" w:eastAsia="Aptos" w:hint="cs"/>
          <w:rtl w:val="1"/>
          <w:lang w:val="ar-SA" w:bidi="ar-SA"/>
        </w:rPr>
        <w:t>الإجراءات التي يتطلب تنفيذها فترة زمنية تتراوح بين سنة واحدة وثلاث سنوات، وغالبًا ما تستلزم تعديلات تشريعية جزئية، أو إنشاء آليات مؤسسية، أو قضائية متخصصة، أو تطوير إجراءات تنفيذية جديدة</w:t>
      </w:r>
      <w:r>
        <w:rPr>
          <w:rFonts w:ascii="Times New Roman" w:hAnsi="Times New Roman"/>
          <w:rtl w:val="1"/>
          <w:lang w:val="ar-SA" w:bidi="ar-SA"/>
        </w:rPr>
        <w:t>.</w:t>
      </w:r>
    </w:p>
    <w:p>
      <w:pPr>
        <w:pStyle w:val="Body"/>
        <w:jc w:val="both"/>
        <w:rPr>
          <w:rFonts w:ascii="Times New Roman" w:cs="Times New Roman" w:hAnsi="Times New Roman" w:eastAsia="Times New Roman"/>
        </w:rPr>
      </w:pPr>
      <w:r>
        <w:rPr>
          <w:rFonts w:ascii="Times New Roman" w:hAnsi="Times New Roman" w:hint="default"/>
          <w:rtl w:val="1"/>
          <w:lang w:val="ar-SA" w:bidi="ar-SA"/>
        </w:rPr>
        <w:t>•</w:t>
      </w:r>
      <w:r>
        <w:rPr>
          <w:rFonts w:ascii="Times New Roman" w:cs="Times New Roman" w:hAnsi="Times New Roman" w:eastAsia="Times New Roman"/>
          <w:lang w:val="ar-SA" w:bidi="ar-SA"/>
        </w:rPr>
        <w:tab/>
      </w:r>
      <w:r>
        <w:rPr>
          <w:rFonts w:ascii="Aptos" w:cs="Times New Roman" w:hAnsi="Aptos" w:eastAsia="Aptos" w:hint="cs"/>
          <w:rtl w:val="1"/>
          <w:lang w:val="ar-SA" w:bidi="ar-SA"/>
        </w:rPr>
        <w:t>طويل الأجل</w:t>
      </w:r>
      <w:r>
        <w:rPr>
          <w:rFonts w:ascii="Times New Roman" w:hAnsi="Times New Roman"/>
          <w:rtl w:val="1"/>
          <w:lang w:val="ar-SA" w:bidi="ar-SA"/>
        </w:rPr>
        <w:t xml:space="preserve">: </w:t>
      </w:r>
      <w:r>
        <w:rPr>
          <w:rFonts w:ascii="Aptos" w:cs="Times New Roman" w:hAnsi="Aptos" w:eastAsia="Aptos" w:hint="cs"/>
          <w:rtl w:val="1"/>
          <w:lang w:val="ar-SA" w:bidi="ar-SA"/>
        </w:rPr>
        <w:t>الإجراءات التي يمتد تنفيذها إلى فترة زمنية تتجاوز ثلاث سنوات، وتتطلب وضع سياسات وطنية شاملة، أو إعادة هيكلة تشريعية ومؤسسية متكاملة، أو إبرام اتفاقيات دولية ذات صلة</w:t>
      </w:r>
      <w:r>
        <w:rPr>
          <w:rFonts w:ascii="Times New Roman" w:hAnsi="Times New Roman"/>
          <w:rtl w:val="1"/>
          <w:lang w:val="ar-SA" w:bidi="ar-SA"/>
        </w:rPr>
        <w:t>.</w:t>
      </w: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rPr>
      </w:pPr>
      <w:r>
        <w:rPr>
          <w:rFonts w:ascii="Aptos" w:cs="Times New Roman" w:hAnsi="Aptos" w:eastAsia="Aptos" w:hint="cs"/>
          <w:rtl w:val="1"/>
          <w:lang w:val="ar-SA" w:bidi="ar-SA"/>
        </w:rPr>
        <w:t>وبناءً على هذا التقسيم، يوضح الجدول التالي نتائج الدراسة، والتوصيات المقابلة لها، وآليات تنفيذها، والمدى الزمني المقترح لكل منها</w:t>
      </w:r>
      <w:r>
        <w:rPr>
          <w:rFonts w:ascii="Times New Roman" w:hAnsi="Times New Roman"/>
          <w:rtl w:val="1"/>
          <w:lang w:val="ar-SA" w:bidi="ar-SA"/>
        </w:rPr>
        <w:t>.</w:t>
      </w: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Heading"/>
        <w:rPr>
          <w:sz w:val="36"/>
          <w:szCs w:val="36"/>
        </w:rPr>
      </w:pPr>
    </w:p>
    <w:p>
      <w:pPr>
        <w:pStyle w:val="Heading"/>
        <w:rPr>
          <w:rFonts w:ascii="Times New Roman" w:cs="Times New Roman" w:hAnsi="Times New Roman" w:eastAsia="Times New Roman"/>
          <w:sz w:val="36"/>
          <w:szCs w:val="36"/>
        </w:rPr>
      </w:pPr>
      <w:r>
        <w:rPr>
          <w:rFonts w:ascii="Aptos Display" w:cs="Times New Roman" w:hAnsi="Aptos Display" w:eastAsia="Aptos Display" w:hint="cs"/>
          <w:sz w:val="36"/>
          <w:szCs w:val="36"/>
          <w:rtl w:val="1"/>
          <w:lang w:val="ar-SA" w:bidi="ar-SA"/>
        </w:rPr>
        <w:t>جدول</w:t>
      </w:r>
      <w:r>
        <w:rPr>
          <w:sz w:val="36"/>
          <w:szCs w:val="36"/>
          <w:rtl w:val="1"/>
        </w:rPr>
        <w:t xml:space="preserve"> </w:t>
      </w:r>
      <w:r>
        <w:rPr>
          <w:rFonts w:ascii="Aptos Display" w:cs="Times New Roman" w:hAnsi="Aptos Display" w:eastAsia="Aptos Display" w:hint="cs"/>
          <w:sz w:val="36"/>
          <w:szCs w:val="36"/>
          <w:rtl w:val="1"/>
          <w:lang w:val="ar-SA" w:bidi="ar-SA"/>
        </w:rPr>
        <w:t xml:space="preserve"> يوضح نتائج</w:t>
      </w:r>
      <w:r>
        <w:rPr>
          <w:sz w:val="36"/>
          <w:szCs w:val="36"/>
          <w:rtl w:val="1"/>
        </w:rPr>
        <w:t xml:space="preserve"> </w:t>
      </w:r>
      <w:r>
        <w:rPr>
          <w:rFonts w:ascii="Aptos Display" w:cs="Times New Roman" w:hAnsi="Aptos Display" w:eastAsia="Aptos Display" w:hint="cs"/>
          <w:sz w:val="36"/>
          <w:szCs w:val="36"/>
          <w:rtl w:val="1"/>
          <w:lang w:val="ar-SA" w:bidi="ar-SA"/>
        </w:rPr>
        <w:t xml:space="preserve"> الدراسة والتوصيات المقترحة </w:t>
      </w:r>
      <w:r>
        <w:rPr>
          <w:sz w:val="36"/>
          <w:szCs w:val="36"/>
          <w:rtl w:val="1"/>
        </w:rPr>
        <w:t xml:space="preserve"> </w:t>
      </w:r>
      <w:r>
        <w:rPr>
          <w:rFonts w:ascii="Aptos Display" w:cs="Times New Roman" w:hAnsi="Aptos Display" w:eastAsia="Aptos Display" w:hint="cs"/>
          <w:sz w:val="36"/>
          <w:szCs w:val="36"/>
          <w:rtl w:val="1"/>
          <w:lang w:val="ar-SA" w:bidi="ar-SA"/>
        </w:rPr>
        <w:t>وآليات</w:t>
      </w:r>
      <w:r>
        <w:rPr>
          <w:sz w:val="36"/>
          <w:szCs w:val="36"/>
          <w:rtl w:val="1"/>
        </w:rPr>
        <w:t xml:space="preserve"> </w:t>
      </w:r>
      <w:r>
        <w:rPr>
          <w:rFonts w:ascii="Aptos Display" w:cs="Times New Roman" w:hAnsi="Aptos Display" w:eastAsia="Aptos Display" w:hint="cs"/>
          <w:sz w:val="36"/>
          <w:szCs w:val="36"/>
          <w:rtl w:val="1"/>
          <w:lang w:val="ar-SA" w:bidi="ar-SA"/>
        </w:rPr>
        <w:t>تنفيذها والمدى الزمني</w:t>
      </w:r>
    </w:p>
    <w:p>
      <w:pPr>
        <w:pStyle w:val="Body"/>
      </w:pPr>
    </w:p>
    <w:tbl>
      <w:tblPr>
        <w:bidiVisual w:val="on"/>
        <w:tblW w:w="8302" w:type="dxa"/>
        <w:jc w:val="left"/>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000000"/>
        <w:tblLayout w:type="fixed"/>
      </w:tblPr>
      <w:tblGrid>
        <w:gridCol w:w="1123"/>
        <w:gridCol w:w="1196"/>
        <w:gridCol w:w="1185"/>
        <w:gridCol w:w="1191"/>
        <w:gridCol w:w="1208"/>
        <w:gridCol w:w="1230"/>
        <w:gridCol w:w="1169"/>
      </w:tblGrid>
      <w:tr>
        <w:tblPrEx>
          <w:shd w:val="clear" w:color="auto" w:fill="000000"/>
        </w:tblPrEx>
        <w:trPr>
          <w:trHeight w:val="1141"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center"/>
          </w:tcPr>
          <w:p>
            <w:pPr>
              <w:pStyle w:val="Body"/>
              <w:jc w:val="center"/>
            </w:pPr>
            <w:r>
              <w:rPr>
                <w:rFonts w:ascii="Aptos" w:cs="Times New Roman" w:hAnsi="Aptos" w:eastAsia="Aptos" w:hint="cs"/>
                <w:shd w:val="nil" w:color="auto" w:fill="auto"/>
                <w:rtl w:val="1"/>
                <w:lang w:val="ar-SA" w:bidi="ar-SA"/>
              </w:rPr>
              <w:t>رقم</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النتيجة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الصفحات</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التوصية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آلية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التنفيذ</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center"/>
          </w:tcPr>
          <w:p>
            <w:pPr>
              <w:pStyle w:val="Body"/>
              <w:jc w:val="center"/>
            </w:pPr>
            <w:r>
              <w:rPr>
                <w:rFonts w:ascii="Aptos" w:cs="Times New Roman" w:hAnsi="Aptos" w:eastAsia="Aptos" w:hint="cs"/>
                <w:shd w:val="nil" w:color="auto" w:fill="auto"/>
                <w:rtl w:val="1"/>
                <w:lang w:val="ar-SA" w:bidi="ar-SA"/>
              </w:rPr>
              <w:t>المدى</w:t>
            </w:r>
            <w:r>
              <w:rPr>
                <w:rFonts w:ascii="Aptos Display" w:cs="Aptos Display" w:hAnsi="Aptos Display" w:eastAsia="Aptos Display"/>
                <w:shd w:val="nil" w:color="auto" w:fill="auto"/>
                <w:rtl w:val="0"/>
                <w:lang w:val="en-US"/>
              </w:rPr>
              <w:t xml:space="preserve"> </w:t>
            </w:r>
            <w:r>
              <w:rPr>
                <w:rFonts w:ascii="Aptos" w:cs="Times New Roman" w:hAnsi="Aptos" w:eastAsia="Aptos" w:hint="cs"/>
                <w:shd w:val="nil" w:color="auto" w:fill="auto"/>
                <w:rtl w:val="1"/>
                <w:lang w:val="ar-SA" w:bidi="ar-SA"/>
              </w:rPr>
              <w:t>الزمني</w:t>
            </w:r>
            <w:r>
              <w:rPr>
                <w:rFonts w:ascii="Times New Roman" w:cs="Times New Roman" w:hAnsi="Times New Roman" w:eastAsia="Times New Roman"/>
                <w:shd w:val="nil" w:color="auto" w:fill="auto"/>
              </w:rPr>
            </w:r>
          </w:p>
        </w:tc>
      </w:tr>
      <w:tr>
        <w:tblPrEx>
          <w:shd w:val="clear" w:color="auto" w:fill="000000"/>
        </w:tblPrEx>
        <w:trPr>
          <w:trHeight w:val="2393"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المفهوم</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التقليدي</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للملكية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الفكرية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لا</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يستوعب</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طبيعة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الإبداع</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الرقمي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التمهيدي</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27-9</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إعادة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صياغة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المفاهيم</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القانونية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تعديل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النصوص</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التعريفية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قصير</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94"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2</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ظهور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مصنفات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رقمية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غير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مغطاة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تشريعيًا</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التمهيدي</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46-28</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توسيع</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نطاق</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الحماية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إضافة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نصوص</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قانونية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جديدة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قصير</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3</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البيئة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الرقمية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زادت من فرص</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الاعتداء</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62-47</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قواعد</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خاصة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بالبيئة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الرقمية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تشريعات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متخصصة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94"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4</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ضعف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السيطرة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التقليدية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على</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المصنف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الرقمي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63-78</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تشديد</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الضوابط</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القانونية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قيود</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على</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التداول</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متوسط</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الأجل</w:t>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5</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قصور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الاتفاقيات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الدولية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94-80</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تطوير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الاتفاقيات</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بروتوكولات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مكملة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طويل</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6</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تفاوت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تشريعي</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بين</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الأنظمة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111-95</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مواءمة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التشريعات</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الاستفادة من التجارب</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المقارنة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7</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ضعف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الردع</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المدني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الثالث</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131-113</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تعزيز</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الجزاءات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المدنية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رفع</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التعويضات</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8</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عدم</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كفاية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العقوبات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الجنائية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الثالث</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148-132</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تشديد</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العقوبات</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تعديل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النصوص</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الجنائية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9</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بطء</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التقاضي</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الرقمي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الرابع</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160-150</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تسريع</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القضائي</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دوائر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متخصصة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10</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قصور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الإثبات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الرقمي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الرابع</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168-161</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تطوير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قواعد</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الإثبات</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اعتماد</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الأدلة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الرقمية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قصير</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11</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ضعف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الرقابة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على</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المنصات</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الرابع</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178-170</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تعزيز</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الرقابة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جهات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رقابية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مشتركة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12</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أهمية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الحماية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التقنية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الرابع</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184-179</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دمج</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الحماية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التقنية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أنظمة</w:t>
            </w:r>
            <w:r>
              <w:rPr>
                <w:rFonts w:ascii="Aptos Display" w:cs="Aptos Display" w:hAnsi="Aptos Display" w:eastAsia="Aptos Display"/>
                <w:shd w:val="nil" w:color="auto" w:fill="auto"/>
                <w:rtl w:val="0"/>
                <w:lang w:val="en-US"/>
              </w:rPr>
              <w:t xml:space="preserve"> DRM </w:t>
            </w:r>
            <w:r>
              <w:rPr>
                <w:rFonts w:ascii="Aptos Display" w:cs="Times New Roman" w:hAnsi="Aptos Display" w:eastAsia="Aptos Display" w:hint="cs"/>
                <w:shd w:val="nil" w:color="auto" w:fill="auto"/>
                <w:rtl w:val="1"/>
                <w:lang w:val="ar-SA" w:bidi="ar-SA"/>
              </w:rPr>
              <w:t>والتشفير</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قصير</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13</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ضعف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التنسيق</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المؤسسي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الرابع</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مجمل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الفصل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184-149</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تعزيز</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التنسيق</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لجان</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وطنية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14</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ضعف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الوعي</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المجتمعي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الرابع</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78-63 / 184-170</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نشر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الثقافة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القانونية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حملات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توعوية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قصير</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15</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قصور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التعليم</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القانوني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التمهيدي</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الخاتمة</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27-8 / 186-185</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تطوير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المناهج</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مقررات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متخصصة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طويل</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16</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ضعف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دور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مزودي</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الخدمة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الرابع</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178-170</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تحميلهم</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التزامات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قانونية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تشريعات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إلزامية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متوسط</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17</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غياب</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آليات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فورية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لوقف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الانتهاك</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الرابع</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168-150</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أوامر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قضائية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عاجلة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أوامر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وقتية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رقمية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قصير</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496"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18</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ضعف</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حماية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الحقوق</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الأدبية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الثالث</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131-113</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تعزيز</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الحقوق</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المعنوية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نصوص</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حماية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النسبة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rPr>
                <w:rFonts w:ascii="Times New Roman" w:cs="Times New Roman" w:hAnsi="Times New Roman" w:eastAsia="Times New Roman"/>
              </w:rPr>
            </w:pPr>
          </w:p>
          <w:p>
            <w:pPr>
              <w:pStyle w:val="Body"/>
              <w:jc w:val="center"/>
            </w:pPr>
            <w:r>
              <w:rPr>
                <w:rFonts w:ascii="Aptos" w:cs="Times New Roman" w:hAnsi="Aptos" w:eastAsia="Aptos" w:hint="cs"/>
                <w:shd w:val="nil" w:color="auto" w:fill="auto"/>
                <w:rtl w:val="1"/>
                <w:lang w:val="ar-SA" w:bidi="ar-SA"/>
              </w:rPr>
              <w:t>متوسط</w:t>
            </w:r>
            <w:r>
              <w:rPr>
                <w:rFonts w:ascii="Aptos Display" w:cs="Aptos Display" w:hAnsi="Aptos Display" w:eastAsia="Aptos Display"/>
                <w:shd w:val="nil" w:color="auto" w:fill="auto"/>
                <w:rtl w:val="0"/>
                <w:lang w:val="en-US"/>
              </w:rPr>
              <w:t xml:space="preserve"> </w:t>
            </w: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1652"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19</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قصور</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التعاون</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الدولي</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الفصل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الثاني</w:t>
            </w:r>
            <w:r>
              <w:rPr>
                <w:rFonts w:ascii="Aptos Display" w:cs="Aptos Display" w:hAnsi="Aptos Display" w:eastAsia="Aptos Display"/>
                <w:shd w:val="nil" w:color="auto" w:fill="auto"/>
                <w:rtl w:val="0"/>
                <w:lang w:val="en-US"/>
              </w:rPr>
              <w:t xml:space="preserve"> – </w:t>
            </w:r>
            <w:r>
              <w:rPr>
                <w:rFonts w:ascii="Aptos Display" w:cs="Times New Roman" w:hAnsi="Aptos Display" w:eastAsia="Aptos Display" w:hint="cs"/>
                <w:shd w:val="nil" w:color="auto" w:fill="auto"/>
                <w:rtl w:val="1"/>
                <w:lang w:val="ar-SA" w:bidi="ar-SA"/>
              </w:rPr>
              <w:t>المبحث</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الأول</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94-80</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تعزيز</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التعاون</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الدولي</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اتفاقيات</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قضائية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shd w:val="nil" w:color="auto" w:fill="auto"/>
                <w:rtl w:val="0"/>
                <w:lang w:val="ar-SA" w:bidi="ar-SA"/>
              </w:rPr>
            </w:pPr>
            <w:r>
              <w:rPr>
                <w:rFonts w:ascii="Aptos" w:cs="Times New Roman" w:hAnsi="Aptos" w:eastAsia="Aptos" w:hint="cs"/>
                <w:shd w:val="nil" w:color="auto" w:fill="auto"/>
                <w:rtl w:val="1"/>
                <w:lang w:val="ar-SA" w:bidi="ar-SA"/>
              </w:rPr>
              <w:t>طويل</w:t>
            </w:r>
          </w:p>
          <w:p>
            <w:pPr>
              <w:pStyle w:val="Body"/>
              <w:jc w:val="center"/>
            </w:pPr>
            <w:r>
              <w:rPr>
                <w:rFonts w:ascii="Aptos" w:cs="Times New Roman" w:hAnsi="Aptos" w:eastAsia="Aptos" w:hint="cs"/>
                <w:shd w:val="nil" w:color="auto" w:fill="auto"/>
                <w:rtl w:val="1"/>
                <w:lang w:val="ar-SA" w:bidi="ar-SA"/>
              </w:rPr>
              <w:t>الأجل</w:t>
            </w:r>
            <w:r>
              <w:rPr>
                <w:rFonts w:ascii="Times New Roman" w:cs="Times New Roman" w:hAnsi="Times New Roman" w:eastAsia="Times New Roman"/>
                <w:shd w:val="nil" w:color="auto" w:fill="auto"/>
                <w:lang w:val="ar-SA" w:bidi="ar-SA"/>
              </w:rPr>
            </w:r>
          </w:p>
        </w:tc>
      </w:tr>
      <w:tr>
        <w:tblPrEx>
          <w:shd w:val="clear" w:color="auto" w:fill="000000"/>
        </w:tblPrEx>
        <w:trPr>
          <w:trHeight w:val="994" w:hRule="atLeast"/>
        </w:trPr>
        <w:tc>
          <w:tcPr>
            <w:tcW w:type="dxa" w:w="112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20</w:t>
            </w:r>
          </w:p>
        </w:tc>
        <w:tc>
          <w:tcPr>
            <w:tcW w:type="dxa" w:w="11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غياب</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رؤية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مستقبلية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شاملة</w:t>
            </w:r>
          </w:p>
        </w:tc>
        <w:tc>
          <w:tcPr>
            <w:tcW w:type="dxa" w:w="118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الخاتمة</w:t>
            </w:r>
          </w:p>
        </w:tc>
        <w:tc>
          <w:tcPr>
            <w:tcW w:type="dxa" w:w="11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Aptos Display" w:hAnsi="Aptos Display" w:eastAsia="Aptos Display"/>
                <w:shd w:val="nil" w:color="auto" w:fill="auto"/>
                <w:rtl w:val="0"/>
                <w:lang w:val="en-US"/>
              </w:rPr>
              <w:t>186-185</w:t>
            </w:r>
          </w:p>
        </w:tc>
        <w:tc>
          <w:tcPr>
            <w:tcW w:type="dxa" w:w="12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استراتيجية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وطنية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شاملة</w:t>
            </w:r>
          </w:p>
        </w:tc>
        <w:tc>
          <w:tcPr>
            <w:tcW w:type="dxa" w:w="122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سياسة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وطنية</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متكاملة</w:t>
            </w:r>
          </w:p>
        </w:tc>
        <w:tc>
          <w:tcPr>
            <w:tcW w:type="dxa" w:w="116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Body"/>
              <w:jc w:val="center"/>
            </w:pPr>
            <w:r>
              <w:rPr>
                <w:rFonts w:ascii="Aptos Display" w:cs="Times New Roman" w:hAnsi="Aptos Display" w:eastAsia="Aptos Display" w:hint="cs"/>
                <w:shd w:val="nil" w:color="auto" w:fill="auto"/>
                <w:rtl w:val="1"/>
                <w:lang w:val="ar-SA" w:bidi="ar-SA"/>
              </w:rPr>
              <w:t>طويل</w:t>
            </w:r>
            <w:r>
              <w:rPr>
                <w:rFonts w:ascii="Aptos Display" w:cs="Aptos Display" w:hAnsi="Aptos Display" w:eastAsia="Aptos Display"/>
                <w:shd w:val="nil" w:color="auto" w:fill="auto"/>
                <w:rtl w:val="0"/>
                <w:lang w:val="en-US"/>
              </w:rPr>
              <w:t xml:space="preserve"> </w:t>
            </w:r>
            <w:r>
              <w:rPr>
                <w:rFonts w:ascii="Aptos Display" w:cs="Times New Roman" w:hAnsi="Aptos Display" w:eastAsia="Aptos Display" w:hint="cs"/>
                <w:shd w:val="nil" w:color="auto" w:fill="auto"/>
                <w:rtl w:val="1"/>
                <w:lang w:val="ar-SA" w:bidi="ar-SA"/>
              </w:rPr>
              <w:t>الأجل</w:t>
            </w:r>
          </w:p>
        </w:tc>
      </w:tr>
    </w:tbl>
    <w:p>
      <w:pPr>
        <w:pStyle w:val="Body"/>
        <w:widowControl w:val="0"/>
        <w:spacing w:line="240" w:lineRule="auto"/>
      </w:pPr>
    </w:p>
    <w:p>
      <w:pPr>
        <w:pStyle w:val="Body"/>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lang w:val="ar-SA" w:bidi="ar-SA"/>
        </w:rPr>
      </w:pPr>
    </w:p>
    <w:p>
      <w:pPr>
        <w:pStyle w:val="Body"/>
        <w:jc w:val="both"/>
        <w:rPr>
          <w:rFonts w:ascii="Times New Roman" w:cs="Times New Roman" w:hAnsi="Times New Roman" w:eastAsia="Times New Roman"/>
        </w:rPr>
      </w:pPr>
      <w:r>
        <w:rPr>
          <w:rFonts w:ascii="Aptos" w:cs="Times New Roman" w:hAnsi="Aptos" w:eastAsia="Aptos" w:hint="cs"/>
          <w:rtl w:val="1"/>
          <w:lang w:val="ar-SA" w:bidi="ar-SA"/>
        </w:rPr>
        <w:t>تؤكد النتائج والتوصيات التي خلصت إليها هذه الدراسة أن حماية حقوق الملكية الفكرية في البيئة الرقمية لم تعد مسألة تشريعية بحتة، وإنما أصبحت منظومة متكاملة تتطلب تضافر الجهود القانونية، والقضائية، والتقنية، والمؤسسية، إلى جانب نشر الوعي المجتمعي بأهمية احترام هذه الحقوق</w:t>
      </w:r>
      <w:r>
        <w:rPr>
          <w:rFonts w:ascii="Times New Roman" w:hAnsi="Times New Roman"/>
          <w:rtl w:val="1"/>
          <w:lang w:val="ar-SA" w:bidi="ar-SA"/>
        </w:rPr>
        <w:t>.</w:t>
      </w:r>
    </w:p>
    <w:p>
      <w:pPr>
        <w:pStyle w:val="Body"/>
        <w:jc w:val="both"/>
        <w:rPr>
          <w:rFonts w:ascii="Times New Roman" w:cs="Times New Roman" w:hAnsi="Times New Roman" w:eastAsia="Times New Roman"/>
          <w:lang w:val="ar-SA" w:bidi="ar-SA"/>
        </w:rPr>
      </w:pPr>
    </w:p>
    <w:p>
      <w:pPr>
        <w:pStyle w:val="Body"/>
        <w:jc w:val="both"/>
      </w:pPr>
      <w:r>
        <w:rPr>
          <w:rFonts w:ascii="Aptos" w:cs="Times New Roman" w:hAnsi="Aptos" w:eastAsia="Aptos" w:hint="cs"/>
          <w:rtl w:val="1"/>
          <w:lang w:val="ar-SA" w:bidi="ar-SA"/>
        </w:rPr>
        <w:t>كما تبرز أهمية هذه التوصيات في كونها قابلة للتنفيذ العملي، ومقترنة بآليات واضحة وأطر زمنية واقعية، بما يسهم في تعزيز فاعلية الحماية القانونية، وتحقيق التوازن بين حقوق المبدعين ومتطلبات إتاحة المعرفة، ودعم الابتكار في العصر الرقمي</w:t>
      </w:r>
      <w:r>
        <w:rPr>
          <w:rFonts w:ascii="Times New Roman" w:hAnsi="Times New Roman"/>
          <w:rtl w:val="1"/>
          <w:lang w:val="ar-SA" w:bidi="ar-SA"/>
        </w:rPr>
        <w:t>.</w:t>
      </w:r>
    </w:p>
    <w:sectPr>
      <w:headerReference w:type="default" r:id="rId4"/>
      <w:footerReference w:type="default" r:id="rId5"/>
      <w:pgSz w:w="11900" w:h="16840" w:orient="portrait"/>
      <w:pgMar w:top="1440" w:right="1800"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 w:name="Aptos Display">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1"/>
      <w:spacing w:before="0" w:after="160" w:line="278"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ar-SA" w:bidi="ar-SA"/>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1"/>
      <w:spacing w:before="360" w:after="80" w:line="278" w:lineRule="auto"/>
      <w:ind w:left="0" w:right="0" w:firstLine="0"/>
      <w:jc w:val="left"/>
      <w:outlineLvl w:val="0"/>
    </w:pPr>
    <w:rPr>
      <w:rFonts w:ascii="Aptos Display" w:cs="Aptos Display" w:hAnsi="Aptos Display" w:eastAsia="Aptos Display"/>
      <w:b w:val="0"/>
      <w:bCs w:val="0"/>
      <w:i w:val="0"/>
      <w:iCs w:val="0"/>
      <w:caps w:val="0"/>
      <w:smallCaps w:val="0"/>
      <w:strike w:val="0"/>
      <w:dstrike w:val="0"/>
      <w:outline w:val="0"/>
      <w:color w:val="0f4761"/>
      <w:spacing w:val="0"/>
      <w:kern w:val="2"/>
      <w:position w:val="0"/>
      <w:sz w:val="40"/>
      <w:szCs w:val="40"/>
      <w:u w:val="none" w:color="0f4761"/>
      <w:shd w:val="nil" w:color="auto" w:fill="auto"/>
      <w:vertAlign w:val="baseline"/>
      <w14:textOutline>
        <w14:noFill/>
      </w14:textOutline>
      <w14:textFill>
        <w14:solidFill>
          <w14:srgbClr w14:val="0F476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905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905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