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35B1B86" w:rsidR="009125CE" w:rsidRPr="00203A98" w:rsidRDefault="007922C2" w:rsidP="007922C2">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203A98">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781CA655">
            <wp:simplePos x="0" y="0"/>
            <wp:positionH relativeFrom="margin">
              <wp:posOffset>375920</wp:posOffset>
            </wp:positionH>
            <wp:positionV relativeFrom="margin">
              <wp:posOffset>-133350</wp:posOffset>
            </wp:positionV>
            <wp:extent cx="1518920" cy="1409700"/>
            <wp:effectExtent l="0" t="0" r="508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8920" cy="1409700"/>
                    </a:xfrm>
                    <a:prstGeom prst="rect">
                      <a:avLst/>
                    </a:prstGeom>
                  </pic:spPr>
                </pic:pic>
              </a:graphicData>
            </a:graphic>
            <wp14:sizeRelH relativeFrom="margin">
              <wp14:pctWidth>0</wp14:pctWidth>
            </wp14:sizeRelH>
            <wp14:sizeRelV relativeFrom="margin">
              <wp14:pctHeight>0</wp14:pctHeight>
            </wp14:sizeRelV>
          </wp:anchor>
        </w:drawing>
      </w:r>
      <w:r w:rsidR="009125CE" w:rsidRPr="00203A98">
        <w:rPr>
          <w:rFonts w:ascii="Simplified Arabic" w:hAnsi="Simplified Arabic" w:cs="Simplified Arabic"/>
          <w:b/>
          <w:bCs/>
          <w:color w:val="000000" w:themeColor="text1"/>
          <w:sz w:val="32"/>
          <w:szCs w:val="32"/>
          <w:rtl/>
          <w:lang w:bidi="ar-EG"/>
        </w:rPr>
        <w:t xml:space="preserve">جامعة ميدأوشن </w:t>
      </w:r>
    </w:p>
    <w:p w14:paraId="1E957002" w14:textId="1C4CA4CD" w:rsidR="00F546CE" w:rsidRPr="00203A98" w:rsidRDefault="009125CE" w:rsidP="007922C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03A98">
        <w:rPr>
          <w:rFonts w:ascii="Simplified Arabic" w:hAnsi="Simplified Arabic" w:cs="Simplified Arabic"/>
          <w:b/>
          <w:bCs/>
          <w:color w:val="000000" w:themeColor="text1"/>
          <w:sz w:val="32"/>
          <w:szCs w:val="32"/>
          <w:rtl/>
          <w:lang w:bidi="ar-EG"/>
        </w:rPr>
        <w:t xml:space="preserve">كلية </w:t>
      </w:r>
      <w:r w:rsidR="008C42C1" w:rsidRPr="00203A98">
        <w:rPr>
          <w:rFonts w:ascii="Simplified Arabic" w:hAnsi="Simplified Arabic" w:cs="Simplified Arabic"/>
          <w:b/>
          <w:bCs/>
          <w:color w:val="000000" w:themeColor="text1"/>
          <w:sz w:val="32"/>
          <w:szCs w:val="32"/>
          <w:rtl/>
          <w:lang w:bidi="ar-EG"/>
        </w:rPr>
        <w:t>الإدارة</w:t>
      </w:r>
      <w:r w:rsidRPr="00203A98">
        <w:rPr>
          <w:rFonts w:ascii="Simplified Arabic" w:hAnsi="Simplified Arabic" w:cs="Simplified Arabic"/>
          <w:b/>
          <w:bCs/>
          <w:color w:val="000000" w:themeColor="text1"/>
          <w:sz w:val="32"/>
          <w:szCs w:val="32"/>
          <w:rtl/>
          <w:lang w:bidi="ar-EG"/>
        </w:rPr>
        <w:t xml:space="preserve"> </w:t>
      </w:r>
    </w:p>
    <w:p w14:paraId="0A25F43C" w14:textId="722739F2" w:rsidR="008C7BB4" w:rsidRPr="00203A98" w:rsidRDefault="000B28D9" w:rsidP="007922C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03A98">
        <w:rPr>
          <w:rFonts w:ascii="Simplified Arabic" w:hAnsi="Simplified Arabic" w:cs="Simplified Arabic"/>
          <w:b/>
          <w:bCs/>
          <w:color w:val="000000" w:themeColor="text1"/>
          <w:sz w:val="32"/>
          <w:szCs w:val="32"/>
          <w:rtl/>
          <w:lang w:bidi="ar-EG"/>
        </w:rPr>
        <w:t>ماجستير إدارة مخاطر</w:t>
      </w:r>
    </w:p>
    <w:p w14:paraId="5F6542BF" w14:textId="77777777" w:rsidR="009125CE" w:rsidRPr="00203A98" w:rsidRDefault="009125CE" w:rsidP="007922C2">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A577AF4" w14:textId="12AC8B97" w:rsidR="00C86B62" w:rsidRPr="00203A98" w:rsidRDefault="00C86B62" w:rsidP="007922C2">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203A98">
        <w:rPr>
          <w:rFonts w:ascii="Simplified Arabic" w:hAnsi="Simplified Arabic" w:cs="Simplified Arabic"/>
          <w:b/>
          <w:bCs/>
          <w:color w:val="000000" w:themeColor="text1"/>
          <w:sz w:val="40"/>
          <w:szCs w:val="40"/>
          <w:rtl/>
        </w:rPr>
        <w:t>تعزيز فاعلية تحليل المخاطر من خلال المراجعة الداخلية المبنية على المخاطر: دراسة ميدانية متقدمة في الشركات المساهمة  السعودية</w:t>
      </w:r>
    </w:p>
    <w:p w14:paraId="03818F6D" w14:textId="77777777" w:rsidR="007922C2" w:rsidRPr="00203A98" w:rsidRDefault="007922C2" w:rsidP="007922C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51A7E65" w14:textId="004536E4" w:rsidR="009125CE" w:rsidRPr="00203A98" w:rsidRDefault="009125CE" w:rsidP="007922C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03A98">
        <w:rPr>
          <w:rFonts w:ascii="Simplified Arabic" w:hAnsi="Simplified Arabic" w:cs="Simplified Arabic"/>
          <w:b/>
          <w:bCs/>
          <w:color w:val="000000" w:themeColor="text1"/>
          <w:sz w:val="36"/>
          <w:szCs w:val="36"/>
          <w:rtl/>
          <w:lang w:bidi="ar-EG"/>
        </w:rPr>
        <w:t>إعداد الطالب/</w:t>
      </w:r>
    </w:p>
    <w:p w14:paraId="3C1BEBC7" w14:textId="0073CB3E" w:rsidR="00C86B62" w:rsidRPr="00203A98" w:rsidRDefault="00C86B62" w:rsidP="007922C2">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203A98">
        <w:rPr>
          <w:rFonts w:ascii="Simplified Arabic" w:hAnsi="Simplified Arabic" w:cs="Simplified Arabic"/>
          <w:color w:val="000000" w:themeColor="text1"/>
          <w:sz w:val="36"/>
          <w:szCs w:val="36"/>
          <w:rtl/>
        </w:rPr>
        <w:t>علي محمد ال قشيم</w:t>
      </w:r>
    </w:p>
    <w:p w14:paraId="3A5A12B7" w14:textId="7548C384" w:rsidR="00C86B62" w:rsidRPr="00203A98" w:rsidRDefault="00C86B62" w:rsidP="007922C2">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pPr>
      <w:r w:rsidRPr="00203A98">
        <w:rPr>
          <w:rFonts w:ascii="Simplified Arabic" w:hAnsi="Simplified Arabic" w:cs="Simplified Arabic"/>
          <w:color w:val="000000" w:themeColor="text1"/>
          <w:sz w:val="36"/>
          <w:szCs w:val="36"/>
          <w:rtl/>
        </w:rPr>
        <w:t>253002168</w:t>
      </w:r>
    </w:p>
    <w:tbl>
      <w:tblPr>
        <w:bidiVisual/>
        <w:tblW w:w="0" w:type="auto"/>
        <w:tblLook w:val="04A0" w:firstRow="1" w:lastRow="0" w:firstColumn="1" w:lastColumn="0" w:noHBand="0" w:noVBand="1"/>
      </w:tblPr>
      <w:tblGrid>
        <w:gridCol w:w="4530"/>
        <w:gridCol w:w="4531"/>
      </w:tblGrid>
      <w:tr w:rsidR="007922C2" w:rsidRPr="00203A98" w14:paraId="02663033" w14:textId="77777777" w:rsidTr="007922C2">
        <w:tc>
          <w:tcPr>
            <w:tcW w:w="4530" w:type="dxa"/>
          </w:tcPr>
          <w:p w14:paraId="1DF1C62A" w14:textId="77777777" w:rsidR="007922C2" w:rsidRPr="00203A98" w:rsidRDefault="007922C2" w:rsidP="007922C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bookmarkStart w:id="0" w:name="_Toc169790487"/>
            <w:r w:rsidRPr="00203A98">
              <w:rPr>
                <w:rFonts w:ascii="Simplified Arabic" w:hAnsi="Simplified Arabic" w:cs="Simplified Arabic" w:hint="cs"/>
                <w:b/>
                <w:bCs/>
                <w:color w:val="000000" w:themeColor="text1"/>
                <w:sz w:val="36"/>
                <w:szCs w:val="36"/>
                <w:rtl/>
                <w:lang w:bidi="ar-EG"/>
              </w:rPr>
              <w:t>المشرف الرئيسي/</w:t>
            </w:r>
          </w:p>
        </w:tc>
        <w:tc>
          <w:tcPr>
            <w:tcW w:w="4531" w:type="dxa"/>
          </w:tcPr>
          <w:p w14:paraId="5F4C04EF" w14:textId="77777777" w:rsidR="007922C2" w:rsidRPr="00203A98" w:rsidRDefault="007922C2" w:rsidP="007922C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03A98">
              <w:rPr>
                <w:rFonts w:ascii="Simplified Arabic" w:hAnsi="Simplified Arabic" w:cs="Simplified Arabic" w:hint="cs"/>
                <w:b/>
                <w:bCs/>
                <w:color w:val="000000" w:themeColor="text1"/>
                <w:sz w:val="36"/>
                <w:szCs w:val="36"/>
                <w:rtl/>
                <w:lang w:bidi="ar-EG"/>
              </w:rPr>
              <w:t>المشرف الثاني/</w:t>
            </w:r>
          </w:p>
        </w:tc>
      </w:tr>
      <w:tr w:rsidR="007922C2" w:rsidRPr="00203A98" w14:paraId="6C000B5E" w14:textId="77777777" w:rsidTr="007922C2">
        <w:tc>
          <w:tcPr>
            <w:tcW w:w="4530" w:type="dxa"/>
          </w:tcPr>
          <w:p w14:paraId="2553D32B" w14:textId="77777777" w:rsidR="007922C2" w:rsidRPr="00203A98" w:rsidRDefault="007922C2" w:rsidP="007922C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03A98">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1BD8ECC5" w14:textId="77777777" w:rsidR="007922C2" w:rsidRPr="00203A98" w:rsidRDefault="007922C2" w:rsidP="007922C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03A98">
              <w:rPr>
                <w:rFonts w:ascii="Simplified Arabic" w:eastAsia="Calibri" w:hAnsi="Simplified Arabic" w:cs="Simplified Arabic"/>
                <w:color w:val="000000" w:themeColor="text1"/>
                <w:kern w:val="0"/>
                <w:sz w:val="36"/>
                <w:szCs w:val="36"/>
                <w:rtl/>
                <w:lang w:bidi="ar-EG"/>
                <w14:ligatures w14:val="none"/>
              </w:rPr>
              <w:t>د.فايز جراد</w:t>
            </w:r>
          </w:p>
        </w:tc>
      </w:tr>
    </w:tbl>
    <w:p w14:paraId="58C11221" w14:textId="77777777" w:rsidR="007922C2" w:rsidRPr="00203A98" w:rsidRDefault="007922C2" w:rsidP="007922C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03A98">
        <w:rPr>
          <w:rFonts w:ascii="Simplified Arabic" w:hAnsi="Simplified Arabic" w:cs="Simplified Arabic"/>
          <w:b/>
          <w:bCs/>
          <w:color w:val="000000" w:themeColor="text1"/>
          <w:sz w:val="36"/>
          <w:szCs w:val="36"/>
          <w:rtl/>
          <w:lang w:bidi="ar-EG"/>
        </w:rPr>
        <w:t>العام الدراسي:</w:t>
      </w:r>
    </w:p>
    <w:p w14:paraId="01E154EF" w14:textId="77777777" w:rsidR="007922C2" w:rsidRPr="00203A98" w:rsidRDefault="007922C2" w:rsidP="007922C2">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203A98">
        <w:rPr>
          <w:rFonts w:ascii="Simplified Arabic" w:hAnsi="Simplified Arabic" w:cs="Simplified Arabic" w:hint="cs"/>
          <w:color w:val="000000" w:themeColor="text1"/>
          <w:sz w:val="36"/>
          <w:szCs w:val="36"/>
          <w:rtl/>
          <w:lang w:bidi="ar-EG"/>
        </w:rPr>
        <w:t xml:space="preserve">1448 </w:t>
      </w:r>
      <w:r w:rsidRPr="00203A98">
        <w:rPr>
          <w:rFonts w:ascii="Simplified Arabic" w:hAnsi="Simplified Arabic" w:cs="Simplified Arabic"/>
          <w:color w:val="000000" w:themeColor="text1"/>
          <w:sz w:val="36"/>
          <w:szCs w:val="36"/>
          <w:rtl/>
          <w:lang w:bidi="ar-EG"/>
        </w:rPr>
        <w:t>–</w:t>
      </w:r>
      <w:r w:rsidRPr="00203A98">
        <w:rPr>
          <w:rFonts w:ascii="Simplified Arabic" w:hAnsi="Simplified Arabic" w:cs="Simplified Arabic" w:hint="cs"/>
          <w:color w:val="000000" w:themeColor="text1"/>
          <w:sz w:val="36"/>
          <w:szCs w:val="36"/>
          <w:rtl/>
          <w:lang w:bidi="ar-EG"/>
        </w:rPr>
        <w:t xml:space="preserve"> 2026</w:t>
      </w:r>
    </w:p>
    <w:p w14:paraId="5F880BF4" w14:textId="77777777" w:rsidR="007922C2" w:rsidRPr="00203A98" w:rsidRDefault="00EB46FF" w:rsidP="007922C2">
      <w:pPr>
        <w:spacing w:before="100" w:beforeAutospacing="1" w:after="100" w:afterAutospacing="1" w:line="276" w:lineRule="auto"/>
        <w:jc w:val="both"/>
        <w:rPr>
          <w:rFonts w:ascii="Simplified Arabic" w:hAnsi="Simplified Arabic" w:cs="Simplified Arabic"/>
          <w:color w:val="000000" w:themeColor="text1"/>
          <w:sz w:val="28"/>
          <w:szCs w:val="28"/>
          <w:rtl/>
        </w:rPr>
        <w:sectPr w:rsidR="007922C2" w:rsidRPr="00203A98" w:rsidSect="007922C2">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203A98">
        <w:rPr>
          <w:rFonts w:ascii="Simplified Arabic" w:hAnsi="Simplified Arabic" w:cs="Simplified Arabic"/>
          <w:color w:val="000000" w:themeColor="text1"/>
          <w:sz w:val="28"/>
          <w:szCs w:val="28"/>
          <w:rtl/>
        </w:rPr>
        <w:br w:type="page"/>
      </w:r>
    </w:p>
    <w:p w14:paraId="20D2DF15" w14:textId="5DF2C2DE" w:rsidR="007922C2" w:rsidRPr="00203A98" w:rsidRDefault="007922C2" w:rsidP="007922C2">
      <w:pPr>
        <w:spacing w:before="100" w:beforeAutospacing="1" w:after="100" w:afterAutospacing="1" w:line="276" w:lineRule="auto"/>
        <w:jc w:val="center"/>
        <w:outlineLvl w:val="0"/>
        <w:rPr>
          <w:rFonts w:ascii="Simplified Arabic" w:eastAsiaTheme="majorEastAsia" w:hAnsi="Simplified Arabic" w:cs="Simplified Arabic"/>
          <w:b/>
          <w:bCs/>
          <w:color w:val="000000" w:themeColor="text1"/>
          <w:sz w:val="40"/>
          <w:szCs w:val="40"/>
          <w:rtl/>
        </w:rPr>
      </w:pPr>
      <w:bookmarkStart w:id="1" w:name="_Toc234229063"/>
      <w:r w:rsidRPr="00203A98">
        <w:rPr>
          <w:rFonts w:ascii="Simplified Arabic" w:eastAsiaTheme="majorEastAsia" w:hAnsi="Simplified Arabic" w:cs="Simplified Arabic" w:hint="cs"/>
          <w:b/>
          <w:bCs/>
          <w:color w:val="000000" w:themeColor="text1"/>
          <w:sz w:val="40"/>
          <w:szCs w:val="40"/>
          <w:rtl/>
        </w:rPr>
        <w:lastRenderedPageBreak/>
        <w:t>الفصل الأول: الإطار العام للدراسة</w:t>
      </w:r>
      <w:bookmarkEnd w:id="1"/>
    </w:p>
    <w:p w14:paraId="40FBB296" w14:textId="6BA16D8E" w:rsidR="002837E8" w:rsidRPr="00203A98" w:rsidRDefault="007922C2" w:rsidP="007922C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 w:name="_Toc169790506"/>
      <w:bookmarkStart w:id="3" w:name="_Toc234229064"/>
      <w:bookmarkEnd w:id="0"/>
      <w:r w:rsidRPr="00203A98">
        <w:rPr>
          <w:rFonts w:ascii="Simplified Arabic" w:eastAsia="Times New Roman" w:hAnsi="Simplified Arabic" w:cs="Simplified Arabic" w:hint="cs"/>
          <w:b/>
          <w:bCs/>
          <w:color w:val="000000" w:themeColor="text1"/>
          <w:kern w:val="0"/>
          <w:sz w:val="36"/>
          <w:szCs w:val="36"/>
          <w:rtl/>
          <w14:ligatures w14:val="none"/>
        </w:rPr>
        <w:t>1.1</w:t>
      </w:r>
      <w:r w:rsidR="002837E8" w:rsidRPr="00203A98">
        <w:rPr>
          <w:rFonts w:ascii="Simplified Arabic" w:eastAsia="Times New Roman" w:hAnsi="Simplified Arabic" w:cs="Simplified Arabic"/>
          <w:b/>
          <w:bCs/>
          <w:color w:val="000000" w:themeColor="text1"/>
          <w:kern w:val="0"/>
          <w:sz w:val="36"/>
          <w:szCs w:val="36"/>
          <w:rtl/>
          <w14:ligatures w14:val="none"/>
        </w:rPr>
        <w:t xml:space="preserve"> مقدمة الدراسة</w:t>
      </w:r>
      <w:bookmarkEnd w:id="3"/>
    </w:p>
    <w:p w14:paraId="12FEFC89"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يشهد عالم الأعمال المعاصر تحولات جوهرية وتحديات متسارعة أفرزتها العولمة الاقتصادية والثورة الرقمية والتقلبات المالية العالمية، مما جعل بيئة الأعمال أكثر تعقيداً وأشد غموضاً من أي وقت مضى. وقد أدّت هذه التحولات إلى تصاعد حجم المخاطر التي تواجه المنظمات على اختلاف قطاعاتها وأحجامها، سواء أكانت مخاطر مالية أم تشغيلية أم استراتيجية أم مخاطر امتثال، الأمر الذي فرض على مهنة المراجعة إعادة النظر في مداخلها التقليدية والانتقال نحو مداخل حديثة تتماشى مع طبيعة هذه المخاطر وتُسهم في تعزيز قدرة المنظمات على استيعابها والتعامل معها بكفاءة</w:t>
      </w:r>
      <w:r w:rsidRPr="00203A98">
        <w:rPr>
          <w:rFonts w:ascii="Simplified Arabic" w:eastAsia="Times New Roman" w:hAnsi="Simplified Arabic" w:cs="Simplified Arabic"/>
          <w:color w:val="000000" w:themeColor="text1"/>
          <w:kern w:val="0"/>
          <w:sz w:val="28"/>
          <w:szCs w:val="28"/>
          <w14:ligatures w14:val="none"/>
        </w:rPr>
        <w:t xml:space="preserve"> (Udoh, 2024).</w:t>
      </w:r>
    </w:p>
    <w:p w14:paraId="5B2AD7A7"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وفي هذا السياق، تحتل المراجعة الداخلية موقعاً محورياً في المنظومة الرقابية للمنظمات الحديثة، إذ لم يعد دورها مقصوراً على التحقق من صحة السجلات المحاسبية والالتزام بالسياسات والإجراءات، بل امتدّ ليشمل تقديم خدمات استشارية وتأكيدية تُسهم في تحسين عمليات إدارة المخاطر والحوكمة والرقابة الداخلية. وقد أدّى هذا التطور في مفهوم المراجعة الداخلية إلى ظهور مدخل المراجعة الداخلية المبنية على المخاطر كأحد أهم التوجهات المعاصرة التي تتبنّاها المنظمات الرائدة عالمياً، والذي يُركّز على توجيه جهود المراجعة نحو المجالات الأكثر عرضة للمخاطر بدلاً من التغطية الشاملة والمتساوية لجميع الأنشطة</w:t>
      </w:r>
      <w:r w:rsidRPr="00203A98">
        <w:rPr>
          <w:rFonts w:ascii="Simplified Arabic" w:eastAsia="Times New Roman" w:hAnsi="Simplified Arabic" w:cs="Simplified Arabic"/>
          <w:color w:val="000000" w:themeColor="text1"/>
          <w:kern w:val="0"/>
          <w:sz w:val="28"/>
          <w:szCs w:val="28"/>
          <w14:ligatures w14:val="none"/>
        </w:rPr>
        <w:t xml:space="preserve"> (Kzykeyeva, 2022).</w:t>
      </w:r>
    </w:p>
    <w:p w14:paraId="15A0113D"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وتُمثّل المراجعة الداخلية المبنية على المخاطر منهجية متكاملة تقوم على تحديد المخاطر المؤثرة في تحقيق أهداف المنظمة وتقييمها وترتيبها حسب الأهمية، ثم توجيه موارد المراجعة نحو أعلى المخاطر تأثيراً واحتمالية للحدوث. ويعتمد هذا المدخل على عدة أبعاد تشمل تحديد المخاطر وتقييمها والاستجابة لها ومراقبتها بشكل مستمر، بما يُسهم في تحويل المراجعة الداخلية من نشاط تفتيشي إلى شريك استراتيجي في تحقيق أهداف المنظمة. وقد أثبتت الدراسات أن تطبيق هذا المدخل يتأثر بعدة عوامل من أبرزها كفاءة المراجعين ودعم الإدارة العليا والبنية التحتية التكنولوجية والإطار التنظيمي السائد</w:t>
      </w:r>
      <w:r w:rsidRPr="00203A98">
        <w:rPr>
          <w:rFonts w:ascii="Simplified Arabic" w:eastAsia="Times New Roman" w:hAnsi="Simplified Arabic" w:cs="Simplified Arabic"/>
          <w:color w:val="000000" w:themeColor="text1"/>
          <w:kern w:val="0"/>
          <w:sz w:val="28"/>
          <w:szCs w:val="28"/>
          <w14:ligatures w14:val="none"/>
        </w:rPr>
        <w:t xml:space="preserve"> (Mujalli, 2024</w:t>
      </w:r>
      <w:r w:rsidRPr="00203A98">
        <w:rPr>
          <w:rFonts w:ascii="Simplified Arabic" w:eastAsia="Times New Roman" w:hAnsi="Simplified Arabic" w:cs="Simplified Arabic"/>
          <w:color w:val="000000" w:themeColor="text1"/>
          <w:kern w:val="0"/>
          <w:sz w:val="28"/>
          <w:szCs w:val="28"/>
          <w:rtl/>
          <w14:ligatures w14:val="none"/>
        </w:rPr>
        <w:t>؛</w:t>
      </w:r>
      <w:r w:rsidRPr="00203A98">
        <w:rPr>
          <w:rFonts w:ascii="Simplified Arabic" w:eastAsia="Times New Roman" w:hAnsi="Simplified Arabic" w:cs="Simplified Arabic"/>
          <w:color w:val="000000" w:themeColor="text1"/>
          <w:kern w:val="0"/>
          <w:sz w:val="28"/>
          <w:szCs w:val="28"/>
          <w14:ligatures w14:val="none"/>
        </w:rPr>
        <w:t xml:space="preserve"> Ardianingsih et al., 2024).</w:t>
      </w:r>
    </w:p>
    <w:p w14:paraId="38C21665"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lastRenderedPageBreak/>
        <w:t>ومن جانب آخر، يُعدّ تحليل المخاطر أحد أهم مخرجات عملية المراجعة الحديثة، إذ يُمثّل الأساس الذي تُبنى عليه قرارات المراجع بشأن طبيعة وتوقيت ومدى إجراءات المراجعة. ويشمل تحليل المخاطر تحديد مصادر المخاطر المحتملة وتقييم احتمالية حدوثها وحجم تأثيرها المتوقع، ثم صياغة استجابات مناسبة للتعامل معها. وقد تعاظمت أهمية تحليل المخاطر في السنوات الأخيرة نتيجة تعقّد بيئة الأعمال وتنوّع المخاطر التي تواجهها المنظمات، خاصة في ظل التوسع في استخدام التقنيات الحديثة كالحوسبة السحابية وسلاسل الكتل والذكاء الاصطناعي (غنيم وعبدالسلام والبيلي، 2024)</w:t>
      </w:r>
      <w:r w:rsidRPr="00203A98">
        <w:rPr>
          <w:rFonts w:ascii="Simplified Arabic" w:eastAsia="Times New Roman" w:hAnsi="Simplified Arabic" w:cs="Simplified Arabic"/>
          <w:color w:val="000000" w:themeColor="text1"/>
          <w:kern w:val="0"/>
          <w:sz w:val="28"/>
          <w:szCs w:val="28"/>
          <w14:ligatures w14:val="none"/>
        </w:rPr>
        <w:t>.</w:t>
      </w:r>
    </w:p>
    <w:p w14:paraId="08E1F43D"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وفي بيئة الشركات المساهمة، يكتسب تحليل المخاطر أهمية مضاعفة نظراً لتعدّد أصحاب المصلحة وتشعّب المخاطر التي تواجه هذه الشركات، بدءاً من المخاطر المالية والتشغيلية وصولاً إلى مخاطر الإفلاس والاحتيال والامتثال. وقد أشارت الدراسات إلى أن جودة تحليل المخاطر تتأثر بمجموعة من العوامل، من أبرزها استخدام إجراءات المراجعة التحليلية وتقييم نظام الرقابة الداخلية والقدرة الإدارية وتبنّي التقنيات الحديثة في المراجعة (الخير، 2025؛ جمعة وموسى وسليمان، 2023)</w:t>
      </w:r>
      <w:r w:rsidRPr="00203A98">
        <w:rPr>
          <w:rFonts w:ascii="Simplified Arabic" w:eastAsia="Times New Roman" w:hAnsi="Simplified Arabic" w:cs="Simplified Arabic"/>
          <w:color w:val="000000" w:themeColor="text1"/>
          <w:kern w:val="0"/>
          <w:sz w:val="28"/>
          <w:szCs w:val="28"/>
          <w14:ligatures w14:val="none"/>
        </w:rPr>
        <w:t>.</w:t>
      </w:r>
    </w:p>
    <w:p w14:paraId="5F638FF1"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وتتضح العلاقة الوثيقة بين المراجعة الداخلية المبنية على المخاطر وتحليل المخاطر، إذ يُوفّر المدخل المبني على المخاطر إطاراً منهجياً متكاملاً يُعزّز من قدرة المراجعين الداخليين على تحليل المخاطر بدقة وفاعلية، ويُمكّنهم من تقديم توصيات موضوعية للإدارة العليا بشأن التعامل مع هذه المخاطر. وقد أكدت الدراسات وجود علاقة إيجابية بين تطبيق هذا المدخل وتحسين جودة تحليل المخاطر وفاعلية المراجعة الداخلية بشكل عام، خاصة في المنظمات التي تتبنى ثقافة قوية لإدارة المخاطر وتوفّر الدعم اللازم من الإدارة العليا</w:t>
      </w:r>
      <w:r w:rsidRPr="00203A98">
        <w:rPr>
          <w:rFonts w:ascii="Simplified Arabic" w:eastAsia="Times New Roman" w:hAnsi="Simplified Arabic" w:cs="Simplified Arabic"/>
          <w:color w:val="000000" w:themeColor="text1"/>
          <w:kern w:val="0"/>
          <w:sz w:val="28"/>
          <w:szCs w:val="28"/>
          <w14:ligatures w14:val="none"/>
        </w:rPr>
        <w:t xml:space="preserve"> (Attaf &amp; Bensbahou, 2025</w:t>
      </w:r>
      <w:r w:rsidRPr="00203A98">
        <w:rPr>
          <w:rFonts w:ascii="Simplified Arabic" w:eastAsia="Times New Roman" w:hAnsi="Simplified Arabic" w:cs="Simplified Arabic"/>
          <w:color w:val="000000" w:themeColor="text1"/>
          <w:kern w:val="0"/>
          <w:sz w:val="28"/>
          <w:szCs w:val="28"/>
          <w:rtl/>
          <w14:ligatures w14:val="none"/>
        </w:rPr>
        <w:t>؛</w:t>
      </w:r>
      <w:r w:rsidRPr="00203A98">
        <w:rPr>
          <w:rFonts w:ascii="Simplified Arabic" w:eastAsia="Times New Roman" w:hAnsi="Simplified Arabic" w:cs="Simplified Arabic"/>
          <w:color w:val="000000" w:themeColor="text1"/>
          <w:kern w:val="0"/>
          <w:sz w:val="28"/>
          <w:szCs w:val="28"/>
          <w14:ligatures w14:val="none"/>
        </w:rPr>
        <w:t xml:space="preserve"> Almgrashi &amp; Mujalli, 2024).</w:t>
      </w:r>
    </w:p>
    <w:p w14:paraId="0995EAD8"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وتُشكّل الشركات المساهمة السعودية بيئة خصبة لدراسة هذه العلاقة، لا سيما في ظل التحولات الاقتصادية والتنظيمية التي تشهدها المملكة العربية السعودية في إطار رؤية 2030، والتي أفرزت متطلبات جديدة للحوكمة وإدارة المخاطر والإفصاح والشفافية. وقد أصبحت هذه الشركات مطالبة بتبنّي أفضل الممارسات في المراجعة الداخلية وإدارة المخاطر لتعزيز ثقة المستثمرين وحماية حقوق أصحاب المصلحة، ومن ثمّ فإن دراسة أثر المراجعة الداخلية المبنية على المخاطر في تعزيز فاعلية تحليل المخاطر في هذه البيئة يكتسب أهمية بالغة على المستويين الأكاديمي والتطبيقي</w:t>
      </w:r>
      <w:r w:rsidRPr="00203A98">
        <w:rPr>
          <w:rFonts w:ascii="Simplified Arabic" w:eastAsia="Times New Roman" w:hAnsi="Simplified Arabic" w:cs="Simplified Arabic"/>
          <w:color w:val="000000" w:themeColor="text1"/>
          <w:kern w:val="0"/>
          <w:sz w:val="28"/>
          <w:szCs w:val="28"/>
          <w14:ligatures w14:val="none"/>
        </w:rPr>
        <w:t xml:space="preserve"> (Mujalli, 2024).</w:t>
      </w:r>
    </w:p>
    <w:p w14:paraId="74D7E4BB" w14:textId="1CE33C10"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lastRenderedPageBreak/>
        <w:t>ومن هذا المنطلق، تسعى الدراسة الحالية إلى استكشاف العلاقة بين المراجعة الداخلية المبنية على المخاطر بأبعادها المختلفة وفاعلية تحليل المخاطر في الشركات المساهمة السعودية، وذلك من خلال إطار نظري وتطبيقي متكامل يُسهم في إثراء الأدب المحاسبي ويُقدّم رؤى عملية للمهنيين والممارسين في هذا المجال، بما يخدم التوجهات الاستراتيجية للمملكة العربية السعودية في تعزيز الحوكمة والشفافية في القطاع الاقتصادي</w:t>
      </w:r>
      <w:r w:rsidRPr="00203A98">
        <w:rPr>
          <w:rFonts w:ascii="Simplified Arabic" w:eastAsia="Times New Roman" w:hAnsi="Simplified Arabic" w:cs="Simplified Arabic"/>
          <w:color w:val="000000" w:themeColor="text1"/>
          <w:kern w:val="0"/>
          <w:sz w:val="28"/>
          <w:szCs w:val="28"/>
          <w14:ligatures w14:val="none"/>
        </w:rPr>
        <w:t>.</w:t>
      </w:r>
    </w:p>
    <w:p w14:paraId="196ED0C6" w14:textId="727094AE" w:rsidR="002837E8" w:rsidRPr="00203A98" w:rsidRDefault="007922C2" w:rsidP="007922C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4" w:name="_Toc234229065"/>
      <w:r w:rsidRPr="00203A98">
        <w:rPr>
          <w:rFonts w:ascii="Simplified Arabic" w:eastAsia="Times New Roman" w:hAnsi="Simplified Arabic" w:cs="Simplified Arabic" w:hint="cs"/>
          <w:b/>
          <w:bCs/>
          <w:color w:val="000000" w:themeColor="text1"/>
          <w:kern w:val="0"/>
          <w:sz w:val="36"/>
          <w:szCs w:val="36"/>
          <w:rtl/>
          <w14:ligatures w14:val="none"/>
        </w:rPr>
        <w:t>2.1</w:t>
      </w:r>
      <w:r w:rsidR="002837E8" w:rsidRPr="00203A98">
        <w:rPr>
          <w:rFonts w:ascii="Simplified Arabic" w:eastAsia="Times New Roman" w:hAnsi="Simplified Arabic" w:cs="Simplified Arabic"/>
          <w:b/>
          <w:bCs/>
          <w:color w:val="000000" w:themeColor="text1"/>
          <w:kern w:val="0"/>
          <w:sz w:val="36"/>
          <w:szCs w:val="36"/>
          <w:rtl/>
          <w14:ligatures w14:val="none"/>
        </w:rPr>
        <w:t xml:space="preserve"> مشكلة الدراسة</w:t>
      </w:r>
      <w:bookmarkEnd w:id="4"/>
    </w:p>
    <w:p w14:paraId="4B4BF2B4"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على الرغم من التطور المتسارع الذي شهدته مهنة المراجعة خلال العقود الأخيرة، والتحوّل المتزايد نحو تبنّي مدخل المراجعة الداخلية المبنية على المخاطر باعتباره أحد أهم المداخل الحديثة في تعزيز فاعلية المراجعة، إلا أن الواقع التطبيقي في كثير من الشركات المساهمة، بما فيها الشركات المساهمة السعودية، لا يزال يعكس فجوة واضحة بين المتطلبات النظرية لهذا المدخل والتطبيق الفعلي له. فبينما تتزايد المخاطر التي تواجه هذه الشركات في ظل بيئة أعمال متقلبة ومعقدة، تظل عملية تحليل المخاطر في كثير من الأحيان قاصرة عن استيعاب هذه المخاطر بشكل شامل ودقيق، مما يُضعف من قدرة المراجعة الداخلية على أداء دورها المنوط بها في تعزيز الحوكمة وحماية مصالح أصحاب المصلحة</w:t>
      </w:r>
      <w:r w:rsidRPr="00203A98">
        <w:rPr>
          <w:rFonts w:ascii="Simplified Arabic" w:eastAsia="Times New Roman" w:hAnsi="Simplified Arabic" w:cs="Simplified Arabic"/>
          <w:color w:val="000000" w:themeColor="text1"/>
          <w:kern w:val="0"/>
          <w:sz w:val="28"/>
          <w:szCs w:val="28"/>
          <w14:ligatures w14:val="none"/>
        </w:rPr>
        <w:t>.</w:t>
      </w:r>
    </w:p>
    <w:p w14:paraId="3BAAB4C3"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وتتجلّى ملامح هذه الفجوة في عدة مظاهر، من أبرزها ضعف تكامل عمليات إدارة المخاطر مع أنشطة المراجعة الداخلية، وقصور الأدوات والأساليب المستخدمة في تحليل المخاطر عن مواكبة التطورات المتلاحقة في بيئة الأعمال، وضعف الكفاءات المهنية المتخصصة في مجال المراجعة المبنية على المخاطر، فضلاً عن محدودية الوعي بأهمية هذا المدخل لدى الإدارات العليا في بعض الشركات. وقد أشارت دراسة</w:t>
      </w:r>
      <w:r w:rsidRPr="00203A98">
        <w:rPr>
          <w:rFonts w:ascii="Simplified Arabic" w:eastAsia="Times New Roman" w:hAnsi="Simplified Arabic" w:cs="Simplified Arabic"/>
          <w:color w:val="000000" w:themeColor="text1"/>
          <w:kern w:val="0"/>
          <w:sz w:val="28"/>
          <w:szCs w:val="28"/>
          <w14:ligatures w14:val="none"/>
        </w:rPr>
        <w:t xml:space="preserve"> (Ardianingsih et al., 2024) </w:t>
      </w:r>
      <w:r w:rsidRPr="00203A98">
        <w:rPr>
          <w:rFonts w:ascii="Simplified Arabic" w:eastAsia="Times New Roman" w:hAnsi="Simplified Arabic" w:cs="Simplified Arabic"/>
          <w:color w:val="000000" w:themeColor="text1"/>
          <w:kern w:val="0"/>
          <w:sz w:val="28"/>
          <w:szCs w:val="28"/>
          <w:rtl/>
          <w14:ligatures w14:val="none"/>
        </w:rPr>
        <w:t>إلى أن فاعلية المراجعة الداخلية المبنية على المخاطر تتأثر بمجموعة من المحددات التي إذا لم تُعالج بشكل مناسب، فإنها تُضعف من قدرة هذا المدخل على تحقيق أهدافه</w:t>
      </w:r>
      <w:r w:rsidRPr="00203A98">
        <w:rPr>
          <w:rFonts w:ascii="Simplified Arabic" w:eastAsia="Times New Roman" w:hAnsi="Simplified Arabic" w:cs="Simplified Arabic"/>
          <w:color w:val="000000" w:themeColor="text1"/>
          <w:kern w:val="0"/>
          <w:sz w:val="28"/>
          <w:szCs w:val="28"/>
          <w14:ligatures w14:val="none"/>
        </w:rPr>
        <w:t>.</w:t>
      </w:r>
    </w:p>
    <w:p w14:paraId="1EE580B9"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 xml:space="preserve">وفي بيئة الشركات المساهمة السعودية على وجه الخصوص، تتضاعف أبعاد هذه المشكلة في ظل التحولات الاقتصادية والتنظيمية التي تشهدها المملكة العربية السعودية في إطار رؤية 2030، والتي أفرزت متطلبات جديدة للحوكمة وإدارة المخاطر والإفصاح والشفافية. فقد أصبحت هذه الشركات مطالبة بتبنّي أعلى معايير الممارسة المهنية في المراجعة الداخلية، غير أن التطبيق الفعلي لمدخل المراجعة الداخلية </w:t>
      </w:r>
      <w:r w:rsidRPr="00203A98">
        <w:rPr>
          <w:rFonts w:ascii="Simplified Arabic" w:eastAsia="Times New Roman" w:hAnsi="Simplified Arabic" w:cs="Simplified Arabic"/>
          <w:color w:val="000000" w:themeColor="text1"/>
          <w:kern w:val="0"/>
          <w:sz w:val="28"/>
          <w:szCs w:val="28"/>
          <w:rtl/>
          <w14:ligatures w14:val="none"/>
        </w:rPr>
        <w:lastRenderedPageBreak/>
        <w:t>المبنية على المخاطر لا يزال في مراحله الأولى في كثير من هذه الشركات، ولم يتم استيعاب أبعاده المختلفة (تحديد المخاطر، تقييمها، الاستجابة لها، ومراقبتها) بالشكل الأمثل الذي يُمكّن من تعزيز فاعلية تحليل المخاطر</w:t>
      </w:r>
      <w:r w:rsidRPr="00203A98">
        <w:rPr>
          <w:rFonts w:ascii="Simplified Arabic" w:eastAsia="Times New Roman" w:hAnsi="Simplified Arabic" w:cs="Simplified Arabic"/>
          <w:color w:val="000000" w:themeColor="text1"/>
          <w:kern w:val="0"/>
          <w:sz w:val="28"/>
          <w:szCs w:val="28"/>
          <w14:ligatures w14:val="none"/>
        </w:rPr>
        <w:t>.</w:t>
      </w:r>
    </w:p>
    <w:p w14:paraId="6587F18D"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وعلى الرغم من الاهتمام المتزايد بموضوع المراجعة الداخلية المبنية على المخاطر في الأدب المحاسبي العربي والأجنبي، فإن الدراسات التي تناولت هذا الموضوع في بيئة الشركات المساهمة السعودية لا تزال محدودة، وأغلبها ركّز على جوانب جزئية دون تقديم إطار متكامل يربط بين المراجعة الداخلية المبنية على المخاطر بأبعادها المختلفة وفاعلية تحليل المخاطر. كما أن معظم الدراسات السابقة تناولت هذا الموضوع في بيئات أعمال مختلفة تختلف خصائصها التنظيمية والاقتصادية عن البيئة السعودية، مما يُضعف من إمكانية تعميم نتائجها على الشركات المساهمة السعودية</w:t>
      </w:r>
      <w:r w:rsidRPr="00203A98">
        <w:rPr>
          <w:rFonts w:ascii="Simplified Arabic" w:eastAsia="Times New Roman" w:hAnsi="Simplified Arabic" w:cs="Simplified Arabic"/>
          <w:color w:val="000000" w:themeColor="text1"/>
          <w:kern w:val="0"/>
          <w:sz w:val="28"/>
          <w:szCs w:val="28"/>
          <w14:ligatures w14:val="none"/>
        </w:rPr>
        <w:t>.</w:t>
      </w:r>
    </w:p>
    <w:p w14:paraId="2B4A9ED7"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وتُشكّل هذه الفجوة البحثية دافعاً قوياً لإجراء الدراسة الحالية التي تسعى إلى استكشاف أثر المراجعة الداخلية المبنية على المخاطر بأبعادها المختلفة على تعزيز فاعلية تحليل المخاطر في الشركات المساهمة السعودية، بما يُسهم في إثراء الأدب المحاسبي وتقديم إطار عملي يُمكن الاسترشاد به من قبل المهنيين والممارسين في هذا المجال</w:t>
      </w:r>
      <w:r w:rsidRPr="00203A98">
        <w:rPr>
          <w:rFonts w:ascii="Simplified Arabic" w:eastAsia="Times New Roman" w:hAnsi="Simplified Arabic" w:cs="Simplified Arabic"/>
          <w:color w:val="000000" w:themeColor="text1"/>
          <w:kern w:val="0"/>
          <w:sz w:val="28"/>
          <w:szCs w:val="28"/>
          <w14:ligatures w14:val="none"/>
        </w:rPr>
        <w:t>.</w:t>
      </w:r>
    </w:p>
    <w:p w14:paraId="38BDA18E" w14:textId="463FC690"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203A98">
        <w:rPr>
          <w:rFonts w:ascii="Simplified Arabic" w:eastAsia="Times New Roman" w:hAnsi="Simplified Arabic" w:cs="Simplified Arabic"/>
          <w:b/>
          <w:bCs/>
          <w:color w:val="000000" w:themeColor="text1"/>
          <w:kern w:val="0"/>
          <w:sz w:val="28"/>
          <w:szCs w:val="28"/>
          <w:rtl/>
          <w14:ligatures w14:val="none"/>
        </w:rPr>
        <w:t>وبناءً على ما تقدم، يمكن صياغة مشكلة الدراسة في التساؤل الرئيسي التالي</w:t>
      </w:r>
      <w:r w:rsidRPr="00203A98">
        <w:rPr>
          <w:rFonts w:ascii="Simplified Arabic" w:eastAsia="Times New Roman" w:hAnsi="Simplified Arabic" w:cs="Simplified Arabic"/>
          <w:b/>
          <w:bCs/>
          <w:color w:val="000000" w:themeColor="text1"/>
          <w:kern w:val="0"/>
          <w:sz w:val="28"/>
          <w:szCs w:val="28"/>
          <w14:ligatures w14:val="none"/>
        </w:rPr>
        <w:t>:</w:t>
      </w:r>
      <w:r w:rsidR="007922C2" w:rsidRPr="00203A98">
        <w:rPr>
          <w:rFonts w:ascii="Simplified Arabic" w:eastAsia="Times New Roman" w:hAnsi="Simplified Arabic" w:cs="Simplified Arabic" w:hint="cs"/>
          <w:b/>
          <w:bCs/>
          <w:color w:val="000000" w:themeColor="text1"/>
          <w:kern w:val="0"/>
          <w:sz w:val="28"/>
          <w:szCs w:val="28"/>
          <w:rtl/>
          <w14:ligatures w14:val="none"/>
        </w:rPr>
        <w:t xml:space="preserve"> </w:t>
      </w:r>
      <w:r w:rsidRPr="00203A98">
        <w:rPr>
          <w:rFonts w:ascii="Simplified Arabic" w:eastAsia="Times New Roman" w:hAnsi="Simplified Arabic" w:cs="Simplified Arabic"/>
          <w:color w:val="000000" w:themeColor="text1"/>
          <w:kern w:val="0"/>
          <w:sz w:val="28"/>
          <w:szCs w:val="28"/>
          <w:rtl/>
          <w14:ligatures w14:val="none"/>
        </w:rPr>
        <w:t>ما أثر المراجعة الداخلية المبنية على المخاطر بأبعادها (تحديد المخاطر، تقييم المخاطر، الاستجابة للمخاطر، مراقبة المخاطر) على تعزيز فاعلية تحليل المخاطر في الشركات المساهمة السعودية؟</w:t>
      </w:r>
      <w:r w:rsidRPr="00203A98">
        <w:rPr>
          <w:rFonts w:ascii="Simplified Arabic" w:eastAsia="Times New Roman" w:hAnsi="Simplified Arabic" w:cs="Simplified Arabic"/>
          <w:color w:val="000000" w:themeColor="text1"/>
          <w:kern w:val="0"/>
          <w:sz w:val="28"/>
          <w:szCs w:val="28"/>
          <w14:ligatures w14:val="none"/>
        </w:rPr>
        <w:t>”</w:t>
      </w:r>
    </w:p>
    <w:p w14:paraId="5DEB93EF" w14:textId="6F624535" w:rsidR="002837E8" w:rsidRPr="00203A98" w:rsidRDefault="007922C2" w:rsidP="007922C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5" w:name="_Toc234229066"/>
      <w:r w:rsidRPr="00203A98">
        <w:rPr>
          <w:rFonts w:ascii="Simplified Arabic" w:eastAsia="Times New Roman" w:hAnsi="Simplified Arabic" w:cs="Simplified Arabic" w:hint="cs"/>
          <w:b/>
          <w:bCs/>
          <w:color w:val="000000" w:themeColor="text1"/>
          <w:kern w:val="0"/>
          <w:sz w:val="36"/>
          <w:szCs w:val="36"/>
          <w:rtl/>
          <w14:ligatures w14:val="none"/>
        </w:rPr>
        <w:t>3.1</w:t>
      </w:r>
      <w:r w:rsidR="002837E8" w:rsidRPr="00203A98">
        <w:rPr>
          <w:rFonts w:ascii="Simplified Arabic" w:eastAsia="Times New Roman" w:hAnsi="Simplified Arabic" w:cs="Simplified Arabic"/>
          <w:b/>
          <w:bCs/>
          <w:color w:val="000000" w:themeColor="text1"/>
          <w:kern w:val="0"/>
          <w:sz w:val="36"/>
          <w:szCs w:val="36"/>
          <w:rtl/>
          <w14:ligatures w14:val="none"/>
        </w:rPr>
        <w:t xml:space="preserve"> أهمية الدراسة</w:t>
      </w:r>
      <w:bookmarkEnd w:id="5"/>
    </w:p>
    <w:p w14:paraId="31971F60" w14:textId="77777777" w:rsidR="002837E8" w:rsidRPr="00203A98" w:rsidRDefault="002837E8" w:rsidP="007922C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03A98">
        <w:rPr>
          <w:rFonts w:ascii="Simplified Arabic" w:eastAsia="Times New Roman" w:hAnsi="Simplified Arabic" w:cs="Simplified Arabic"/>
          <w:b/>
          <w:bCs/>
          <w:color w:val="000000" w:themeColor="text1"/>
          <w:kern w:val="0"/>
          <w:sz w:val="32"/>
          <w:szCs w:val="32"/>
          <w:rtl/>
          <w14:ligatures w14:val="none"/>
        </w:rPr>
        <w:t>الأهمية العلمية (الأكاديمية)</w:t>
      </w:r>
      <w:r w:rsidRPr="00203A98">
        <w:rPr>
          <w:rFonts w:ascii="Simplified Arabic" w:eastAsia="Times New Roman" w:hAnsi="Simplified Arabic" w:cs="Simplified Arabic"/>
          <w:b/>
          <w:bCs/>
          <w:color w:val="000000" w:themeColor="text1"/>
          <w:kern w:val="0"/>
          <w:sz w:val="32"/>
          <w:szCs w:val="32"/>
          <w14:ligatures w14:val="none"/>
        </w:rPr>
        <w:t>:</w:t>
      </w:r>
    </w:p>
    <w:p w14:paraId="0D9B80C4" w14:textId="77777777" w:rsidR="002837E8" w:rsidRPr="00203A98" w:rsidRDefault="002837E8" w:rsidP="007922C2">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تُسهم الدراسة في إثراء الأدب المحاسبي العربي بموضوع حديث ومعاصر يجمع بين مدخلين مهمّين في مهنة المراجعة، وهما: المراجعة الداخلية المبنية على المخاطر، وتحليل المخاطر</w:t>
      </w:r>
      <w:r w:rsidRPr="00203A98">
        <w:rPr>
          <w:rFonts w:ascii="Simplified Arabic" w:eastAsia="Times New Roman" w:hAnsi="Simplified Arabic" w:cs="Simplified Arabic"/>
          <w:color w:val="000000" w:themeColor="text1"/>
          <w:kern w:val="0"/>
          <w:sz w:val="28"/>
          <w:szCs w:val="28"/>
          <w14:ligatures w14:val="none"/>
        </w:rPr>
        <w:t>.</w:t>
      </w:r>
    </w:p>
    <w:p w14:paraId="21A79F58" w14:textId="77777777" w:rsidR="002837E8" w:rsidRPr="00203A98" w:rsidRDefault="002837E8" w:rsidP="007922C2">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تُقدّم إطاراً نظرياً متكاملاً يربط بين أبعاد المراجعة الداخلية المبنية على المخاطر وفاعلية تحليل المخاطر، مما يُساعد الباحثين والأكاديميين في فهم طبيعة هذه العلاقة</w:t>
      </w:r>
      <w:r w:rsidRPr="00203A98">
        <w:rPr>
          <w:rFonts w:ascii="Simplified Arabic" w:eastAsia="Times New Roman" w:hAnsi="Simplified Arabic" w:cs="Simplified Arabic"/>
          <w:color w:val="000000" w:themeColor="text1"/>
          <w:kern w:val="0"/>
          <w:sz w:val="28"/>
          <w:szCs w:val="28"/>
          <w14:ligatures w14:val="none"/>
        </w:rPr>
        <w:t>.</w:t>
      </w:r>
    </w:p>
    <w:p w14:paraId="3698B907" w14:textId="77777777" w:rsidR="002837E8" w:rsidRPr="00203A98" w:rsidRDefault="002837E8" w:rsidP="007922C2">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lastRenderedPageBreak/>
        <w:t>تسدّ فجوة بحثية واضحة في الدراسات العربية التي تناولت هذا الموضوع في بيئة الشركات المساهمة السعودية</w:t>
      </w:r>
      <w:r w:rsidRPr="00203A98">
        <w:rPr>
          <w:rFonts w:ascii="Simplified Arabic" w:eastAsia="Times New Roman" w:hAnsi="Simplified Arabic" w:cs="Simplified Arabic"/>
          <w:color w:val="000000" w:themeColor="text1"/>
          <w:kern w:val="0"/>
          <w:sz w:val="28"/>
          <w:szCs w:val="28"/>
          <w14:ligatures w14:val="none"/>
        </w:rPr>
        <w:t>.</w:t>
      </w:r>
    </w:p>
    <w:p w14:paraId="1BFF1504" w14:textId="77777777" w:rsidR="002837E8" w:rsidRPr="00203A98" w:rsidRDefault="002837E8" w:rsidP="007922C2">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تفتح آفاقاً بحثية جديدة للباحثين لدراسة متغيرات وسيطة أو معدّلة قد تؤثر على العلاقة بين المتغيرين، مثل جودة الحوكمة، وثقافة إدارة المخاطر، والبنية التحتية التكنولوجية</w:t>
      </w:r>
      <w:r w:rsidRPr="00203A98">
        <w:rPr>
          <w:rFonts w:ascii="Simplified Arabic" w:eastAsia="Times New Roman" w:hAnsi="Simplified Arabic" w:cs="Simplified Arabic"/>
          <w:color w:val="000000" w:themeColor="text1"/>
          <w:kern w:val="0"/>
          <w:sz w:val="28"/>
          <w:szCs w:val="28"/>
          <w14:ligatures w14:val="none"/>
        </w:rPr>
        <w:t>.</w:t>
      </w:r>
    </w:p>
    <w:p w14:paraId="23D5FB45" w14:textId="77777777" w:rsidR="002837E8" w:rsidRPr="00203A98" w:rsidRDefault="002837E8" w:rsidP="007922C2">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تُضيف قيمة علمية من خلال استخدام أدوات إحصائية متقدمة لاختبار العلاقات بين متغيرات الدراسة، بما يُعزّز من الدقة العلمية للنتائج</w:t>
      </w:r>
      <w:r w:rsidRPr="00203A98">
        <w:rPr>
          <w:rFonts w:ascii="Simplified Arabic" w:eastAsia="Times New Roman" w:hAnsi="Simplified Arabic" w:cs="Simplified Arabic"/>
          <w:color w:val="000000" w:themeColor="text1"/>
          <w:kern w:val="0"/>
          <w:sz w:val="28"/>
          <w:szCs w:val="28"/>
          <w14:ligatures w14:val="none"/>
        </w:rPr>
        <w:t>.</w:t>
      </w:r>
    </w:p>
    <w:p w14:paraId="63153E1C" w14:textId="77777777" w:rsidR="002837E8" w:rsidRPr="00203A98" w:rsidRDefault="002837E8" w:rsidP="007922C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03A98">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Pr="00203A98">
        <w:rPr>
          <w:rFonts w:ascii="Simplified Arabic" w:eastAsia="Times New Roman" w:hAnsi="Simplified Arabic" w:cs="Simplified Arabic"/>
          <w:b/>
          <w:bCs/>
          <w:color w:val="000000" w:themeColor="text1"/>
          <w:kern w:val="0"/>
          <w:sz w:val="32"/>
          <w:szCs w:val="32"/>
          <w14:ligatures w14:val="none"/>
        </w:rPr>
        <w:t>:</w:t>
      </w:r>
    </w:p>
    <w:p w14:paraId="40FCB348" w14:textId="77777777" w:rsidR="002837E8" w:rsidRPr="00203A98" w:rsidRDefault="002837E8" w:rsidP="007922C2">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تُقدّم رؤى عملية للمراجعين الداخليين في الشركات المساهمة السعودية حول كيفية تبنّي مدخل المراجعة المبنية على المخاطر لتعزيز فاعلية تحليل المخاطر</w:t>
      </w:r>
      <w:r w:rsidRPr="00203A98">
        <w:rPr>
          <w:rFonts w:ascii="Simplified Arabic" w:eastAsia="Times New Roman" w:hAnsi="Simplified Arabic" w:cs="Simplified Arabic"/>
          <w:color w:val="000000" w:themeColor="text1"/>
          <w:kern w:val="0"/>
          <w:sz w:val="28"/>
          <w:szCs w:val="28"/>
          <w14:ligatures w14:val="none"/>
        </w:rPr>
        <w:t>.</w:t>
      </w:r>
    </w:p>
    <w:p w14:paraId="39769557" w14:textId="77777777" w:rsidR="002837E8" w:rsidRPr="00203A98" w:rsidRDefault="002837E8" w:rsidP="007922C2">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تُساعد الإدارات العليا في الشركات المساهمة السعودية على فهم أهمية دعم تطبيق المراجعة الداخلية المبنية على المخاطر وتوفير المتطلبات اللازمة لذلك</w:t>
      </w:r>
      <w:r w:rsidRPr="00203A98">
        <w:rPr>
          <w:rFonts w:ascii="Simplified Arabic" w:eastAsia="Times New Roman" w:hAnsi="Simplified Arabic" w:cs="Simplified Arabic"/>
          <w:color w:val="000000" w:themeColor="text1"/>
          <w:kern w:val="0"/>
          <w:sz w:val="28"/>
          <w:szCs w:val="28"/>
          <w14:ligatures w14:val="none"/>
        </w:rPr>
        <w:t>.</w:t>
      </w:r>
    </w:p>
    <w:p w14:paraId="154C0FB0" w14:textId="77777777" w:rsidR="002837E8" w:rsidRPr="00203A98" w:rsidRDefault="002837E8" w:rsidP="007922C2">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تُقدّم توجيهات للجهات التشريعية والتنظيمية في المملكة العربية السعودية، كهيئة السوق المالية والهيئة السعودية للمراجعين والمحاسبين، حول تطوير الأطر التنظيمية الداعمة لتبنّي هذا المدخل</w:t>
      </w:r>
      <w:r w:rsidRPr="00203A98">
        <w:rPr>
          <w:rFonts w:ascii="Simplified Arabic" w:eastAsia="Times New Roman" w:hAnsi="Simplified Arabic" w:cs="Simplified Arabic"/>
          <w:color w:val="000000" w:themeColor="text1"/>
          <w:kern w:val="0"/>
          <w:sz w:val="28"/>
          <w:szCs w:val="28"/>
          <w14:ligatures w14:val="none"/>
        </w:rPr>
        <w:t>.</w:t>
      </w:r>
    </w:p>
    <w:p w14:paraId="220287B0" w14:textId="77777777" w:rsidR="002837E8" w:rsidRPr="00203A98" w:rsidRDefault="002837E8" w:rsidP="007922C2">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تُسهم في تعزيز ثقة المستثمرين وأصحاب المصلحة في الشركات المساهمة السعودية من خلال تحسين ممارسات المراجعة الداخلية وإدارة المخاطر</w:t>
      </w:r>
      <w:r w:rsidRPr="00203A98">
        <w:rPr>
          <w:rFonts w:ascii="Simplified Arabic" w:eastAsia="Times New Roman" w:hAnsi="Simplified Arabic" w:cs="Simplified Arabic"/>
          <w:color w:val="000000" w:themeColor="text1"/>
          <w:kern w:val="0"/>
          <w:sz w:val="28"/>
          <w:szCs w:val="28"/>
          <w14:ligatures w14:val="none"/>
        </w:rPr>
        <w:t>.</w:t>
      </w:r>
    </w:p>
    <w:p w14:paraId="561C3FFB" w14:textId="77777777" w:rsidR="002837E8" w:rsidRPr="00203A98" w:rsidRDefault="002837E8" w:rsidP="007922C2">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تدعم التوجهات الاستراتيجية للمملكة العربية السعودية في إطار رؤية 2030 نحو تعزيز الحوكمة والشفافية في القطاع الاقتصادي</w:t>
      </w:r>
      <w:r w:rsidRPr="00203A98">
        <w:rPr>
          <w:rFonts w:ascii="Simplified Arabic" w:eastAsia="Times New Roman" w:hAnsi="Simplified Arabic" w:cs="Simplified Arabic"/>
          <w:color w:val="000000" w:themeColor="text1"/>
          <w:kern w:val="0"/>
          <w:sz w:val="28"/>
          <w:szCs w:val="28"/>
          <w14:ligatures w14:val="none"/>
        </w:rPr>
        <w:t>.</w:t>
      </w:r>
    </w:p>
    <w:p w14:paraId="14CF603F" w14:textId="77777777" w:rsidR="002837E8" w:rsidRPr="00203A98" w:rsidRDefault="002837E8" w:rsidP="007922C2">
      <w:pPr>
        <w:pStyle w:val="ListParagraph"/>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تُوفّر إطاراً تطبيقياً يُمكن للشركات المساهمة السعودية الاسترشاد به في تطوير سياساتها وإجراءاتها المتعلقة بالمراجعة الداخلية وإدارة المخاطر</w:t>
      </w:r>
      <w:r w:rsidRPr="00203A98">
        <w:rPr>
          <w:rFonts w:ascii="Simplified Arabic" w:eastAsia="Times New Roman" w:hAnsi="Simplified Arabic" w:cs="Simplified Arabic"/>
          <w:color w:val="000000" w:themeColor="text1"/>
          <w:kern w:val="0"/>
          <w:sz w:val="28"/>
          <w:szCs w:val="28"/>
          <w14:ligatures w14:val="none"/>
        </w:rPr>
        <w:t>.</w:t>
      </w:r>
    </w:p>
    <w:p w14:paraId="4B66FE82" w14:textId="2795629B" w:rsidR="002837E8" w:rsidRPr="00203A98" w:rsidRDefault="007922C2" w:rsidP="007922C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6" w:name="_Toc234229067"/>
      <w:r w:rsidRPr="00203A98">
        <w:rPr>
          <w:rFonts w:ascii="Simplified Arabic" w:eastAsia="Times New Roman" w:hAnsi="Simplified Arabic" w:cs="Simplified Arabic" w:hint="cs"/>
          <w:b/>
          <w:bCs/>
          <w:color w:val="000000" w:themeColor="text1"/>
          <w:kern w:val="0"/>
          <w:sz w:val="36"/>
          <w:szCs w:val="36"/>
          <w:rtl/>
          <w14:ligatures w14:val="none"/>
        </w:rPr>
        <w:t xml:space="preserve">4.1 </w:t>
      </w:r>
      <w:r w:rsidR="002837E8" w:rsidRPr="00203A98">
        <w:rPr>
          <w:rFonts w:ascii="Simplified Arabic" w:eastAsia="Times New Roman" w:hAnsi="Simplified Arabic" w:cs="Simplified Arabic"/>
          <w:b/>
          <w:bCs/>
          <w:color w:val="000000" w:themeColor="text1"/>
          <w:kern w:val="0"/>
          <w:sz w:val="36"/>
          <w:szCs w:val="36"/>
          <w:rtl/>
          <w14:ligatures w14:val="none"/>
        </w:rPr>
        <w:t>أهداف الدراسة</w:t>
      </w:r>
      <w:bookmarkEnd w:id="6"/>
    </w:p>
    <w:p w14:paraId="493EAE8C" w14:textId="4A122579"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b/>
          <w:bCs/>
          <w:color w:val="000000" w:themeColor="text1"/>
          <w:kern w:val="0"/>
          <w:sz w:val="28"/>
          <w:szCs w:val="28"/>
          <w:rtl/>
          <w14:ligatures w14:val="none"/>
        </w:rPr>
        <w:t>الهدف الرئيسي</w:t>
      </w:r>
      <w:r w:rsidRPr="00203A98">
        <w:rPr>
          <w:rFonts w:ascii="Simplified Arabic" w:eastAsia="Times New Roman" w:hAnsi="Simplified Arabic" w:cs="Simplified Arabic"/>
          <w:color w:val="000000" w:themeColor="text1"/>
          <w:kern w:val="0"/>
          <w:sz w:val="28"/>
          <w:szCs w:val="28"/>
          <w14:ligatures w14:val="none"/>
        </w:rPr>
        <w:t>:</w:t>
      </w:r>
      <w:r w:rsidR="007922C2" w:rsidRPr="00203A98">
        <w:rPr>
          <w:rFonts w:ascii="Simplified Arabic" w:eastAsia="Times New Roman" w:hAnsi="Simplified Arabic" w:cs="Simplified Arabic" w:hint="cs"/>
          <w:color w:val="000000" w:themeColor="text1"/>
          <w:kern w:val="0"/>
          <w:sz w:val="28"/>
          <w:szCs w:val="28"/>
          <w:rtl/>
          <w14:ligatures w14:val="none"/>
        </w:rPr>
        <w:t xml:space="preserve"> </w:t>
      </w:r>
      <w:r w:rsidRPr="00203A98">
        <w:rPr>
          <w:rFonts w:ascii="Simplified Arabic" w:eastAsia="Times New Roman" w:hAnsi="Simplified Arabic" w:cs="Simplified Arabic"/>
          <w:color w:val="000000" w:themeColor="text1"/>
          <w:kern w:val="0"/>
          <w:sz w:val="28"/>
          <w:szCs w:val="28"/>
          <w:rtl/>
          <w14:ligatures w14:val="none"/>
        </w:rPr>
        <w:t>تهدف الدراسة إلى دراسة أثر المراجعة الداخلية المبنية على المخاطر بأبعادها (تحديد المخاطر، تقييم المخاطر، الاستجابة للمخاطر، مراقبة المخاطر) على تعزيز فاعلية تحليل المخاطر في الشركات المساهمة السعودية</w:t>
      </w:r>
      <w:r w:rsidRPr="00203A98">
        <w:rPr>
          <w:rFonts w:ascii="Simplified Arabic" w:eastAsia="Times New Roman" w:hAnsi="Simplified Arabic" w:cs="Simplified Arabic"/>
          <w:color w:val="000000" w:themeColor="text1"/>
          <w:kern w:val="0"/>
          <w:sz w:val="28"/>
          <w:szCs w:val="28"/>
          <w14:ligatures w14:val="none"/>
        </w:rPr>
        <w:t>.</w:t>
      </w:r>
    </w:p>
    <w:p w14:paraId="04BB0B3A" w14:textId="77777777" w:rsidR="002837E8" w:rsidRPr="00203A98" w:rsidRDefault="002837E8" w:rsidP="007922C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03A98">
        <w:rPr>
          <w:rFonts w:ascii="Simplified Arabic" w:eastAsia="Times New Roman" w:hAnsi="Simplified Arabic" w:cs="Simplified Arabic"/>
          <w:b/>
          <w:bCs/>
          <w:color w:val="000000" w:themeColor="text1"/>
          <w:kern w:val="0"/>
          <w:sz w:val="32"/>
          <w:szCs w:val="32"/>
          <w:rtl/>
          <w14:ligatures w14:val="none"/>
        </w:rPr>
        <w:lastRenderedPageBreak/>
        <w:t>الأهداف الفرعية</w:t>
      </w:r>
      <w:r w:rsidRPr="00203A98">
        <w:rPr>
          <w:rFonts w:ascii="Simplified Arabic" w:eastAsia="Times New Roman" w:hAnsi="Simplified Arabic" w:cs="Simplified Arabic"/>
          <w:b/>
          <w:bCs/>
          <w:color w:val="000000" w:themeColor="text1"/>
          <w:kern w:val="0"/>
          <w:sz w:val="32"/>
          <w:szCs w:val="32"/>
          <w14:ligatures w14:val="none"/>
        </w:rPr>
        <w:t>:</w:t>
      </w:r>
    </w:p>
    <w:p w14:paraId="16AA65CC" w14:textId="77777777" w:rsidR="002837E8" w:rsidRPr="00203A98" w:rsidRDefault="002837E8" w:rsidP="007922C2">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التعرف على الإطار النظري والمفاهيمي للمراجعة الداخلية المبنية على المخاطر وأبعادها المختلفة في ضوء أحدث الأدبيات المحاسبية</w:t>
      </w:r>
      <w:r w:rsidRPr="00203A98">
        <w:rPr>
          <w:rFonts w:ascii="Simplified Arabic" w:eastAsia="Times New Roman" w:hAnsi="Simplified Arabic" w:cs="Simplified Arabic"/>
          <w:color w:val="000000" w:themeColor="text1"/>
          <w:kern w:val="0"/>
          <w:sz w:val="28"/>
          <w:szCs w:val="28"/>
          <w14:ligatures w14:val="none"/>
        </w:rPr>
        <w:t>.</w:t>
      </w:r>
    </w:p>
    <w:p w14:paraId="220FFFA7" w14:textId="77777777" w:rsidR="002837E8" w:rsidRPr="00203A98" w:rsidRDefault="002837E8" w:rsidP="007922C2">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استكشاف الإطار النظري والمفاهيمي لتحليل المخاطر وأبعاده وأهميته في بيئة الشركات المساهمة</w:t>
      </w:r>
      <w:r w:rsidRPr="00203A98">
        <w:rPr>
          <w:rFonts w:ascii="Simplified Arabic" w:eastAsia="Times New Roman" w:hAnsi="Simplified Arabic" w:cs="Simplified Arabic"/>
          <w:color w:val="000000" w:themeColor="text1"/>
          <w:kern w:val="0"/>
          <w:sz w:val="28"/>
          <w:szCs w:val="28"/>
          <w14:ligatures w14:val="none"/>
        </w:rPr>
        <w:t>.</w:t>
      </w:r>
    </w:p>
    <w:p w14:paraId="5ACF7A84" w14:textId="77777777" w:rsidR="002837E8" w:rsidRPr="00203A98" w:rsidRDefault="002837E8" w:rsidP="007922C2">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دراسة أثر بُعد تحديد المخاطر على تعزيز فاعلية تحليل المخاطر في الشركات المساهمة السعودية</w:t>
      </w:r>
      <w:r w:rsidRPr="00203A98">
        <w:rPr>
          <w:rFonts w:ascii="Simplified Arabic" w:eastAsia="Times New Roman" w:hAnsi="Simplified Arabic" w:cs="Simplified Arabic"/>
          <w:color w:val="000000" w:themeColor="text1"/>
          <w:kern w:val="0"/>
          <w:sz w:val="28"/>
          <w:szCs w:val="28"/>
          <w14:ligatures w14:val="none"/>
        </w:rPr>
        <w:t>.</w:t>
      </w:r>
    </w:p>
    <w:p w14:paraId="649BF36A" w14:textId="77777777" w:rsidR="002837E8" w:rsidRPr="00203A98" w:rsidRDefault="002837E8" w:rsidP="007922C2">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قياس أثر بُعد تقييم المخاطر على تعزيز فاعلية تحليل المخاطر في الشركات المساهمة السعودية</w:t>
      </w:r>
      <w:r w:rsidRPr="00203A98">
        <w:rPr>
          <w:rFonts w:ascii="Simplified Arabic" w:eastAsia="Times New Roman" w:hAnsi="Simplified Arabic" w:cs="Simplified Arabic"/>
          <w:color w:val="000000" w:themeColor="text1"/>
          <w:kern w:val="0"/>
          <w:sz w:val="28"/>
          <w:szCs w:val="28"/>
          <w14:ligatures w14:val="none"/>
        </w:rPr>
        <w:t>.</w:t>
      </w:r>
    </w:p>
    <w:p w14:paraId="4DD62510" w14:textId="77777777" w:rsidR="002837E8" w:rsidRPr="00203A98" w:rsidRDefault="002837E8" w:rsidP="007922C2">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تحليل أثر بُعد الاستجابة للمخاطر على تعزيز فاعلية تحليل المخاطر في الشركات المساهمة السعودية</w:t>
      </w:r>
      <w:r w:rsidRPr="00203A98">
        <w:rPr>
          <w:rFonts w:ascii="Simplified Arabic" w:eastAsia="Times New Roman" w:hAnsi="Simplified Arabic" w:cs="Simplified Arabic"/>
          <w:color w:val="000000" w:themeColor="text1"/>
          <w:kern w:val="0"/>
          <w:sz w:val="28"/>
          <w:szCs w:val="28"/>
          <w14:ligatures w14:val="none"/>
        </w:rPr>
        <w:t>.</w:t>
      </w:r>
    </w:p>
    <w:p w14:paraId="2B58C4CF" w14:textId="77777777" w:rsidR="002837E8" w:rsidRPr="00203A98" w:rsidRDefault="002837E8" w:rsidP="007922C2">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الكشف عن أثر بُعد مراقبة المخاطر على تعزيز فاعلية تحليل المخاطر في الشركات المساهمة السعودية</w:t>
      </w:r>
      <w:r w:rsidRPr="00203A98">
        <w:rPr>
          <w:rFonts w:ascii="Simplified Arabic" w:eastAsia="Times New Roman" w:hAnsi="Simplified Arabic" w:cs="Simplified Arabic"/>
          <w:color w:val="000000" w:themeColor="text1"/>
          <w:kern w:val="0"/>
          <w:sz w:val="28"/>
          <w:szCs w:val="28"/>
          <w14:ligatures w14:val="none"/>
        </w:rPr>
        <w:t>.</w:t>
      </w:r>
    </w:p>
    <w:p w14:paraId="0783058E" w14:textId="77777777" w:rsidR="002837E8" w:rsidRPr="00203A98" w:rsidRDefault="002837E8" w:rsidP="007922C2">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المقارنة بين الأثر النسبي لكل بُعد من أبعاد المراجعة الداخلية المبنية على المخاطر على فاعلية تحليل المخاطر</w:t>
      </w:r>
      <w:r w:rsidRPr="00203A98">
        <w:rPr>
          <w:rFonts w:ascii="Simplified Arabic" w:eastAsia="Times New Roman" w:hAnsi="Simplified Arabic" w:cs="Simplified Arabic"/>
          <w:color w:val="000000" w:themeColor="text1"/>
          <w:kern w:val="0"/>
          <w:sz w:val="28"/>
          <w:szCs w:val="28"/>
          <w14:ligatures w14:val="none"/>
        </w:rPr>
        <w:t>.</w:t>
      </w:r>
    </w:p>
    <w:p w14:paraId="5DC06D68" w14:textId="7420180E" w:rsidR="002837E8" w:rsidRPr="00203A98" w:rsidRDefault="002837E8" w:rsidP="007922C2">
      <w:pPr>
        <w:pStyle w:val="ListParagraph"/>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تقديم إطار مقترح لتعزيز فاعلية تحليل المخاطر من خلال تفعيل تطبيق المراجعة الداخلية المبنية على المخاطر في الشركات المساهمة السعودية</w:t>
      </w:r>
      <w:r w:rsidRPr="00203A98">
        <w:rPr>
          <w:rFonts w:ascii="Simplified Arabic" w:eastAsia="Times New Roman" w:hAnsi="Simplified Arabic" w:cs="Simplified Arabic"/>
          <w:color w:val="000000" w:themeColor="text1"/>
          <w:kern w:val="0"/>
          <w:sz w:val="28"/>
          <w:szCs w:val="28"/>
          <w14:ligatures w14:val="none"/>
        </w:rPr>
        <w:t>.</w:t>
      </w:r>
    </w:p>
    <w:p w14:paraId="3A32064C" w14:textId="3A944243" w:rsidR="002837E8" w:rsidRPr="00203A98" w:rsidRDefault="007922C2" w:rsidP="007922C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7" w:name="_Toc234229068"/>
      <w:r w:rsidRPr="00203A98">
        <w:rPr>
          <w:rFonts w:ascii="Simplified Arabic" w:eastAsia="Times New Roman" w:hAnsi="Simplified Arabic" w:cs="Simplified Arabic" w:hint="cs"/>
          <w:b/>
          <w:bCs/>
          <w:color w:val="000000" w:themeColor="text1"/>
          <w:kern w:val="0"/>
          <w:sz w:val="36"/>
          <w:szCs w:val="36"/>
          <w:rtl/>
          <w14:ligatures w14:val="none"/>
        </w:rPr>
        <w:t>5.1</w:t>
      </w:r>
      <w:r w:rsidR="002837E8" w:rsidRPr="00203A98">
        <w:rPr>
          <w:rFonts w:ascii="Simplified Arabic" w:eastAsia="Times New Roman" w:hAnsi="Simplified Arabic" w:cs="Simplified Arabic"/>
          <w:b/>
          <w:bCs/>
          <w:color w:val="000000" w:themeColor="text1"/>
          <w:kern w:val="0"/>
          <w:sz w:val="36"/>
          <w:szCs w:val="36"/>
          <w:rtl/>
          <w14:ligatures w14:val="none"/>
        </w:rPr>
        <w:t xml:space="preserve"> أسئلة الدراسة</w:t>
      </w:r>
      <w:bookmarkEnd w:id="7"/>
    </w:p>
    <w:p w14:paraId="2C287172" w14:textId="73D03A14"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b/>
          <w:bCs/>
          <w:color w:val="000000" w:themeColor="text1"/>
          <w:kern w:val="0"/>
          <w:sz w:val="28"/>
          <w:szCs w:val="28"/>
          <w:rtl/>
          <w14:ligatures w14:val="none"/>
        </w:rPr>
        <w:t>السؤال الرئيسي</w:t>
      </w:r>
      <w:r w:rsidRPr="00203A98">
        <w:rPr>
          <w:rFonts w:ascii="Simplified Arabic" w:eastAsia="Times New Roman" w:hAnsi="Simplified Arabic" w:cs="Simplified Arabic"/>
          <w:color w:val="000000" w:themeColor="text1"/>
          <w:kern w:val="0"/>
          <w:sz w:val="28"/>
          <w:szCs w:val="28"/>
          <w14:ligatures w14:val="none"/>
        </w:rPr>
        <w:t>:</w:t>
      </w:r>
      <w:r w:rsidR="007922C2" w:rsidRPr="00203A98">
        <w:rPr>
          <w:rFonts w:ascii="Simplified Arabic" w:eastAsia="Times New Roman" w:hAnsi="Simplified Arabic" w:cs="Simplified Arabic" w:hint="cs"/>
          <w:color w:val="000000" w:themeColor="text1"/>
          <w:kern w:val="0"/>
          <w:sz w:val="28"/>
          <w:szCs w:val="28"/>
          <w:rtl/>
          <w14:ligatures w14:val="none"/>
        </w:rPr>
        <w:t xml:space="preserve"> </w:t>
      </w:r>
      <w:r w:rsidRPr="00203A98">
        <w:rPr>
          <w:rFonts w:ascii="Simplified Arabic" w:eastAsia="Times New Roman" w:hAnsi="Simplified Arabic" w:cs="Simplified Arabic"/>
          <w:color w:val="000000" w:themeColor="text1"/>
          <w:kern w:val="0"/>
          <w:sz w:val="28"/>
          <w:szCs w:val="28"/>
          <w:rtl/>
          <w14:ligatures w14:val="none"/>
        </w:rPr>
        <w:t>ما أثر المراجعة الداخلية المبنية على المخاطر بأبعادها (تحديد المخاطر، تقييم المخاطر، الاستجابة للمخاطر، مراقبة المخاطر) على تعزيز فاعلية تحليل المخاطر في الشركات المساهمة السعودية؟</w:t>
      </w:r>
    </w:p>
    <w:p w14:paraId="2694E21B" w14:textId="77777777" w:rsidR="002837E8" w:rsidRPr="00203A98" w:rsidRDefault="002837E8" w:rsidP="007922C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03A98">
        <w:rPr>
          <w:rFonts w:ascii="Simplified Arabic" w:eastAsia="Times New Roman" w:hAnsi="Simplified Arabic" w:cs="Simplified Arabic"/>
          <w:b/>
          <w:bCs/>
          <w:color w:val="000000" w:themeColor="text1"/>
          <w:kern w:val="0"/>
          <w:sz w:val="32"/>
          <w:szCs w:val="32"/>
          <w:rtl/>
          <w14:ligatures w14:val="none"/>
        </w:rPr>
        <w:t>الأسئلة الفرعية</w:t>
      </w:r>
      <w:r w:rsidRPr="00203A98">
        <w:rPr>
          <w:rFonts w:ascii="Simplified Arabic" w:eastAsia="Times New Roman" w:hAnsi="Simplified Arabic" w:cs="Simplified Arabic"/>
          <w:b/>
          <w:bCs/>
          <w:color w:val="000000" w:themeColor="text1"/>
          <w:kern w:val="0"/>
          <w:sz w:val="32"/>
          <w:szCs w:val="32"/>
          <w14:ligatures w14:val="none"/>
        </w:rPr>
        <w:t>:</w:t>
      </w:r>
    </w:p>
    <w:p w14:paraId="38B2E86C" w14:textId="77777777" w:rsidR="002837E8" w:rsidRPr="00203A98" w:rsidRDefault="002837E8" w:rsidP="007922C2">
      <w:pPr>
        <w:numPr>
          <w:ilvl w:val="0"/>
          <w:numId w:val="1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ما الإطار النظري والمفاهيمي للمراجعة الداخلية المبنية على المخاطر وأبعادها المختلفة؟</w:t>
      </w:r>
    </w:p>
    <w:p w14:paraId="428B3D11" w14:textId="77777777" w:rsidR="002837E8" w:rsidRPr="00203A98" w:rsidRDefault="002837E8" w:rsidP="007922C2">
      <w:pPr>
        <w:numPr>
          <w:ilvl w:val="0"/>
          <w:numId w:val="1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ما الإطار النظري والمفاهيمي لتحليل المخاطر وأبعاده وأهميته في بيئة الشركات المساهمة؟</w:t>
      </w:r>
    </w:p>
    <w:p w14:paraId="72B29A1A" w14:textId="77777777" w:rsidR="002837E8" w:rsidRPr="00203A98" w:rsidRDefault="002837E8" w:rsidP="007922C2">
      <w:pPr>
        <w:numPr>
          <w:ilvl w:val="0"/>
          <w:numId w:val="1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ما أثر بُعد تحديد المخاطر على تعزيز فاعلية تحليل المخاطر في الشركات المساهمة السعودية؟</w:t>
      </w:r>
    </w:p>
    <w:p w14:paraId="48CECAFC" w14:textId="77777777" w:rsidR="002837E8" w:rsidRPr="00203A98" w:rsidRDefault="002837E8" w:rsidP="007922C2">
      <w:pPr>
        <w:numPr>
          <w:ilvl w:val="0"/>
          <w:numId w:val="1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ما أثر بُعد تقييم المخاطر على تعزيز فاعلية تحليل المخاطر في الشركات المساهمة السعودية؟</w:t>
      </w:r>
    </w:p>
    <w:p w14:paraId="404E02FC" w14:textId="77777777" w:rsidR="002837E8" w:rsidRPr="00203A98" w:rsidRDefault="002837E8" w:rsidP="007922C2">
      <w:pPr>
        <w:numPr>
          <w:ilvl w:val="0"/>
          <w:numId w:val="1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ما أثر بُعد الاستجابة للمخاطر على تعزيز فاعلية تحليل المخاطر في الشركات المساهمة السعودية؟</w:t>
      </w:r>
    </w:p>
    <w:p w14:paraId="0BD5446F" w14:textId="77777777" w:rsidR="002837E8" w:rsidRPr="00203A98" w:rsidRDefault="002837E8" w:rsidP="007922C2">
      <w:pPr>
        <w:numPr>
          <w:ilvl w:val="0"/>
          <w:numId w:val="1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lastRenderedPageBreak/>
        <w:t>ما أثر بُعد مراقبة المخاطر على تعزيز فاعلية تحليل المخاطر في الشركات المساهمة السعودية؟</w:t>
      </w:r>
    </w:p>
    <w:p w14:paraId="0FAF035C" w14:textId="77777777" w:rsidR="002837E8" w:rsidRPr="00203A98" w:rsidRDefault="002837E8" w:rsidP="007922C2">
      <w:pPr>
        <w:numPr>
          <w:ilvl w:val="0"/>
          <w:numId w:val="1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ما الأثر النسبي لكل بُعد من أبعاد المراجعة الداخلية المبنية على المخاطر على فاعلية تحليل المخاطر؟</w:t>
      </w:r>
    </w:p>
    <w:p w14:paraId="25CB053C" w14:textId="44D74215" w:rsidR="002837E8" w:rsidRPr="00203A98" w:rsidRDefault="002837E8" w:rsidP="007922C2">
      <w:pPr>
        <w:numPr>
          <w:ilvl w:val="0"/>
          <w:numId w:val="1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ما الإطار المقترح لتعزيز فاعلية تحليل المخاطر من خلال تفعيل تطبيق المراجعة الداخلية المبنية على المخاطر في الشركات المساهمة السعودية؟</w:t>
      </w:r>
    </w:p>
    <w:p w14:paraId="7894A32A" w14:textId="27CC4A63" w:rsidR="002837E8" w:rsidRPr="00203A98" w:rsidRDefault="007922C2" w:rsidP="007922C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8" w:name="_Toc234229069"/>
      <w:r w:rsidRPr="00203A98">
        <w:rPr>
          <w:rFonts w:ascii="Simplified Arabic" w:eastAsia="Times New Roman" w:hAnsi="Simplified Arabic" w:cs="Simplified Arabic" w:hint="cs"/>
          <w:b/>
          <w:bCs/>
          <w:color w:val="000000" w:themeColor="text1"/>
          <w:kern w:val="0"/>
          <w:sz w:val="36"/>
          <w:szCs w:val="36"/>
          <w:rtl/>
          <w14:ligatures w14:val="none"/>
        </w:rPr>
        <w:t xml:space="preserve">6.1 </w:t>
      </w:r>
      <w:r w:rsidR="002837E8" w:rsidRPr="00203A98">
        <w:rPr>
          <w:rFonts w:ascii="Simplified Arabic" w:eastAsia="Times New Roman" w:hAnsi="Simplified Arabic" w:cs="Simplified Arabic"/>
          <w:b/>
          <w:bCs/>
          <w:color w:val="000000" w:themeColor="text1"/>
          <w:kern w:val="0"/>
          <w:sz w:val="36"/>
          <w:szCs w:val="36"/>
          <w:rtl/>
          <w14:ligatures w14:val="none"/>
        </w:rPr>
        <w:t xml:space="preserve"> فروض الدراسة</w:t>
      </w:r>
      <w:bookmarkEnd w:id="8"/>
    </w:p>
    <w:p w14:paraId="79447053" w14:textId="0DC3E82C"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b/>
          <w:bCs/>
          <w:color w:val="000000" w:themeColor="text1"/>
          <w:kern w:val="0"/>
          <w:sz w:val="28"/>
          <w:szCs w:val="28"/>
          <w:rtl/>
          <w14:ligatures w14:val="none"/>
        </w:rPr>
        <w:t>الفرض الرئيسي</w:t>
      </w:r>
      <w:r w:rsidRPr="00203A98">
        <w:rPr>
          <w:rFonts w:ascii="Simplified Arabic" w:eastAsia="Times New Roman" w:hAnsi="Simplified Arabic" w:cs="Simplified Arabic"/>
          <w:color w:val="000000" w:themeColor="text1"/>
          <w:kern w:val="0"/>
          <w:sz w:val="28"/>
          <w:szCs w:val="28"/>
          <w14:ligatures w14:val="none"/>
        </w:rPr>
        <w:t>:</w:t>
      </w:r>
      <w:r w:rsidR="007922C2" w:rsidRPr="00203A98">
        <w:rPr>
          <w:rFonts w:ascii="Simplified Arabic" w:eastAsia="Times New Roman" w:hAnsi="Simplified Arabic" w:cs="Simplified Arabic" w:hint="cs"/>
          <w:color w:val="000000" w:themeColor="text1"/>
          <w:kern w:val="0"/>
          <w:sz w:val="28"/>
          <w:szCs w:val="28"/>
          <w:rtl/>
          <w14:ligatures w14:val="none"/>
        </w:rPr>
        <w:t xml:space="preserve"> </w:t>
      </w:r>
      <w:r w:rsidRPr="00203A98">
        <w:rPr>
          <w:rFonts w:ascii="Simplified Arabic" w:eastAsia="Times New Roman" w:hAnsi="Simplified Arabic" w:cs="Simplified Arabic"/>
          <w:color w:val="000000" w:themeColor="text1"/>
          <w:kern w:val="0"/>
          <w:sz w:val="28"/>
          <w:szCs w:val="28"/>
          <w:rtl/>
          <w14:ligatures w14:val="none"/>
        </w:rPr>
        <w:t>يوجد أثر ذو دلالة إحصائية للمراجعة الداخلية المبنية على المخاطر بأبعادها (تحديد المخاطر، تقييم المخاطر، الاستجابة للمخاطر، مراقبة المخاطر) على تعزيز فاعلية تحليل المخاطر في الشركات المساهمة السعودية عند مستوى معنوية</w:t>
      </w:r>
      <w:r w:rsidRPr="00203A98">
        <w:rPr>
          <w:rFonts w:ascii="Simplified Arabic" w:eastAsia="Times New Roman" w:hAnsi="Simplified Arabic" w:cs="Simplified Arabic"/>
          <w:color w:val="000000" w:themeColor="text1"/>
          <w:kern w:val="0"/>
          <w:sz w:val="28"/>
          <w:szCs w:val="28"/>
          <w14:ligatures w14:val="none"/>
        </w:rPr>
        <w:t xml:space="preserve"> (0.05).”</w:t>
      </w:r>
    </w:p>
    <w:p w14:paraId="519619E9" w14:textId="77777777" w:rsidR="002837E8" w:rsidRPr="00203A98" w:rsidRDefault="002837E8" w:rsidP="007922C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03A98">
        <w:rPr>
          <w:rFonts w:ascii="Simplified Arabic" w:eastAsia="Times New Roman" w:hAnsi="Simplified Arabic" w:cs="Simplified Arabic"/>
          <w:b/>
          <w:bCs/>
          <w:color w:val="000000" w:themeColor="text1"/>
          <w:kern w:val="0"/>
          <w:sz w:val="32"/>
          <w:szCs w:val="32"/>
          <w:rtl/>
          <w14:ligatures w14:val="none"/>
        </w:rPr>
        <w:t>الفروض الفرعية</w:t>
      </w:r>
      <w:r w:rsidRPr="00203A98">
        <w:rPr>
          <w:rFonts w:ascii="Simplified Arabic" w:eastAsia="Times New Roman" w:hAnsi="Simplified Arabic" w:cs="Simplified Arabic"/>
          <w:b/>
          <w:bCs/>
          <w:color w:val="000000" w:themeColor="text1"/>
          <w:kern w:val="0"/>
          <w:sz w:val="32"/>
          <w:szCs w:val="32"/>
          <w14:ligatures w14:val="none"/>
        </w:rPr>
        <w:t>:</w:t>
      </w:r>
    </w:p>
    <w:p w14:paraId="066CDFEE" w14:textId="6CDB980F" w:rsidR="002837E8" w:rsidRPr="00203A98" w:rsidRDefault="002837E8" w:rsidP="007922C2">
      <w:pPr>
        <w:pStyle w:val="ListParagraph"/>
        <w:numPr>
          <w:ilvl w:val="0"/>
          <w:numId w:val="1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الفرض الفرعي الأول</w:t>
      </w:r>
      <w:r w:rsidRPr="00203A98">
        <w:rPr>
          <w:rFonts w:ascii="Simplified Arabic" w:eastAsia="Times New Roman" w:hAnsi="Simplified Arabic" w:cs="Simplified Arabic"/>
          <w:color w:val="000000" w:themeColor="text1"/>
          <w:kern w:val="0"/>
          <w:sz w:val="28"/>
          <w:szCs w:val="28"/>
          <w14:ligatures w14:val="none"/>
        </w:rPr>
        <w:t>:</w:t>
      </w:r>
      <w:r w:rsidR="007922C2" w:rsidRPr="00203A98">
        <w:rPr>
          <w:rFonts w:ascii="Simplified Arabic" w:eastAsia="Times New Roman" w:hAnsi="Simplified Arabic" w:cs="Simplified Arabic" w:hint="cs"/>
          <w:color w:val="000000" w:themeColor="text1"/>
          <w:kern w:val="0"/>
          <w:sz w:val="28"/>
          <w:szCs w:val="28"/>
          <w:rtl/>
          <w14:ligatures w14:val="none"/>
        </w:rPr>
        <w:t xml:space="preserve"> </w:t>
      </w:r>
      <w:r w:rsidRPr="00203A98">
        <w:rPr>
          <w:rFonts w:ascii="Simplified Arabic" w:eastAsia="Times New Roman" w:hAnsi="Simplified Arabic" w:cs="Simplified Arabic"/>
          <w:color w:val="000000" w:themeColor="text1"/>
          <w:kern w:val="0"/>
          <w:sz w:val="28"/>
          <w:szCs w:val="28"/>
          <w:rtl/>
          <w14:ligatures w14:val="none"/>
        </w:rPr>
        <w:t>يوجد أثر ذو دلالة إحصائية لبُعد تحديد المخاطر على تعزيز فاعلية تحليل المخاطر في الشركات المساهمة السعودية عند مستوى معنوية</w:t>
      </w:r>
      <w:r w:rsidRPr="00203A98">
        <w:rPr>
          <w:rFonts w:ascii="Simplified Arabic" w:eastAsia="Times New Roman" w:hAnsi="Simplified Arabic" w:cs="Simplified Arabic"/>
          <w:color w:val="000000" w:themeColor="text1"/>
          <w:kern w:val="0"/>
          <w:sz w:val="28"/>
          <w:szCs w:val="28"/>
          <w14:ligatures w14:val="none"/>
        </w:rPr>
        <w:t xml:space="preserve"> (0.05).”</w:t>
      </w:r>
    </w:p>
    <w:p w14:paraId="19D77099" w14:textId="55B779E6" w:rsidR="002837E8" w:rsidRPr="00203A98" w:rsidRDefault="002837E8" w:rsidP="007922C2">
      <w:pPr>
        <w:pStyle w:val="ListParagraph"/>
        <w:numPr>
          <w:ilvl w:val="0"/>
          <w:numId w:val="1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الفرض الفرعي الثاني</w:t>
      </w:r>
      <w:r w:rsidRPr="00203A98">
        <w:rPr>
          <w:rFonts w:ascii="Simplified Arabic" w:eastAsia="Times New Roman" w:hAnsi="Simplified Arabic" w:cs="Simplified Arabic"/>
          <w:color w:val="000000" w:themeColor="text1"/>
          <w:kern w:val="0"/>
          <w:sz w:val="28"/>
          <w:szCs w:val="28"/>
          <w14:ligatures w14:val="none"/>
        </w:rPr>
        <w:t>:</w:t>
      </w:r>
      <w:r w:rsidR="007922C2" w:rsidRPr="00203A98">
        <w:rPr>
          <w:rFonts w:ascii="Simplified Arabic" w:eastAsia="Times New Roman" w:hAnsi="Simplified Arabic" w:cs="Simplified Arabic" w:hint="cs"/>
          <w:color w:val="000000" w:themeColor="text1"/>
          <w:kern w:val="0"/>
          <w:sz w:val="28"/>
          <w:szCs w:val="28"/>
          <w:rtl/>
          <w14:ligatures w14:val="none"/>
        </w:rPr>
        <w:t xml:space="preserve"> </w:t>
      </w:r>
      <w:r w:rsidRPr="00203A98">
        <w:rPr>
          <w:rFonts w:ascii="Simplified Arabic" w:eastAsia="Times New Roman" w:hAnsi="Simplified Arabic" w:cs="Simplified Arabic"/>
          <w:color w:val="000000" w:themeColor="text1"/>
          <w:kern w:val="0"/>
          <w:sz w:val="28"/>
          <w:szCs w:val="28"/>
          <w:rtl/>
          <w14:ligatures w14:val="none"/>
        </w:rPr>
        <w:t>يوجد أثر ذو دلالة إحصائية لبُعد تقييم المخاطر على تعزيز فاعلية تحليل المخاطر في الشركات المساهمة السعودية عند مستوى معنوية</w:t>
      </w:r>
      <w:r w:rsidRPr="00203A98">
        <w:rPr>
          <w:rFonts w:ascii="Simplified Arabic" w:eastAsia="Times New Roman" w:hAnsi="Simplified Arabic" w:cs="Simplified Arabic"/>
          <w:color w:val="000000" w:themeColor="text1"/>
          <w:kern w:val="0"/>
          <w:sz w:val="28"/>
          <w:szCs w:val="28"/>
          <w14:ligatures w14:val="none"/>
        </w:rPr>
        <w:t xml:space="preserve"> (0.05).”</w:t>
      </w:r>
    </w:p>
    <w:p w14:paraId="79076DD4" w14:textId="4D91EE0B" w:rsidR="002837E8" w:rsidRPr="00203A98" w:rsidRDefault="002837E8" w:rsidP="007922C2">
      <w:pPr>
        <w:pStyle w:val="ListParagraph"/>
        <w:numPr>
          <w:ilvl w:val="0"/>
          <w:numId w:val="1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الفرض الفرعي الثالث</w:t>
      </w:r>
      <w:r w:rsidRPr="00203A98">
        <w:rPr>
          <w:rFonts w:ascii="Simplified Arabic" w:eastAsia="Times New Roman" w:hAnsi="Simplified Arabic" w:cs="Simplified Arabic"/>
          <w:color w:val="000000" w:themeColor="text1"/>
          <w:kern w:val="0"/>
          <w:sz w:val="28"/>
          <w:szCs w:val="28"/>
          <w14:ligatures w14:val="none"/>
        </w:rPr>
        <w:t>:</w:t>
      </w:r>
      <w:r w:rsidR="007922C2" w:rsidRPr="00203A98">
        <w:rPr>
          <w:rFonts w:ascii="Simplified Arabic" w:eastAsia="Times New Roman" w:hAnsi="Simplified Arabic" w:cs="Simplified Arabic" w:hint="cs"/>
          <w:color w:val="000000" w:themeColor="text1"/>
          <w:kern w:val="0"/>
          <w:sz w:val="28"/>
          <w:szCs w:val="28"/>
          <w:rtl/>
          <w14:ligatures w14:val="none"/>
        </w:rPr>
        <w:t xml:space="preserve"> </w:t>
      </w:r>
      <w:r w:rsidRPr="00203A98">
        <w:rPr>
          <w:rFonts w:ascii="Simplified Arabic" w:eastAsia="Times New Roman" w:hAnsi="Simplified Arabic" w:cs="Simplified Arabic"/>
          <w:color w:val="000000" w:themeColor="text1"/>
          <w:kern w:val="0"/>
          <w:sz w:val="28"/>
          <w:szCs w:val="28"/>
          <w:rtl/>
          <w14:ligatures w14:val="none"/>
        </w:rPr>
        <w:t>يوجد أثر ذو دلالة إحصائية لبُعد الاستجابة للمخاطر على تعزيز فاعلية تحليل المخاطر في الشركات المساهمة السعودية عند مستوى معنوية</w:t>
      </w:r>
      <w:r w:rsidRPr="00203A98">
        <w:rPr>
          <w:rFonts w:ascii="Simplified Arabic" w:eastAsia="Times New Roman" w:hAnsi="Simplified Arabic" w:cs="Simplified Arabic"/>
          <w:color w:val="000000" w:themeColor="text1"/>
          <w:kern w:val="0"/>
          <w:sz w:val="28"/>
          <w:szCs w:val="28"/>
          <w14:ligatures w14:val="none"/>
        </w:rPr>
        <w:t xml:space="preserve"> (0.05).”</w:t>
      </w:r>
    </w:p>
    <w:p w14:paraId="2D0D4C76" w14:textId="5B03985F" w:rsidR="002837E8" w:rsidRPr="00203A98" w:rsidRDefault="002837E8" w:rsidP="007922C2">
      <w:pPr>
        <w:pStyle w:val="ListParagraph"/>
        <w:numPr>
          <w:ilvl w:val="0"/>
          <w:numId w:val="1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الفرض الفرعي الرابع</w:t>
      </w:r>
      <w:r w:rsidRPr="00203A98">
        <w:rPr>
          <w:rFonts w:ascii="Simplified Arabic" w:eastAsia="Times New Roman" w:hAnsi="Simplified Arabic" w:cs="Simplified Arabic"/>
          <w:color w:val="000000" w:themeColor="text1"/>
          <w:kern w:val="0"/>
          <w:sz w:val="28"/>
          <w:szCs w:val="28"/>
          <w14:ligatures w14:val="none"/>
        </w:rPr>
        <w:t>:</w:t>
      </w:r>
      <w:r w:rsidR="007922C2" w:rsidRPr="00203A98">
        <w:rPr>
          <w:rFonts w:ascii="Simplified Arabic" w:eastAsia="Times New Roman" w:hAnsi="Simplified Arabic" w:cs="Simplified Arabic" w:hint="cs"/>
          <w:color w:val="000000" w:themeColor="text1"/>
          <w:kern w:val="0"/>
          <w:sz w:val="28"/>
          <w:szCs w:val="28"/>
          <w:rtl/>
          <w14:ligatures w14:val="none"/>
        </w:rPr>
        <w:t xml:space="preserve"> </w:t>
      </w:r>
      <w:r w:rsidRPr="00203A98">
        <w:rPr>
          <w:rFonts w:ascii="Simplified Arabic" w:eastAsia="Times New Roman" w:hAnsi="Simplified Arabic" w:cs="Simplified Arabic"/>
          <w:color w:val="000000" w:themeColor="text1"/>
          <w:kern w:val="0"/>
          <w:sz w:val="28"/>
          <w:szCs w:val="28"/>
          <w:rtl/>
          <w14:ligatures w14:val="none"/>
        </w:rPr>
        <w:t>يوجد أثر ذو دلالة إحصائية لبُعد مراقبة المخاطر على تعزيز فاعلية تحليل المخاطر في الشركات المساهمة السعودية عند مستوى معنوية</w:t>
      </w:r>
      <w:r w:rsidRPr="00203A98">
        <w:rPr>
          <w:rFonts w:ascii="Simplified Arabic" w:eastAsia="Times New Roman" w:hAnsi="Simplified Arabic" w:cs="Simplified Arabic"/>
          <w:color w:val="000000" w:themeColor="text1"/>
          <w:kern w:val="0"/>
          <w:sz w:val="28"/>
          <w:szCs w:val="28"/>
          <w14:ligatures w14:val="none"/>
        </w:rPr>
        <w:t xml:space="preserve"> (0.05).”</w:t>
      </w:r>
    </w:p>
    <w:p w14:paraId="4502C65D" w14:textId="3C89306A" w:rsidR="002837E8" w:rsidRPr="00203A98" w:rsidRDefault="002837E8" w:rsidP="007922C2">
      <w:pPr>
        <w:pStyle w:val="ListParagraph"/>
        <w:numPr>
          <w:ilvl w:val="0"/>
          <w:numId w:val="1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203A98">
        <w:rPr>
          <w:rFonts w:ascii="Simplified Arabic" w:eastAsia="Times New Roman" w:hAnsi="Simplified Arabic" w:cs="Simplified Arabic"/>
          <w:color w:val="000000" w:themeColor="text1"/>
          <w:kern w:val="0"/>
          <w:sz w:val="28"/>
          <w:szCs w:val="28"/>
          <w:rtl/>
          <w14:ligatures w14:val="none"/>
        </w:rPr>
        <w:t>الفرض الفرعي الخامس</w:t>
      </w:r>
      <w:r w:rsidRPr="00203A98">
        <w:rPr>
          <w:rFonts w:ascii="Simplified Arabic" w:eastAsia="Times New Roman" w:hAnsi="Simplified Arabic" w:cs="Simplified Arabic"/>
          <w:color w:val="000000" w:themeColor="text1"/>
          <w:kern w:val="0"/>
          <w:sz w:val="28"/>
          <w:szCs w:val="28"/>
          <w14:ligatures w14:val="none"/>
        </w:rPr>
        <w:t>:</w:t>
      </w:r>
      <w:r w:rsidR="007922C2" w:rsidRPr="00203A98">
        <w:rPr>
          <w:rFonts w:ascii="Simplified Arabic" w:eastAsia="Times New Roman" w:hAnsi="Simplified Arabic" w:cs="Simplified Arabic" w:hint="cs"/>
          <w:color w:val="000000" w:themeColor="text1"/>
          <w:kern w:val="0"/>
          <w:sz w:val="28"/>
          <w:szCs w:val="28"/>
          <w:rtl/>
          <w14:ligatures w14:val="none"/>
        </w:rPr>
        <w:t xml:space="preserve"> </w:t>
      </w:r>
      <w:r w:rsidRPr="00203A98">
        <w:rPr>
          <w:rFonts w:ascii="Simplified Arabic" w:eastAsia="Times New Roman" w:hAnsi="Simplified Arabic" w:cs="Simplified Arabic"/>
          <w:color w:val="000000" w:themeColor="text1"/>
          <w:kern w:val="0"/>
          <w:sz w:val="28"/>
          <w:szCs w:val="28"/>
          <w:rtl/>
          <w14:ligatures w14:val="none"/>
        </w:rPr>
        <w:t>توجد فروق ذات دلالة إحصائية بين الأثر النسبي لأبعاد المراجعة الداخلية المبنية على المخاطر على تعزيز فاعلية تحليل المخاطر في الشركات المساهمة السعودية عند مستوى معنوية</w:t>
      </w:r>
      <w:r w:rsidRPr="00203A98">
        <w:rPr>
          <w:rFonts w:ascii="Simplified Arabic" w:eastAsia="Times New Roman" w:hAnsi="Simplified Arabic" w:cs="Simplified Arabic"/>
          <w:color w:val="000000" w:themeColor="text1"/>
          <w:kern w:val="0"/>
          <w:sz w:val="28"/>
          <w:szCs w:val="28"/>
          <w14:ligatures w14:val="none"/>
        </w:rPr>
        <w:t xml:space="preserve"> (0.05).”</w:t>
      </w:r>
    </w:p>
    <w:p w14:paraId="5B83660D" w14:textId="7F815550" w:rsidR="002837E8" w:rsidRPr="00203A98" w:rsidRDefault="007922C2" w:rsidP="007922C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9" w:name="_Toc234229070"/>
      <w:r w:rsidRPr="00203A98">
        <w:rPr>
          <w:rFonts w:ascii="Simplified Arabic" w:eastAsia="Times New Roman" w:hAnsi="Simplified Arabic" w:cs="Simplified Arabic" w:hint="cs"/>
          <w:b/>
          <w:bCs/>
          <w:color w:val="000000" w:themeColor="text1"/>
          <w:kern w:val="0"/>
          <w:sz w:val="36"/>
          <w:szCs w:val="36"/>
          <w:rtl/>
          <w14:ligatures w14:val="none"/>
        </w:rPr>
        <w:t xml:space="preserve">7.1 </w:t>
      </w:r>
      <w:r w:rsidR="002837E8" w:rsidRPr="00203A98">
        <w:rPr>
          <w:rFonts w:ascii="Simplified Arabic" w:eastAsia="Times New Roman" w:hAnsi="Simplified Arabic" w:cs="Simplified Arabic"/>
          <w:b/>
          <w:bCs/>
          <w:color w:val="000000" w:themeColor="text1"/>
          <w:kern w:val="0"/>
          <w:sz w:val="36"/>
          <w:szCs w:val="36"/>
          <w:rtl/>
          <w14:ligatures w14:val="none"/>
        </w:rPr>
        <w:t>الدراسات السابقة</w:t>
      </w:r>
      <w:bookmarkEnd w:id="9"/>
    </w:p>
    <w:p w14:paraId="0380B58F" w14:textId="46B118B4"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lastRenderedPageBreak/>
        <w:t>قام الباحث بتصنيف هذه الدراسات إلى محورين رئيسيين: يتناول المحور الأول الدراسات المتعلقة بالمتغير المستقل (المراجعة الداخلية المبنية على المخاطر) وعلاقته بمتغيرات أخرى، بينما يتناول المحور الثاني الدراسات المتعلقة بالمتغير التابع (تحليل المخاطر/مخاطر المراجعة) وعلاقته بمتغيرات أخرى</w:t>
      </w:r>
      <w:r w:rsidRPr="00203A98">
        <w:rPr>
          <w:rFonts w:ascii="Simplified Arabic" w:eastAsia="Times New Roman" w:hAnsi="Simplified Arabic" w:cs="Simplified Arabic"/>
          <w:color w:val="000000" w:themeColor="text1"/>
          <w:kern w:val="0"/>
          <w:sz w:val="28"/>
          <w:szCs w:val="28"/>
          <w14:ligatures w14:val="none"/>
        </w:rPr>
        <w:t>.</w:t>
      </w:r>
    </w:p>
    <w:p w14:paraId="7BC1DDA0" w14:textId="77777777" w:rsidR="002837E8" w:rsidRPr="00203A98" w:rsidRDefault="002837E8" w:rsidP="007922C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03A98">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بالمراجعة الداخلية المبنية على المخاطر (المتغير المستقل) وعلاقتها بمتغيرات أخرى</w:t>
      </w:r>
    </w:p>
    <w:p w14:paraId="22EBD3C6"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w:t>
      </w:r>
      <w:r w:rsidRPr="00203A98">
        <w:rPr>
          <w:rFonts w:ascii="Simplified Arabic" w:eastAsia="Times New Roman" w:hAnsi="Simplified Arabic" w:cs="Simplified Arabic"/>
          <w:b/>
          <w:bCs/>
          <w:color w:val="000000" w:themeColor="text1"/>
          <w:kern w:val="0"/>
          <w:sz w:val="28"/>
          <w:szCs w:val="28"/>
          <w14:ligatures w14:val="none"/>
        </w:rPr>
        <w:t xml:space="preserve"> Kzykeyeva (2022) </w:t>
      </w:r>
      <w:r w:rsidRPr="00203A98">
        <w:rPr>
          <w:rFonts w:ascii="Simplified Arabic" w:eastAsia="Times New Roman" w:hAnsi="Simplified Arabic" w:cs="Simplified Arabic"/>
          <w:b/>
          <w:bCs/>
          <w:color w:val="000000" w:themeColor="text1"/>
          <w:kern w:val="0"/>
          <w:sz w:val="28"/>
          <w:szCs w:val="28"/>
          <w:rtl/>
          <w14:ligatures w14:val="none"/>
        </w:rPr>
        <w:t>بعنوان “المدخل المبني على المخاطر لتحسين جودة المراجعة الداخلية</w:t>
      </w:r>
      <w:r w:rsidRPr="00203A98">
        <w:rPr>
          <w:rFonts w:ascii="Simplified Arabic" w:eastAsia="Times New Roman" w:hAnsi="Simplified Arabic" w:cs="Simplified Arabic"/>
          <w:b/>
          <w:bCs/>
          <w:color w:val="000000" w:themeColor="text1"/>
          <w:kern w:val="0"/>
          <w:sz w:val="28"/>
          <w:szCs w:val="28"/>
          <w14:ligatures w14:val="none"/>
        </w:rPr>
        <w:t>”</w:t>
      </w:r>
    </w:p>
    <w:p w14:paraId="5760498C" w14:textId="4C281085"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هدفت الدراسة إلى التعرف على أثر تطبيق المدخل المبني على المخاطر بأبعاده (تحديد المخاطر، تقييم المخاطر، الاستجابة للمخاطر، المراقبة المستمرة) على تحسين جودة المراجعة الداخلية في المنظمات. واستخدمت الدراسة المنهج الوصفي التحليلي، وتكونت العينة من مجموعة من المراجعين الداخليين في الشركات الكازاخستانية. وتوصلت نتائج الدراسة إلى وجود أثر إيجابي معنوي لتطبيق المدخل المبني على المخاطر في رفع جودة المراجعة الداخلية وتعزيز قدرتها على اكتشاف الانحرافات، وأوصت بضرورة تبني هذا المدخل بشكل شامل وتطوير الكفاءات المهنية للمراجعين الداخليين في مجال إدارة المخاطر</w:t>
      </w:r>
      <w:r w:rsidRPr="00203A98">
        <w:rPr>
          <w:rFonts w:ascii="Simplified Arabic" w:eastAsia="Times New Roman" w:hAnsi="Simplified Arabic" w:cs="Simplified Arabic"/>
          <w:color w:val="000000" w:themeColor="text1"/>
          <w:kern w:val="0"/>
          <w:sz w:val="28"/>
          <w:szCs w:val="28"/>
          <w14:ligatures w14:val="none"/>
        </w:rPr>
        <w:t>.</w:t>
      </w:r>
    </w:p>
    <w:p w14:paraId="0821F970"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w:t>
      </w:r>
      <w:r w:rsidRPr="00203A98">
        <w:rPr>
          <w:rFonts w:ascii="Simplified Arabic" w:eastAsia="Times New Roman" w:hAnsi="Simplified Arabic" w:cs="Simplified Arabic"/>
          <w:b/>
          <w:bCs/>
          <w:color w:val="000000" w:themeColor="text1"/>
          <w:kern w:val="0"/>
          <w:sz w:val="28"/>
          <w:szCs w:val="28"/>
          <w14:ligatures w14:val="none"/>
        </w:rPr>
        <w:t xml:space="preserve"> Kurniawan, Bukit, &amp; Erwin (2023) </w:t>
      </w:r>
      <w:r w:rsidRPr="00203A98">
        <w:rPr>
          <w:rFonts w:ascii="Simplified Arabic" w:eastAsia="Times New Roman" w:hAnsi="Simplified Arabic" w:cs="Simplified Arabic"/>
          <w:b/>
          <w:bCs/>
          <w:color w:val="000000" w:themeColor="text1"/>
          <w:kern w:val="0"/>
          <w:sz w:val="28"/>
          <w:szCs w:val="28"/>
          <w:rtl/>
          <w14:ligatures w14:val="none"/>
        </w:rPr>
        <w:t>بعنوان “العوامل المؤثرة في المراجعة الداخلية المبنية على المخاطر في تحسين فاعلية المراجعة الداخلية</w:t>
      </w:r>
      <w:r w:rsidRPr="00203A98">
        <w:rPr>
          <w:rFonts w:ascii="Simplified Arabic" w:eastAsia="Times New Roman" w:hAnsi="Simplified Arabic" w:cs="Simplified Arabic"/>
          <w:b/>
          <w:bCs/>
          <w:color w:val="000000" w:themeColor="text1"/>
          <w:kern w:val="0"/>
          <w:sz w:val="28"/>
          <w:szCs w:val="28"/>
          <w14:ligatures w14:val="none"/>
        </w:rPr>
        <w:t>”</w:t>
      </w:r>
    </w:p>
    <w:p w14:paraId="23F2549B" w14:textId="1A6AFFDA"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المؤثرة في المراجعة الداخلية المبنية على المخاطر بأبعادها (كفاءة المراجعين، الاستقلالية، دعم الإدارة العليا، تكنولوجيا المعلومات) وأثرها على فاعلية المراجعة الداخلية في المؤسسات الحكومية. واستخدمت الدراسة المنهج الوصفي التحليلي، وتكونت العينة من (85) مراجعاً داخلياً. وتوصلت نتائج الدراسة إلى أن كفاءة المراجعين ودعم الإدارة العليا يُعدّان من أهم العوامل المؤثرة إيجابياً في تطبيق المراجعة المبنية على المخاطر، وأوصت بضرورة تعزيز برامج التدريب المستمر ودعم الإدارة العليا لهذا التوجه</w:t>
      </w:r>
      <w:r w:rsidRPr="00203A98">
        <w:rPr>
          <w:rFonts w:ascii="Simplified Arabic" w:eastAsia="Times New Roman" w:hAnsi="Simplified Arabic" w:cs="Simplified Arabic"/>
          <w:color w:val="000000" w:themeColor="text1"/>
          <w:kern w:val="0"/>
          <w:sz w:val="28"/>
          <w:szCs w:val="28"/>
          <w14:ligatures w14:val="none"/>
        </w:rPr>
        <w:t>.</w:t>
      </w:r>
    </w:p>
    <w:p w14:paraId="1C0236F3"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w:t>
      </w:r>
      <w:r w:rsidRPr="00203A98">
        <w:rPr>
          <w:rFonts w:ascii="Simplified Arabic" w:eastAsia="Times New Roman" w:hAnsi="Simplified Arabic" w:cs="Simplified Arabic"/>
          <w:b/>
          <w:bCs/>
          <w:color w:val="000000" w:themeColor="text1"/>
          <w:kern w:val="0"/>
          <w:sz w:val="28"/>
          <w:szCs w:val="28"/>
          <w14:ligatures w14:val="none"/>
        </w:rPr>
        <w:t xml:space="preserve"> Wahyuandari, Minarni, &amp; Hariyani (2025) </w:t>
      </w:r>
      <w:r w:rsidRPr="00203A98">
        <w:rPr>
          <w:rFonts w:ascii="Simplified Arabic" w:eastAsia="Times New Roman" w:hAnsi="Simplified Arabic" w:cs="Simplified Arabic"/>
          <w:b/>
          <w:bCs/>
          <w:color w:val="000000" w:themeColor="text1"/>
          <w:kern w:val="0"/>
          <w:sz w:val="28"/>
          <w:szCs w:val="28"/>
          <w:rtl/>
          <w14:ligatures w14:val="none"/>
        </w:rPr>
        <w:t>بعنوان “دراسة أثر المراجعة المبنية على المخاطر على الأداء المالي التنظيمي</w:t>
      </w:r>
      <w:r w:rsidRPr="00203A98">
        <w:rPr>
          <w:rFonts w:ascii="Simplified Arabic" w:eastAsia="Times New Roman" w:hAnsi="Simplified Arabic" w:cs="Simplified Arabic"/>
          <w:b/>
          <w:bCs/>
          <w:color w:val="000000" w:themeColor="text1"/>
          <w:kern w:val="0"/>
          <w:sz w:val="28"/>
          <w:szCs w:val="28"/>
          <w14:ligatures w14:val="none"/>
        </w:rPr>
        <w:t>”</w:t>
      </w:r>
    </w:p>
    <w:p w14:paraId="22A4827F" w14:textId="1C02D335"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المراجعة المبنية على المخاطر بأبعادها (تخطيط المراجعة، تنفيذ المراجعة، تقارير المراجعة، متابعة التوصيات) على الأداء المالي التنظيمي. واستخدمت الدراسة المنهج الكمي، وتكونت العينة من (120) مفردة من العاملين في الإدارات المالية والمراجعة الداخلية. وتوصلت نتائج الدراسة إلى وجود أثر إيجابي معنوي للمراجعة المبنية على المخاطر في تحسين الأداء المالي، وأوصت بضرورة دمج مدخل المخاطر في الخطط الاستراتيجية للمنظمات</w:t>
      </w:r>
      <w:r w:rsidRPr="00203A98">
        <w:rPr>
          <w:rFonts w:ascii="Simplified Arabic" w:eastAsia="Times New Roman" w:hAnsi="Simplified Arabic" w:cs="Simplified Arabic"/>
          <w:color w:val="000000" w:themeColor="text1"/>
          <w:kern w:val="0"/>
          <w:sz w:val="28"/>
          <w:szCs w:val="28"/>
          <w14:ligatures w14:val="none"/>
        </w:rPr>
        <w:t>.</w:t>
      </w:r>
    </w:p>
    <w:p w14:paraId="06ADEC31"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w:t>
      </w:r>
      <w:r w:rsidRPr="00203A98">
        <w:rPr>
          <w:rFonts w:ascii="Simplified Arabic" w:eastAsia="Times New Roman" w:hAnsi="Simplified Arabic" w:cs="Simplified Arabic"/>
          <w:b/>
          <w:bCs/>
          <w:color w:val="000000" w:themeColor="text1"/>
          <w:kern w:val="0"/>
          <w:sz w:val="28"/>
          <w:szCs w:val="28"/>
          <w14:ligatures w14:val="none"/>
        </w:rPr>
        <w:t xml:space="preserve"> Attaf &amp; Bensbahou (2025) </w:t>
      </w:r>
      <w:r w:rsidRPr="00203A98">
        <w:rPr>
          <w:rFonts w:ascii="Simplified Arabic" w:eastAsia="Times New Roman" w:hAnsi="Simplified Arabic" w:cs="Simplified Arabic"/>
          <w:b/>
          <w:bCs/>
          <w:color w:val="000000" w:themeColor="text1"/>
          <w:kern w:val="0"/>
          <w:sz w:val="28"/>
          <w:szCs w:val="28"/>
          <w:rtl/>
          <w14:ligatures w14:val="none"/>
        </w:rPr>
        <w:t>بعنوان “أثر مدخل المراجعة الداخلية المبنية على المخاطر على تحسين عمليات إدارة المخاطر: دراسة ميدانية في البنوك الإسلامية اليمنية (عدن)</w:t>
      </w:r>
      <w:r w:rsidRPr="00203A98">
        <w:rPr>
          <w:rFonts w:ascii="Simplified Arabic" w:eastAsia="Times New Roman" w:hAnsi="Simplified Arabic" w:cs="Simplified Arabic"/>
          <w:b/>
          <w:bCs/>
          <w:color w:val="000000" w:themeColor="text1"/>
          <w:kern w:val="0"/>
          <w:sz w:val="28"/>
          <w:szCs w:val="28"/>
          <w14:ligatures w14:val="none"/>
        </w:rPr>
        <w:t>”</w:t>
      </w:r>
    </w:p>
    <w:p w14:paraId="1C2F00DB" w14:textId="594ABDD6"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هدفت الدراسة إلى التعرف على أثر مدخل المراجعة الداخلية المبنية على المخاطر بأبعاده (تحديد المخاطر، تقييمها، معالجتها، مراقبتها) على تحسين عمليات إدارة المخاطر في البنوك الإسلامية اليمنية. واستخدمت الدراسة المنهج الوصفي التحليلي، وتكونت العينة من (75) مراجعاً داخلياً ومسؤولاً في إدارة المخاطر. وتوصلت نتائج الدراسة إلى وجود أثر إيجابي معنوي لتطبيق هذا المدخل في تحسين عمليات إدارة المخاطر، وأوصت بضرورة توفير بيئة تنظيمية داعمة وتطوير أدلة إرشادية متخصصة</w:t>
      </w:r>
      <w:r w:rsidRPr="00203A98">
        <w:rPr>
          <w:rFonts w:ascii="Simplified Arabic" w:eastAsia="Times New Roman" w:hAnsi="Simplified Arabic" w:cs="Simplified Arabic"/>
          <w:color w:val="000000" w:themeColor="text1"/>
          <w:kern w:val="0"/>
          <w:sz w:val="28"/>
          <w:szCs w:val="28"/>
          <w14:ligatures w14:val="none"/>
        </w:rPr>
        <w:t>.</w:t>
      </w:r>
    </w:p>
    <w:p w14:paraId="0A4C5C9B"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w:t>
      </w:r>
      <w:r w:rsidRPr="00203A98">
        <w:rPr>
          <w:rFonts w:ascii="Simplified Arabic" w:eastAsia="Times New Roman" w:hAnsi="Simplified Arabic" w:cs="Simplified Arabic"/>
          <w:b/>
          <w:bCs/>
          <w:color w:val="000000" w:themeColor="text1"/>
          <w:kern w:val="0"/>
          <w:sz w:val="28"/>
          <w:szCs w:val="28"/>
          <w14:ligatures w14:val="none"/>
        </w:rPr>
        <w:t xml:space="preserve"> Almgrashi &amp; Mujalli (2024) </w:t>
      </w:r>
      <w:r w:rsidRPr="00203A98">
        <w:rPr>
          <w:rFonts w:ascii="Simplified Arabic" w:eastAsia="Times New Roman" w:hAnsi="Simplified Arabic" w:cs="Simplified Arabic"/>
          <w:b/>
          <w:bCs/>
          <w:color w:val="000000" w:themeColor="text1"/>
          <w:kern w:val="0"/>
          <w:sz w:val="28"/>
          <w:szCs w:val="28"/>
          <w:rtl/>
          <w14:ligatures w14:val="none"/>
        </w:rPr>
        <w:t>بعنوان “تأثير إدارة المخاطر المستدامة على تطبيق المراجعة الداخلية المبنية على المخاطر</w:t>
      </w:r>
      <w:r w:rsidRPr="00203A98">
        <w:rPr>
          <w:rFonts w:ascii="Simplified Arabic" w:eastAsia="Times New Roman" w:hAnsi="Simplified Arabic" w:cs="Simplified Arabic"/>
          <w:b/>
          <w:bCs/>
          <w:color w:val="000000" w:themeColor="text1"/>
          <w:kern w:val="0"/>
          <w:sz w:val="28"/>
          <w:szCs w:val="28"/>
          <w14:ligatures w14:val="none"/>
        </w:rPr>
        <w:t>”</w:t>
      </w:r>
    </w:p>
    <w:p w14:paraId="5240864F" w14:textId="2E894D59"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هدفت الدراسة إلى التعرف على تأثير إدارة المخاطر المستدامة بأبعادها (المخاطر البيئية، الاجتماعية، الحوكمة، الاستدامة المالية) على تطبيق المراجعة الداخلية المبنية على المخاطر في الشركات السعودية. واستخدمت الدراسة المنهج الوصفي التحليلي، وتكونت العينة من (156) مراجعاً داخلياً في الشركات السعودية المدرجة. وتوصلت نتائج الدراسة إلى وجود علاقة إيجابية بين إدارة المخاطر المستدامة وتطبيق المراجعة المبنية على المخاطر، وأوصت بدمج معايير الاستدامة في خطط المراجعة الداخلية</w:t>
      </w:r>
      <w:r w:rsidRPr="00203A98">
        <w:rPr>
          <w:rFonts w:ascii="Simplified Arabic" w:eastAsia="Times New Roman" w:hAnsi="Simplified Arabic" w:cs="Simplified Arabic"/>
          <w:color w:val="000000" w:themeColor="text1"/>
          <w:kern w:val="0"/>
          <w:sz w:val="28"/>
          <w:szCs w:val="28"/>
          <w14:ligatures w14:val="none"/>
        </w:rPr>
        <w:t>.</w:t>
      </w:r>
    </w:p>
    <w:p w14:paraId="2F43C6D7"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w:t>
      </w:r>
      <w:r w:rsidRPr="00203A98">
        <w:rPr>
          <w:rFonts w:ascii="Simplified Arabic" w:eastAsia="Times New Roman" w:hAnsi="Simplified Arabic" w:cs="Simplified Arabic"/>
          <w:b/>
          <w:bCs/>
          <w:color w:val="000000" w:themeColor="text1"/>
          <w:kern w:val="0"/>
          <w:sz w:val="28"/>
          <w:szCs w:val="28"/>
          <w14:ligatures w14:val="none"/>
        </w:rPr>
        <w:t xml:space="preserve"> Wang, Ferreira, &amp; Yan (2025) </w:t>
      </w:r>
      <w:r w:rsidRPr="00203A98">
        <w:rPr>
          <w:rFonts w:ascii="Simplified Arabic" w:eastAsia="Times New Roman" w:hAnsi="Simplified Arabic" w:cs="Simplified Arabic"/>
          <w:b/>
          <w:bCs/>
          <w:color w:val="000000" w:themeColor="text1"/>
          <w:kern w:val="0"/>
          <w:sz w:val="28"/>
          <w:szCs w:val="28"/>
          <w:rtl/>
          <w14:ligatures w14:val="none"/>
        </w:rPr>
        <w:t>بعنوان “مدخل الأمثلة متعددة الأهداف للتخطيط المتكامل للمراجعة الداخلية المبنية على المخاطر</w:t>
      </w:r>
      <w:r w:rsidRPr="00203A98">
        <w:rPr>
          <w:rFonts w:ascii="Simplified Arabic" w:eastAsia="Times New Roman" w:hAnsi="Simplified Arabic" w:cs="Simplified Arabic"/>
          <w:b/>
          <w:bCs/>
          <w:color w:val="000000" w:themeColor="text1"/>
          <w:kern w:val="0"/>
          <w:sz w:val="28"/>
          <w:szCs w:val="28"/>
          <w14:ligatures w14:val="none"/>
        </w:rPr>
        <w:t>”</w:t>
      </w:r>
    </w:p>
    <w:p w14:paraId="106D59BF" w14:textId="563002DE"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مدخل الأمثلة متعددة الأهداف بأبعاده (تخصيص الموارد، أولوية المخاطر، جودة المراجعة، الكفاءة) في تحسين تخطيط المراجعة الداخلية المبنية على المخاطر. واستخدمت </w:t>
      </w:r>
      <w:r w:rsidRPr="00203A98">
        <w:rPr>
          <w:rFonts w:ascii="Simplified Arabic" w:eastAsia="Times New Roman" w:hAnsi="Simplified Arabic" w:cs="Simplified Arabic"/>
          <w:color w:val="000000" w:themeColor="text1"/>
          <w:kern w:val="0"/>
          <w:sz w:val="28"/>
          <w:szCs w:val="28"/>
          <w:rtl/>
          <w14:ligatures w14:val="none"/>
        </w:rPr>
        <w:lastRenderedPageBreak/>
        <w:t>الدراسة المنهج الكمي القائم على النمذجة الرياضية، وتكونت العينة من بيانات مجموعة من المؤسسات المالية. وتوصلت نتائج الدراسة إلى أن تطبيق الأمثلة متعددة الأهداف يُحسّن بشكل ملموس من كفاءة تخطيط المراجعة وتوزيع الموارد على المخاطر الأكثر أهمية، وأوصت بتبني نماذج كمية متطورة في التخطيط للمراجعة</w:t>
      </w:r>
      <w:r w:rsidRPr="00203A98">
        <w:rPr>
          <w:rFonts w:ascii="Simplified Arabic" w:eastAsia="Times New Roman" w:hAnsi="Simplified Arabic" w:cs="Simplified Arabic"/>
          <w:color w:val="000000" w:themeColor="text1"/>
          <w:kern w:val="0"/>
          <w:sz w:val="28"/>
          <w:szCs w:val="28"/>
          <w14:ligatures w14:val="none"/>
        </w:rPr>
        <w:t>.</w:t>
      </w:r>
    </w:p>
    <w:p w14:paraId="77D4E788"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w:t>
      </w:r>
      <w:r w:rsidRPr="00203A98">
        <w:rPr>
          <w:rFonts w:ascii="Simplified Arabic" w:eastAsia="Times New Roman" w:hAnsi="Simplified Arabic" w:cs="Simplified Arabic"/>
          <w:b/>
          <w:bCs/>
          <w:color w:val="000000" w:themeColor="text1"/>
          <w:kern w:val="0"/>
          <w:sz w:val="28"/>
          <w:szCs w:val="28"/>
          <w14:ligatures w14:val="none"/>
        </w:rPr>
        <w:t xml:space="preserve"> Ardianingsih &amp; Payamta (2022) </w:t>
      </w:r>
      <w:r w:rsidRPr="00203A98">
        <w:rPr>
          <w:rFonts w:ascii="Simplified Arabic" w:eastAsia="Times New Roman" w:hAnsi="Simplified Arabic" w:cs="Simplified Arabic"/>
          <w:b/>
          <w:bCs/>
          <w:color w:val="000000" w:themeColor="text1"/>
          <w:kern w:val="0"/>
          <w:sz w:val="28"/>
          <w:szCs w:val="28"/>
          <w:rtl/>
          <w14:ligatures w14:val="none"/>
        </w:rPr>
        <w:t>بعنوان “تحليل فاعلية تطبيق المراجعة الداخلية المبنية على المخاطر: دراسة حالة</w:t>
      </w:r>
      <w:r w:rsidRPr="00203A98">
        <w:rPr>
          <w:rFonts w:ascii="Simplified Arabic" w:eastAsia="Times New Roman" w:hAnsi="Simplified Arabic" w:cs="Simplified Arabic"/>
          <w:b/>
          <w:bCs/>
          <w:color w:val="000000" w:themeColor="text1"/>
          <w:kern w:val="0"/>
          <w:sz w:val="28"/>
          <w:szCs w:val="28"/>
          <w14:ligatures w14:val="none"/>
        </w:rPr>
        <w:t>”</w:t>
      </w:r>
    </w:p>
    <w:p w14:paraId="4E18AE15" w14:textId="3DC335C2"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هدفت الدراسة إلى التعرف على فاعلية تطبيق المراجعة الداخلية المبنية على المخاطر بأبعادها (التخطيط، التنفيذ، التقييم، المتابعة) في المؤسسات الحكومية الإندونيسية. واستخدمت الدراسة منهج دراسة الحالة، وتكونت العينة من مراجعين داخليين في إحدى الجهات الحكومية. وتوصلت نتائج الدراسة إلى أن تطبيق المراجعة المبنية على المخاطر يُسهم في تحسين فاعلية المراجعة الداخلية بشكل ملحوظ، وأوصت بتعزيز التدريب المستمر ودعم البنية التحتية التكنولوجية</w:t>
      </w:r>
      <w:r w:rsidRPr="00203A98">
        <w:rPr>
          <w:rFonts w:ascii="Simplified Arabic" w:eastAsia="Times New Roman" w:hAnsi="Simplified Arabic" w:cs="Simplified Arabic"/>
          <w:color w:val="000000" w:themeColor="text1"/>
          <w:kern w:val="0"/>
          <w:sz w:val="28"/>
          <w:szCs w:val="28"/>
          <w14:ligatures w14:val="none"/>
        </w:rPr>
        <w:t>.</w:t>
      </w:r>
    </w:p>
    <w:p w14:paraId="70E069B3"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w:t>
      </w:r>
      <w:r w:rsidRPr="00203A98">
        <w:rPr>
          <w:rFonts w:ascii="Simplified Arabic" w:eastAsia="Times New Roman" w:hAnsi="Simplified Arabic" w:cs="Simplified Arabic"/>
          <w:b/>
          <w:bCs/>
          <w:color w:val="000000" w:themeColor="text1"/>
          <w:kern w:val="0"/>
          <w:sz w:val="28"/>
          <w:szCs w:val="28"/>
          <w14:ligatures w14:val="none"/>
        </w:rPr>
        <w:t xml:space="preserve"> Anugraheni, Setiawati, &amp; Trisnawati (2022) </w:t>
      </w:r>
      <w:r w:rsidRPr="00203A98">
        <w:rPr>
          <w:rFonts w:ascii="Simplified Arabic" w:eastAsia="Times New Roman" w:hAnsi="Simplified Arabic" w:cs="Simplified Arabic"/>
          <w:b/>
          <w:bCs/>
          <w:color w:val="000000" w:themeColor="text1"/>
          <w:kern w:val="0"/>
          <w:sz w:val="28"/>
          <w:szCs w:val="28"/>
          <w:rtl/>
          <w14:ligatures w14:val="none"/>
        </w:rPr>
        <w:t>بعنوان “تحليل تطبيق تخطيط المراجعة الداخلية المبنية على المخاطر وأثره على جودة المراجعة: دراسة حالة في مفتشية سوراكارتا، إندونيسيا</w:t>
      </w:r>
      <w:r w:rsidRPr="00203A98">
        <w:rPr>
          <w:rFonts w:ascii="Simplified Arabic" w:eastAsia="Times New Roman" w:hAnsi="Simplified Arabic" w:cs="Simplified Arabic"/>
          <w:b/>
          <w:bCs/>
          <w:color w:val="000000" w:themeColor="text1"/>
          <w:kern w:val="0"/>
          <w:sz w:val="28"/>
          <w:szCs w:val="28"/>
          <w14:ligatures w14:val="none"/>
        </w:rPr>
        <w:t>”</w:t>
      </w:r>
    </w:p>
    <w:p w14:paraId="23DB303A" w14:textId="6C43F12F"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هدفت الدراسة إلى التعرف على تطبيق تخطيط المراجعة الداخلية المبنية على المخاطر بأبعاده (تحديد المخاطر، تحليلها، تقييمها، معالجتها) وأثره على جودة المراجعة. واستخدمت الدراسة منهج دراسة الحالة، وتكونت العينة من المراجعين الداخليين في مفتشية سوراكارتا. وتوصلت نتائج الدراسة إلى وجود أثر إيجابي معنوي لتخطيط المراجعة المبنية على المخاطر في تحسين جودة المراجعة، وأوصت بضرورة تطوير أدوات التقييم وتعزيز كفاءات المراجعين</w:t>
      </w:r>
      <w:r w:rsidRPr="00203A98">
        <w:rPr>
          <w:rFonts w:ascii="Simplified Arabic" w:eastAsia="Times New Roman" w:hAnsi="Simplified Arabic" w:cs="Simplified Arabic"/>
          <w:color w:val="000000" w:themeColor="text1"/>
          <w:kern w:val="0"/>
          <w:sz w:val="28"/>
          <w:szCs w:val="28"/>
          <w14:ligatures w14:val="none"/>
        </w:rPr>
        <w:t>.</w:t>
      </w:r>
    </w:p>
    <w:p w14:paraId="3A9FF19E"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w:t>
      </w:r>
      <w:r w:rsidRPr="00203A98">
        <w:rPr>
          <w:rFonts w:ascii="Simplified Arabic" w:eastAsia="Times New Roman" w:hAnsi="Simplified Arabic" w:cs="Simplified Arabic"/>
          <w:b/>
          <w:bCs/>
          <w:color w:val="000000" w:themeColor="text1"/>
          <w:kern w:val="0"/>
          <w:sz w:val="28"/>
          <w:szCs w:val="28"/>
          <w14:ligatures w14:val="none"/>
        </w:rPr>
        <w:t xml:space="preserve"> Vu, Abu Afifa, &amp; Tran (2026) </w:t>
      </w:r>
      <w:r w:rsidRPr="00203A98">
        <w:rPr>
          <w:rFonts w:ascii="Simplified Arabic" w:eastAsia="Times New Roman" w:hAnsi="Simplified Arabic" w:cs="Simplified Arabic"/>
          <w:b/>
          <w:bCs/>
          <w:color w:val="000000" w:themeColor="text1"/>
          <w:kern w:val="0"/>
          <w:sz w:val="28"/>
          <w:szCs w:val="28"/>
          <w:rtl/>
          <w14:ligatures w14:val="none"/>
        </w:rPr>
        <w:t>بعنوان “مدخل المراجعة المبنية على المخاطر وجودة المراجعة في القطاع العام: دليل ميداني من دولة ناشئة</w:t>
      </w:r>
      <w:r w:rsidRPr="00203A98">
        <w:rPr>
          <w:rFonts w:ascii="Simplified Arabic" w:eastAsia="Times New Roman" w:hAnsi="Simplified Arabic" w:cs="Simplified Arabic"/>
          <w:b/>
          <w:bCs/>
          <w:color w:val="000000" w:themeColor="text1"/>
          <w:kern w:val="0"/>
          <w:sz w:val="28"/>
          <w:szCs w:val="28"/>
          <w14:ligatures w14:val="none"/>
        </w:rPr>
        <w:t>”</w:t>
      </w:r>
    </w:p>
    <w:p w14:paraId="2AD5D752" w14:textId="25052061"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مدخل المراجعة المبنية على المخاطر بأبعاده (تقييم المخاطر، الاستجابة للمخاطر، الحكم المهني، الرقابة على الجودة) على جودة المراجعة في القطاع العام. واستخدمت </w:t>
      </w:r>
      <w:r w:rsidRPr="00203A98">
        <w:rPr>
          <w:rFonts w:ascii="Simplified Arabic" w:eastAsia="Times New Roman" w:hAnsi="Simplified Arabic" w:cs="Simplified Arabic"/>
          <w:color w:val="000000" w:themeColor="text1"/>
          <w:kern w:val="0"/>
          <w:sz w:val="28"/>
          <w:szCs w:val="28"/>
          <w:rtl/>
          <w14:ligatures w14:val="none"/>
        </w:rPr>
        <w:lastRenderedPageBreak/>
        <w:t>الدراسة المنهج الكمي، وتكونت العينة من (245) مراجعاً في القطاع العام الفيتنامي. وتوصلت نتائج الدراسة إلى وجود أثر إيجابي معنوي لمدخل المراجعة المبنية على المخاطر في تحسين جودة المراجعة في القطاع العام، وأوصت بضرورة تعزيز تطبيق هذا المدخل في الدول الناشئة</w:t>
      </w:r>
      <w:r w:rsidRPr="00203A98">
        <w:rPr>
          <w:rFonts w:ascii="Simplified Arabic" w:eastAsia="Times New Roman" w:hAnsi="Simplified Arabic" w:cs="Simplified Arabic"/>
          <w:color w:val="000000" w:themeColor="text1"/>
          <w:kern w:val="0"/>
          <w:sz w:val="28"/>
          <w:szCs w:val="28"/>
          <w14:ligatures w14:val="none"/>
        </w:rPr>
        <w:t>.</w:t>
      </w:r>
    </w:p>
    <w:p w14:paraId="39D47C0E"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w:t>
      </w:r>
      <w:r w:rsidRPr="00203A98">
        <w:rPr>
          <w:rFonts w:ascii="Simplified Arabic" w:eastAsia="Times New Roman" w:hAnsi="Simplified Arabic" w:cs="Simplified Arabic"/>
          <w:b/>
          <w:bCs/>
          <w:color w:val="000000" w:themeColor="text1"/>
          <w:kern w:val="0"/>
          <w:sz w:val="28"/>
          <w:szCs w:val="28"/>
          <w14:ligatures w14:val="none"/>
        </w:rPr>
        <w:t xml:space="preserve"> Ardianingsih </w:t>
      </w:r>
      <w:r w:rsidRPr="00203A98">
        <w:rPr>
          <w:rFonts w:ascii="Simplified Arabic" w:eastAsia="Times New Roman" w:hAnsi="Simplified Arabic" w:cs="Simplified Arabic"/>
          <w:b/>
          <w:bCs/>
          <w:color w:val="000000" w:themeColor="text1"/>
          <w:kern w:val="0"/>
          <w:sz w:val="28"/>
          <w:szCs w:val="28"/>
          <w:rtl/>
          <w14:ligatures w14:val="none"/>
        </w:rPr>
        <w:t>وآخرون (2024) بعنوان “محددات فاعلية المراجعة الداخلية المبنية على المخاطر</w:t>
      </w:r>
      <w:r w:rsidRPr="00203A98">
        <w:rPr>
          <w:rFonts w:ascii="Simplified Arabic" w:eastAsia="Times New Roman" w:hAnsi="Simplified Arabic" w:cs="Simplified Arabic"/>
          <w:b/>
          <w:bCs/>
          <w:color w:val="000000" w:themeColor="text1"/>
          <w:kern w:val="0"/>
          <w:sz w:val="28"/>
          <w:szCs w:val="28"/>
          <w14:ligatures w14:val="none"/>
        </w:rPr>
        <w:t>”</w:t>
      </w:r>
    </w:p>
    <w:p w14:paraId="68B22BBE" w14:textId="27A809A4"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هدفت الدراسة إلى التعرف على محددات فاعلية المراجعة الداخلية المبنية على المخاطر بأبعادها (كفاءة المراجع، الاستقلالية، دعم الإدارة، ثقافة المخاطر، تكنولوجيا المعلومات) في المؤسسات الإندونيسية. واستخدمت الدراسة المنهج الوصفي التحليلي، وتكونت العينة من (180) مراجعاً داخلياً. وتوصلت نتائج الدراسة إلى أن الكفاءة المهنية ودعم الإدارة العليا وثقافة المخاطر هي أهم المحددات المؤثرة في فاعلية المراجعة، وأوصت بتعزيز هذه العوامل من خلال برامج تدريبية متخصصة</w:t>
      </w:r>
      <w:r w:rsidRPr="00203A98">
        <w:rPr>
          <w:rFonts w:ascii="Simplified Arabic" w:eastAsia="Times New Roman" w:hAnsi="Simplified Arabic" w:cs="Simplified Arabic"/>
          <w:color w:val="000000" w:themeColor="text1"/>
          <w:kern w:val="0"/>
          <w:sz w:val="28"/>
          <w:szCs w:val="28"/>
          <w14:ligatures w14:val="none"/>
        </w:rPr>
        <w:t>.</w:t>
      </w:r>
    </w:p>
    <w:p w14:paraId="6D18D451"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w:t>
      </w:r>
      <w:r w:rsidRPr="00203A98">
        <w:rPr>
          <w:rFonts w:ascii="Simplified Arabic" w:eastAsia="Times New Roman" w:hAnsi="Simplified Arabic" w:cs="Simplified Arabic"/>
          <w:b/>
          <w:bCs/>
          <w:color w:val="000000" w:themeColor="text1"/>
          <w:kern w:val="0"/>
          <w:sz w:val="28"/>
          <w:szCs w:val="28"/>
          <w14:ligatures w14:val="none"/>
        </w:rPr>
        <w:t xml:space="preserve"> Mujalli (2024) </w:t>
      </w:r>
      <w:r w:rsidRPr="00203A98">
        <w:rPr>
          <w:rFonts w:ascii="Simplified Arabic" w:eastAsia="Times New Roman" w:hAnsi="Simplified Arabic" w:cs="Simplified Arabic"/>
          <w:b/>
          <w:bCs/>
          <w:color w:val="000000" w:themeColor="text1"/>
          <w:kern w:val="0"/>
          <w:sz w:val="28"/>
          <w:szCs w:val="28"/>
          <w:rtl/>
          <w14:ligatures w14:val="none"/>
        </w:rPr>
        <w:t>بعنوان “العوامل المؤثرة في تطبيق المراجعة الداخلية المبنية على المخاطر</w:t>
      </w:r>
      <w:r w:rsidRPr="00203A98">
        <w:rPr>
          <w:rFonts w:ascii="Simplified Arabic" w:eastAsia="Times New Roman" w:hAnsi="Simplified Arabic" w:cs="Simplified Arabic"/>
          <w:b/>
          <w:bCs/>
          <w:color w:val="000000" w:themeColor="text1"/>
          <w:kern w:val="0"/>
          <w:sz w:val="28"/>
          <w:szCs w:val="28"/>
          <w14:ligatures w14:val="none"/>
        </w:rPr>
        <w:t>”</w:t>
      </w:r>
    </w:p>
    <w:p w14:paraId="164518C1" w14:textId="6C962B39"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المؤثرة في تطبيق المراجعة الداخلية المبنية على المخاطر بأبعادها (كفاءة المراجعين، دعم الإدارة، البنية التحتية التكنولوجية، الإطار التنظيمي) في الشركات السعودية. واستخدمت الدراسة المنهج الوصفي التحليلي، وتكونت العينة من (198) مراجعاً داخلياً في الشركات السعودية. وتوصلت نتائج الدراسة إلى أن كفاءة المراجعين ودعم الإدارة العليا يمثلان أهم العوامل المؤثرة في تطبيق المراجعة المبنية على المخاطر، وأوصت بتطوير بيئة تنظيمية داعمة</w:t>
      </w:r>
      <w:r w:rsidRPr="00203A98">
        <w:rPr>
          <w:rFonts w:ascii="Simplified Arabic" w:eastAsia="Times New Roman" w:hAnsi="Simplified Arabic" w:cs="Simplified Arabic"/>
          <w:color w:val="000000" w:themeColor="text1"/>
          <w:kern w:val="0"/>
          <w:sz w:val="28"/>
          <w:szCs w:val="28"/>
          <w14:ligatures w14:val="none"/>
        </w:rPr>
        <w:t>.</w:t>
      </w:r>
    </w:p>
    <w:p w14:paraId="27FAABAD"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w:t>
      </w:r>
      <w:r w:rsidRPr="00203A98">
        <w:rPr>
          <w:rFonts w:ascii="Simplified Arabic" w:eastAsia="Times New Roman" w:hAnsi="Simplified Arabic" w:cs="Simplified Arabic"/>
          <w:b/>
          <w:bCs/>
          <w:color w:val="000000" w:themeColor="text1"/>
          <w:kern w:val="0"/>
          <w:sz w:val="28"/>
          <w:szCs w:val="28"/>
          <w14:ligatures w14:val="none"/>
        </w:rPr>
        <w:t xml:space="preserve"> Harahap (2024) </w:t>
      </w:r>
      <w:r w:rsidRPr="00203A98">
        <w:rPr>
          <w:rFonts w:ascii="Simplified Arabic" w:eastAsia="Times New Roman" w:hAnsi="Simplified Arabic" w:cs="Simplified Arabic"/>
          <w:b/>
          <w:bCs/>
          <w:color w:val="000000" w:themeColor="text1"/>
          <w:kern w:val="0"/>
          <w:sz w:val="28"/>
          <w:szCs w:val="28"/>
          <w:rtl/>
          <w14:ligatures w14:val="none"/>
        </w:rPr>
        <w:t>بعنوان “تقييم أثر إدارة المخاطر والمراجعة الداخلية المبنية على المخاطر على اكتشاف الغش في الحكومات المحلية</w:t>
      </w:r>
      <w:r w:rsidRPr="00203A98">
        <w:rPr>
          <w:rFonts w:ascii="Simplified Arabic" w:eastAsia="Times New Roman" w:hAnsi="Simplified Arabic" w:cs="Simplified Arabic"/>
          <w:b/>
          <w:bCs/>
          <w:color w:val="000000" w:themeColor="text1"/>
          <w:kern w:val="0"/>
          <w:sz w:val="28"/>
          <w:szCs w:val="28"/>
          <w14:ligatures w14:val="none"/>
        </w:rPr>
        <w:t>”</w:t>
      </w:r>
    </w:p>
    <w:p w14:paraId="73D359D6" w14:textId="5698D640"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إدارة المخاطر والمراجعة الداخلية المبنية على المخاطر بأبعادهما (تحديد المخاطر، تقييمها، معالجتها، مراقبتها) على اكتشاف الغش في الحكومات المحلية. واستخدمت الدراسة المنهج الكمي، وتكونت العينة من (150) مراجعاً في الحكومات المحلية الإندونيسية. وتوصلت </w:t>
      </w:r>
      <w:r w:rsidRPr="00203A98">
        <w:rPr>
          <w:rFonts w:ascii="Simplified Arabic" w:eastAsia="Times New Roman" w:hAnsi="Simplified Arabic" w:cs="Simplified Arabic"/>
          <w:color w:val="000000" w:themeColor="text1"/>
          <w:kern w:val="0"/>
          <w:sz w:val="28"/>
          <w:szCs w:val="28"/>
          <w:rtl/>
          <w14:ligatures w14:val="none"/>
        </w:rPr>
        <w:lastRenderedPageBreak/>
        <w:t>نتائج الدراسة إلى وجود أثر إيجابي معنوي للمراجعة المبنية على المخاطر في تعزيز اكتشاف الغش، وأوصت بضرورة دمج إدارة المخاطر مع المراجعة الداخلية</w:t>
      </w:r>
      <w:r w:rsidRPr="00203A98">
        <w:rPr>
          <w:rFonts w:ascii="Simplified Arabic" w:eastAsia="Times New Roman" w:hAnsi="Simplified Arabic" w:cs="Simplified Arabic"/>
          <w:color w:val="000000" w:themeColor="text1"/>
          <w:kern w:val="0"/>
          <w:sz w:val="28"/>
          <w:szCs w:val="28"/>
          <w14:ligatures w14:val="none"/>
        </w:rPr>
        <w:t>.</w:t>
      </w:r>
    </w:p>
    <w:p w14:paraId="471A9E96"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w:t>
      </w:r>
      <w:r w:rsidRPr="00203A98">
        <w:rPr>
          <w:rFonts w:ascii="Simplified Arabic" w:eastAsia="Times New Roman" w:hAnsi="Simplified Arabic" w:cs="Simplified Arabic"/>
          <w:b/>
          <w:bCs/>
          <w:color w:val="000000" w:themeColor="text1"/>
          <w:kern w:val="0"/>
          <w:sz w:val="28"/>
          <w:szCs w:val="28"/>
          <w14:ligatures w14:val="none"/>
        </w:rPr>
        <w:t xml:space="preserve"> Udoh (2024) </w:t>
      </w:r>
      <w:r w:rsidRPr="00203A98">
        <w:rPr>
          <w:rFonts w:ascii="Simplified Arabic" w:eastAsia="Times New Roman" w:hAnsi="Simplified Arabic" w:cs="Simplified Arabic"/>
          <w:b/>
          <w:bCs/>
          <w:color w:val="000000" w:themeColor="text1"/>
          <w:kern w:val="0"/>
          <w:sz w:val="28"/>
          <w:szCs w:val="28"/>
          <w:rtl/>
          <w14:ligatures w14:val="none"/>
        </w:rPr>
        <w:t>بعنوان “تعزيز كفاءة المراجعة الداخلية لأطر إدارة المخاطر وحوكمة الشركات الفعالة</w:t>
      </w:r>
      <w:r w:rsidRPr="00203A98">
        <w:rPr>
          <w:rFonts w:ascii="Simplified Arabic" w:eastAsia="Times New Roman" w:hAnsi="Simplified Arabic" w:cs="Simplified Arabic"/>
          <w:b/>
          <w:bCs/>
          <w:color w:val="000000" w:themeColor="text1"/>
          <w:kern w:val="0"/>
          <w:sz w:val="28"/>
          <w:szCs w:val="28"/>
          <w14:ligatures w14:val="none"/>
        </w:rPr>
        <w:t>”</w:t>
      </w:r>
    </w:p>
    <w:p w14:paraId="0E2A49A7" w14:textId="6342AE44"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هدفت الدراسة إلى التعرف على دور المراجعة الداخلية بأبعادها (الاستقلالية، الكفاءة، الموضوعية، الجودة) في تعزيز أطر إدارة المخاطر وحوكمة الشركات. واستخدمت الدراسة المنهج الوصفي التحليلي المكتبي، وتكونت العينة من مجموعة من الأدبيات والدراسات السابقة. وتوصلت نتائج الدراسة إلى أن تعزيز كفاءة المراجعة الداخلية يُسهم في تفعيل أطر إدارة المخاطر وحوكمة الشركات، وأوصت بتبني معايير دولية حديثة في المراجعة الداخلية</w:t>
      </w:r>
      <w:r w:rsidRPr="00203A98">
        <w:rPr>
          <w:rFonts w:ascii="Simplified Arabic" w:eastAsia="Times New Roman" w:hAnsi="Simplified Arabic" w:cs="Simplified Arabic"/>
          <w:color w:val="000000" w:themeColor="text1"/>
          <w:kern w:val="0"/>
          <w:sz w:val="28"/>
          <w:szCs w:val="28"/>
          <w14:ligatures w14:val="none"/>
        </w:rPr>
        <w:t>.</w:t>
      </w:r>
    </w:p>
    <w:p w14:paraId="5CEC0237"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w:t>
      </w:r>
      <w:r w:rsidRPr="00203A98">
        <w:rPr>
          <w:rFonts w:ascii="Simplified Arabic" w:eastAsia="Times New Roman" w:hAnsi="Simplified Arabic" w:cs="Simplified Arabic"/>
          <w:b/>
          <w:bCs/>
          <w:color w:val="000000" w:themeColor="text1"/>
          <w:kern w:val="0"/>
          <w:sz w:val="28"/>
          <w:szCs w:val="28"/>
          <w14:ligatures w14:val="none"/>
        </w:rPr>
        <w:t xml:space="preserve"> Zahra (2025) </w:t>
      </w:r>
      <w:r w:rsidRPr="00203A98">
        <w:rPr>
          <w:rFonts w:ascii="Simplified Arabic" w:eastAsia="Times New Roman" w:hAnsi="Simplified Arabic" w:cs="Simplified Arabic"/>
          <w:b/>
          <w:bCs/>
          <w:color w:val="000000" w:themeColor="text1"/>
          <w:kern w:val="0"/>
          <w:sz w:val="28"/>
          <w:szCs w:val="28"/>
          <w:rtl/>
          <w14:ligatures w14:val="none"/>
        </w:rPr>
        <w:t>بعنوان “دور المراجعة الداخلية المبنية على المخاطر وإدارة المخاطر في منع واكتشاف الغش في شركات المزادات: دراسة حالة على شركة</w:t>
      </w:r>
      <w:r w:rsidRPr="00203A98">
        <w:rPr>
          <w:rFonts w:ascii="Simplified Arabic" w:eastAsia="Times New Roman" w:hAnsi="Simplified Arabic" w:cs="Simplified Arabic"/>
          <w:b/>
          <w:bCs/>
          <w:color w:val="000000" w:themeColor="text1"/>
          <w:kern w:val="0"/>
          <w:sz w:val="28"/>
          <w:szCs w:val="28"/>
          <w14:ligatures w14:val="none"/>
        </w:rPr>
        <w:t xml:space="preserve"> JBA </w:t>
      </w:r>
      <w:r w:rsidRPr="00203A98">
        <w:rPr>
          <w:rFonts w:ascii="Simplified Arabic" w:eastAsia="Times New Roman" w:hAnsi="Simplified Arabic" w:cs="Simplified Arabic"/>
          <w:b/>
          <w:bCs/>
          <w:color w:val="000000" w:themeColor="text1"/>
          <w:kern w:val="0"/>
          <w:sz w:val="28"/>
          <w:szCs w:val="28"/>
          <w:rtl/>
          <w14:ligatures w14:val="none"/>
        </w:rPr>
        <w:t>إندونيسيا</w:t>
      </w:r>
      <w:r w:rsidRPr="00203A98">
        <w:rPr>
          <w:rFonts w:ascii="Simplified Arabic" w:eastAsia="Times New Roman" w:hAnsi="Simplified Arabic" w:cs="Simplified Arabic"/>
          <w:b/>
          <w:bCs/>
          <w:color w:val="000000" w:themeColor="text1"/>
          <w:kern w:val="0"/>
          <w:sz w:val="28"/>
          <w:szCs w:val="28"/>
          <w14:ligatures w14:val="none"/>
        </w:rPr>
        <w:t>”</w:t>
      </w:r>
    </w:p>
    <w:p w14:paraId="07583628" w14:textId="651DD69D"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هدفت الدراسة إلى التعرف على دور المراجعة الداخلية المبنية على المخاطر وإدارة المخاطر بأبعادهما (تحديد المخاطر، تقييمها، الاستجابة لها، مراقبتها) في منع واكتشاف الغش في شركات المزادات. واستخدمت الدراسة منهج دراسة الحالة، وتكونت العينة من العاملين في قسمي المراجعة الداخلية وإدارة المخاطر بشركة</w:t>
      </w:r>
      <w:r w:rsidRPr="00203A98">
        <w:rPr>
          <w:rFonts w:ascii="Simplified Arabic" w:eastAsia="Times New Roman" w:hAnsi="Simplified Arabic" w:cs="Simplified Arabic"/>
          <w:color w:val="000000" w:themeColor="text1"/>
          <w:kern w:val="0"/>
          <w:sz w:val="28"/>
          <w:szCs w:val="28"/>
          <w14:ligatures w14:val="none"/>
        </w:rPr>
        <w:t xml:space="preserve"> JBA </w:t>
      </w:r>
      <w:r w:rsidRPr="00203A98">
        <w:rPr>
          <w:rFonts w:ascii="Simplified Arabic" w:eastAsia="Times New Roman" w:hAnsi="Simplified Arabic" w:cs="Simplified Arabic"/>
          <w:color w:val="000000" w:themeColor="text1"/>
          <w:kern w:val="0"/>
          <w:sz w:val="28"/>
          <w:szCs w:val="28"/>
          <w:rtl/>
          <w14:ligatures w14:val="none"/>
        </w:rPr>
        <w:t>إندونيسيا. وتوصلت نتائج الدراسة إلى وجود دور فعّال للمراجعة الداخلية المبنية على المخاطر في منع واكتشاف الغش، وأوصت بتعزيز التكامل بين المراجعة الداخلية وإدارة المخاطر</w:t>
      </w:r>
      <w:r w:rsidRPr="00203A98">
        <w:rPr>
          <w:rFonts w:ascii="Simplified Arabic" w:eastAsia="Times New Roman" w:hAnsi="Simplified Arabic" w:cs="Simplified Arabic"/>
          <w:color w:val="000000" w:themeColor="text1"/>
          <w:kern w:val="0"/>
          <w:sz w:val="28"/>
          <w:szCs w:val="28"/>
          <w14:ligatures w14:val="none"/>
        </w:rPr>
        <w:t>.</w:t>
      </w:r>
    </w:p>
    <w:p w14:paraId="4316C8B4"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 أبو العلا وعبدالفتاح وعبدالحافظ (2025) بعنوان “إطار مقترح لتفعيل دور المراجعة الداخلية في إدارة المخاطر التشغيلية بغرض تحسين جودة الأداء المالي في القطاع الصناعي: دراسة ميدانية</w:t>
      </w:r>
      <w:r w:rsidRPr="00203A98">
        <w:rPr>
          <w:rFonts w:ascii="Simplified Arabic" w:eastAsia="Times New Roman" w:hAnsi="Simplified Arabic" w:cs="Simplified Arabic"/>
          <w:b/>
          <w:bCs/>
          <w:color w:val="000000" w:themeColor="text1"/>
          <w:kern w:val="0"/>
          <w:sz w:val="28"/>
          <w:szCs w:val="28"/>
          <w14:ligatures w14:val="none"/>
        </w:rPr>
        <w:t>”</w:t>
      </w:r>
    </w:p>
    <w:p w14:paraId="6555CF0B" w14:textId="65F7CF33"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المراجعة الداخلية بأبعادها (الاستقلالية، الكفاءة المهنية، تخطيط المراجعة، تقييم المخاطر) في إدارة المخاطر التشغيلية بغرض تحسين جودة الأداء المالي في القطاع الصناعي المصري. واستخدمت الدراسة المنهج الوصفي التحليلي، وتكونت العينة من مجموعة من المراجعين الداخليين والمديرين الماليين في الشركات الصناعية. وتوصلت نتائج الدراسة إلى وجود أثر </w:t>
      </w:r>
      <w:r w:rsidRPr="00203A98">
        <w:rPr>
          <w:rFonts w:ascii="Simplified Arabic" w:eastAsia="Times New Roman" w:hAnsi="Simplified Arabic" w:cs="Simplified Arabic"/>
          <w:color w:val="000000" w:themeColor="text1"/>
          <w:kern w:val="0"/>
          <w:sz w:val="28"/>
          <w:szCs w:val="28"/>
          <w:rtl/>
          <w14:ligatures w14:val="none"/>
        </w:rPr>
        <w:lastRenderedPageBreak/>
        <w:t>إيجابي معنوي لتفعيل دور المراجعة الداخلية في إدارة المخاطر التشغيلية على جودة الأداء المالي، وأوصت بضرورة تطبيق الإطار المقترح لتعزيز فاعلية المراجعة الداخلية في القطاع الصناعي</w:t>
      </w:r>
      <w:r w:rsidRPr="00203A98">
        <w:rPr>
          <w:rFonts w:ascii="Simplified Arabic" w:eastAsia="Times New Roman" w:hAnsi="Simplified Arabic" w:cs="Simplified Arabic"/>
          <w:color w:val="000000" w:themeColor="text1"/>
          <w:kern w:val="0"/>
          <w:sz w:val="28"/>
          <w:szCs w:val="28"/>
          <w14:ligatures w14:val="none"/>
        </w:rPr>
        <w:t>.</w:t>
      </w:r>
    </w:p>
    <w:p w14:paraId="27F4C6FE" w14:textId="77777777" w:rsidR="002837E8" w:rsidRPr="00203A98" w:rsidRDefault="002837E8" w:rsidP="007922C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03A98">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بتحليل المخاطر ومخاطر المراجعة (المتغير التابع) وعلاقتها بمتغيرات أخرى</w:t>
      </w:r>
    </w:p>
    <w:p w14:paraId="76175618"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 أمين وسند (2025) بعنوان “المراجعة الإلكترونية ودورها في الحد من مخاطر المراجعة: دراسة حالة عينة من مكاتب المراجعة الخارجية</w:t>
      </w:r>
      <w:r w:rsidRPr="00203A98">
        <w:rPr>
          <w:rFonts w:ascii="Simplified Arabic" w:eastAsia="Times New Roman" w:hAnsi="Simplified Arabic" w:cs="Simplified Arabic"/>
          <w:b/>
          <w:bCs/>
          <w:color w:val="000000" w:themeColor="text1"/>
          <w:kern w:val="0"/>
          <w:sz w:val="28"/>
          <w:szCs w:val="28"/>
          <w14:ligatures w14:val="none"/>
        </w:rPr>
        <w:t>”</w:t>
      </w:r>
    </w:p>
    <w:p w14:paraId="7482CA9F" w14:textId="784ED2B9"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هدفت الدراسة إلى التعرف على دور المراجعة الإلكترونية بأبعادها (استخدام البرامج المحاسبية، أنظمة المعلومات، أدوات التحليل الإلكتروني، الأمن السيبراني) في الحد من مخاطر المراجعة في مكاتب المراجعة الخارجية. واستخدمت الدراسة المنهج الوصفي التحليلي، وتكونت العينة من مجموعة من المراجعين في مكاتب المراجعة الخارجية بالسودان. وتوصلت نتائج الدراسة إلى وجود دور إيجابي معنوي للمراجعة الإلكترونية في الحد من مخاطر المراجعة، وأوصت بضرورة تبني أدوات المراجعة الإلكترونية الحديثة وتدريب المراجعين عليها</w:t>
      </w:r>
      <w:r w:rsidRPr="00203A98">
        <w:rPr>
          <w:rFonts w:ascii="Simplified Arabic" w:eastAsia="Times New Roman" w:hAnsi="Simplified Arabic" w:cs="Simplified Arabic"/>
          <w:color w:val="000000" w:themeColor="text1"/>
          <w:kern w:val="0"/>
          <w:sz w:val="28"/>
          <w:szCs w:val="28"/>
          <w14:ligatures w14:val="none"/>
        </w:rPr>
        <w:t>.</w:t>
      </w:r>
    </w:p>
    <w:p w14:paraId="74A239C3"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 أبو جناح وبوجواري والفاخري (2023) بعنوان “الاتجاه نحو المراجعة المشتركة كمدخل للتخفيف من مخاطر المراجعة</w:t>
      </w:r>
      <w:r w:rsidRPr="00203A98">
        <w:rPr>
          <w:rFonts w:ascii="Simplified Arabic" w:eastAsia="Times New Roman" w:hAnsi="Simplified Arabic" w:cs="Simplified Arabic"/>
          <w:b/>
          <w:bCs/>
          <w:color w:val="000000" w:themeColor="text1"/>
          <w:kern w:val="0"/>
          <w:sz w:val="28"/>
          <w:szCs w:val="28"/>
          <w14:ligatures w14:val="none"/>
        </w:rPr>
        <w:t>”</w:t>
      </w:r>
    </w:p>
    <w:p w14:paraId="58A4397C" w14:textId="0E8EF58A"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هدفت الدراسة إلى التعرف على دور المراجعة المشتركة بأبعادها (تعدد المراجعين، تبادل الخبرات، التحقق المزدوج، تعزيز الاستقلالية) في التخفيف من مخاطر المراجعة. واستخدمت الدراسة المنهج الوصفي التحليلي، وتكونت العينة من مجموعة من المراجعين ومكاتب المراجعة الخارجية في ليبيا. وتوصلت نتائج الدراسة إلى أن المراجعة المشتركة تُسهم بشكل فعّال في التخفيف من مخاطر المراجعة وتحسين جودتها، وأوصت بضرورة تبني المراجعة المشتركة كمدخل قانوني في الشركات الكبرى</w:t>
      </w:r>
      <w:r w:rsidRPr="00203A98">
        <w:rPr>
          <w:rFonts w:ascii="Simplified Arabic" w:eastAsia="Times New Roman" w:hAnsi="Simplified Arabic" w:cs="Simplified Arabic"/>
          <w:color w:val="000000" w:themeColor="text1"/>
          <w:kern w:val="0"/>
          <w:sz w:val="28"/>
          <w:szCs w:val="28"/>
          <w14:ligatures w14:val="none"/>
        </w:rPr>
        <w:t>.</w:t>
      </w:r>
    </w:p>
    <w:p w14:paraId="2E84CF73"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 الخير (2025) بعنوان “أثر استخدام إجراءات المراجعة التحليلية على مخاطر المراجعة الخارجية: دراسة تحليلية ميدانية من وجهة نظر المراجعين الخارجيين في السودان</w:t>
      </w:r>
      <w:r w:rsidRPr="00203A98">
        <w:rPr>
          <w:rFonts w:ascii="Simplified Arabic" w:eastAsia="Times New Roman" w:hAnsi="Simplified Arabic" w:cs="Simplified Arabic"/>
          <w:b/>
          <w:bCs/>
          <w:color w:val="000000" w:themeColor="text1"/>
          <w:kern w:val="0"/>
          <w:sz w:val="28"/>
          <w:szCs w:val="28"/>
          <w14:ligatures w14:val="none"/>
        </w:rPr>
        <w:t>”</w:t>
      </w:r>
    </w:p>
    <w:p w14:paraId="2F3E307A" w14:textId="381737FC"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إجراءات المراجعة التحليلية بأبعادها (التحليل المقارن، تحليل النسب، تحليل الاتجاهات، اختبارات المعقولية) على مخاطر المراجعة الخارجية. واستخدمت الدراسة المنهج الوصفي التحليلي، وتكونت العينة من (85) مراجعاً خارجياً في السودان. وتوصلت نتائج الدراسة إلى وجود أثر إيجابي معنوي لاستخدام إجراءات المراجعة التحليلية في تخفيض مخاطر المراجعة الخارجية، وأوصت بتفعيل هذه الإجراءات في مختلف مراحل عملية المراجعة</w:t>
      </w:r>
      <w:r w:rsidRPr="00203A98">
        <w:rPr>
          <w:rFonts w:ascii="Simplified Arabic" w:eastAsia="Times New Roman" w:hAnsi="Simplified Arabic" w:cs="Simplified Arabic"/>
          <w:color w:val="000000" w:themeColor="text1"/>
          <w:kern w:val="0"/>
          <w:sz w:val="28"/>
          <w:szCs w:val="28"/>
          <w14:ligatures w14:val="none"/>
        </w:rPr>
        <w:t>.</w:t>
      </w:r>
    </w:p>
    <w:p w14:paraId="5734445E"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 عطية ووهدان والسيد (2022) بعنوان “إطار مقترح لتقدير المخاطر لأغراض تخطيط عملية المراجعة باستخدام التحليل الشبكي الضبابي: دراسة اختبارية</w:t>
      </w:r>
      <w:r w:rsidRPr="00203A98">
        <w:rPr>
          <w:rFonts w:ascii="Simplified Arabic" w:eastAsia="Times New Roman" w:hAnsi="Simplified Arabic" w:cs="Simplified Arabic"/>
          <w:b/>
          <w:bCs/>
          <w:color w:val="000000" w:themeColor="text1"/>
          <w:kern w:val="0"/>
          <w:sz w:val="28"/>
          <w:szCs w:val="28"/>
          <w14:ligatures w14:val="none"/>
        </w:rPr>
        <w:t>”</w:t>
      </w:r>
    </w:p>
    <w:p w14:paraId="7FD67768" w14:textId="0B2FA39E"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هدفت الدراسة إلى التعرف على إطار مقترح لتقدير المخاطر بأبعادها (المخاطر الملازمة، مخاطر الرقابة، مخاطر الاكتشاف، المخاطر الاستراتيجية) لأغراض تخطيط المراجعة باستخدام التحليل الشبكي الضبابي. واستخدمت الدراسة المنهج التحليلي الاختباري، وتكونت العينة من مجموعة من الشركات المصرية المدرجة. وتوصلت نتائج الدراسة إلى أن التحليل الشبكي الضبابي يُقدم أداة فعّالة لتقدير المخاطر بدقة أعلى مقارنة بالطرق التقليدية، وأوصت بتبني الأساليب الكمية المتقدمة في تخطيط المراجعة</w:t>
      </w:r>
      <w:r w:rsidRPr="00203A98">
        <w:rPr>
          <w:rFonts w:ascii="Simplified Arabic" w:eastAsia="Times New Roman" w:hAnsi="Simplified Arabic" w:cs="Simplified Arabic"/>
          <w:color w:val="000000" w:themeColor="text1"/>
          <w:kern w:val="0"/>
          <w:sz w:val="28"/>
          <w:szCs w:val="28"/>
          <w14:ligatures w14:val="none"/>
        </w:rPr>
        <w:t>.</w:t>
      </w:r>
    </w:p>
    <w:p w14:paraId="6DB10610"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 سند والبدوي (2023) بعنوان “أثر مراجعة النظير في الحد من مخاطر المراجعة: دراسة ميدانية على مكاتب المراجعة الخارجية بالسودان</w:t>
      </w:r>
      <w:r w:rsidRPr="00203A98">
        <w:rPr>
          <w:rFonts w:ascii="Simplified Arabic" w:eastAsia="Times New Roman" w:hAnsi="Simplified Arabic" w:cs="Simplified Arabic"/>
          <w:b/>
          <w:bCs/>
          <w:color w:val="000000" w:themeColor="text1"/>
          <w:kern w:val="0"/>
          <w:sz w:val="28"/>
          <w:szCs w:val="28"/>
          <w14:ligatures w14:val="none"/>
        </w:rPr>
        <w:t>”</w:t>
      </w:r>
    </w:p>
    <w:p w14:paraId="61AFCEBC" w14:textId="3B42868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هدفت الدراسة إلى التعرف على أثر مراجعة النظير بأبعادها (فحص أوراق العمل، تقييم الجودة، مراجعة الإجراءات، تقييم الأداء) في الحد من مخاطر المراجعة. واستخدمت الدراسة المنهج الوصفي التحليلي، وتكونت العينة من مجموعة من المراجعين في مكاتب المراجعة الخارجية بالسودان. وتوصلت نتائج الدراسة إلى وجود أثر إيجابي معنوي لمراجعة النظير في الحد من مخاطر المراجعة، وأوصت بتفعيل نظام مراجعة النظير كمتطلب أساسي لجودة المراجعة</w:t>
      </w:r>
      <w:r w:rsidRPr="00203A98">
        <w:rPr>
          <w:rFonts w:ascii="Simplified Arabic" w:eastAsia="Times New Roman" w:hAnsi="Simplified Arabic" w:cs="Simplified Arabic"/>
          <w:color w:val="000000" w:themeColor="text1"/>
          <w:kern w:val="0"/>
          <w:sz w:val="28"/>
          <w:szCs w:val="28"/>
          <w14:ligatures w14:val="none"/>
        </w:rPr>
        <w:t>.</w:t>
      </w:r>
    </w:p>
    <w:p w14:paraId="0BAA0486" w14:textId="7C7E8350"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 جمعة وموسى وسليمان (2023) بعنوان “قياس أثر القدرة الإدارية على مخاطر المراجعة: دراسة تطبيقية على شركات المساهمة المصرية</w:t>
      </w:r>
      <w:r w:rsidRPr="00203A98">
        <w:rPr>
          <w:rFonts w:ascii="Simplified Arabic" w:eastAsia="Times New Roman" w:hAnsi="Simplified Arabic" w:cs="Simplified Arabic"/>
          <w:b/>
          <w:bCs/>
          <w:color w:val="000000" w:themeColor="text1"/>
          <w:kern w:val="0"/>
          <w:sz w:val="28"/>
          <w:szCs w:val="28"/>
          <w14:ligatures w14:val="none"/>
        </w:rPr>
        <w:t>”</w:t>
      </w:r>
    </w:p>
    <w:p w14:paraId="309AE92D" w14:textId="147C380A"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القدرة الإدارية بأبعادها (الكفاءة الإدارية، الخبرة، جودة القرارات، الحوكمة) على مخاطر المراجعة في شركات المساهمة المصرية. واستخدمت الدراسة المنهج الوصفي </w:t>
      </w:r>
      <w:r w:rsidRPr="00203A98">
        <w:rPr>
          <w:rFonts w:ascii="Simplified Arabic" w:eastAsia="Times New Roman" w:hAnsi="Simplified Arabic" w:cs="Simplified Arabic"/>
          <w:color w:val="000000" w:themeColor="text1"/>
          <w:kern w:val="0"/>
          <w:sz w:val="28"/>
          <w:szCs w:val="28"/>
          <w:rtl/>
          <w14:ligatures w14:val="none"/>
        </w:rPr>
        <w:lastRenderedPageBreak/>
        <w:t>التحليلي، وتكونت العينة من مجموعة من الشركات المصرية المدرجة في البورصة. وتوصلت نتائج الدراسة إلى وجود علاقة عكسية بين القدرة الإدارية ومخاطر المراجعة، حيث كلما ارتفعت القدرة الإدارية انخفضت مخاطر المراجعة، وأوصت بضرورة الاهتمام بتقييم القدرة الإدارية عند تخطيط عملية المراجعة</w:t>
      </w:r>
      <w:r w:rsidRPr="00203A98">
        <w:rPr>
          <w:rFonts w:ascii="Simplified Arabic" w:eastAsia="Times New Roman" w:hAnsi="Simplified Arabic" w:cs="Simplified Arabic"/>
          <w:color w:val="000000" w:themeColor="text1"/>
          <w:kern w:val="0"/>
          <w:sz w:val="28"/>
          <w:szCs w:val="28"/>
          <w14:ligatures w14:val="none"/>
        </w:rPr>
        <w:t>.</w:t>
      </w:r>
    </w:p>
    <w:p w14:paraId="2A8929C1"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 حولي وخالد (2021) بعنوان “مخاطر المراجعة ومجالات مساهمة مراجع الحسابات في التخفيف من تأثيرها على القوائم المالية: دراسة ميدانية لآراء عينة من مراجعي الحسابات في الشرق الجزائري</w:t>
      </w:r>
      <w:r w:rsidRPr="00203A98">
        <w:rPr>
          <w:rFonts w:ascii="Simplified Arabic" w:eastAsia="Times New Roman" w:hAnsi="Simplified Arabic" w:cs="Simplified Arabic"/>
          <w:b/>
          <w:bCs/>
          <w:color w:val="000000" w:themeColor="text1"/>
          <w:kern w:val="0"/>
          <w:sz w:val="28"/>
          <w:szCs w:val="28"/>
          <w14:ligatures w14:val="none"/>
        </w:rPr>
        <w:t>”</w:t>
      </w:r>
    </w:p>
    <w:p w14:paraId="41F025E2" w14:textId="6B13904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هدفت الدراسة إلى التعرف على مخاطر المراجعة بأبعادها (المخاطر الملازمة، مخاطر الرقابة، مخاطر الاكتشاف) ومجالات مساهمة مراجع الحسابات في التخفيف من تأثيرها على القوائم المالية. واستخدمت الدراسة المنهج الوصفي التحليلي، وتكونت العينة من مراجعي الحسابات في الشرق الجزائري. وتوصلت نتائج الدراسة إلى أن لمراجع الحسابات دوراً فعّالاً في التخفيف من تأثير مخاطر المراجعة على القوائم المالية من خلال إجراءات المراجعة المناسبة، وأوصت بتطوير كفاءات المراجعين وتفعيل معايير المراجعة الدولية</w:t>
      </w:r>
      <w:r w:rsidRPr="00203A98">
        <w:rPr>
          <w:rFonts w:ascii="Simplified Arabic" w:eastAsia="Times New Roman" w:hAnsi="Simplified Arabic" w:cs="Simplified Arabic"/>
          <w:color w:val="000000" w:themeColor="text1"/>
          <w:kern w:val="0"/>
          <w:sz w:val="28"/>
          <w:szCs w:val="28"/>
          <w14:ligatures w14:val="none"/>
        </w:rPr>
        <w:t>.</w:t>
      </w:r>
    </w:p>
    <w:p w14:paraId="2950706F"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 ديان وباسردة (2025) بعنوان “أثر تقييم المراجع الخارجي للرقابة الداخلية في الحد من مخاطر المراجعة: دراسة ميدانية</w:t>
      </w:r>
      <w:r w:rsidRPr="00203A98">
        <w:rPr>
          <w:rFonts w:ascii="Simplified Arabic" w:eastAsia="Times New Roman" w:hAnsi="Simplified Arabic" w:cs="Simplified Arabic"/>
          <w:b/>
          <w:bCs/>
          <w:color w:val="000000" w:themeColor="text1"/>
          <w:kern w:val="0"/>
          <w:sz w:val="28"/>
          <w:szCs w:val="28"/>
          <w14:ligatures w14:val="none"/>
        </w:rPr>
        <w:t>”</w:t>
      </w:r>
    </w:p>
    <w:p w14:paraId="34EA3455" w14:textId="0DF614DD"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هدفت الدراسة إلى التعرف على أثر تقييم المراجع الخارجي للرقابة الداخلية بأبعادها (بيئة الرقابة، تقييم المخاطر، أنشطة الرقابة، المعلومات والاتصال، المراقبة) في الحد من مخاطر المراجعة. واستخدمت الدراسة المنهج الوصفي التحليلي، وتكونت العينة من مجموعة من المراجعين الخارجيين في اليمن. وتوصلت نتائج الدراسة إلى وجود أثر إيجابي معنوي لتقييم الرقابة الداخلية في الحد من مخاطر المراجعة، وأوصت بضرورة الاهتمام بمراحل تقييم الرقابة الداخلية في تخطيط عملية المراجعة</w:t>
      </w:r>
      <w:r w:rsidRPr="00203A98">
        <w:rPr>
          <w:rFonts w:ascii="Simplified Arabic" w:eastAsia="Times New Roman" w:hAnsi="Simplified Arabic" w:cs="Simplified Arabic"/>
          <w:color w:val="000000" w:themeColor="text1"/>
          <w:kern w:val="0"/>
          <w:sz w:val="28"/>
          <w:szCs w:val="28"/>
          <w14:ligatures w14:val="none"/>
        </w:rPr>
        <w:t>.</w:t>
      </w:r>
    </w:p>
    <w:p w14:paraId="588397DA"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 جاسم والسيد ونخال (2024) بعنوان “أثر استخدام الحوسبة السحابية على مخاطر عملية المراجعة: دراسة ميدانية بدولة الكويت</w:t>
      </w:r>
      <w:r w:rsidRPr="00203A98">
        <w:rPr>
          <w:rFonts w:ascii="Simplified Arabic" w:eastAsia="Times New Roman" w:hAnsi="Simplified Arabic" w:cs="Simplified Arabic"/>
          <w:b/>
          <w:bCs/>
          <w:color w:val="000000" w:themeColor="text1"/>
          <w:kern w:val="0"/>
          <w:sz w:val="28"/>
          <w:szCs w:val="28"/>
          <w14:ligatures w14:val="none"/>
        </w:rPr>
        <w:t>”</w:t>
      </w:r>
    </w:p>
    <w:p w14:paraId="17E66391" w14:textId="4B65795C"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استخدام الحوسبة السحابية بأبعادها (تخزين البيانات، معالجة البيانات، أمن المعلومات، إمكانية الوصول) على مخاطر عملية المراجعة. واستخدمت الدراسة المنهج </w:t>
      </w:r>
      <w:r w:rsidRPr="00203A98">
        <w:rPr>
          <w:rFonts w:ascii="Simplified Arabic" w:eastAsia="Times New Roman" w:hAnsi="Simplified Arabic" w:cs="Simplified Arabic"/>
          <w:color w:val="000000" w:themeColor="text1"/>
          <w:kern w:val="0"/>
          <w:sz w:val="28"/>
          <w:szCs w:val="28"/>
          <w:rtl/>
          <w14:ligatures w14:val="none"/>
        </w:rPr>
        <w:lastRenderedPageBreak/>
        <w:t>الوصفي التحليلي، وتكونت العينة من مجموعة من المراجعين في مكاتب المراجعة بدولة الكويت. وتوصلت نتائج الدراسة إلى وجود أثر إيجابي للحوسبة السحابية في الحد من مخاطر المراجعة عند توفر ضوابط الأمن المناسبة، وأوصت بتطوير معايير مهنية خاصة بالمراجعة في بيئة الحوسبة السحابية</w:t>
      </w:r>
      <w:r w:rsidRPr="00203A98">
        <w:rPr>
          <w:rFonts w:ascii="Simplified Arabic" w:eastAsia="Times New Roman" w:hAnsi="Simplified Arabic" w:cs="Simplified Arabic"/>
          <w:color w:val="000000" w:themeColor="text1"/>
          <w:kern w:val="0"/>
          <w:sz w:val="28"/>
          <w:szCs w:val="28"/>
          <w14:ligatures w14:val="none"/>
        </w:rPr>
        <w:t>.</w:t>
      </w:r>
    </w:p>
    <w:p w14:paraId="4D0267FC"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 عثمان (2021) بعنوان “استخدام التحليل المالي بالنسب المالية في اكتشاف المخاطر المالية ومخاطر الإفلاس لعميل المراجعة: دراسة ميدانية على مكاتب المراجعة بالسودان</w:t>
      </w:r>
      <w:r w:rsidRPr="00203A98">
        <w:rPr>
          <w:rFonts w:ascii="Simplified Arabic" w:eastAsia="Times New Roman" w:hAnsi="Simplified Arabic" w:cs="Simplified Arabic"/>
          <w:b/>
          <w:bCs/>
          <w:color w:val="000000" w:themeColor="text1"/>
          <w:kern w:val="0"/>
          <w:sz w:val="28"/>
          <w:szCs w:val="28"/>
          <w14:ligatures w14:val="none"/>
        </w:rPr>
        <w:t>”</w:t>
      </w:r>
    </w:p>
    <w:p w14:paraId="7C867E79" w14:textId="705C084F"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هدفت الدراسة إلى التعرف على دور التحليل المالي بالنسب المالية بأبعاده (نسب السيولة، نسب الربحية، نسب النشاط، نسب المديونية) في اكتشاف المخاطر المالية ومخاطر الإفلاس لعميل المراجعة. واستخدمت الدراسة المنهج الوصفي التحليلي، وتكونت العينة من مجموعة من المراجعين في مكاتب المراجعة بالسودان. وتوصلت نتائج الدراسة إلى أن التحليل المالي بالنسب المالية يُعدّ أداة فعّالة في اكتشاف المخاطر المالية ومخاطر الإفلاس، وأوصت بضرورة استخدام هذه الأداة بشكل منتظم عند تقييم مخاطر عملاء المراجعة</w:t>
      </w:r>
      <w:r w:rsidRPr="00203A98">
        <w:rPr>
          <w:rFonts w:ascii="Simplified Arabic" w:eastAsia="Times New Roman" w:hAnsi="Simplified Arabic" w:cs="Simplified Arabic"/>
          <w:color w:val="000000" w:themeColor="text1"/>
          <w:kern w:val="0"/>
          <w:sz w:val="28"/>
          <w:szCs w:val="28"/>
          <w14:ligatures w14:val="none"/>
        </w:rPr>
        <w:t>.</w:t>
      </w:r>
    </w:p>
    <w:p w14:paraId="4AD065D8"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 غنيم وعبدالسلام والبيلي (2024) بعنوان “تأثير تقنية سلاسل الكتل في الحد من مخاطر عملية المراجعة الخارجية في بيئة البيانات الضخمة: دراسة ميدانية</w:t>
      </w:r>
      <w:r w:rsidRPr="00203A98">
        <w:rPr>
          <w:rFonts w:ascii="Simplified Arabic" w:eastAsia="Times New Roman" w:hAnsi="Simplified Arabic" w:cs="Simplified Arabic"/>
          <w:b/>
          <w:bCs/>
          <w:color w:val="000000" w:themeColor="text1"/>
          <w:kern w:val="0"/>
          <w:sz w:val="28"/>
          <w:szCs w:val="28"/>
          <w14:ligatures w14:val="none"/>
        </w:rPr>
        <w:t>”</w:t>
      </w:r>
    </w:p>
    <w:p w14:paraId="4EAEEF21" w14:textId="37DFE1E4"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هدفت الدراسة إلى التعرف على تأثير تقنية سلاسل الكتل بأبعادها (اللامركزية، الشفافية، الأمان، الثبات) في الحد من مخاطر عملية المراجعة الخارجية في بيئة البيانات الضخمة. واستخدمت الدراسة المنهج الوصفي التحليلي، وتكونت العينة من مجموعة من المراجعين الخارجيين وأكاديميي المحاسبة. وتوصلت نتائج الدراسة إلى وجود تأثير إيجابي معنوي لتقنية سلاسل الكتل في الحد من مخاطر المراجعة في بيئة البيانات الضخمة، وأوصت بضرورة تبني هذه التقنية في مكاتب المراجعة وتطوير كفاءات المراجعين للتعامل معها</w:t>
      </w:r>
      <w:r w:rsidRPr="00203A98">
        <w:rPr>
          <w:rFonts w:ascii="Simplified Arabic" w:eastAsia="Times New Roman" w:hAnsi="Simplified Arabic" w:cs="Simplified Arabic"/>
          <w:color w:val="000000" w:themeColor="text1"/>
          <w:kern w:val="0"/>
          <w:sz w:val="28"/>
          <w:szCs w:val="28"/>
          <w14:ligatures w14:val="none"/>
        </w:rPr>
        <w:t>.</w:t>
      </w:r>
    </w:p>
    <w:p w14:paraId="7B981BB9" w14:textId="77777777" w:rsidR="007922C2"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203A98">
        <w:rPr>
          <w:rFonts w:ascii="Simplified Arabic" w:eastAsia="Times New Roman" w:hAnsi="Simplified Arabic" w:cs="Simplified Arabic"/>
          <w:b/>
          <w:bCs/>
          <w:color w:val="000000" w:themeColor="text1"/>
          <w:kern w:val="0"/>
          <w:sz w:val="28"/>
          <w:szCs w:val="28"/>
          <w:rtl/>
          <w14:ligatures w14:val="none"/>
        </w:rPr>
        <w:t>دراسة الدابي وأمبدي (2021) بعنوان “دور الاتجاهات الحديثة للمراجعة الخارجية في الحد من مخاطر المراجعة: دراسة ميدانية على عينة من مكاتب المراجعة الخارجية بالسودان</w:t>
      </w:r>
      <w:r w:rsidRPr="00203A98">
        <w:rPr>
          <w:rFonts w:ascii="Simplified Arabic" w:eastAsia="Times New Roman" w:hAnsi="Simplified Arabic" w:cs="Simplified Arabic"/>
          <w:b/>
          <w:bCs/>
          <w:color w:val="000000" w:themeColor="text1"/>
          <w:kern w:val="0"/>
          <w:sz w:val="28"/>
          <w:szCs w:val="28"/>
          <w14:ligatures w14:val="none"/>
        </w:rPr>
        <w:t>”</w:t>
      </w:r>
    </w:p>
    <w:p w14:paraId="2818928A" w14:textId="156C7E12"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الاتجاهات الحديثة للمراجعة الخارجية بأبعادها (المراجعة الإلكترونية، المراجعة المستمرة، المراجعة المشتركة، مراجعة النظير) في الحد من مخاطر المراجعة. </w:t>
      </w:r>
      <w:r w:rsidRPr="00203A98">
        <w:rPr>
          <w:rFonts w:ascii="Simplified Arabic" w:eastAsia="Times New Roman" w:hAnsi="Simplified Arabic" w:cs="Simplified Arabic"/>
          <w:color w:val="000000" w:themeColor="text1"/>
          <w:kern w:val="0"/>
          <w:sz w:val="28"/>
          <w:szCs w:val="28"/>
          <w:rtl/>
          <w14:ligatures w14:val="none"/>
        </w:rPr>
        <w:lastRenderedPageBreak/>
        <w:t>واستخدمت الدراسة المنهج الوصفي التحليلي، وتكونت العينة من مجموعة من المراجعين في مكاتب المراجعة الخارجية بالسودان. وتوصلت نتائج الدراسة إلى وجود دور إيجابي معنوي للاتجاهات الحديثة للمراجعة في الحد من مخاطر المراجعة، وأوصت بضرورة تبني هذه الاتجاهات وتطوير التشريعات المهنية بما يتوافق معها</w:t>
      </w:r>
      <w:r w:rsidRPr="00203A98">
        <w:rPr>
          <w:rFonts w:ascii="Simplified Arabic" w:eastAsia="Times New Roman" w:hAnsi="Simplified Arabic" w:cs="Simplified Arabic"/>
          <w:color w:val="000000" w:themeColor="text1"/>
          <w:kern w:val="0"/>
          <w:sz w:val="28"/>
          <w:szCs w:val="28"/>
          <w14:ligatures w14:val="none"/>
        </w:rPr>
        <w:t>.</w:t>
      </w:r>
    </w:p>
    <w:p w14:paraId="097D580D" w14:textId="7F68A493" w:rsidR="002837E8" w:rsidRPr="00203A98" w:rsidRDefault="007922C2" w:rsidP="007922C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0" w:name="_Toc234229071"/>
      <w:r w:rsidRPr="00203A98">
        <w:rPr>
          <w:rFonts w:ascii="Simplified Arabic" w:eastAsia="Times New Roman" w:hAnsi="Simplified Arabic" w:cs="Simplified Arabic" w:hint="cs"/>
          <w:b/>
          <w:bCs/>
          <w:color w:val="000000" w:themeColor="text1"/>
          <w:kern w:val="0"/>
          <w:sz w:val="36"/>
          <w:szCs w:val="36"/>
          <w:rtl/>
          <w14:ligatures w14:val="none"/>
        </w:rPr>
        <w:t xml:space="preserve">8.1 </w:t>
      </w:r>
      <w:r w:rsidR="002837E8" w:rsidRPr="00203A98">
        <w:rPr>
          <w:rFonts w:ascii="Simplified Arabic" w:eastAsia="Times New Roman" w:hAnsi="Simplified Arabic" w:cs="Simplified Arabic"/>
          <w:b/>
          <w:bCs/>
          <w:color w:val="000000" w:themeColor="text1"/>
          <w:kern w:val="0"/>
          <w:sz w:val="36"/>
          <w:szCs w:val="36"/>
          <w:rtl/>
          <w14:ligatures w14:val="none"/>
        </w:rPr>
        <w:t>الفجوة البحثية</w:t>
      </w:r>
      <w:bookmarkEnd w:id="10"/>
      <w:r w:rsidR="002837E8" w:rsidRPr="00203A98">
        <w:rPr>
          <w:rFonts w:ascii="Simplified Arabic" w:eastAsia="Times New Roman" w:hAnsi="Simplified Arabic" w:cs="Simplified Arabic"/>
          <w:b/>
          <w:bCs/>
          <w:color w:val="000000" w:themeColor="text1"/>
          <w:kern w:val="0"/>
          <w:sz w:val="36"/>
          <w:szCs w:val="36"/>
          <w:rtl/>
          <w14:ligatures w14:val="none"/>
        </w:rPr>
        <w:t xml:space="preserve"> </w:t>
      </w:r>
    </w:p>
    <w:p w14:paraId="28A78DA4"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من خلال الاستعراض الشامل للدراسات السابقة العربية والأجنبية التي تناولت موضوع المراجعة الداخلية المبنية على المخاطر وتحليل المخاطر ومخاطر المراجعة، يتضح أن الدراسة الحالية تتفق مع الدراسات السابقة في عدد من الجوانب الجوهرية، أبرزها الاهتمام بموضوع المراجعة الداخلية المبنية على المخاطر باعتبارها مدخلاً حديثاً ومهماً في مهنة المراجعة، والتركيز على الأبعاد الأساسية لهذا المدخل والمتمثلة في تحديد المخاطر وتقييمها والاستجابة لها ومراقبتها، فضلاً عن الاتفاق في تبنّي المنهج الوصفي التحليلي والاعتماد على قائمة الاستقصاء كأداة رئيسية لجمع البيانات الميدانية، وكذلك الاتفاق مع دراسات مثل</w:t>
      </w:r>
      <w:r w:rsidRPr="00203A98">
        <w:rPr>
          <w:rFonts w:ascii="Simplified Arabic" w:eastAsia="Times New Roman" w:hAnsi="Simplified Arabic" w:cs="Simplified Arabic"/>
          <w:color w:val="000000" w:themeColor="text1"/>
          <w:kern w:val="0"/>
          <w:sz w:val="28"/>
          <w:szCs w:val="28"/>
          <w14:ligatures w14:val="none"/>
        </w:rPr>
        <w:t xml:space="preserve"> (Kzykeyeva, 2022</w:t>
      </w:r>
      <w:r w:rsidRPr="00203A98">
        <w:rPr>
          <w:rFonts w:ascii="Simplified Arabic" w:eastAsia="Times New Roman" w:hAnsi="Simplified Arabic" w:cs="Simplified Arabic"/>
          <w:color w:val="000000" w:themeColor="text1"/>
          <w:kern w:val="0"/>
          <w:sz w:val="28"/>
          <w:szCs w:val="28"/>
          <w:rtl/>
          <w14:ligatures w14:val="none"/>
        </w:rPr>
        <w:t>؛</w:t>
      </w:r>
      <w:r w:rsidRPr="00203A98">
        <w:rPr>
          <w:rFonts w:ascii="Simplified Arabic" w:eastAsia="Times New Roman" w:hAnsi="Simplified Arabic" w:cs="Simplified Arabic"/>
          <w:color w:val="000000" w:themeColor="text1"/>
          <w:kern w:val="0"/>
          <w:sz w:val="28"/>
          <w:szCs w:val="28"/>
          <w14:ligatures w14:val="none"/>
        </w:rPr>
        <w:t xml:space="preserve"> Attaf &amp; Bensbahou, 2025</w:t>
      </w:r>
      <w:r w:rsidRPr="00203A98">
        <w:rPr>
          <w:rFonts w:ascii="Simplified Arabic" w:eastAsia="Times New Roman" w:hAnsi="Simplified Arabic" w:cs="Simplified Arabic"/>
          <w:color w:val="000000" w:themeColor="text1"/>
          <w:kern w:val="0"/>
          <w:sz w:val="28"/>
          <w:szCs w:val="28"/>
          <w:rtl/>
          <w14:ligatures w14:val="none"/>
        </w:rPr>
        <w:t>؛</w:t>
      </w:r>
      <w:r w:rsidRPr="00203A98">
        <w:rPr>
          <w:rFonts w:ascii="Simplified Arabic" w:eastAsia="Times New Roman" w:hAnsi="Simplified Arabic" w:cs="Simplified Arabic"/>
          <w:color w:val="000000" w:themeColor="text1"/>
          <w:kern w:val="0"/>
          <w:sz w:val="28"/>
          <w:szCs w:val="28"/>
          <w14:ligatures w14:val="none"/>
        </w:rPr>
        <w:t xml:space="preserve"> Ardianingsih &amp; Payamta, 2022</w:t>
      </w:r>
      <w:r w:rsidRPr="00203A98">
        <w:rPr>
          <w:rFonts w:ascii="Simplified Arabic" w:eastAsia="Times New Roman" w:hAnsi="Simplified Arabic" w:cs="Simplified Arabic"/>
          <w:color w:val="000000" w:themeColor="text1"/>
          <w:kern w:val="0"/>
          <w:sz w:val="28"/>
          <w:szCs w:val="28"/>
          <w:rtl/>
          <w14:ligatures w14:val="none"/>
        </w:rPr>
        <w:t>؛</w:t>
      </w:r>
      <w:r w:rsidRPr="00203A98">
        <w:rPr>
          <w:rFonts w:ascii="Simplified Arabic" w:eastAsia="Times New Roman" w:hAnsi="Simplified Arabic" w:cs="Simplified Arabic"/>
          <w:color w:val="000000" w:themeColor="text1"/>
          <w:kern w:val="0"/>
          <w:sz w:val="28"/>
          <w:szCs w:val="28"/>
          <w14:ligatures w14:val="none"/>
        </w:rPr>
        <w:t xml:space="preserve"> Mujalli, 2024</w:t>
      </w:r>
      <w:r w:rsidRPr="00203A98">
        <w:rPr>
          <w:rFonts w:ascii="Simplified Arabic" w:eastAsia="Times New Roman" w:hAnsi="Simplified Arabic" w:cs="Simplified Arabic"/>
          <w:color w:val="000000" w:themeColor="text1"/>
          <w:kern w:val="0"/>
          <w:sz w:val="28"/>
          <w:szCs w:val="28"/>
          <w:rtl/>
          <w14:ligatures w14:val="none"/>
        </w:rPr>
        <w:t>؛</w:t>
      </w:r>
      <w:r w:rsidRPr="00203A98">
        <w:rPr>
          <w:rFonts w:ascii="Simplified Arabic" w:eastAsia="Times New Roman" w:hAnsi="Simplified Arabic" w:cs="Simplified Arabic"/>
          <w:color w:val="000000" w:themeColor="text1"/>
          <w:kern w:val="0"/>
          <w:sz w:val="28"/>
          <w:szCs w:val="28"/>
          <w14:ligatures w14:val="none"/>
        </w:rPr>
        <w:t xml:space="preserve"> Almgrashi &amp; Mujalli, 2024) </w:t>
      </w:r>
      <w:r w:rsidRPr="00203A98">
        <w:rPr>
          <w:rFonts w:ascii="Simplified Arabic" w:eastAsia="Times New Roman" w:hAnsi="Simplified Arabic" w:cs="Simplified Arabic"/>
          <w:color w:val="000000" w:themeColor="text1"/>
          <w:kern w:val="0"/>
          <w:sz w:val="28"/>
          <w:szCs w:val="28"/>
          <w:rtl/>
          <w14:ligatures w14:val="none"/>
        </w:rPr>
        <w:t>في التأكيد على أهمية المراجعة الداخلية المبنية على المخاطر في تحقيق أهداف المنظمة وتعزيز جودة الأداء المهني للمراجعين</w:t>
      </w:r>
      <w:r w:rsidRPr="00203A98">
        <w:rPr>
          <w:rFonts w:ascii="Simplified Arabic" w:eastAsia="Times New Roman" w:hAnsi="Simplified Arabic" w:cs="Simplified Arabic"/>
          <w:color w:val="000000" w:themeColor="text1"/>
          <w:kern w:val="0"/>
          <w:sz w:val="28"/>
          <w:szCs w:val="28"/>
          <w14:ligatures w14:val="none"/>
        </w:rPr>
        <w:t>.</w:t>
      </w:r>
    </w:p>
    <w:p w14:paraId="3EF198C8"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غير أن الدراسة الحالية تختلف عن الدراسات السابقة في عدة جوانب جوهرية تُشكّل في مجموعها الفجوة البحثية التي تسعى هذه الدراسة إلى سدّها؛ إذ تتميّز الدراسة الحالية بجمعها بين متغيرين مهمّين في إطار واحد متكامل، وهما المراجعة الداخلية المبنية على المخاطر كمتغير مستقل وتعزيز فاعلية تحليل المخاطر كمتغير تابع، وهو ما لم تتناوله الدراسات السابقة بهذا الشكل المتكامل. فقد ركّزت دراسات مثل</w:t>
      </w:r>
      <w:r w:rsidRPr="00203A98">
        <w:rPr>
          <w:rFonts w:ascii="Simplified Arabic" w:eastAsia="Times New Roman" w:hAnsi="Simplified Arabic" w:cs="Simplified Arabic"/>
          <w:color w:val="000000" w:themeColor="text1"/>
          <w:kern w:val="0"/>
          <w:sz w:val="28"/>
          <w:szCs w:val="28"/>
          <w14:ligatures w14:val="none"/>
        </w:rPr>
        <w:t xml:space="preserve"> (Wahyuandari et al., 2025) </w:t>
      </w:r>
      <w:r w:rsidRPr="00203A98">
        <w:rPr>
          <w:rFonts w:ascii="Simplified Arabic" w:eastAsia="Times New Roman" w:hAnsi="Simplified Arabic" w:cs="Simplified Arabic"/>
          <w:color w:val="000000" w:themeColor="text1"/>
          <w:kern w:val="0"/>
          <w:sz w:val="28"/>
          <w:szCs w:val="28"/>
          <w:rtl/>
          <w14:ligatures w14:val="none"/>
        </w:rPr>
        <w:t>على أثر المراجعة المبنية على المخاطر على الأداء المالي، بينما ركّزت دراسة</w:t>
      </w:r>
      <w:r w:rsidRPr="00203A98">
        <w:rPr>
          <w:rFonts w:ascii="Simplified Arabic" w:eastAsia="Times New Roman" w:hAnsi="Simplified Arabic" w:cs="Simplified Arabic"/>
          <w:color w:val="000000" w:themeColor="text1"/>
          <w:kern w:val="0"/>
          <w:sz w:val="28"/>
          <w:szCs w:val="28"/>
          <w14:ligatures w14:val="none"/>
        </w:rPr>
        <w:t xml:space="preserve"> (Attaf &amp; Bensbahou, 2025) </w:t>
      </w:r>
      <w:r w:rsidRPr="00203A98">
        <w:rPr>
          <w:rFonts w:ascii="Simplified Arabic" w:eastAsia="Times New Roman" w:hAnsi="Simplified Arabic" w:cs="Simplified Arabic"/>
          <w:color w:val="000000" w:themeColor="text1"/>
          <w:kern w:val="0"/>
          <w:sz w:val="28"/>
          <w:szCs w:val="28"/>
          <w:rtl/>
          <w14:ligatures w14:val="none"/>
        </w:rPr>
        <w:t>على أثرها على تحسين عمليات إدارة المخاطر في البنوك الإسلامية، وتناولت دراسة</w:t>
      </w:r>
      <w:r w:rsidRPr="00203A98">
        <w:rPr>
          <w:rFonts w:ascii="Simplified Arabic" w:eastAsia="Times New Roman" w:hAnsi="Simplified Arabic" w:cs="Simplified Arabic"/>
          <w:color w:val="000000" w:themeColor="text1"/>
          <w:kern w:val="0"/>
          <w:sz w:val="28"/>
          <w:szCs w:val="28"/>
          <w14:ligatures w14:val="none"/>
        </w:rPr>
        <w:t xml:space="preserve"> (Harahap, 2024) </w:t>
      </w:r>
      <w:r w:rsidRPr="00203A98">
        <w:rPr>
          <w:rFonts w:ascii="Simplified Arabic" w:eastAsia="Times New Roman" w:hAnsi="Simplified Arabic" w:cs="Simplified Arabic"/>
          <w:color w:val="000000" w:themeColor="text1"/>
          <w:kern w:val="0"/>
          <w:sz w:val="28"/>
          <w:szCs w:val="28"/>
          <w:rtl/>
          <w14:ligatures w14:val="none"/>
        </w:rPr>
        <w:t>أثرها على اكتشاف الغش في الحكومات المحلية، في حين تناولت دراسة</w:t>
      </w:r>
      <w:r w:rsidRPr="00203A98">
        <w:rPr>
          <w:rFonts w:ascii="Simplified Arabic" w:eastAsia="Times New Roman" w:hAnsi="Simplified Arabic" w:cs="Simplified Arabic"/>
          <w:color w:val="000000" w:themeColor="text1"/>
          <w:kern w:val="0"/>
          <w:sz w:val="28"/>
          <w:szCs w:val="28"/>
          <w14:ligatures w14:val="none"/>
        </w:rPr>
        <w:t xml:space="preserve"> (Vu et al., 2026) </w:t>
      </w:r>
      <w:r w:rsidRPr="00203A98">
        <w:rPr>
          <w:rFonts w:ascii="Simplified Arabic" w:eastAsia="Times New Roman" w:hAnsi="Simplified Arabic" w:cs="Simplified Arabic"/>
          <w:color w:val="000000" w:themeColor="text1"/>
          <w:kern w:val="0"/>
          <w:sz w:val="28"/>
          <w:szCs w:val="28"/>
          <w:rtl/>
          <w14:ligatures w14:val="none"/>
        </w:rPr>
        <w:t>أثرها على جودة المراجعة في القطاع العام، ولم تُخصّص أيٌّ من هذه الدراسات لدراسة أثر هذا المدخل على تعزيز فاعلية تحليل المخاطر بشكل مباشر ومحدد</w:t>
      </w:r>
      <w:r w:rsidRPr="00203A98">
        <w:rPr>
          <w:rFonts w:ascii="Simplified Arabic" w:eastAsia="Times New Roman" w:hAnsi="Simplified Arabic" w:cs="Simplified Arabic"/>
          <w:color w:val="000000" w:themeColor="text1"/>
          <w:kern w:val="0"/>
          <w:sz w:val="28"/>
          <w:szCs w:val="28"/>
          <w14:ligatures w14:val="none"/>
        </w:rPr>
        <w:t>.</w:t>
      </w:r>
    </w:p>
    <w:p w14:paraId="557F0014"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lastRenderedPageBreak/>
        <w:t>كما تختلف الدراسة الحالية عن الدراسات السابقة في بيئة التطبيق، حيث تُركّز على الشركات المساهمة السعودية التي تشهد تحولات اقتصادية وتنظيمية متسارعة في إطار رؤية المملكة 2030، بينما أُجريت معظم الدراسات السابقة في بيئات أعمال مختلفة كإندونيسيا</w:t>
      </w:r>
      <w:r w:rsidRPr="00203A98">
        <w:rPr>
          <w:rFonts w:ascii="Simplified Arabic" w:eastAsia="Times New Roman" w:hAnsi="Simplified Arabic" w:cs="Simplified Arabic"/>
          <w:color w:val="000000" w:themeColor="text1"/>
          <w:kern w:val="0"/>
          <w:sz w:val="28"/>
          <w:szCs w:val="28"/>
          <w14:ligatures w14:val="none"/>
        </w:rPr>
        <w:t xml:space="preserve"> (Ardianingsih &amp; Payamta, 2022</w:t>
      </w:r>
      <w:r w:rsidRPr="00203A98">
        <w:rPr>
          <w:rFonts w:ascii="Simplified Arabic" w:eastAsia="Times New Roman" w:hAnsi="Simplified Arabic" w:cs="Simplified Arabic"/>
          <w:color w:val="000000" w:themeColor="text1"/>
          <w:kern w:val="0"/>
          <w:sz w:val="28"/>
          <w:szCs w:val="28"/>
          <w:rtl/>
          <w14:ligatures w14:val="none"/>
        </w:rPr>
        <w:t>؛</w:t>
      </w:r>
      <w:r w:rsidRPr="00203A98">
        <w:rPr>
          <w:rFonts w:ascii="Simplified Arabic" w:eastAsia="Times New Roman" w:hAnsi="Simplified Arabic" w:cs="Simplified Arabic"/>
          <w:color w:val="000000" w:themeColor="text1"/>
          <w:kern w:val="0"/>
          <w:sz w:val="28"/>
          <w:szCs w:val="28"/>
          <w14:ligatures w14:val="none"/>
        </w:rPr>
        <w:t xml:space="preserve"> Anugraheni et al., 2022</w:t>
      </w:r>
      <w:r w:rsidRPr="00203A98">
        <w:rPr>
          <w:rFonts w:ascii="Simplified Arabic" w:eastAsia="Times New Roman" w:hAnsi="Simplified Arabic" w:cs="Simplified Arabic"/>
          <w:color w:val="000000" w:themeColor="text1"/>
          <w:kern w:val="0"/>
          <w:sz w:val="28"/>
          <w:szCs w:val="28"/>
          <w:rtl/>
          <w14:ligatures w14:val="none"/>
        </w:rPr>
        <w:t>؛</w:t>
      </w:r>
      <w:r w:rsidRPr="00203A98">
        <w:rPr>
          <w:rFonts w:ascii="Simplified Arabic" w:eastAsia="Times New Roman" w:hAnsi="Simplified Arabic" w:cs="Simplified Arabic"/>
          <w:color w:val="000000" w:themeColor="text1"/>
          <w:kern w:val="0"/>
          <w:sz w:val="28"/>
          <w:szCs w:val="28"/>
          <w14:ligatures w14:val="none"/>
        </w:rPr>
        <w:t xml:space="preserve"> Harahap, 2024) </w:t>
      </w:r>
      <w:r w:rsidRPr="00203A98">
        <w:rPr>
          <w:rFonts w:ascii="Simplified Arabic" w:eastAsia="Times New Roman" w:hAnsi="Simplified Arabic" w:cs="Simplified Arabic"/>
          <w:color w:val="000000" w:themeColor="text1"/>
          <w:kern w:val="0"/>
          <w:sz w:val="28"/>
          <w:szCs w:val="28"/>
          <w:rtl/>
          <w14:ligatures w14:val="none"/>
        </w:rPr>
        <w:t>واليمن</w:t>
      </w:r>
      <w:r w:rsidRPr="00203A98">
        <w:rPr>
          <w:rFonts w:ascii="Simplified Arabic" w:eastAsia="Times New Roman" w:hAnsi="Simplified Arabic" w:cs="Simplified Arabic"/>
          <w:color w:val="000000" w:themeColor="text1"/>
          <w:kern w:val="0"/>
          <w:sz w:val="28"/>
          <w:szCs w:val="28"/>
          <w14:ligatures w14:val="none"/>
        </w:rPr>
        <w:t xml:space="preserve"> (Attaf &amp; Bensbahou, 2025) </w:t>
      </w:r>
      <w:r w:rsidRPr="00203A98">
        <w:rPr>
          <w:rFonts w:ascii="Simplified Arabic" w:eastAsia="Times New Roman" w:hAnsi="Simplified Arabic" w:cs="Simplified Arabic"/>
          <w:color w:val="000000" w:themeColor="text1"/>
          <w:kern w:val="0"/>
          <w:sz w:val="28"/>
          <w:szCs w:val="28"/>
          <w:rtl/>
          <w14:ligatures w14:val="none"/>
        </w:rPr>
        <w:t>وفيتنام</w:t>
      </w:r>
      <w:r w:rsidRPr="00203A98">
        <w:rPr>
          <w:rFonts w:ascii="Simplified Arabic" w:eastAsia="Times New Roman" w:hAnsi="Simplified Arabic" w:cs="Simplified Arabic"/>
          <w:color w:val="000000" w:themeColor="text1"/>
          <w:kern w:val="0"/>
          <w:sz w:val="28"/>
          <w:szCs w:val="28"/>
          <w14:ligatures w14:val="none"/>
        </w:rPr>
        <w:t xml:space="preserve"> (Vu et al., 2026) </w:t>
      </w:r>
      <w:r w:rsidRPr="00203A98">
        <w:rPr>
          <w:rFonts w:ascii="Simplified Arabic" w:eastAsia="Times New Roman" w:hAnsi="Simplified Arabic" w:cs="Simplified Arabic"/>
          <w:color w:val="000000" w:themeColor="text1"/>
          <w:kern w:val="0"/>
          <w:sz w:val="28"/>
          <w:szCs w:val="28"/>
          <w:rtl/>
          <w14:ligatures w14:val="none"/>
        </w:rPr>
        <w:t>والسودان (أمين وسند، 2025؛ الخير، 2025؛ الدابي وأمبدي، 2021) والجزائر (حولي وخالد، 2021) ومصر (جمعة وموسى وسليمان، 2023؛ أبو العلا وآخرون، 2025</w:t>
      </w:r>
      <w:proofErr w:type="gramStart"/>
      <w:r w:rsidRPr="00203A98">
        <w:rPr>
          <w:rFonts w:ascii="Simplified Arabic" w:eastAsia="Times New Roman" w:hAnsi="Simplified Arabic" w:cs="Simplified Arabic"/>
          <w:color w:val="000000" w:themeColor="text1"/>
          <w:kern w:val="0"/>
          <w:sz w:val="28"/>
          <w:szCs w:val="28"/>
          <w:rtl/>
          <w14:ligatures w14:val="none"/>
        </w:rPr>
        <w:t>)،</w:t>
      </w:r>
      <w:proofErr w:type="gramEnd"/>
      <w:r w:rsidRPr="00203A98">
        <w:rPr>
          <w:rFonts w:ascii="Simplified Arabic" w:eastAsia="Times New Roman" w:hAnsi="Simplified Arabic" w:cs="Simplified Arabic"/>
          <w:color w:val="000000" w:themeColor="text1"/>
          <w:kern w:val="0"/>
          <w:sz w:val="28"/>
          <w:szCs w:val="28"/>
          <w:rtl/>
          <w14:ligatures w14:val="none"/>
        </w:rPr>
        <w:t xml:space="preserve"> وحتى الدراسات التي أُجريت في المملكة العربية السعودية كدراسة</w:t>
      </w:r>
      <w:r w:rsidRPr="00203A98">
        <w:rPr>
          <w:rFonts w:ascii="Simplified Arabic" w:eastAsia="Times New Roman" w:hAnsi="Simplified Arabic" w:cs="Simplified Arabic"/>
          <w:color w:val="000000" w:themeColor="text1"/>
          <w:kern w:val="0"/>
          <w:sz w:val="28"/>
          <w:szCs w:val="28"/>
          <w14:ligatures w14:val="none"/>
        </w:rPr>
        <w:t xml:space="preserve"> (Mujalli, 2024) </w:t>
      </w:r>
      <w:r w:rsidRPr="00203A98">
        <w:rPr>
          <w:rFonts w:ascii="Simplified Arabic" w:eastAsia="Times New Roman" w:hAnsi="Simplified Arabic" w:cs="Simplified Arabic"/>
          <w:color w:val="000000" w:themeColor="text1"/>
          <w:kern w:val="0"/>
          <w:sz w:val="28"/>
          <w:szCs w:val="28"/>
          <w:rtl/>
          <w14:ligatures w14:val="none"/>
        </w:rPr>
        <w:t>و</w:t>
      </w:r>
      <w:r w:rsidRPr="00203A98">
        <w:rPr>
          <w:rFonts w:ascii="Simplified Arabic" w:eastAsia="Times New Roman" w:hAnsi="Simplified Arabic" w:cs="Simplified Arabic"/>
          <w:color w:val="000000" w:themeColor="text1"/>
          <w:kern w:val="0"/>
          <w:sz w:val="28"/>
          <w:szCs w:val="28"/>
          <w14:ligatures w14:val="none"/>
        </w:rPr>
        <w:t xml:space="preserve">(Almgrashi &amp; Mujalli, 2024) </w:t>
      </w:r>
      <w:r w:rsidRPr="00203A98">
        <w:rPr>
          <w:rFonts w:ascii="Simplified Arabic" w:eastAsia="Times New Roman" w:hAnsi="Simplified Arabic" w:cs="Simplified Arabic"/>
          <w:color w:val="000000" w:themeColor="text1"/>
          <w:kern w:val="0"/>
          <w:sz w:val="28"/>
          <w:szCs w:val="28"/>
          <w:rtl/>
          <w14:ligatures w14:val="none"/>
        </w:rPr>
        <w:t>ركّزت على العوامل المؤثرة في تطبيق المراجعة المبنية على المخاطر أو أثر إدارة المخاطر المستدامة عليها، دون التطرق إلى أثرها على فاعلية تحليل المخاطر تحديداً</w:t>
      </w:r>
      <w:r w:rsidRPr="00203A98">
        <w:rPr>
          <w:rFonts w:ascii="Simplified Arabic" w:eastAsia="Times New Roman" w:hAnsi="Simplified Arabic" w:cs="Simplified Arabic"/>
          <w:color w:val="000000" w:themeColor="text1"/>
          <w:kern w:val="0"/>
          <w:sz w:val="28"/>
          <w:szCs w:val="28"/>
          <w14:ligatures w14:val="none"/>
        </w:rPr>
        <w:t>.</w:t>
      </w:r>
    </w:p>
    <w:p w14:paraId="0432EDCA"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كذلك تتميّز الدراسة الحالية بتناولها لأبعاد المراجعة الداخلية المبنية على المخاطر بشكل مفصّل ومنظّم يتضمّن تحديد المخاطر وتقييمها والاستجابة لها ومراقبتها، وقياس الأثر النسبي لكل بُعد على حدة في تعزيز فاعلية تحليل المخاطر، وهو ما لم تتناوله الدراسات السابقة بهذا العمق والتفصيل. وبناءً على ما سبق، تتجلّى الفجوة البحثية التي تسعى الدراسة الحالية إلى سدّها في تقديم إطار متكامل يربط بين المراجعة الداخلية المبنية على المخاطر بأبعادها المختلفة وتعزيز فاعلية تحليل المخاطر في بيئة الشركات المساهمة السعودية، بما يُثري الأدب المحاسبي ويُقدّم إسهاماً علمياً وتطبيقياً متميّزاً</w:t>
      </w:r>
      <w:r w:rsidRPr="00203A98">
        <w:rPr>
          <w:rFonts w:ascii="Simplified Arabic" w:eastAsia="Times New Roman" w:hAnsi="Simplified Arabic" w:cs="Simplified Arabic"/>
          <w:color w:val="000000" w:themeColor="text1"/>
          <w:kern w:val="0"/>
          <w:sz w:val="28"/>
          <w:szCs w:val="28"/>
          <w14:ligatures w14:val="none"/>
        </w:rPr>
        <w:t>.</w:t>
      </w:r>
    </w:p>
    <w:p w14:paraId="12191BE6" w14:textId="7DE1A6F0" w:rsidR="002837E8" w:rsidRPr="00203A98" w:rsidRDefault="007922C2" w:rsidP="007922C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1" w:name="_Toc234229072"/>
      <w:r w:rsidRPr="00203A98">
        <w:rPr>
          <w:rFonts w:ascii="Simplified Arabic" w:eastAsia="Times New Roman" w:hAnsi="Simplified Arabic" w:cs="Simplified Arabic" w:hint="cs"/>
          <w:b/>
          <w:bCs/>
          <w:color w:val="000000" w:themeColor="text1"/>
          <w:kern w:val="0"/>
          <w:sz w:val="36"/>
          <w:szCs w:val="36"/>
          <w:rtl/>
          <w14:ligatures w14:val="none"/>
        </w:rPr>
        <w:t>9.1</w:t>
      </w:r>
      <w:r w:rsidR="002837E8" w:rsidRPr="00203A98">
        <w:rPr>
          <w:rFonts w:ascii="Simplified Arabic" w:eastAsia="Times New Roman" w:hAnsi="Simplified Arabic" w:cs="Simplified Arabic"/>
          <w:b/>
          <w:bCs/>
          <w:color w:val="000000" w:themeColor="text1"/>
          <w:kern w:val="0"/>
          <w:sz w:val="36"/>
          <w:szCs w:val="36"/>
          <w:rtl/>
          <w14:ligatures w14:val="none"/>
        </w:rPr>
        <w:t xml:space="preserve"> المنطلقات النظرية للدراسة</w:t>
      </w:r>
      <w:bookmarkEnd w:id="11"/>
    </w:p>
    <w:p w14:paraId="68500917"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تستند الدراسة الحالية إلى مجموعة من المنطلقات النظرية التي تُشكّل الإطار الفكري والمفاهيمي الذي يحكم متغيرات الدراسة والعلاقات بينها، وذلك من خلال استعراض المفاهيم الأساسية للمراجعة الداخلية المبنية على المخاطر وتحليل المخاطر، والتأصيل النظري لهذه المفاهيم في ضوء أحدث الأدبيات المحاسبية والنظريات المُفسّرة للعلاقة بينهما</w:t>
      </w:r>
      <w:r w:rsidRPr="00203A98">
        <w:rPr>
          <w:rFonts w:ascii="Simplified Arabic" w:eastAsia="Times New Roman" w:hAnsi="Simplified Arabic" w:cs="Simplified Arabic"/>
          <w:color w:val="000000" w:themeColor="text1"/>
          <w:kern w:val="0"/>
          <w:sz w:val="28"/>
          <w:szCs w:val="28"/>
          <w14:ligatures w14:val="none"/>
        </w:rPr>
        <w:t>.</w:t>
      </w:r>
    </w:p>
    <w:p w14:paraId="61799C95" w14:textId="77777777" w:rsidR="002837E8" w:rsidRPr="00203A98" w:rsidRDefault="002837E8" w:rsidP="007922C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03A98">
        <w:rPr>
          <w:rFonts w:ascii="Simplified Arabic" w:eastAsia="Times New Roman" w:hAnsi="Simplified Arabic" w:cs="Simplified Arabic"/>
          <w:b/>
          <w:bCs/>
          <w:color w:val="000000" w:themeColor="text1"/>
          <w:kern w:val="0"/>
          <w:sz w:val="32"/>
          <w:szCs w:val="32"/>
          <w:rtl/>
          <w14:ligatures w14:val="none"/>
        </w:rPr>
        <w:t>أولاً: المراجعة الداخلية المبنية على المخاطر</w:t>
      </w:r>
    </w:p>
    <w:p w14:paraId="1178E92E"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يُعدّ مفهوم المراجعة الداخلية المبنية على المخاطر</w:t>
      </w:r>
      <w:r w:rsidRPr="00203A98">
        <w:rPr>
          <w:rFonts w:ascii="Simplified Arabic" w:eastAsia="Times New Roman" w:hAnsi="Simplified Arabic" w:cs="Simplified Arabic"/>
          <w:color w:val="000000" w:themeColor="text1"/>
          <w:kern w:val="0"/>
          <w:sz w:val="28"/>
          <w:szCs w:val="28"/>
          <w14:ligatures w14:val="none"/>
        </w:rPr>
        <w:t xml:space="preserve"> (Risk-Based Internal Audit) </w:t>
      </w:r>
      <w:r w:rsidRPr="00203A98">
        <w:rPr>
          <w:rFonts w:ascii="Simplified Arabic" w:eastAsia="Times New Roman" w:hAnsi="Simplified Arabic" w:cs="Simplified Arabic"/>
          <w:color w:val="000000" w:themeColor="text1"/>
          <w:kern w:val="0"/>
          <w:sz w:val="28"/>
          <w:szCs w:val="28"/>
          <w:rtl/>
          <w14:ligatures w14:val="none"/>
        </w:rPr>
        <w:t xml:space="preserve">من المفاهيم الحديثة التي فرضتها التحولات المتسارعة في بيئة الأعمال المعاصرة، وقد ظهر هذا المفهوم كاستجابة </w:t>
      </w:r>
      <w:r w:rsidRPr="00203A98">
        <w:rPr>
          <w:rFonts w:ascii="Simplified Arabic" w:eastAsia="Times New Roman" w:hAnsi="Simplified Arabic" w:cs="Simplified Arabic"/>
          <w:color w:val="000000" w:themeColor="text1"/>
          <w:kern w:val="0"/>
          <w:sz w:val="28"/>
          <w:szCs w:val="28"/>
          <w:rtl/>
          <w14:ligatures w14:val="none"/>
        </w:rPr>
        <w:lastRenderedPageBreak/>
        <w:t>موضوعية لقصور المدخل التقليدي للمراجعة الداخلية الذي كان يعتمد على التغطية الشاملة والمتساوية لجميع الأنشطة والعمليات دون التمييز بينها من حيث مستوى المخاطر. ويُعرّف معهد المراجعين الداخليين</w:t>
      </w:r>
      <w:r w:rsidRPr="00203A98">
        <w:rPr>
          <w:rFonts w:ascii="Simplified Arabic" w:eastAsia="Times New Roman" w:hAnsi="Simplified Arabic" w:cs="Simplified Arabic"/>
          <w:color w:val="000000" w:themeColor="text1"/>
          <w:kern w:val="0"/>
          <w:sz w:val="28"/>
          <w:szCs w:val="28"/>
          <w14:ligatures w14:val="none"/>
        </w:rPr>
        <w:t xml:space="preserve"> (IIA) </w:t>
      </w:r>
      <w:r w:rsidRPr="00203A98">
        <w:rPr>
          <w:rFonts w:ascii="Simplified Arabic" w:eastAsia="Times New Roman" w:hAnsi="Simplified Arabic" w:cs="Simplified Arabic"/>
          <w:color w:val="000000" w:themeColor="text1"/>
          <w:kern w:val="0"/>
          <w:sz w:val="28"/>
          <w:szCs w:val="28"/>
          <w:rtl/>
          <w14:ligatures w14:val="none"/>
        </w:rPr>
        <w:t>المراجعة الداخلية المبنية على المخاطر بأنها منهجية تربط المراجعة الداخلية بإطار إدارة المخاطر الشامل للمنظمة، وتُمكّن نشاط المراجعة الداخلية من تقديم تأكيدات لمجلس الإدارة بأن عمليات إدارة المخاطر تعمل بفاعلية، وأن المخاطر يتم إدارتها ضمن الحدود المقبولة</w:t>
      </w:r>
      <w:r w:rsidRPr="00203A98">
        <w:rPr>
          <w:rFonts w:ascii="Simplified Arabic" w:eastAsia="Times New Roman" w:hAnsi="Simplified Arabic" w:cs="Simplified Arabic"/>
          <w:color w:val="000000" w:themeColor="text1"/>
          <w:kern w:val="0"/>
          <w:sz w:val="28"/>
          <w:szCs w:val="28"/>
          <w14:ligatures w14:val="none"/>
        </w:rPr>
        <w:t>.</w:t>
      </w:r>
    </w:p>
    <w:p w14:paraId="66965683"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ويقوم هذا المدخل على فلسفة جوهرية مفادها أن موارد المراجعة الداخلية محدودة، وأن التوظيف الأمثل لهذه الموارد يستلزم توجيهها نحو المجالات الأكثر أهمية والأكثر عرضة للمخاطر، بدلاً من توزيعها بالتساوي على جميع الأنشطة. وبذلك يتحوّل دور المراجعة الداخلية من دور تفتيشي تقليدي إلى دور استراتيجي يُسهم في تحقيق أهداف المنظمة وحماية أصولها وتعزيز الحوكمة فيها. وقد أكدت دراسة</w:t>
      </w:r>
      <w:r w:rsidRPr="00203A98">
        <w:rPr>
          <w:rFonts w:ascii="Simplified Arabic" w:eastAsia="Times New Roman" w:hAnsi="Simplified Arabic" w:cs="Simplified Arabic"/>
          <w:color w:val="000000" w:themeColor="text1"/>
          <w:kern w:val="0"/>
          <w:sz w:val="28"/>
          <w:szCs w:val="28"/>
          <w14:ligatures w14:val="none"/>
        </w:rPr>
        <w:t xml:space="preserve"> (Kzykeyeva, 2022) </w:t>
      </w:r>
      <w:r w:rsidRPr="00203A98">
        <w:rPr>
          <w:rFonts w:ascii="Simplified Arabic" w:eastAsia="Times New Roman" w:hAnsi="Simplified Arabic" w:cs="Simplified Arabic"/>
          <w:color w:val="000000" w:themeColor="text1"/>
          <w:kern w:val="0"/>
          <w:sz w:val="28"/>
          <w:szCs w:val="28"/>
          <w:rtl/>
          <w14:ligatures w14:val="none"/>
        </w:rPr>
        <w:t>على أن تطبيق هذا المدخل يُسهم في رفع جودة المراجعة الداخلية وتعزيز قدرتها على اكتشاف الانحرافات</w:t>
      </w:r>
      <w:r w:rsidRPr="00203A98">
        <w:rPr>
          <w:rFonts w:ascii="Simplified Arabic" w:eastAsia="Times New Roman" w:hAnsi="Simplified Arabic" w:cs="Simplified Arabic"/>
          <w:color w:val="000000" w:themeColor="text1"/>
          <w:kern w:val="0"/>
          <w:sz w:val="28"/>
          <w:szCs w:val="28"/>
          <w14:ligatures w14:val="none"/>
        </w:rPr>
        <w:t>.</w:t>
      </w:r>
    </w:p>
    <w:p w14:paraId="3081C066"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وتتمثّل الأبعاد الرئيسية للمراجعة الداخلية المبنية على المخاطر في أربعة أبعاد متكاملة، يبدأ أولها ببُعد تحديد المخاطر</w:t>
      </w:r>
      <w:r w:rsidRPr="00203A98">
        <w:rPr>
          <w:rFonts w:ascii="Simplified Arabic" w:eastAsia="Times New Roman" w:hAnsi="Simplified Arabic" w:cs="Simplified Arabic"/>
          <w:color w:val="000000" w:themeColor="text1"/>
          <w:kern w:val="0"/>
          <w:sz w:val="28"/>
          <w:szCs w:val="28"/>
          <w14:ligatures w14:val="none"/>
        </w:rPr>
        <w:t xml:space="preserve"> (Risk Identification) </w:t>
      </w:r>
      <w:r w:rsidRPr="00203A98">
        <w:rPr>
          <w:rFonts w:ascii="Simplified Arabic" w:eastAsia="Times New Roman" w:hAnsi="Simplified Arabic" w:cs="Simplified Arabic"/>
          <w:color w:val="000000" w:themeColor="text1"/>
          <w:kern w:val="0"/>
          <w:sz w:val="28"/>
          <w:szCs w:val="28"/>
          <w:rtl/>
          <w14:ligatures w14:val="none"/>
        </w:rPr>
        <w:t>الذي يتضمّن رصد جميع المخاطر المحتملة التي قد تواجه المنظمة وتؤثر على تحقيق أهدافها، سواء أكانت مخاطر داخلية أم خارجية، مالية أم تشغيلية أم استراتيجية أم مخاطر امتثال. ويعتمد هذا البُعد على أدوات متعددة كالمقابلات وورش العمل وتحليل البيانات التاريخية ومراجعة الأدبيات المهنية والمعايير الدولية</w:t>
      </w:r>
      <w:r w:rsidRPr="00203A98">
        <w:rPr>
          <w:rFonts w:ascii="Simplified Arabic" w:eastAsia="Times New Roman" w:hAnsi="Simplified Arabic" w:cs="Simplified Arabic"/>
          <w:color w:val="000000" w:themeColor="text1"/>
          <w:kern w:val="0"/>
          <w:sz w:val="28"/>
          <w:szCs w:val="28"/>
          <w14:ligatures w14:val="none"/>
        </w:rPr>
        <w:t>.</w:t>
      </w:r>
    </w:p>
    <w:p w14:paraId="7CBED69A"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ويأتي بُعد تقييم المخاطر</w:t>
      </w:r>
      <w:r w:rsidRPr="00203A98">
        <w:rPr>
          <w:rFonts w:ascii="Simplified Arabic" w:eastAsia="Times New Roman" w:hAnsi="Simplified Arabic" w:cs="Simplified Arabic"/>
          <w:color w:val="000000" w:themeColor="text1"/>
          <w:kern w:val="0"/>
          <w:sz w:val="28"/>
          <w:szCs w:val="28"/>
          <w14:ligatures w14:val="none"/>
        </w:rPr>
        <w:t xml:space="preserve"> (Risk Assessment) </w:t>
      </w:r>
      <w:r w:rsidRPr="00203A98">
        <w:rPr>
          <w:rFonts w:ascii="Simplified Arabic" w:eastAsia="Times New Roman" w:hAnsi="Simplified Arabic" w:cs="Simplified Arabic"/>
          <w:color w:val="000000" w:themeColor="text1"/>
          <w:kern w:val="0"/>
          <w:sz w:val="28"/>
          <w:szCs w:val="28"/>
          <w:rtl/>
          <w14:ligatures w14:val="none"/>
        </w:rPr>
        <w:t>في المرتبة الثانية، ويتضمّن قياس احتمالية حدوث كل خطر تم تحديده وتقدير حجم تأثيره المتوقع على المنظمة، ثم ترتيب هذه المخاطر حسب أهميتها. ويعتمد هذا البُعد على استخدام مصفوفات تقييم المخاطر</w:t>
      </w:r>
      <w:r w:rsidRPr="00203A98">
        <w:rPr>
          <w:rFonts w:ascii="Simplified Arabic" w:eastAsia="Times New Roman" w:hAnsi="Simplified Arabic" w:cs="Simplified Arabic"/>
          <w:color w:val="000000" w:themeColor="text1"/>
          <w:kern w:val="0"/>
          <w:sz w:val="28"/>
          <w:szCs w:val="28"/>
          <w14:ligatures w14:val="none"/>
        </w:rPr>
        <w:t xml:space="preserve"> (Risk Assessment Matrices) </w:t>
      </w:r>
      <w:r w:rsidRPr="00203A98">
        <w:rPr>
          <w:rFonts w:ascii="Simplified Arabic" w:eastAsia="Times New Roman" w:hAnsi="Simplified Arabic" w:cs="Simplified Arabic"/>
          <w:color w:val="000000" w:themeColor="text1"/>
          <w:kern w:val="0"/>
          <w:sz w:val="28"/>
          <w:szCs w:val="28"/>
          <w:rtl/>
          <w14:ligatures w14:val="none"/>
        </w:rPr>
        <w:t>وأساليب كمية ونوعية متطورة كتحليل السيناريوهات وتحليل الحساسية والنماذج الإحصائية المتقدمة، وقد أشارت دراسة</w:t>
      </w:r>
      <w:r w:rsidRPr="00203A98">
        <w:rPr>
          <w:rFonts w:ascii="Simplified Arabic" w:eastAsia="Times New Roman" w:hAnsi="Simplified Arabic" w:cs="Simplified Arabic"/>
          <w:color w:val="000000" w:themeColor="text1"/>
          <w:kern w:val="0"/>
          <w:sz w:val="28"/>
          <w:szCs w:val="28"/>
          <w14:ligatures w14:val="none"/>
        </w:rPr>
        <w:t xml:space="preserve"> (Wang et al., 2025) </w:t>
      </w:r>
      <w:r w:rsidRPr="00203A98">
        <w:rPr>
          <w:rFonts w:ascii="Simplified Arabic" w:eastAsia="Times New Roman" w:hAnsi="Simplified Arabic" w:cs="Simplified Arabic"/>
          <w:color w:val="000000" w:themeColor="text1"/>
          <w:kern w:val="0"/>
          <w:sz w:val="28"/>
          <w:szCs w:val="28"/>
          <w:rtl/>
          <w14:ligatures w14:val="none"/>
        </w:rPr>
        <w:t>إلى أن استخدام النماذج الكمية متعددة الأهداف يُحسّن بشكل ملموس من كفاءة تقييم المخاطر وتخصيص الموارد</w:t>
      </w:r>
      <w:r w:rsidRPr="00203A98">
        <w:rPr>
          <w:rFonts w:ascii="Simplified Arabic" w:eastAsia="Times New Roman" w:hAnsi="Simplified Arabic" w:cs="Simplified Arabic"/>
          <w:color w:val="000000" w:themeColor="text1"/>
          <w:kern w:val="0"/>
          <w:sz w:val="28"/>
          <w:szCs w:val="28"/>
          <w14:ligatures w14:val="none"/>
        </w:rPr>
        <w:t>.</w:t>
      </w:r>
    </w:p>
    <w:p w14:paraId="403BD213"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أما بُعد الاستجابة للمخاطر</w:t>
      </w:r>
      <w:r w:rsidRPr="00203A98">
        <w:rPr>
          <w:rFonts w:ascii="Simplified Arabic" w:eastAsia="Times New Roman" w:hAnsi="Simplified Arabic" w:cs="Simplified Arabic"/>
          <w:color w:val="000000" w:themeColor="text1"/>
          <w:kern w:val="0"/>
          <w:sz w:val="28"/>
          <w:szCs w:val="28"/>
          <w14:ligatures w14:val="none"/>
        </w:rPr>
        <w:t xml:space="preserve"> (Risk Response) </w:t>
      </w:r>
      <w:r w:rsidRPr="00203A98">
        <w:rPr>
          <w:rFonts w:ascii="Simplified Arabic" w:eastAsia="Times New Roman" w:hAnsi="Simplified Arabic" w:cs="Simplified Arabic"/>
          <w:color w:val="000000" w:themeColor="text1"/>
          <w:kern w:val="0"/>
          <w:sz w:val="28"/>
          <w:szCs w:val="28"/>
          <w:rtl/>
          <w14:ligatures w14:val="none"/>
        </w:rPr>
        <w:t xml:space="preserve">فيتضمّن اتخاذ الإجراءات المناسبة للتعامل مع المخاطر المحدّدة والمقيّمة، سواء من خلال تجنّبها أو تحويلها أو تخفيفها أو قبولها، وذلك بناءً على تقييم </w:t>
      </w:r>
      <w:r w:rsidRPr="00203A98">
        <w:rPr>
          <w:rFonts w:ascii="Simplified Arabic" w:eastAsia="Times New Roman" w:hAnsi="Simplified Arabic" w:cs="Simplified Arabic"/>
          <w:color w:val="000000" w:themeColor="text1"/>
          <w:kern w:val="0"/>
          <w:sz w:val="28"/>
          <w:szCs w:val="28"/>
          <w:rtl/>
          <w14:ligatures w14:val="none"/>
        </w:rPr>
        <w:lastRenderedPageBreak/>
        <w:t>التكاليف والمنافع المرتبطة بكل خيار. ويرتبط هذا البُعد ارتباطاً وثيقاً بشهية المخاطر</w:t>
      </w:r>
      <w:r w:rsidRPr="00203A98">
        <w:rPr>
          <w:rFonts w:ascii="Simplified Arabic" w:eastAsia="Times New Roman" w:hAnsi="Simplified Arabic" w:cs="Simplified Arabic"/>
          <w:color w:val="000000" w:themeColor="text1"/>
          <w:kern w:val="0"/>
          <w:sz w:val="28"/>
          <w:szCs w:val="28"/>
          <w14:ligatures w14:val="none"/>
        </w:rPr>
        <w:t xml:space="preserve"> (Risk Appetite) </w:t>
      </w:r>
      <w:r w:rsidRPr="00203A98">
        <w:rPr>
          <w:rFonts w:ascii="Simplified Arabic" w:eastAsia="Times New Roman" w:hAnsi="Simplified Arabic" w:cs="Simplified Arabic"/>
          <w:color w:val="000000" w:themeColor="text1"/>
          <w:kern w:val="0"/>
          <w:sz w:val="28"/>
          <w:szCs w:val="28"/>
          <w:rtl/>
          <w14:ligatures w14:val="none"/>
        </w:rPr>
        <w:t>للمنظمة والقدرة على تحمّل المخاطر</w:t>
      </w:r>
      <w:r w:rsidRPr="00203A98">
        <w:rPr>
          <w:rFonts w:ascii="Simplified Arabic" w:eastAsia="Times New Roman" w:hAnsi="Simplified Arabic" w:cs="Simplified Arabic"/>
          <w:color w:val="000000" w:themeColor="text1"/>
          <w:kern w:val="0"/>
          <w:sz w:val="28"/>
          <w:szCs w:val="28"/>
          <w14:ligatures w14:val="none"/>
        </w:rPr>
        <w:t xml:space="preserve"> (Risk Tolerance) </w:t>
      </w:r>
      <w:r w:rsidRPr="00203A98">
        <w:rPr>
          <w:rFonts w:ascii="Simplified Arabic" w:eastAsia="Times New Roman" w:hAnsi="Simplified Arabic" w:cs="Simplified Arabic"/>
          <w:color w:val="000000" w:themeColor="text1"/>
          <w:kern w:val="0"/>
          <w:sz w:val="28"/>
          <w:szCs w:val="28"/>
          <w:rtl/>
          <w14:ligatures w14:val="none"/>
        </w:rPr>
        <w:t>التي تحددها الإدارة العليا ومجلس الإدارة</w:t>
      </w:r>
      <w:r w:rsidRPr="00203A98">
        <w:rPr>
          <w:rFonts w:ascii="Simplified Arabic" w:eastAsia="Times New Roman" w:hAnsi="Simplified Arabic" w:cs="Simplified Arabic"/>
          <w:color w:val="000000" w:themeColor="text1"/>
          <w:kern w:val="0"/>
          <w:sz w:val="28"/>
          <w:szCs w:val="28"/>
          <w14:ligatures w14:val="none"/>
        </w:rPr>
        <w:t>.</w:t>
      </w:r>
    </w:p>
    <w:p w14:paraId="51F6EDC1"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ويُمثّل بُعد مراقبة المخاطر</w:t>
      </w:r>
      <w:r w:rsidRPr="00203A98">
        <w:rPr>
          <w:rFonts w:ascii="Simplified Arabic" w:eastAsia="Times New Roman" w:hAnsi="Simplified Arabic" w:cs="Simplified Arabic"/>
          <w:color w:val="000000" w:themeColor="text1"/>
          <w:kern w:val="0"/>
          <w:sz w:val="28"/>
          <w:szCs w:val="28"/>
          <w14:ligatures w14:val="none"/>
        </w:rPr>
        <w:t xml:space="preserve"> (Risk Monitoring) </w:t>
      </w:r>
      <w:r w:rsidRPr="00203A98">
        <w:rPr>
          <w:rFonts w:ascii="Simplified Arabic" w:eastAsia="Times New Roman" w:hAnsi="Simplified Arabic" w:cs="Simplified Arabic"/>
          <w:color w:val="000000" w:themeColor="text1"/>
          <w:kern w:val="0"/>
          <w:sz w:val="28"/>
          <w:szCs w:val="28"/>
          <w:rtl/>
          <w14:ligatures w14:val="none"/>
        </w:rPr>
        <w:t>البُعد الرابع والأخير، ويتضمّن المتابعة المستمرة للمخاطر واستجاباتها للتحقق من فاعلية الإجراءات المتخذة، ورصد أي تغيّرات قد تطرأ على طبيعة المخاطر أو مستوياتها، وتقديم التقارير الدورية للإدارة العليا ومجلس الإدارة. وقد أكدت دراسة</w:t>
      </w:r>
      <w:r w:rsidRPr="00203A98">
        <w:rPr>
          <w:rFonts w:ascii="Simplified Arabic" w:eastAsia="Times New Roman" w:hAnsi="Simplified Arabic" w:cs="Simplified Arabic"/>
          <w:color w:val="000000" w:themeColor="text1"/>
          <w:kern w:val="0"/>
          <w:sz w:val="28"/>
          <w:szCs w:val="28"/>
          <w14:ligatures w14:val="none"/>
        </w:rPr>
        <w:t xml:space="preserve"> (Ardianingsih et al., 2024) </w:t>
      </w:r>
      <w:r w:rsidRPr="00203A98">
        <w:rPr>
          <w:rFonts w:ascii="Simplified Arabic" w:eastAsia="Times New Roman" w:hAnsi="Simplified Arabic" w:cs="Simplified Arabic"/>
          <w:color w:val="000000" w:themeColor="text1"/>
          <w:kern w:val="0"/>
          <w:sz w:val="28"/>
          <w:szCs w:val="28"/>
          <w:rtl/>
          <w14:ligatures w14:val="none"/>
        </w:rPr>
        <w:t>على أن فاعلية المراجعة الداخلية المبنية على المخاطر تتوقف إلى حدٍّ كبير على مدى تكامل هذه الأبعاد الأربعة وترابطها</w:t>
      </w:r>
      <w:r w:rsidRPr="00203A98">
        <w:rPr>
          <w:rFonts w:ascii="Simplified Arabic" w:eastAsia="Times New Roman" w:hAnsi="Simplified Arabic" w:cs="Simplified Arabic"/>
          <w:color w:val="000000" w:themeColor="text1"/>
          <w:kern w:val="0"/>
          <w:sz w:val="28"/>
          <w:szCs w:val="28"/>
          <w14:ligatures w14:val="none"/>
        </w:rPr>
        <w:t>.</w:t>
      </w:r>
    </w:p>
    <w:p w14:paraId="090BF090" w14:textId="77777777" w:rsidR="002837E8" w:rsidRPr="00203A98" w:rsidRDefault="002837E8" w:rsidP="007922C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03A98">
        <w:rPr>
          <w:rFonts w:ascii="Simplified Arabic" w:eastAsia="Times New Roman" w:hAnsi="Simplified Arabic" w:cs="Simplified Arabic"/>
          <w:b/>
          <w:bCs/>
          <w:color w:val="000000" w:themeColor="text1"/>
          <w:kern w:val="0"/>
          <w:sz w:val="32"/>
          <w:szCs w:val="32"/>
          <w:rtl/>
          <w14:ligatures w14:val="none"/>
        </w:rPr>
        <w:t>ثانياً: تحليل المخاطر وفاعليته</w:t>
      </w:r>
    </w:p>
    <w:p w14:paraId="2A1889EC"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يُعدّ تحليل المخاطر</w:t>
      </w:r>
      <w:r w:rsidRPr="00203A98">
        <w:rPr>
          <w:rFonts w:ascii="Simplified Arabic" w:eastAsia="Times New Roman" w:hAnsi="Simplified Arabic" w:cs="Simplified Arabic"/>
          <w:color w:val="000000" w:themeColor="text1"/>
          <w:kern w:val="0"/>
          <w:sz w:val="28"/>
          <w:szCs w:val="28"/>
          <w14:ligatures w14:val="none"/>
        </w:rPr>
        <w:t xml:space="preserve"> (Risk Analysis) </w:t>
      </w:r>
      <w:r w:rsidRPr="00203A98">
        <w:rPr>
          <w:rFonts w:ascii="Simplified Arabic" w:eastAsia="Times New Roman" w:hAnsi="Simplified Arabic" w:cs="Simplified Arabic"/>
          <w:color w:val="000000" w:themeColor="text1"/>
          <w:kern w:val="0"/>
          <w:sz w:val="28"/>
          <w:szCs w:val="28"/>
          <w:rtl/>
          <w14:ligatures w14:val="none"/>
        </w:rPr>
        <w:t>من المفاهيم الجوهرية في مهنة المراجعة الحديثة، ويُعرَّف بأنه عملية منهجية لدراسة المخاطر التي تواجه المنظمة وفهم طبيعتها وأسبابها ومصادرها وتقدير احتمالية حدوثها وحجم تأثيرها، بهدف تقديم صورة واضحة عن ملف المخاطر</w:t>
      </w:r>
      <w:r w:rsidRPr="00203A98">
        <w:rPr>
          <w:rFonts w:ascii="Simplified Arabic" w:eastAsia="Times New Roman" w:hAnsi="Simplified Arabic" w:cs="Simplified Arabic"/>
          <w:color w:val="000000" w:themeColor="text1"/>
          <w:kern w:val="0"/>
          <w:sz w:val="28"/>
          <w:szCs w:val="28"/>
          <w14:ligatures w14:val="none"/>
        </w:rPr>
        <w:t xml:space="preserve"> (Risk Profile) </w:t>
      </w:r>
      <w:r w:rsidRPr="00203A98">
        <w:rPr>
          <w:rFonts w:ascii="Simplified Arabic" w:eastAsia="Times New Roman" w:hAnsi="Simplified Arabic" w:cs="Simplified Arabic"/>
          <w:color w:val="000000" w:themeColor="text1"/>
          <w:kern w:val="0"/>
          <w:sz w:val="28"/>
          <w:szCs w:val="28"/>
          <w:rtl/>
          <w14:ligatures w14:val="none"/>
        </w:rPr>
        <w:t>للمنظمة تُمكّن الإدارة من اتخاذ قرارات مستنيرة بشأن التعامل معها. ويشمل تحليل المخاطر جانبين رئيسيين، هما التحليل النوعي الذي يعتمد على الوصف والتصنيف والتقدير الذاتي، والتحليل الكمي الذي يستخدم الأساليب الإحصائية والرياضية لقياس المخاطر بشكل موضوعي</w:t>
      </w:r>
      <w:r w:rsidRPr="00203A98">
        <w:rPr>
          <w:rFonts w:ascii="Simplified Arabic" w:eastAsia="Times New Roman" w:hAnsi="Simplified Arabic" w:cs="Simplified Arabic"/>
          <w:color w:val="000000" w:themeColor="text1"/>
          <w:kern w:val="0"/>
          <w:sz w:val="28"/>
          <w:szCs w:val="28"/>
          <w14:ligatures w14:val="none"/>
        </w:rPr>
        <w:t>.</w:t>
      </w:r>
    </w:p>
    <w:p w14:paraId="0A6FF2C3"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وتُشير فاعلية تحليل المخاطر إلى قدرة عملية التحليل على تحقيق أهدافها المرجوة بكفاءة وموضوعية، وتوفير معلومات دقيقة وموثوقة تُسهم في دعم قرارات الإدارة وتعزيز الحوكمة في المنظمة. وتتحدّد فاعلية تحليل المخاطر من خلال عدة مؤشرات، منها شمولية التحليل ودقته وموضوعيته وتوقيته المناسب، وقدرته على استيعاب المخاطر الناشئة ومسايرة التطورات المتلاحقة في بيئة الأعمال، فضلاً عن قابلية استخدامه من قِبل متخذي القرار. وقد أشارت دراسة (الخير، 2025) إلى أن استخدام إجراءات المراجعة التحليلية يُسهم بشكل فعّال في تعزيز دقة تحليل المخاطر وتخفيض مخاطر المراجعة الخارجية</w:t>
      </w:r>
      <w:r w:rsidRPr="00203A98">
        <w:rPr>
          <w:rFonts w:ascii="Simplified Arabic" w:eastAsia="Times New Roman" w:hAnsi="Simplified Arabic" w:cs="Simplified Arabic"/>
          <w:color w:val="000000" w:themeColor="text1"/>
          <w:kern w:val="0"/>
          <w:sz w:val="28"/>
          <w:szCs w:val="28"/>
          <w14:ligatures w14:val="none"/>
        </w:rPr>
        <w:t>.</w:t>
      </w:r>
    </w:p>
    <w:p w14:paraId="03C0D605" w14:textId="77777777" w:rsidR="002837E8" w:rsidRPr="00203A98" w:rsidRDefault="002837E8" w:rsidP="007922C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03A98">
        <w:rPr>
          <w:rFonts w:ascii="Simplified Arabic" w:eastAsia="Times New Roman" w:hAnsi="Simplified Arabic" w:cs="Simplified Arabic"/>
          <w:b/>
          <w:bCs/>
          <w:color w:val="000000" w:themeColor="text1"/>
          <w:kern w:val="0"/>
          <w:sz w:val="32"/>
          <w:szCs w:val="32"/>
          <w:rtl/>
          <w14:ligatures w14:val="none"/>
        </w:rPr>
        <w:t>ثالثاً: العلاقة بين المراجعة الداخلية المبنية على المخاطر وفاعلية تحليل المخاطر</w:t>
      </w:r>
    </w:p>
    <w:p w14:paraId="17DF339E"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تستند العلاقة بين المراجعة الداخلية المبنية على المخاطر وفاعلية تحليل المخاطر إلى عدة نظريات مفسّرة، أبرزها نظرية الوكالة</w:t>
      </w:r>
      <w:r w:rsidRPr="00203A98">
        <w:rPr>
          <w:rFonts w:ascii="Simplified Arabic" w:eastAsia="Times New Roman" w:hAnsi="Simplified Arabic" w:cs="Simplified Arabic"/>
          <w:color w:val="000000" w:themeColor="text1"/>
          <w:kern w:val="0"/>
          <w:sz w:val="28"/>
          <w:szCs w:val="28"/>
          <w14:ligatures w14:val="none"/>
        </w:rPr>
        <w:t xml:space="preserve"> (Agency Theory) </w:t>
      </w:r>
      <w:r w:rsidRPr="00203A98">
        <w:rPr>
          <w:rFonts w:ascii="Simplified Arabic" w:eastAsia="Times New Roman" w:hAnsi="Simplified Arabic" w:cs="Simplified Arabic"/>
          <w:color w:val="000000" w:themeColor="text1"/>
          <w:kern w:val="0"/>
          <w:sz w:val="28"/>
          <w:szCs w:val="28"/>
          <w:rtl/>
          <w14:ligatures w14:val="none"/>
        </w:rPr>
        <w:t xml:space="preserve">التي تُوضح دور المراجعة الداخلية في التخفيف </w:t>
      </w:r>
      <w:r w:rsidRPr="00203A98">
        <w:rPr>
          <w:rFonts w:ascii="Simplified Arabic" w:eastAsia="Times New Roman" w:hAnsi="Simplified Arabic" w:cs="Simplified Arabic"/>
          <w:color w:val="000000" w:themeColor="text1"/>
          <w:kern w:val="0"/>
          <w:sz w:val="28"/>
          <w:szCs w:val="28"/>
          <w:rtl/>
          <w14:ligatures w14:val="none"/>
        </w:rPr>
        <w:lastRenderedPageBreak/>
        <w:t>من مشكلات الوكالة بين الملّاك والمديرين من خلال تعزيز الرقابة والشفافية، ونظرية أصحاب المصلحة</w:t>
      </w:r>
      <w:r w:rsidRPr="00203A98">
        <w:rPr>
          <w:rFonts w:ascii="Simplified Arabic" w:eastAsia="Times New Roman" w:hAnsi="Simplified Arabic" w:cs="Simplified Arabic"/>
          <w:color w:val="000000" w:themeColor="text1"/>
          <w:kern w:val="0"/>
          <w:sz w:val="28"/>
          <w:szCs w:val="28"/>
          <w14:ligatures w14:val="none"/>
        </w:rPr>
        <w:t xml:space="preserve"> (Stakeholder Theory) </w:t>
      </w:r>
      <w:r w:rsidRPr="00203A98">
        <w:rPr>
          <w:rFonts w:ascii="Simplified Arabic" w:eastAsia="Times New Roman" w:hAnsi="Simplified Arabic" w:cs="Simplified Arabic"/>
          <w:color w:val="000000" w:themeColor="text1"/>
          <w:kern w:val="0"/>
          <w:sz w:val="28"/>
          <w:szCs w:val="28"/>
          <w:rtl/>
          <w14:ligatures w14:val="none"/>
        </w:rPr>
        <w:t>التي تُبرز أهمية حماية مصالح جميع أصحاب المصلحة من خلال إدارة المخاطر بفاعلية، ونظرية التبعية الظرفية</w:t>
      </w:r>
      <w:r w:rsidRPr="00203A98">
        <w:rPr>
          <w:rFonts w:ascii="Simplified Arabic" w:eastAsia="Times New Roman" w:hAnsi="Simplified Arabic" w:cs="Simplified Arabic"/>
          <w:color w:val="000000" w:themeColor="text1"/>
          <w:kern w:val="0"/>
          <w:sz w:val="28"/>
          <w:szCs w:val="28"/>
          <w14:ligatures w14:val="none"/>
        </w:rPr>
        <w:t xml:space="preserve"> (Contingency Theory) </w:t>
      </w:r>
      <w:r w:rsidRPr="00203A98">
        <w:rPr>
          <w:rFonts w:ascii="Simplified Arabic" w:eastAsia="Times New Roman" w:hAnsi="Simplified Arabic" w:cs="Simplified Arabic"/>
          <w:color w:val="000000" w:themeColor="text1"/>
          <w:kern w:val="0"/>
          <w:sz w:val="28"/>
          <w:szCs w:val="28"/>
          <w:rtl/>
          <w14:ligatures w14:val="none"/>
        </w:rPr>
        <w:t>التي تُشير إلى أن فاعلية المراجعة الداخلية تتوقف على مدى ملاءمتها لظروف المنظمة وطبيعة المخاطر التي تواجهها</w:t>
      </w:r>
      <w:r w:rsidRPr="00203A98">
        <w:rPr>
          <w:rFonts w:ascii="Simplified Arabic" w:eastAsia="Times New Roman" w:hAnsi="Simplified Arabic" w:cs="Simplified Arabic"/>
          <w:color w:val="000000" w:themeColor="text1"/>
          <w:kern w:val="0"/>
          <w:sz w:val="28"/>
          <w:szCs w:val="28"/>
          <w14:ligatures w14:val="none"/>
        </w:rPr>
        <w:t>.</w:t>
      </w:r>
    </w:p>
    <w:p w14:paraId="68CBF7E8"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ويُوفّر مدخل المراجعة الداخلية المبنية على المخاطر إطاراً منهجياً متكاملاً يُعزّز من فاعلية تحليل المخاطر من خلال عدة آليات، إذ يُسهم بُعد تحديد المخاطر في توفير قاعدة معلومات شاملة عن المخاطر التي تواجه المنظمة، ويُساعد بُعد تقييم المخاطر في تحديد أولويات المخاطر وترتيبها حسب أهميتها، ويُقدّم بُعد الاستجابة للمخاطر بدائل عملية للتعامل مع المخاطر المحدّدة، بينما يُتيح بُعد مراقبة المخاطر متابعة فاعلية الإجراءات المتخذة وتحديث تحليل المخاطر بشكل مستمر. وقد أكدت دراسة</w:t>
      </w:r>
      <w:r w:rsidRPr="00203A98">
        <w:rPr>
          <w:rFonts w:ascii="Simplified Arabic" w:eastAsia="Times New Roman" w:hAnsi="Simplified Arabic" w:cs="Simplified Arabic"/>
          <w:color w:val="000000" w:themeColor="text1"/>
          <w:kern w:val="0"/>
          <w:sz w:val="28"/>
          <w:szCs w:val="28"/>
          <w14:ligatures w14:val="none"/>
        </w:rPr>
        <w:t xml:space="preserve"> (Attaf &amp; Bensbahou, 2025) </w:t>
      </w:r>
      <w:r w:rsidRPr="00203A98">
        <w:rPr>
          <w:rFonts w:ascii="Simplified Arabic" w:eastAsia="Times New Roman" w:hAnsi="Simplified Arabic" w:cs="Simplified Arabic"/>
          <w:color w:val="000000" w:themeColor="text1"/>
          <w:kern w:val="0"/>
          <w:sz w:val="28"/>
          <w:szCs w:val="28"/>
          <w:rtl/>
          <w14:ligatures w14:val="none"/>
        </w:rPr>
        <w:t>على أن تطبيق مدخل المراجعة الداخلية المبنية على المخاطر يُسهم بشكل إيجابي في تحسين عمليات إدارة المخاطر بما في ذلك عملية تحليل المخاطر</w:t>
      </w:r>
      <w:r w:rsidRPr="00203A98">
        <w:rPr>
          <w:rFonts w:ascii="Simplified Arabic" w:eastAsia="Times New Roman" w:hAnsi="Simplified Arabic" w:cs="Simplified Arabic"/>
          <w:color w:val="000000" w:themeColor="text1"/>
          <w:kern w:val="0"/>
          <w:sz w:val="28"/>
          <w:szCs w:val="28"/>
          <w14:ligatures w14:val="none"/>
        </w:rPr>
        <w:t>.</w:t>
      </w:r>
    </w:p>
    <w:p w14:paraId="73F2725E"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وفي بيئة الشركات المساهمة السعودية، تكتسب هذه العلاقة أهمية مضاعفة في ضوء التحولات الاقتصادية والتنظيمية التي تشهدها المملكة العربية السعودية، والتي أفرزت متطلبات جديدة للحوكمة وإدارة المخاطر والإفصاح. وقد أشارت دراسة</w:t>
      </w:r>
      <w:r w:rsidRPr="00203A98">
        <w:rPr>
          <w:rFonts w:ascii="Simplified Arabic" w:eastAsia="Times New Roman" w:hAnsi="Simplified Arabic" w:cs="Simplified Arabic"/>
          <w:color w:val="000000" w:themeColor="text1"/>
          <w:kern w:val="0"/>
          <w:sz w:val="28"/>
          <w:szCs w:val="28"/>
          <w14:ligatures w14:val="none"/>
        </w:rPr>
        <w:t xml:space="preserve"> (Mujalli, 2024) </w:t>
      </w:r>
      <w:r w:rsidRPr="00203A98">
        <w:rPr>
          <w:rFonts w:ascii="Simplified Arabic" w:eastAsia="Times New Roman" w:hAnsi="Simplified Arabic" w:cs="Simplified Arabic"/>
          <w:color w:val="000000" w:themeColor="text1"/>
          <w:kern w:val="0"/>
          <w:sz w:val="28"/>
          <w:szCs w:val="28"/>
          <w:rtl/>
          <w14:ligatures w14:val="none"/>
        </w:rPr>
        <w:t>إلى أن كفاءة المراجعين ودعم الإدارة العليا والبنية التحتية التكنولوجية والإطار التنظيمي تُمثّل العوامل الرئيسية المؤثرة في تطبيق المراجعة الداخلية المبنية على المخاطر في الشركات السعودية، مما يعزز من إمكانية تحقيق هذا المدخل لأثره الإيجابي على فاعلية تحليل المخاطر في هذه البيئة</w:t>
      </w:r>
      <w:r w:rsidRPr="00203A98">
        <w:rPr>
          <w:rFonts w:ascii="Simplified Arabic" w:eastAsia="Times New Roman" w:hAnsi="Simplified Arabic" w:cs="Simplified Arabic"/>
          <w:color w:val="000000" w:themeColor="text1"/>
          <w:kern w:val="0"/>
          <w:sz w:val="28"/>
          <w:szCs w:val="28"/>
          <w14:ligatures w14:val="none"/>
        </w:rPr>
        <w:t>.</w:t>
      </w:r>
    </w:p>
    <w:p w14:paraId="2EE1F235" w14:textId="258189C3" w:rsidR="002837E8" w:rsidRPr="00203A98" w:rsidRDefault="007922C2" w:rsidP="007922C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2" w:name="_Toc234229073"/>
      <w:r w:rsidRPr="00203A98">
        <w:rPr>
          <w:rFonts w:ascii="Simplified Arabic" w:eastAsia="Times New Roman" w:hAnsi="Simplified Arabic" w:cs="Simplified Arabic" w:hint="cs"/>
          <w:b/>
          <w:bCs/>
          <w:color w:val="000000" w:themeColor="text1"/>
          <w:kern w:val="0"/>
          <w:sz w:val="36"/>
          <w:szCs w:val="36"/>
          <w:rtl/>
          <w14:ligatures w14:val="none"/>
        </w:rPr>
        <w:t xml:space="preserve">10.1 </w:t>
      </w:r>
      <w:r w:rsidR="002837E8" w:rsidRPr="00203A98">
        <w:rPr>
          <w:rFonts w:ascii="Simplified Arabic" w:eastAsia="Times New Roman" w:hAnsi="Simplified Arabic" w:cs="Simplified Arabic"/>
          <w:b/>
          <w:bCs/>
          <w:color w:val="000000" w:themeColor="text1"/>
          <w:kern w:val="0"/>
          <w:sz w:val="36"/>
          <w:szCs w:val="36"/>
          <w:rtl/>
          <w14:ligatures w14:val="none"/>
        </w:rPr>
        <w:t>منهجية الدراسة وإجراءاتها الميدانية</w:t>
      </w:r>
      <w:bookmarkEnd w:id="12"/>
    </w:p>
    <w:p w14:paraId="36C7F850"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سوف تعتمد الدراسة الحالية على المنهج الوصفي التحليلي باعتباره المنهج الأنسب لطبيعة موضوع الدراسة وأهدافها، إذ يُتيح هذا المنهج وصف الظاهرة محل الدراسة وصفاً دقيقاً من خلال جمع البيانات والمعلومات المتعلقة بها وتحليلها وتفسيرها للوصول إلى استنتاجات علمية موضوعية. وسوف يُستخدم هذا المنهج في الجانب النظري للدراسة من خلال استعراض الأدبيات المحاسبية والدراسات السابقة العربية والأجنبية ذات الصلة بموضوع الدراسة، وذلك بهدف بناء الإطار النظري والمفاهيمي للدراسة وتحديد أبعاد المتغير المستقل (المراجعة الداخلية المبنية على المخاطر) وأبعاد المتغير التابع (فاعلية تحليل المخاطر)</w:t>
      </w:r>
      <w:r w:rsidRPr="00203A98">
        <w:rPr>
          <w:rFonts w:ascii="Simplified Arabic" w:eastAsia="Times New Roman" w:hAnsi="Simplified Arabic" w:cs="Simplified Arabic"/>
          <w:color w:val="000000" w:themeColor="text1"/>
          <w:kern w:val="0"/>
          <w:sz w:val="28"/>
          <w:szCs w:val="28"/>
          <w14:ligatures w14:val="none"/>
        </w:rPr>
        <w:t>.</w:t>
      </w:r>
    </w:p>
    <w:p w14:paraId="308DE084"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lastRenderedPageBreak/>
        <w:t>كما سوف تستعين الدراسة بالمنهج الاستقرائي في الجانب الميداني من خلال تصميم قائمة استقصاء وتوزيعها على مفردات عينة الدراسة، ثم جمع البيانات الميدانية وتحليلها إحصائياً باستخدام الأساليب الإحصائية المناسبة لاختبار فروض الدراسة والإجابة عن تساؤلاتها. وسوف يُوظّف هذا المنهج للوصول إلى نتائج علمية موضوعية يُمكن الاعتماد عليها في تقديم التوصيات المناسبة والإطار المقترح لتعزيز فاعلية تحليل المخاطر من خلال تفعيل تطبيق المراجعة الداخلية المبنية على المخاطر في الشركات المساهمة السعودية</w:t>
      </w:r>
      <w:r w:rsidRPr="00203A98">
        <w:rPr>
          <w:rFonts w:ascii="Simplified Arabic" w:eastAsia="Times New Roman" w:hAnsi="Simplified Arabic" w:cs="Simplified Arabic"/>
          <w:color w:val="000000" w:themeColor="text1"/>
          <w:kern w:val="0"/>
          <w:sz w:val="28"/>
          <w:szCs w:val="28"/>
          <w14:ligatures w14:val="none"/>
        </w:rPr>
        <w:t>.</w:t>
      </w:r>
    </w:p>
    <w:p w14:paraId="4B2F403D" w14:textId="67428846" w:rsidR="002837E8" w:rsidRPr="00203A98" w:rsidRDefault="007922C2" w:rsidP="007922C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3" w:name="_Toc234229074"/>
      <w:r w:rsidRPr="00203A98">
        <w:rPr>
          <w:rFonts w:ascii="Simplified Arabic" w:eastAsia="Times New Roman" w:hAnsi="Simplified Arabic" w:cs="Simplified Arabic" w:hint="cs"/>
          <w:b/>
          <w:bCs/>
          <w:color w:val="000000" w:themeColor="text1"/>
          <w:kern w:val="0"/>
          <w:sz w:val="36"/>
          <w:szCs w:val="36"/>
          <w:rtl/>
          <w14:ligatures w14:val="none"/>
        </w:rPr>
        <w:t xml:space="preserve">11.1 </w:t>
      </w:r>
      <w:r w:rsidR="002837E8" w:rsidRPr="00203A98">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13"/>
    </w:p>
    <w:p w14:paraId="6EC0372E"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سوف يتكوّن مجتمع الدراسة من جميع المراجعين الداخليين ومديري إدارات المخاطر والمديرين الماليين العاملين في الشركات المساهمة السعودية المدرجة في السوق المالية السعودية (تداول)، والبالغ عددها نحو (280) شركة مساهمة موزّعة على مختلف القطاعات الاقتصادية، بما فيها القطاع المالي والصناعي والخدمي وقطاع الطاقة والاتصالات والرعاية الصحية. وقد وقع اختيار هذا المجتمع لكونه يُمثّل البيئة الأنسب لدراسة موضوع الدراسة، إذ تخضع هذه الشركات لمتطلبات صارمة في مجال الحوكمة والمراجعة الداخلية وإدارة المخاطر وفقاً للائحة حوكمة الشركات الصادرة عن هيئة السوق المالية السعودية، فضلاً عن كونها تمتلك إدارات متخصصة في المراجعة الداخلية وإدارة المخاطر تعمل وفق أفضل الممارسات المهنية</w:t>
      </w:r>
      <w:r w:rsidRPr="00203A98">
        <w:rPr>
          <w:rFonts w:ascii="Simplified Arabic" w:eastAsia="Times New Roman" w:hAnsi="Simplified Arabic" w:cs="Simplified Arabic"/>
          <w:color w:val="000000" w:themeColor="text1"/>
          <w:kern w:val="0"/>
          <w:sz w:val="28"/>
          <w:szCs w:val="28"/>
          <w14:ligatures w14:val="none"/>
        </w:rPr>
        <w:t>.</w:t>
      </w:r>
    </w:p>
    <w:p w14:paraId="5F11C370"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ونظراً لكبر حجم مجتمع الدراسة وصعوبة إجراء حصر شامل له، سوف يعتمد الباحث على أسلوب العينة العشوائية الطبقية لضمان تمثيل جميع القطاعات الاقتصادية في العينة، وسوف يُحدّد حجم العينة وفقاً لمعادلة</w:t>
      </w:r>
      <w:r w:rsidRPr="00203A98">
        <w:rPr>
          <w:rFonts w:ascii="Simplified Arabic" w:eastAsia="Times New Roman" w:hAnsi="Simplified Arabic" w:cs="Simplified Arabic"/>
          <w:color w:val="000000" w:themeColor="text1"/>
          <w:kern w:val="0"/>
          <w:sz w:val="28"/>
          <w:szCs w:val="28"/>
          <w14:ligatures w14:val="none"/>
        </w:rPr>
        <w:t xml:space="preserve"> (Stephen Thompson) </w:t>
      </w:r>
      <w:r w:rsidRPr="00203A98">
        <w:rPr>
          <w:rFonts w:ascii="Simplified Arabic" w:eastAsia="Times New Roman" w:hAnsi="Simplified Arabic" w:cs="Simplified Arabic"/>
          <w:color w:val="000000" w:themeColor="text1"/>
          <w:kern w:val="0"/>
          <w:sz w:val="28"/>
          <w:szCs w:val="28"/>
          <w:rtl/>
          <w14:ligatures w14:val="none"/>
        </w:rPr>
        <w:t>الإحصائية، ومن المتوقّع أن يبلغ حجم العينة نحو (384) مفردة عند مستوى ثقة (95%) وهامش خطأ (5%). وسوف يتم توزيع (450) قائمة استقصاء لضمان الحصول على العدد المستهدف من الاستجابات الصالحة للتحليل الإحصائي، مع مراعاة توزيع العينة بشكل متوازن بين المراجعين الداخليين ومديري إدارات المخاطر والمديرين الماليين في الشركات المساهمة السعودية</w:t>
      </w:r>
      <w:r w:rsidRPr="00203A98">
        <w:rPr>
          <w:rFonts w:ascii="Simplified Arabic" w:eastAsia="Times New Roman" w:hAnsi="Simplified Arabic" w:cs="Simplified Arabic"/>
          <w:color w:val="000000" w:themeColor="text1"/>
          <w:kern w:val="0"/>
          <w:sz w:val="28"/>
          <w:szCs w:val="28"/>
          <w14:ligatures w14:val="none"/>
        </w:rPr>
        <w:t>.</w:t>
      </w:r>
    </w:p>
    <w:p w14:paraId="1E40CF05" w14:textId="0474272C" w:rsidR="002837E8" w:rsidRPr="00203A98" w:rsidRDefault="007922C2" w:rsidP="007922C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4" w:name="_Toc234229075"/>
      <w:r w:rsidRPr="00203A98">
        <w:rPr>
          <w:rFonts w:ascii="Simplified Arabic" w:eastAsia="Times New Roman" w:hAnsi="Simplified Arabic" w:cs="Simplified Arabic" w:hint="cs"/>
          <w:b/>
          <w:bCs/>
          <w:color w:val="000000" w:themeColor="text1"/>
          <w:kern w:val="0"/>
          <w:sz w:val="36"/>
          <w:szCs w:val="36"/>
          <w:rtl/>
          <w14:ligatures w14:val="none"/>
        </w:rPr>
        <w:t xml:space="preserve">12.1 </w:t>
      </w:r>
      <w:r w:rsidR="002837E8" w:rsidRPr="00203A98">
        <w:rPr>
          <w:rFonts w:ascii="Simplified Arabic" w:eastAsia="Times New Roman" w:hAnsi="Simplified Arabic" w:cs="Simplified Arabic"/>
          <w:b/>
          <w:bCs/>
          <w:color w:val="000000" w:themeColor="text1"/>
          <w:kern w:val="0"/>
          <w:sz w:val="36"/>
          <w:szCs w:val="36"/>
          <w:rtl/>
          <w14:ligatures w14:val="none"/>
        </w:rPr>
        <w:t>مصادر جمع البيانات</w:t>
      </w:r>
      <w:bookmarkEnd w:id="14"/>
    </w:p>
    <w:p w14:paraId="7DCFE2B8" w14:textId="371B792A"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lastRenderedPageBreak/>
        <w:t>سوف يعتمد الباحث في جمع البيانات على مصدرين رئيسيين، هما المصادر الثانوية التي تشمل الكتب والمراجع العلمية والدوريات المحكمة والرسائل الجامعية والأبحاث المنشورة والتقارير المهنية الصادرة عن الجهات المتخصصة كمعهد المراجعين الداخليين</w:t>
      </w:r>
      <w:r w:rsidRPr="00203A98">
        <w:rPr>
          <w:rFonts w:ascii="Simplified Arabic" w:eastAsia="Times New Roman" w:hAnsi="Simplified Arabic" w:cs="Simplified Arabic"/>
          <w:color w:val="000000" w:themeColor="text1"/>
          <w:kern w:val="0"/>
          <w:sz w:val="28"/>
          <w:szCs w:val="28"/>
          <w14:ligatures w14:val="none"/>
        </w:rPr>
        <w:t xml:space="preserve"> (IIA) </w:t>
      </w:r>
      <w:r w:rsidRPr="00203A98">
        <w:rPr>
          <w:rFonts w:ascii="Simplified Arabic" w:eastAsia="Times New Roman" w:hAnsi="Simplified Arabic" w:cs="Simplified Arabic"/>
          <w:color w:val="000000" w:themeColor="text1"/>
          <w:kern w:val="0"/>
          <w:sz w:val="28"/>
          <w:szCs w:val="28"/>
          <w:rtl/>
          <w14:ligatures w14:val="none"/>
        </w:rPr>
        <w:t>والهيئة السعودية للمراجعين والمحاسبين</w:t>
      </w:r>
      <w:r w:rsidRPr="00203A98">
        <w:rPr>
          <w:rFonts w:ascii="Simplified Arabic" w:eastAsia="Times New Roman" w:hAnsi="Simplified Arabic" w:cs="Simplified Arabic"/>
          <w:color w:val="000000" w:themeColor="text1"/>
          <w:kern w:val="0"/>
          <w:sz w:val="28"/>
          <w:szCs w:val="28"/>
          <w14:ligatures w14:val="none"/>
        </w:rPr>
        <w:t xml:space="preserve"> (SOCPA) </w:t>
      </w:r>
      <w:r w:rsidRPr="00203A98">
        <w:rPr>
          <w:rFonts w:ascii="Simplified Arabic" w:eastAsia="Times New Roman" w:hAnsi="Simplified Arabic" w:cs="Simplified Arabic"/>
          <w:color w:val="000000" w:themeColor="text1"/>
          <w:kern w:val="0"/>
          <w:sz w:val="28"/>
          <w:szCs w:val="28"/>
          <w:rtl/>
          <w14:ligatures w14:val="none"/>
        </w:rPr>
        <w:t>وهيئة السوق المالية السعودية، إلى جانب المواقع الإلكترونية العلمية وقواعد البيانات كقاعدة (دار المنظومة) و</w:t>
      </w:r>
      <w:r w:rsidRPr="00203A98">
        <w:rPr>
          <w:rFonts w:ascii="Simplified Arabic" w:eastAsia="Times New Roman" w:hAnsi="Simplified Arabic" w:cs="Simplified Arabic"/>
          <w:color w:val="000000" w:themeColor="text1"/>
          <w:kern w:val="0"/>
          <w:sz w:val="28"/>
          <w:szCs w:val="28"/>
          <w14:ligatures w14:val="none"/>
        </w:rPr>
        <w:t xml:space="preserve">(EBSCO) </w:t>
      </w:r>
      <w:r w:rsidRPr="00203A98">
        <w:rPr>
          <w:rFonts w:ascii="Simplified Arabic" w:eastAsia="Times New Roman" w:hAnsi="Simplified Arabic" w:cs="Simplified Arabic"/>
          <w:color w:val="000000" w:themeColor="text1"/>
          <w:kern w:val="0"/>
          <w:sz w:val="28"/>
          <w:szCs w:val="28"/>
          <w:rtl/>
          <w14:ligatures w14:val="none"/>
        </w:rPr>
        <w:t>و</w:t>
      </w:r>
      <w:r w:rsidRPr="00203A98">
        <w:rPr>
          <w:rFonts w:ascii="Simplified Arabic" w:eastAsia="Times New Roman" w:hAnsi="Simplified Arabic" w:cs="Simplified Arabic"/>
          <w:color w:val="000000" w:themeColor="text1"/>
          <w:kern w:val="0"/>
          <w:sz w:val="28"/>
          <w:szCs w:val="28"/>
          <w14:ligatures w14:val="none"/>
        </w:rPr>
        <w:t xml:space="preserve">(Emerald) </w:t>
      </w:r>
      <w:r w:rsidRPr="00203A98">
        <w:rPr>
          <w:rFonts w:ascii="Simplified Arabic" w:eastAsia="Times New Roman" w:hAnsi="Simplified Arabic" w:cs="Simplified Arabic"/>
          <w:color w:val="000000" w:themeColor="text1"/>
          <w:kern w:val="0"/>
          <w:sz w:val="28"/>
          <w:szCs w:val="28"/>
          <w:rtl/>
          <w14:ligatures w14:val="none"/>
        </w:rPr>
        <w:t>و</w:t>
      </w:r>
      <w:r w:rsidRPr="00203A98">
        <w:rPr>
          <w:rFonts w:ascii="Simplified Arabic" w:eastAsia="Times New Roman" w:hAnsi="Simplified Arabic" w:cs="Simplified Arabic"/>
          <w:color w:val="000000" w:themeColor="text1"/>
          <w:kern w:val="0"/>
          <w:sz w:val="28"/>
          <w:szCs w:val="28"/>
          <w14:ligatures w14:val="none"/>
        </w:rPr>
        <w:t>(Scopus)</w:t>
      </w:r>
      <w:r w:rsidRPr="00203A98">
        <w:rPr>
          <w:rFonts w:ascii="Simplified Arabic" w:eastAsia="Times New Roman" w:hAnsi="Simplified Arabic" w:cs="Simplified Arabic"/>
          <w:color w:val="000000" w:themeColor="text1"/>
          <w:kern w:val="0"/>
          <w:sz w:val="28"/>
          <w:szCs w:val="28"/>
          <w:rtl/>
          <w14:ligatures w14:val="none"/>
        </w:rPr>
        <w:t>، وذلك لبناء الإطار النظري للدراسة واستعراض الدراسات السابقة. أما المصادر الأولية فسوف تتمثّل في البيانات الميدانية التي سوف يتم جمعها من خلال قائمة الاستقصاء التي سيتم تصميمها وتوزيعها على مفردات عينة الدراسة من العاملين في الشركات المساهمة السعودية</w:t>
      </w:r>
      <w:r w:rsidRPr="00203A98">
        <w:rPr>
          <w:rFonts w:ascii="Simplified Arabic" w:eastAsia="Times New Roman" w:hAnsi="Simplified Arabic" w:cs="Simplified Arabic"/>
          <w:color w:val="000000" w:themeColor="text1"/>
          <w:kern w:val="0"/>
          <w:sz w:val="28"/>
          <w:szCs w:val="28"/>
          <w14:ligatures w14:val="none"/>
        </w:rPr>
        <w:t>.</w:t>
      </w:r>
    </w:p>
    <w:p w14:paraId="2B399F90" w14:textId="79C8AC0D" w:rsidR="002837E8" w:rsidRPr="00203A98" w:rsidRDefault="007922C2" w:rsidP="007922C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5" w:name="_Toc234229076"/>
      <w:r w:rsidRPr="00203A98">
        <w:rPr>
          <w:rFonts w:ascii="Simplified Arabic" w:eastAsia="Times New Roman" w:hAnsi="Simplified Arabic" w:cs="Simplified Arabic" w:hint="cs"/>
          <w:b/>
          <w:bCs/>
          <w:color w:val="000000" w:themeColor="text1"/>
          <w:kern w:val="0"/>
          <w:sz w:val="36"/>
          <w:szCs w:val="36"/>
          <w:rtl/>
          <w14:ligatures w14:val="none"/>
        </w:rPr>
        <w:t>13.1</w:t>
      </w:r>
      <w:r w:rsidR="002837E8" w:rsidRPr="00203A98">
        <w:rPr>
          <w:rFonts w:ascii="Simplified Arabic" w:eastAsia="Times New Roman" w:hAnsi="Simplified Arabic" w:cs="Simplified Arabic"/>
          <w:b/>
          <w:bCs/>
          <w:color w:val="000000" w:themeColor="text1"/>
          <w:kern w:val="0"/>
          <w:sz w:val="36"/>
          <w:szCs w:val="36"/>
          <w:rtl/>
          <w14:ligatures w14:val="none"/>
        </w:rPr>
        <w:t xml:space="preserve"> أدوات الدراسة</w:t>
      </w:r>
      <w:bookmarkEnd w:id="15"/>
    </w:p>
    <w:p w14:paraId="5CAB0E62"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سوف تعتمد الدراسة على قائمة الاستقصاء</w:t>
      </w:r>
      <w:r w:rsidRPr="00203A98">
        <w:rPr>
          <w:rFonts w:ascii="Simplified Arabic" w:eastAsia="Times New Roman" w:hAnsi="Simplified Arabic" w:cs="Simplified Arabic"/>
          <w:color w:val="000000" w:themeColor="text1"/>
          <w:kern w:val="0"/>
          <w:sz w:val="28"/>
          <w:szCs w:val="28"/>
          <w14:ligatures w14:val="none"/>
        </w:rPr>
        <w:t xml:space="preserve"> (Questionnaire) </w:t>
      </w:r>
      <w:r w:rsidRPr="00203A98">
        <w:rPr>
          <w:rFonts w:ascii="Simplified Arabic" w:eastAsia="Times New Roman" w:hAnsi="Simplified Arabic" w:cs="Simplified Arabic"/>
          <w:color w:val="000000" w:themeColor="text1"/>
          <w:kern w:val="0"/>
          <w:sz w:val="28"/>
          <w:szCs w:val="28"/>
          <w:rtl/>
          <w14:ligatures w14:val="none"/>
        </w:rPr>
        <w:t>كأداة رئيسية لجمع البيانات الميدانية من مفردات عينة الدراسة، وسوف يتم تصميمها بشكل يخدم أهداف الدراسة ويُغطّي جميع متغيراتها. وسوف تتضمّن قائمة الاستقصاء ثلاثة أقسام رئيسية على النحو التالي</w:t>
      </w:r>
      <w:r w:rsidRPr="00203A98">
        <w:rPr>
          <w:rFonts w:ascii="Simplified Arabic" w:eastAsia="Times New Roman" w:hAnsi="Simplified Arabic" w:cs="Simplified Arabic"/>
          <w:color w:val="000000" w:themeColor="text1"/>
          <w:kern w:val="0"/>
          <w:sz w:val="28"/>
          <w:szCs w:val="28"/>
          <w14:ligatures w14:val="none"/>
        </w:rPr>
        <w:t>:</w:t>
      </w:r>
    </w:p>
    <w:p w14:paraId="2953B2D9"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القسم الأول: البيانات الشخصية والوظيفية لمفردات العينة، ويشمل المؤهل العلمي والتخصص والمسمى الوظيفي وسنوات الخبرة والشهادات المهنية والقطاع الذي تعمل به الشركة</w:t>
      </w:r>
      <w:r w:rsidRPr="00203A98">
        <w:rPr>
          <w:rFonts w:ascii="Simplified Arabic" w:eastAsia="Times New Roman" w:hAnsi="Simplified Arabic" w:cs="Simplified Arabic"/>
          <w:color w:val="000000" w:themeColor="text1"/>
          <w:kern w:val="0"/>
          <w:sz w:val="28"/>
          <w:szCs w:val="28"/>
          <w14:ligatures w14:val="none"/>
        </w:rPr>
        <w:t>.</w:t>
      </w:r>
    </w:p>
    <w:p w14:paraId="0B01023B"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القسم الثاني: عبارات المتغير المستقل (المراجعة الداخلية المبنية على المخاطر)، ويتضمّن أربعة أبعاد رئيسية موزّعة على النحو التالي</w:t>
      </w:r>
      <w:r w:rsidRPr="00203A98">
        <w:rPr>
          <w:rFonts w:ascii="Simplified Arabic" w:eastAsia="Times New Roman" w:hAnsi="Simplified Arabic" w:cs="Simplified Arabic"/>
          <w:color w:val="000000" w:themeColor="text1"/>
          <w:kern w:val="0"/>
          <w:sz w:val="28"/>
          <w:szCs w:val="28"/>
          <w14:ligatures w14:val="none"/>
        </w:rPr>
        <w:t>:</w:t>
      </w:r>
    </w:p>
    <w:p w14:paraId="40BF4B47" w14:textId="77777777" w:rsidR="002837E8"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البُعد الأول: تحديد المخاطر (4 فقرات)</w:t>
      </w:r>
    </w:p>
    <w:p w14:paraId="05B7C554" w14:textId="77777777" w:rsidR="002837E8"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البُعد الثاني: تقييم المخاطر (4 فقرات)</w:t>
      </w:r>
    </w:p>
    <w:p w14:paraId="7619D585" w14:textId="77777777" w:rsidR="002837E8"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البُعد الثالث: الاستجابة للمخاطر (4 فقرات)</w:t>
      </w:r>
    </w:p>
    <w:p w14:paraId="58213D63" w14:textId="77777777" w:rsidR="002837E8" w:rsidRPr="00203A98" w:rsidRDefault="002837E8" w:rsidP="007922C2">
      <w:pPr>
        <w:pStyle w:val="ListParagraph"/>
        <w:numPr>
          <w:ilvl w:val="0"/>
          <w:numId w:val="2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البُعد الرابع: مراقبة المخاطر (4 فقرات)</w:t>
      </w:r>
    </w:p>
    <w:p w14:paraId="0E3CD25D"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القسم الثالث: عبارات المتغير التابع (فاعلية تحليل المخاطر)، وسوف يتم قياسه بشكل أحادي المحور من خلال (10 فقرات)</w:t>
      </w:r>
      <w:r w:rsidRPr="00203A98">
        <w:rPr>
          <w:rFonts w:ascii="Simplified Arabic" w:eastAsia="Times New Roman" w:hAnsi="Simplified Arabic" w:cs="Simplified Arabic"/>
          <w:color w:val="000000" w:themeColor="text1"/>
          <w:kern w:val="0"/>
          <w:sz w:val="28"/>
          <w:szCs w:val="28"/>
          <w14:ligatures w14:val="none"/>
        </w:rPr>
        <w:t>.</w:t>
      </w:r>
    </w:p>
    <w:p w14:paraId="2BB54A05" w14:textId="189B8E99"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lastRenderedPageBreak/>
        <w:t>وسوف يتم استخدام مقياس ليكرت الخماسي</w:t>
      </w:r>
      <w:r w:rsidRPr="00203A98">
        <w:rPr>
          <w:rFonts w:ascii="Simplified Arabic" w:eastAsia="Times New Roman" w:hAnsi="Simplified Arabic" w:cs="Simplified Arabic"/>
          <w:color w:val="000000" w:themeColor="text1"/>
          <w:kern w:val="0"/>
          <w:sz w:val="28"/>
          <w:szCs w:val="28"/>
          <w14:ligatures w14:val="none"/>
        </w:rPr>
        <w:t xml:space="preserve"> (Likert Scale) </w:t>
      </w:r>
      <w:r w:rsidRPr="00203A98">
        <w:rPr>
          <w:rFonts w:ascii="Simplified Arabic" w:eastAsia="Times New Roman" w:hAnsi="Simplified Arabic" w:cs="Simplified Arabic"/>
          <w:color w:val="000000" w:themeColor="text1"/>
          <w:kern w:val="0"/>
          <w:sz w:val="28"/>
          <w:szCs w:val="28"/>
          <w:rtl/>
          <w14:ligatures w14:val="none"/>
        </w:rPr>
        <w:t>لقياس استجابات المفحوصين على عبارات قائمة الاستقصاء، والذي يتدرّج من (موافق بشدة = 5) إلى (غير موافق بشدة = 1). كما سوف يتم اختبار صدق قائمة الاستقصاء من خلال الصدق الظاهري (عرضها على مجموعة من المحكمين الأكاديميين والمهنيين المتخصصين) والصدق البنائي (باستخدام معاملات الارتباط)، واختبار ثباتها باستخدام معامل ألفا كرونباخ</w:t>
      </w:r>
      <w:r w:rsidRPr="00203A98">
        <w:rPr>
          <w:rFonts w:ascii="Simplified Arabic" w:eastAsia="Times New Roman" w:hAnsi="Simplified Arabic" w:cs="Simplified Arabic"/>
          <w:color w:val="000000" w:themeColor="text1"/>
          <w:kern w:val="0"/>
          <w:sz w:val="28"/>
          <w:szCs w:val="28"/>
          <w14:ligatures w14:val="none"/>
        </w:rPr>
        <w:t xml:space="preserve"> (Cronbach’s Alpha).</w:t>
      </w:r>
    </w:p>
    <w:p w14:paraId="64E5762F" w14:textId="33269198" w:rsidR="002837E8" w:rsidRPr="00203A98" w:rsidRDefault="007922C2" w:rsidP="007922C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6" w:name="_Toc234229077"/>
      <w:r w:rsidRPr="00203A98">
        <w:rPr>
          <w:rFonts w:ascii="Simplified Arabic" w:eastAsia="Times New Roman" w:hAnsi="Simplified Arabic" w:cs="Simplified Arabic" w:hint="cs"/>
          <w:b/>
          <w:bCs/>
          <w:color w:val="000000" w:themeColor="text1"/>
          <w:kern w:val="0"/>
          <w:sz w:val="36"/>
          <w:szCs w:val="36"/>
          <w:rtl/>
          <w14:ligatures w14:val="none"/>
        </w:rPr>
        <w:t>14.1</w:t>
      </w:r>
      <w:r w:rsidR="002837E8" w:rsidRPr="00203A98">
        <w:rPr>
          <w:rFonts w:ascii="Simplified Arabic" w:eastAsia="Times New Roman" w:hAnsi="Simplified Arabic" w:cs="Simplified Arabic"/>
          <w:b/>
          <w:bCs/>
          <w:color w:val="000000" w:themeColor="text1"/>
          <w:kern w:val="0"/>
          <w:sz w:val="36"/>
          <w:szCs w:val="36"/>
          <w:rtl/>
          <w14:ligatures w14:val="none"/>
        </w:rPr>
        <w:t xml:space="preserve"> الأساليب الإحصائية المستخدمة</w:t>
      </w:r>
      <w:bookmarkEnd w:id="16"/>
    </w:p>
    <w:p w14:paraId="129179C4" w14:textId="5F321159"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سوف يعتمد الباحث في تحليل البيانات الميدانية على البرنامج الإحصائي</w:t>
      </w:r>
      <w:r w:rsidRPr="00203A98">
        <w:rPr>
          <w:rFonts w:ascii="Simplified Arabic" w:eastAsia="Times New Roman" w:hAnsi="Simplified Arabic" w:cs="Simplified Arabic"/>
          <w:color w:val="000000" w:themeColor="text1"/>
          <w:kern w:val="0"/>
          <w:sz w:val="28"/>
          <w:szCs w:val="28"/>
          <w14:ligatures w14:val="none"/>
        </w:rPr>
        <w:t xml:space="preserve"> (SPSS) </w:t>
      </w:r>
      <w:r w:rsidRPr="00203A98">
        <w:rPr>
          <w:rFonts w:ascii="Simplified Arabic" w:eastAsia="Times New Roman" w:hAnsi="Simplified Arabic" w:cs="Simplified Arabic"/>
          <w:color w:val="000000" w:themeColor="text1"/>
          <w:kern w:val="0"/>
          <w:sz w:val="28"/>
          <w:szCs w:val="28"/>
          <w:rtl/>
          <w14:ligatures w14:val="none"/>
        </w:rPr>
        <w:t>في نسخته الأحدث، وذلك من خلال توظيف مجموعة من الأساليب الإحصائية المناسبة لطبيعة الدراسة وأهدافها، وتشمل: الإحصاء الوصفي (التكرارات والنسب المئوية والمتوسطات الحسابية والانحرافات المعيارية) لوصف خصائص عينة الدراسة واستجابات المفحوصين على عبارات قائمة الاستقصاء، ومعامل ألفا كرونباخ لاختبار ثبات قائمة الاستقصاء، ومعامل ارتباط بيرسون لاختبار الصدق البنائي والعلاقة بين متغيرات الدراسة، واختبار كولمجروف-سميرنوف</w:t>
      </w:r>
      <w:r w:rsidRPr="00203A98">
        <w:rPr>
          <w:rFonts w:ascii="Simplified Arabic" w:eastAsia="Times New Roman" w:hAnsi="Simplified Arabic" w:cs="Simplified Arabic"/>
          <w:color w:val="000000" w:themeColor="text1"/>
          <w:kern w:val="0"/>
          <w:sz w:val="28"/>
          <w:szCs w:val="28"/>
          <w14:ligatures w14:val="none"/>
        </w:rPr>
        <w:t xml:space="preserve"> (Kolmogorov-Smirnov) </w:t>
      </w:r>
      <w:r w:rsidRPr="00203A98">
        <w:rPr>
          <w:rFonts w:ascii="Simplified Arabic" w:eastAsia="Times New Roman" w:hAnsi="Simplified Arabic" w:cs="Simplified Arabic"/>
          <w:color w:val="000000" w:themeColor="text1"/>
          <w:kern w:val="0"/>
          <w:sz w:val="28"/>
          <w:szCs w:val="28"/>
          <w:rtl/>
          <w14:ligatures w14:val="none"/>
        </w:rPr>
        <w:t>لاختبار التوزيع الطبيعي للبيانات، وتحليل الانحدار الخطي البسيط والمتعدد لاختبار فروض الدراسة وقياس أثر المتغير المستقل بأبعاده على المتغير التابع، ومعامل التضخم في التباين</w:t>
      </w:r>
      <w:r w:rsidRPr="00203A98">
        <w:rPr>
          <w:rFonts w:ascii="Simplified Arabic" w:eastAsia="Times New Roman" w:hAnsi="Simplified Arabic" w:cs="Simplified Arabic"/>
          <w:color w:val="000000" w:themeColor="text1"/>
          <w:kern w:val="0"/>
          <w:sz w:val="28"/>
          <w:szCs w:val="28"/>
          <w14:ligatures w14:val="none"/>
        </w:rPr>
        <w:t xml:space="preserve"> (VIF) </w:t>
      </w:r>
      <w:r w:rsidRPr="00203A98">
        <w:rPr>
          <w:rFonts w:ascii="Simplified Arabic" w:eastAsia="Times New Roman" w:hAnsi="Simplified Arabic" w:cs="Simplified Arabic"/>
          <w:color w:val="000000" w:themeColor="text1"/>
          <w:kern w:val="0"/>
          <w:sz w:val="28"/>
          <w:szCs w:val="28"/>
          <w:rtl/>
          <w14:ligatures w14:val="none"/>
        </w:rPr>
        <w:t>للتحقق من عدم وجود ارتباط ذاتي بين المتغيرات المستقلة، فضلاً عن اختبار</w:t>
      </w:r>
      <w:r w:rsidRPr="00203A98">
        <w:rPr>
          <w:rFonts w:ascii="Simplified Arabic" w:eastAsia="Times New Roman" w:hAnsi="Simplified Arabic" w:cs="Simplified Arabic"/>
          <w:color w:val="000000" w:themeColor="text1"/>
          <w:kern w:val="0"/>
          <w:sz w:val="28"/>
          <w:szCs w:val="28"/>
          <w14:ligatures w14:val="none"/>
        </w:rPr>
        <w:t xml:space="preserve"> (T-Test) </w:t>
      </w:r>
      <w:r w:rsidRPr="00203A98">
        <w:rPr>
          <w:rFonts w:ascii="Simplified Arabic" w:eastAsia="Times New Roman" w:hAnsi="Simplified Arabic" w:cs="Simplified Arabic"/>
          <w:color w:val="000000" w:themeColor="text1"/>
          <w:kern w:val="0"/>
          <w:sz w:val="28"/>
          <w:szCs w:val="28"/>
          <w:rtl/>
          <w14:ligatures w14:val="none"/>
        </w:rPr>
        <w:t>وتحليل التباين الأحادي</w:t>
      </w:r>
      <w:r w:rsidRPr="00203A98">
        <w:rPr>
          <w:rFonts w:ascii="Simplified Arabic" w:eastAsia="Times New Roman" w:hAnsi="Simplified Arabic" w:cs="Simplified Arabic"/>
          <w:color w:val="000000" w:themeColor="text1"/>
          <w:kern w:val="0"/>
          <w:sz w:val="28"/>
          <w:szCs w:val="28"/>
          <w14:ligatures w14:val="none"/>
        </w:rPr>
        <w:t xml:space="preserve"> (One-Way ANOVA) </w:t>
      </w:r>
      <w:r w:rsidRPr="00203A98">
        <w:rPr>
          <w:rFonts w:ascii="Simplified Arabic" w:eastAsia="Times New Roman" w:hAnsi="Simplified Arabic" w:cs="Simplified Arabic"/>
          <w:color w:val="000000" w:themeColor="text1"/>
          <w:kern w:val="0"/>
          <w:sz w:val="28"/>
          <w:szCs w:val="28"/>
          <w:rtl/>
          <w14:ligatures w14:val="none"/>
        </w:rPr>
        <w:t>للكشف عن الفروق في استجابات المفحوصين وفقاً للمتغيرات الديموغرافية</w:t>
      </w:r>
      <w:r w:rsidRPr="00203A98">
        <w:rPr>
          <w:rFonts w:ascii="Simplified Arabic" w:eastAsia="Times New Roman" w:hAnsi="Simplified Arabic" w:cs="Simplified Arabic"/>
          <w:color w:val="000000" w:themeColor="text1"/>
          <w:kern w:val="0"/>
          <w:sz w:val="28"/>
          <w:szCs w:val="28"/>
          <w14:ligatures w14:val="none"/>
        </w:rPr>
        <w:t>.</w:t>
      </w:r>
    </w:p>
    <w:p w14:paraId="71F90714" w14:textId="592B5F67" w:rsidR="002837E8" w:rsidRPr="00203A98" w:rsidRDefault="007922C2" w:rsidP="007922C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7" w:name="_Toc234229078"/>
      <w:r w:rsidRPr="00203A98">
        <w:rPr>
          <w:rFonts w:ascii="Simplified Arabic" w:eastAsia="Times New Roman" w:hAnsi="Simplified Arabic" w:cs="Simplified Arabic" w:hint="cs"/>
          <w:b/>
          <w:bCs/>
          <w:color w:val="000000" w:themeColor="text1"/>
          <w:kern w:val="0"/>
          <w:sz w:val="36"/>
          <w:szCs w:val="36"/>
          <w:rtl/>
          <w14:ligatures w14:val="none"/>
        </w:rPr>
        <w:t>15.1</w:t>
      </w:r>
      <w:r w:rsidR="002837E8" w:rsidRPr="00203A98">
        <w:rPr>
          <w:rFonts w:ascii="Simplified Arabic" w:eastAsia="Times New Roman" w:hAnsi="Simplified Arabic" w:cs="Simplified Arabic"/>
          <w:b/>
          <w:bCs/>
          <w:color w:val="000000" w:themeColor="text1"/>
          <w:kern w:val="0"/>
          <w:sz w:val="36"/>
          <w:szCs w:val="36"/>
          <w:rtl/>
          <w14:ligatures w14:val="none"/>
        </w:rPr>
        <w:t xml:space="preserve"> حدود الدراسة</w:t>
      </w:r>
      <w:bookmarkEnd w:id="17"/>
    </w:p>
    <w:p w14:paraId="799170EA" w14:textId="77777777" w:rsidR="002837E8" w:rsidRPr="00203A98" w:rsidRDefault="002837E8" w:rsidP="007922C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03A98">
        <w:rPr>
          <w:rFonts w:ascii="Simplified Arabic" w:eastAsia="Times New Roman" w:hAnsi="Simplified Arabic" w:cs="Simplified Arabic"/>
          <w:b/>
          <w:bCs/>
          <w:color w:val="000000" w:themeColor="text1"/>
          <w:kern w:val="0"/>
          <w:sz w:val="28"/>
          <w:szCs w:val="28"/>
          <w:rtl/>
          <w14:ligatures w14:val="none"/>
        </w:rPr>
        <w:t>سوف تلتزم الدراسة الحالية بالحدود التالية</w:t>
      </w:r>
      <w:r w:rsidRPr="00203A98">
        <w:rPr>
          <w:rFonts w:ascii="Simplified Arabic" w:eastAsia="Times New Roman" w:hAnsi="Simplified Arabic" w:cs="Simplified Arabic"/>
          <w:b/>
          <w:bCs/>
          <w:color w:val="000000" w:themeColor="text1"/>
          <w:kern w:val="0"/>
          <w:sz w:val="28"/>
          <w:szCs w:val="28"/>
          <w14:ligatures w14:val="none"/>
        </w:rPr>
        <w:t>:</w:t>
      </w:r>
    </w:p>
    <w:p w14:paraId="5BA5BB84" w14:textId="77777777" w:rsidR="002837E8" w:rsidRPr="00203A98" w:rsidRDefault="002837E8" w:rsidP="007922C2">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الحدود الموضوعية</w:t>
      </w:r>
      <w:r w:rsidRPr="00203A98">
        <w:rPr>
          <w:rFonts w:ascii="Simplified Arabic" w:eastAsia="Times New Roman" w:hAnsi="Simplified Arabic" w:cs="Simplified Arabic"/>
          <w:color w:val="000000" w:themeColor="text1"/>
          <w:kern w:val="0"/>
          <w:sz w:val="28"/>
          <w:szCs w:val="28"/>
          <w14:ligatures w14:val="none"/>
        </w:rPr>
        <w:t xml:space="preserve">: </w:t>
      </w:r>
      <w:r w:rsidRPr="00203A98">
        <w:rPr>
          <w:rFonts w:ascii="Simplified Arabic" w:eastAsia="Times New Roman" w:hAnsi="Simplified Arabic" w:cs="Simplified Arabic"/>
          <w:color w:val="000000" w:themeColor="text1"/>
          <w:kern w:val="0"/>
          <w:sz w:val="28"/>
          <w:szCs w:val="28"/>
          <w:rtl/>
          <w14:ligatures w14:val="none"/>
        </w:rPr>
        <w:t>سوف تقتصر الدراسة على تناول أثر المراجعة الداخلية المبنية على المخاطر بأبعادها الأربعة (تحديد المخاطر، تقييم المخاطر، الاستجابة للمخاطر، مراقبة المخاطر) على تعزيز فاعلية تحليل المخاطر، دون التطرق إلى متغيرات أخرى</w:t>
      </w:r>
      <w:r w:rsidRPr="00203A98">
        <w:rPr>
          <w:rFonts w:ascii="Simplified Arabic" w:eastAsia="Times New Roman" w:hAnsi="Simplified Arabic" w:cs="Simplified Arabic"/>
          <w:color w:val="000000" w:themeColor="text1"/>
          <w:kern w:val="0"/>
          <w:sz w:val="28"/>
          <w:szCs w:val="28"/>
          <w14:ligatures w14:val="none"/>
        </w:rPr>
        <w:t>.</w:t>
      </w:r>
    </w:p>
    <w:p w14:paraId="00179032" w14:textId="77777777" w:rsidR="002837E8" w:rsidRPr="00203A98" w:rsidRDefault="002837E8" w:rsidP="007922C2">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الحدود المكانية</w:t>
      </w:r>
      <w:r w:rsidRPr="00203A98">
        <w:rPr>
          <w:rFonts w:ascii="Simplified Arabic" w:eastAsia="Times New Roman" w:hAnsi="Simplified Arabic" w:cs="Simplified Arabic"/>
          <w:color w:val="000000" w:themeColor="text1"/>
          <w:kern w:val="0"/>
          <w:sz w:val="28"/>
          <w:szCs w:val="28"/>
          <w14:ligatures w14:val="none"/>
        </w:rPr>
        <w:t xml:space="preserve">: </w:t>
      </w:r>
      <w:r w:rsidRPr="00203A98">
        <w:rPr>
          <w:rFonts w:ascii="Simplified Arabic" w:eastAsia="Times New Roman" w:hAnsi="Simplified Arabic" w:cs="Simplified Arabic"/>
          <w:color w:val="000000" w:themeColor="text1"/>
          <w:kern w:val="0"/>
          <w:sz w:val="28"/>
          <w:szCs w:val="28"/>
          <w:rtl/>
          <w14:ligatures w14:val="none"/>
        </w:rPr>
        <w:t>سوف تُطبَّق الدراسة على الشركات المساهمة السعودية المدرجة في السوق المالية السعودية (تداول) في المملكة العربية السعودية</w:t>
      </w:r>
      <w:r w:rsidRPr="00203A98">
        <w:rPr>
          <w:rFonts w:ascii="Simplified Arabic" w:eastAsia="Times New Roman" w:hAnsi="Simplified Arabic" w:cs="Simplified Arabic"/>
          <w:color w:val="000000" w:themeColor="text1"/>
          <w:kern w:val="0"/>
          <w:sz w:val="28"/>
          <w:szCs w:val="28"/>
          <w14:ligatures w14:val="none"/>
        </w:rPr>
        <w:t>.</w:t>
      </w:r>
    </w:p>
    <w:p w14:paraId="23038E74" w14:textId="77777777" w:rsidR="002837E8" w:rsidRPr="00203A98" w:rsidRDefault="002837E8" w:rsidP="007922C2">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lastRenderedPageBreak/>
        <w:t>الحدود البشرية</w:t>
      </w:r>
      <w:r w:rsidRPr="00203A98">
        <w:rPr>
          <w:rFonts w:ascii="Simplified Arabic" w:eastAsia="Times New Roman" w:hAnsi="Simplified Arabic" w:cs="Simplified Arabic"/>
          <w:color w:val="000000" w:themeColor="text1"/>
          <w:kern w:val="0"/>
          <w:sz w:val="28"/>
          <w:szCs w:val="28"/>
          <w14:ligatures w14:val="none"/>
        </w:rPr>
        <w:t xml:space="preserve">: </w:t>
      </w:r>
      <w:r w:rsidRPr="00203A98">
        <w:rPr>
          <w:rFonts w:ascii="Simplified Arabic" w:eastAsia="Times New Roman" w:hAnsi="Simplified Arabic" w:cs="Simplified Arabic"/>
          <w:color w:val="000000" w:themeColor="text1"/>
          <w:kern w:val="0"/>
          <w:sz w:val="28"/>
          <w:szCs w:val="28"/>
          <w:rtl/>
          <w14:ligatures w14:val="none"/>
        </w:rPr>
        <w:t>سوف تقتصر الدراسة على المراجعين الداخليين ومديري إدارات المخاطر والمديرين الماليين العاملين في الشركات المساهمة السعودية</w:t>
      </w:r>
      <w:r w:rsidRPr="00203A98">
        <w:rPr>
          <w:rFonts w:ascii="Simplified Arabic" w:eastAsia="Times New Roman" w:hAnsi="Simplified Arabic" w:cs="Simplified Arabic"/>
          <w:color w:val="000000" w:themeColor="text1"/>
          <w:kern w:val="0"/>
          <w:sz w:val="28"/>
          <w:szCs w:val="28"/>
          <w14:ligatures w14:val="none"/>
        </w:rPr>
        <w:t>.</w:t>
      </w:r>
    </w:p>
    <w:p w14:paraId="5A7CCC23" w14:textId="77777777" w:rsidR="002837E8" w:rsidRPr="00203A98" w:rsidRDefault="002837E8" w:rsidP="007922C2">
      <w:pPr>
        <w:pStyle w:val="ListParagraph"/>
        <w:numPr>
          <w:ilvl w:val="0"/>
          <w:numId w:val="2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الحدود الزمانية</w:t>
      </w:r>
      <w:r w:rsidRPr="00203A98">
        <w:rPr>
          <w:rFonts w:ascii="Simplified Arabic" w:eastAsia="Times New Roman" w:hAnsi="Simplified Arabic" w:cs="Simplified Arabic"/>
          <w:color w:val="000000" w:themeColor="text1"/>
          <w:kern w:val="0"/>
          <w:sz w:val="28"/>
          <w:szCs w:val="28"/>
          <w14:ligatures w14:val="none"/>
        </w:rPr>
        <w:t xml:space="preserve">: </w:t>
      </w:r>
      <w:r w:rsidRPr="00203A98">
        <w:rPr>
          <w:rFonts w:ascii="Simplified Arabic" w:eastAsia="Times New Roman" w:hAnsi="Simplified Arabic" w:cs="Simplified Arabic"/>
          <w:color w:val="000000" w:themeColor="text1"/>
          <w:kern w:val="0"/>
          <w:sz w:val="28"/>
          <w:szCs w:val="28"/>
          <w:rtl/>
          <w14:ligatures w14:val="none"/>
        </w:rPr>
        <w:t>سوف تُجرى الدراسة الميدانية خلال الفترة من عام 2025م إلى عام 2026م</w:t>
      </w:r>
      <w:r w:rsidRPr="00203A98">
        <w:rPr>
          <w:rFonts w:ascii="Simplified Arabic" w:eastAsia="Times New Roman" w:hAnsi="Simplified Arabic" w:cs="Simplified Arabic"/>
          <w:color w:val="000000" w:themeColor="text1"/>
          <w:kern w:val="0"/>
          <w:sz w:val="28"/>
          <w:szCs w:val="28"/>
          <w14:ligatures w14:val="none"/>
        </w:rPr>
        <w:t>.</w:t>
      </w:r>
    </w:p>
    <w:p w14:paraId="19E7B650" w14:textId="64288C90" w:rsidR="002837E8" w:rsidRPr="00203A98" w:rsidRDefault="007922C2" w:rsidP="007922C2">
      <w:pPr>
        <w:jc w:val="center"/>
        <w:outlineLvl w:val="0"/>
        <w:rPr>
          <w:rFonts w:ascii="Simplified Arabic" w:eastAsia="Times New Roman" w:hAnsi="Simplified Arabic" w:cs="Simplified Arabic"/>
          <w:b/>
          <w:bCs/>
          <w:color w:val="000000" w:themeColor="text1"/>
          <w:kern w:val="0"/>
          <w:sz w:val="40"/>
          <w:szCs w:val="40"/>
          <w14:ligatures w14:val="none"/>
        </w:rPr>
      </w:pPr>
      <w:r w:rsidRPr="00203A98">
        <w:rPr>
          <w:rFonts w:ascii="Simplified Arabic" w:eastAsia="Times New Roman" w:hAnsi="Simplified Arabic" w:cs="Simplified Arabic"/>
          <w:b/>
          <w:bCs/>
          <w:color w:val="000000" w:themeColor="text1"/>
          <w:kern w:val="0"/>
          <w:sz w:val="40"/>
          <w:szCs w:val="40"/>
          <w:rtl/>
          <w14:ligatures w14:val="none"/>
        </w:rPr>
        <w:br w:type="page"/>
      </w:r>
      <w:bookmarkStart w:id="18" w:name="_Toc234229079"/>
      <w:r w:rsidRPr="00203A98">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2837E8" w:rsidRPr="00203A98">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18"/>
    </w:p>
    <w:p w14:paraId="6949CE29" w14:textId="77777777" w:rsidR="002837E8" w:rsidRPr="00203A98" w:rsidRDefault="002837E8" w:rsidP="007922C2">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19" w:name="_Toc234229080"/>
      <w:r w:rsidRPr="00203A98">
        <w:rPr>
          <w:rFonts w:ascii="Simplified Arabic" w:eastAsia="Times New Roman" w:hAnsi="Simplified Arabic" w:cs="Simplified Arabic"/>
          <w:b/>
          <w:bCs/>
          <w:color w:val="000000" w:themeColor="text1"/>
          <w:kern w:val="0"/>
          <w:sz w:val="36"/>
          <w:szCs w:val="36"/>
          <w:rtl/>
          <w14:ligatures w14:val="none"/>
        </w:rPr>
        <w:t>المبحث الأول: المراجعة الداخلية المبنية على المخاطر</w:t>
      </w:r>
      <w:bookmarkEnd w:id="19"/>
    </w:p>
    <w:p w14:paraId="4F76F673" w14:textId="0382B0FB" w:rsidR="002837E8" w:rsidRPr="00203A98" w:rsidRDefault="007922C2" w:rsidP="007922C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0" w:name="_Toc234229081"/>
      <w:r w:rsidRPr="00203A98">
        <w:rPr>
          <w:rFonts w:ascii="Simplified Arabic" w:eastAsia="Times New Roman" w:hAnsi="Simplified Arabic" w:cs="Simplified Arabic" w:hint="cs"/>
          <w:b/>
          <w:bCs/>
          <w:color w:val="000000" w:themeColor="text1"/>
          <w:kern w:val="0"/>
          <w:sz w:val="32"/>
          <w:szCs w:val="32"/>
          <w:rtl/>
          <w14:ligatures w14:val="none"/>
        </w:rPr>
        <w:t xml:space="preserve">1.1.2 </w:t>
      </w:r>
      <w:r w:rsidR="002837E8" w:rsidRPr="00203A98">
        <w:rPr>
          <w:rFonts w:ascii="Simplified Arabic" w:eastAsia="Times New Roman" w:hAnsi="Simplified Arabic" w:cs="Simplified Arabic"/>
          <w:b/>
          <w:bCs/>
          <w:color w:val="000000" w:themeColor="text1"/>
          <w:kern w:val="0"/>
          <w:sz w:val="32"/>
          <w:szCs w:val="32"/>
          <w:rtl/>
          <w14:ligatures w14:val="none"/>
        </w:rPr>
        <w:t>تمهيد</w:t>
      </w:r>
      <w:bookmarkEnd w:id="20"/>
    </w:p>
    <w:p w14:paraId="21D987C6"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يشهد الفكر المحاسبي والمهني المعاصر تحولات جوهرية في طبيعة المراجعة الداخلية ووظيفتها داخل المنظمات، وذلك استجابةً للتعقيدات المتنامية في بيئة الأعمال وتزايد المخاطر التي تواجهها المنظمات على اختلاف قطاعاتها وأحجامها. ولم يعد المدخل التقليدي للمراجعة الداخلية القائم على التغطية الشاملة والدورية لجميع الأنشطة قادراً على تلبية التطلعات المتزايدة لأصحاب المصلحة، مما استدعى ظهور مداخل حديثة تُعيد صياغة دور المراجعة الداخلية وتُوجّه جهودها نحو المجالات الأكثر أهمية والأكثر عرضة للمخاطر. ويُمثّل مدخل المراجعة الداخلية المبنية على المخاطر أحد أبرز هذه المداخل الحديثة، إذ يقوم على فلسفة الاستخدام الأمثل للموارد المحدودة للمراجعة من خلال توجيهها نحو المخاطر الجوهرية التي تُهدّد تحقيق أهداف المنظمة. ويُلقي هذا المبحث الضوء على مفهوم المراجعة الداخلية المبنية على المخاطر وأهميتها وأهدافها وأبعادها ومداخلها التطبيقية، بما يُوفّر أساساً نظرياً متكاملاً لفهم هذا المتغير المستقل في الدراسة الحالية</w:t>
      </w:r>
      <w:r w:rsidRPr="00203A98">
        <w:rPr>
          <w:rFonts w:ascii="Simplified Arabic" w:eastAsia="Times New Roman" w:hAnsi="Simplified Arabic" w:cs="Simplified Arabic"/>
          <w:color w:val="000000" w:themeColor="text1"/>
          <w:kern w:val="0"/>
          <w:sz w:val="28"/>
          <w:szCs w:val="28"/>
          <w14:ligatures w14:val="none"/>
        </w:rPr>
        <w:t>.</w:t>
      </w:r>
    </w:p>
    <w:p w14:paraId="313A8348" w14:textId="2AE5F518" w:rsidR="002837E8" w:rsidRPr="00203A98" w:rsidRDefault="007922C2" w:rsidP="007922C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1" w:name="_Toc234229082"/>
      <w:r w:rsidRPr="00203A98">
        <w:rPr>
          <w:rFonts w:ascii="Simplified Arabic" w:eastAsia="Times New Roman" w:hAnsi="Simplified Arabic" w:cs="Simplified Arabic" w:hint="cs"/>
          <w:b/>
          <w:bCs/>
          <w:color w:val="000000" w:themeColor="text1"/>
          <w:kern w:val="0"/>
          <w:sz w:val="32"/>
          <w:szCs w:val="32"/>
          <w:rtl/>
          <w14:ligatures w14:val="none"/>
        </w:rPr>
        <w:t xml:space="preserve">2.1.2 </w:t>
      </w:r>
      <w:r w:rsidR="002837E8" w:rsidRPr="00203A98">
        <w:rPr>
          <w:rFonts w:ascii="Simplified Arabic" w:eastAsia="Times New Roman" w:hAnsi="Simplified Arabic" w:cs="Simplified Arabic"/>
          <w:b/>
          <w:bCs/>
          <w:color w:val="000000" w:themeColor="text1"/>
          <w:kern w:val="0"/>
          <w:sz w:val="32"/>
          <w:szCs w:val="32"/>
          <w:rtl/>
          <w14:ligatures w14:val="none"/>
        </w:rPr>
        <w:t>مفهوم المراجعة الداخلية المبنية على المخاطر</w:t>
      </w:r>
      <w:bookmarkEnd w:id="21"/>
    </w:p>
    <w:p w14:paraId="2CCB3E85"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تعدّدت التعريفات التي قدّمها الباحثون والكتّاب لمفهوم المراجعة الداخلية المبنية على المخاطر، مما يعكس ثراء هذا المفهوم وتشعّب أبعاده وتنوّع الزوايا التي يُنظر إليه من خلالها. وقد أفرزت هذه التعريفات مدارس فكرية متباينة في تحديد ماهية هذا المدخل والعناصر المكوّنة له</w:t>
      </w:r>
      <w:r w:rsidRPr="00203A98">
        <w:rPr>
          <w:rFonts w:ascii="Simplified Arabic" w:eastAsia="Times New Roman" w:hAnsi="Simplified Arabic" w:cs="Simplified Arabic"/>
          <w:color w:val="000000" w:themeColor="text1"/>
          <w:kern w:val="0"/>
          <w:sz w:val="28"/>
          <w:szCs w:val="28"/>
          <w14:ligatures w14:val="none"/>
        </w:rPr>
        <w:t>.</w:t>
      </w:r>
    </w:p>
    <w:p w14:paraId="0C2A343C"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يُعرَّف مدخل المراجعة الداخلية المبنية على المخاطر بأنه منهجية متكاملة تربط بين نشاط المراجعة الداخلية وإطار إدارة المخاطر الشامل للمنظمة، بحيث يتم توجيه موارد المراجعة نحو المجالات ذات المخاطر المرتفعة، وتقديم تأكيدات موضوعية للإدارة العليا ومجلس الإدارة حول فاعلية إجراءات إدارة هذه المخاطر</w:t>
      </w:r>
      <w:r w:rsidRPr="00203A98">
        <w:rPr>
          <w:rFonts w:ascii="Simplified Arabic" w:eastAsia="Times New Roman" w:hAnsi="Simplified Arabic" w:cs="Simplified Arabic"/>
          <w:color w:val="000000" w:themeColor="text1"/>
          <w:kern w:val="0"/>
          <w:sz w:val="28"/>
          <w:szCs w:val="28"/>
          <w14:ligatures w14:val="none"/>
        </w:rPr>
        <w:t xml:space="preserve"> (Kzykeyeva, 2022). </w:t>
      </w:r>
      <w:r w:rsidRPr="00203A98">
        <w:rPr>
          <w:rFonts w:ascii="Simplified Arabic" w:eastAsia="Times New Roman" w:hAnsi="Simplified Arabic" w:cs="Simplified Arabic"/>
          <w:color w:val="000000" w:themeColor="text1"/>
          <w:kern w:val="0"/>
          <w:sz w:val="28"/>
          <w:szCs w:val="28"/>
          <w:rtl/>
          <w14:ligatures w14:val="none"/>
        </w:rPr>
        <w:t>ويُبرز هذا التعريف البُعد التكاملي للمدخل باعتباره ركيزة أساسية تربط بين وظيفتي المراجعة الداخلية وإدارة المخاطر داخل المنظمة</w:t>
      </w:r>
      <w:r w:rsidRPr="00203A98">
        <w:rPr>
          <w:rFonts w:ascii="Simplified Arabic" w:eastAsia="Times New Roman" w:hAnsi="Simplified Arabic" w:cs="Simplified Arabic"/>
          <w:color w:val="000000" w:themeColor="text1"/>
          <w:kern w:val="0"/>
          <w:sz w:val="28"/>
          <w:szCs w:val="28"/>
          <w14:ligatures w14:val="none"/>
        </w:rPr>
        <w:t>.</w:t>
      </w:r>
    </w:p>
    <w:p w14:paraId="4A2292F3"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lastRenderedPageBreak/>
        <w:t>ومن زاوية أخرى، يُنظر إلى المراجعة الداخلية المبنية على المخاطر باعتبارها فلسفة تطبيقية تستهدف إعادة توجيه الأنشطة الرقابية بما ينسجم مع خريطة المخاطر الفعلية للمنظمة، إذ تنتقل بالمراجعة من كونها نشاطاً روتينياً يُغطّي جميع الأنشطة بالتساوي إلى نشاط استراتيجي يُركّز على الأولويات الحقيقية للمنظمة</w:t>
      </w:r>
      <w:r w:rsidRPr="00203A98">
        <w:rPr>
          <w:rFonts w:ascii="Simplified Arabic" w:eastAsia="Times New Roman" w:hAnsi="Simplified Arabic" w:cs="Simplified Arabic"/>
          <w:color w:val="000000" w:themeColor="text1"/>
          <w:kern w:val="0"/>
          <w:sz w:val="28"/>
          <w:szCs w:val="28"/>
          <w14:ligatures w14:val="none"/>
        </w:rPr>
        <w:t xml:space="preserve"> (Kurniawan et al., 2023). </w:t>
      </w:r>
      <w:r w:rsidRPr="00203A98">
        <w:rPr>
          <w:rFonts w:ascii="Simplified Arabic" w:eastAsia="Times New Roman" w:hAnsi="Simplified Arabic" w:cs="Simplified Arabic"/>
          <w:color w:val="000000" w:themeColor="text1"/>
          <w:kern w:val="0"/>
          <w:sz w:val="28"/>
          <w:szCs w:val="28"/>
          <w:rtl/>
          <w14:ligatures w14:val="none"/>
        </w:rPr>
        <w:t>ويُضفي هذا التعريف بُعداً استراتيجياً على المفهوم يتجاوز الفهم التقليدي للمراجعة كوظيفة تفتيشية</w:t>
      </w:r>
      <w:r w:rsidRPr="00203A98">
        <w:rPr>
          <w:rFonts w:ascii="Simplified Arabic" w:eastAsia="Times New Roman" w:hAnsi="Simplified Arabic" w:cs="Simplified Arabic"/>
          <w:color w:val="000000" w:themeColor="text1"/>
          <w:kern w:val="0"/>
          <w:sz w:val="28"/>
          <w:szCs w:val="28"/>
          <w14:ligatures w14:val="none"/>
        </w:rPr>
        <w:t>.</w:t>
      </w:r>
    </w:p>
    <w:p w14:paraId="2B6C541D"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ويرى فريق آخر من الباحثين أن المراجعة الداخلية المبنية على المخاطر تُمثّل مدخلاً متطوراً يُعيد تشكيل العلاقة بين المراجع الداخلي والإدارة، بحيث يتحوّل المراجع من مجرد مُقيّم للامتثال إلى شريك استراتيجي يُسهم في تقديم مشورة متخصصة حول إدارة المخاطر وتعزيز قدرة المنظمة على تحقيق أهدافها</w:t>
      </w:r>
      <w:r w:rsidRPr="00203A98">
        <w:rPr>
          <w:rFonts w:ascii="Simplified Arabic" w:eastAsia="Times New Roman" w:hAnsi="Simplified Arabic" w:cs="Simplified Arabic"/>
          <w:color w:val="000000" w:themeColor="text1"/>
          <w:kern w:val="0"/>
          <w:sz w:val="28"/>
          <w:szCs w:val="28"/>
          <w14:ligatures w14:val="none"/>
        </w:rPr>
        <w:t xml:space="preserve"> (Attaf &amp; Bensbahou, 2025). </w:t>
      </w:r>
      <w:r w:rsidRPr="00203A98">
        <w:rPr>
          <w:rFonts w:ascii="Simplified Arabic" w:eastAsia="Times New Roman" w:hAnsi="Simplified Arabic" w:cs="Simplified Arabic"/>
          <w:color w:val="000000" w:themeColor="text1"/>
          <w:kern w:val="0"/>
          <w:sz w:val="28"/>
          <w:szCs w:val="28"/>
          <w:rtl/>
          <w14:ligatures w14:val="none"/>
        </w:rPr>
        <w:t>ويُبرز هذا التعريف الطابع الاستشاري للمدخل إلى جانب طابعه التأكيدي</w:t>
      </w:r>
      <w:r w:rsidRPr="00203A98">
        <w:rPr>
          <w:rFonts w:ascii="Simplified Arabic" w:eastAsia="Times New Roman" w:hAnsi="Simplified Arabic" w:cs="Simplified Arabic"/>
          <w:color w:val="000000" w:themeColor="text1"/>
          <w:kern w:val="0"/>
          <w:sz w:val="28"/>
          <w:szCs w:val="28"/>
          <w14:ligatures w14:val="none"/>
        </w:rPr>
        <w:t>.</w:t>
      </w:r>
    </w:p>
    <w:p w14:paraId="75E39C39"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وفي سياق مقارب، يُعرَّف هذا المدخل بأنه إطار عمل منهجي يجمع بين تقنيات تقييم المخاطر وممارسات المراجعة الداخلية بهدف تحسين فاعلية الأنشطة الرقابية وضمان توافقها مع الأهداف الاستراتيجية للمنظمة، مع التأكيد على أهمية استدامة هذه العملية عبر الزمن</w:t>
      </w:r>
      <w:r w:rsidRPr="00203A98">
        <w:rPr>
          <w:rFonts w:ascii="Simplified Arabic" w:eastAsia="Times New Roman" w:hAnsi="Simplified Arabic" w:cs="Simplified Arabic"/>
          <w:color w:val="000000" w:themeColor="text1"/>
          <w:kern w:val="0"/>
          <w:sz w:val="28"/>
          <w:szCs w:val="28"/>
          <w14:ligatures w14:val="none"/>
        </w:rPr>
        <w:t xml:space="preserve"> (Almgrashi &amp; Mujalli, 2024). </w:t>
      </w:r>
      <w:r w:rsidRPr="00203A98">
        <w:rPr>
          <w:rFonts w:ascii="Simplified Arabic" w:eastAsia="Times New Roman" w:hAnsi="Simplified Arabic" w:cs="Simplified Arabic"/>
          <w:color w:val="000000" w:themeColor="text1"/>
          <w:kern w:val="0"/>
          <w:sz w:val="28"/>
          <w:szCs w:val="28"/>
          <w:rtl/>
          <w14:ligatures w14:val="none"/>
        </w:rPr>
        <w:t>ويُدخل هذا التعريف بُعد الاستدامة كعنصر مهم في فهم المدخل</w:t>
      </w:r>
      <w:r w:rsidRPr="00203A98">
        <w:rPr>
          <w:rFonts w:ascii="Simplified Arabic" w:eastAsia="Times New Roman" w:hAnsi="Simplified Arabic" w:cs="Simplified Arabic"/>
          <w:color w:val="000000" w:themeColor="text1"/>
          <w:kern w:val="0"/>
          <w:sz w:val="28"/>
          <w:szCs w:val="28"/>
          <w14:ligatures w14:val="none"/>
        </w:rPr>
        <w:t>.</w:t>
      </w:r>
    </w:p>
    <w:p w14:paraId="37ED1FAF"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ومن منظور تخطيطي وكمّي، يُنظر إلى المراجعة الداخلية المبنية على المخاطر باعتبارها منهجية تعتمد على أدوات تحليل كمي متقدمة لتخصيص موارد المراجعة بشكل أمثل، وترتيب أولويات المخاطر بناءً على أسس علمية موضوعية بعيداً عن الاجتهادات الشخصية</w:t>
      </w:r>
      <w:r w:rsidRPr="00203A98">
        <w:rPr>
          <w:rFonts w:ascii="Simplified Arabic" w:eastAsia="Times New Roman" w:hAnsi="Simplified Arabic" w:cs="Simplified Arabic"/>
          <w:color w:val="000000" w:themeColor="text1"/>
          <w:kern w:val="0"/>
          <w:sz w:val="28"/>
          <w:szCs w:val="28"/>
          <w14:ligatures w14:val="none"/>
        </w:rPr>
        <w:t xml:space="preserve"> (Wang et al., 2025). </w:t>
      </w:r>
      <w:r w:rsidRPr="00203A98">
        <w:rPr>
          <w:rFonts w:ascii="Simplified Arabic" w:eastAsia="Times New Roman" w:hAnsi="Simplified Arabic" w:cs="Simplified Arabic"/>
          <w:color w:val="000000" w:themeColor="text1"/>
          <w:kern w:val="0"/>
          <w:sz w:val="28"/>
          <w:szCs w:val="28"/>
          <w:rtl/>
          <w14:ligatures w14:val="none"/>
        </w:rPr>
        <w:t>ويُضيف هذا التعريف بُعداً تكنولوجياً وكمّياً مهماً لفهم المدخل في ظل التطورات المعاصرة</w:t>
      </w:r>
      <w:r w:rsidRPr="00203A98">
        <w:rPr>
          <w:rFonts w:ascii="Simplified Arabic" w:eastAsia="Times New Roman" w:hAnsi="Simplified Arabic" w:cs="Simplified Arabic"/>
          <w:color w:val="000000" w:themeColor="text1"/>
          <w:kern w:val="0"/>
          <w:sz w:val="28"/>
          <w:szCs w:val="28"/>
          <w14:ligatures w14:val="none"/>
        </w:rPr>
        <w:t>.</w:t>
      </w:r>
    </w:p>
    <w:p w14:paraId="1EE5427C"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كما يُشير فريق آخر إلى أن المراجعة الداخلية المبنية على المخاطر تُمثّل توجهاً حديثاً يُعيد صياغة دور المراجعة الداخلية باعتبارها خط دفاع ثالث يعمل بالتكامل مع خطوط الدفاع الأولى (الإدارة التنفيذية) والثانية (وظائف الرقابة والامتثال وإدارة المخاطر)، بما يُعزّز من متانة منظومة الحوكمة في المنظمة</w:t>
      </w:r>
      <w:r w:rsidRPr="00203A98">
        <w:rPr>
          <w:rFonts w:ascii="Simplified Arabic" w:eastAsia="Times New Roman" w:hAnsi="Simplified Arabic" w:cs="Simplified Arabic"/>
          <w:color w:val="000000" w:themeColor="text1"/>
          <w:kern w:val="0"/>
          <w:sz w:val="28"/>
          <w:szCs w:val="28"/>
          <w14:ligatures w14:val="none"/>
        </w:rPr>
        <w:t xml:space="preserve"> (Ardianingsih &amp; Payamta, 2022). </w:t>
      </w:r>
      <w:r w:rsidRPr="00203A98">
        <w:rPr>
          <w:rFonts w:ascii="Simplified Arabic" w:eastAsia="Times New Roman" w:hAnsi="Simplified Arabic" w:cs="Simplified Arabic"/>
          <w:color w:val="000000" w:themeColor="text1"/>
          <w:kern w:val="0"/>
          <w:sz w:val="28"/>
          <w:szCs w:val="28"/>
          <w:rtl/>
          <w14:ligatures w14:val="none"/>
        </w:rPr>
        <w:t>ويُبرز هذا التعريف الموقع التنظيمي للمراجعة الداخلية ضمن إطار خطوط الدفاع الثلاثة</w:t>
      </w:r>
      <w:r w:rsidRPr="00203A98">
        <w:rPr>
          <w:rFonts w:ascii="Simplified Arabic" w:eastAsia="Times New Roman" w:hAnsi="Simplified Arabic" w:cs="Simplified Arabic"/>
          <w:color w:val="000000" w:themeColor="text1"/>
          <w:kern w:val="0"/>
          <w:sz w:val="28"/>
          <w:szCs w:val="28"/>
          <w14:ligatures w14:val="none"/>
        </w:rPr>
        <w:t>.</w:t>
      </w:r>
    </w:p>
    <w:p w14:paraId="5C345494"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lastRenderedPageBreak/>
        <w:t>وفي إطار أكثر تفصيلاً، يُعرَّف هذا المدخل بأنه نهج ديناميكي يقوم على التقييم المستمر لملف المخاطر</w:t>
      </w:r>
      <w:r w:rsidRPr="00203A98">
        <w:rPr>
          <w:rFonts w:ascii="Simplified Arabic" w:eastAsia="Times New Roman" w:hAnsi="Simplified Arabic" w:cs="Simplified Arabic"/>
          <w:color w:val="000000" w:themeColor="text1"/>
          <w:kern w:val="0"/>
          <w:sz w:val="28"/>
          <w:szCs w:val="28"/>
          <w14:ligatures w14:val="none"/>
        </w:rPr>
        <w:t xml:space="preserve"> (Risk Profile) </w:t>
      </w:r>
      <w:r w:rsidRPr="00203A98">
        <w:rPr>
          <w:rFonts w:ascii="Simplified Arabic" w:eastAsia="Times New Roman" w:hAnsi="Simplified Arabic" w:cs="Simplified Arabic"/>
          <w:color w:val="000000" w:themeColor="text1"/>
          <w:kern w:val="0"/>
          <w:sz w:val="28"/>
          <w:szCs w:val="28"/>
          <w:rtl/>
          <w14:ligatures w14:val="none"/>
        </w:rPr>
        <w:t>الخاص بالمنظمة، وإعادة توجيه جهود المراجعة بشكل مرن استجابةً للتغيّرات في طبيعة هذه المخاطر ومستوياتها</w:t>
      </w:r>
      <w:r w:rsidRPr="00203A98">
        <w:rPr>
          <w:rFonts w:ascii="Simplified Arabic" w:eastAsia="Times New Roman" w:hAnsi="Simplified Arabic" w:cs="Simplified Arabic"/>
          <w:color w:val="000000" w:themeColor="text1"/>
          <w:kern w:val="0"/>
          <w:sz w:val="28"/>
          <w:szCs w:val="28"/>
          <w14:ligatures w14:val="none"/>
        </w:rPr>
        <w:t xml:space="preserve"> (Mujalli, 2024). </w:t>
      </w:r>
      <w:r w:rsidRPr="00203A98">
        <w:rPr>
          <w:rFonts w:ascii="Simplified Arabic" w:eastAsia="Times New Roman" w:hAnsi="Simplified Arabic" w:cs="Simplified Arabic"/>
          <w:color w:val="000000" w:themeColor="text1"/>
          <w:kern w:val="0"/>
          <w:sz w:val="28"/>
          <w:szCs w:val="28"/>
          <w:rtl/>
          <w14:ligatures w14:val="none"/>
        </w:rPr>
        <w:t>ويُبرز هذا التعريف الطابع الديناميكي للمدخل الذي يتجاوز الفهم الساكن للمراجعة</w:t>
      </w:r>
      <w:r w:rsidRPr="00203A98">
        <w:rPr>
          <w:rFonts w:ascii="Simplified Arabic" w:eastAsia="Times New Roman" w:hAnsi="Simplified Arabic" w:cs="Simplified Arabic"/>
          <w:color w:val="000000" w:themeColor="text1"/>
          <w:kern w:val="0"/>
          <w:sz w:val="28"/>
          <w:szCs w:val="28"/>
          <w14:ligatures w14:val="none"/>
        </w:rPr>
        <w:t>.</w:t>
      </w:r>
    </w:p>
    <w:p w14:paraId="5E9DA12F"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ويتّضح من استعراض هذه التعريفات أن ثمة مدرستين رئيسيتين في تناول مفهوم المراجعة الداخلية المبنية على المخاطر؛ تنظر الأولى إليه باعتباره منهجية تطبيقية تُوجّه جهود المراجعة نحو المخاطر ذات الأولوية، بينما ترى الثانية أنه فلسفة استراتيجية شاملة تُعيد تعريف دور المراجعة الداخلية في المنظمة. ومن خلال استقراء التعريفات السابقة، يمكن للباحث تقديم تعريف إجرائي للمراجعة الداخلية المبنية على المخاطر باعتبارها منهجية متكاملة وديناميكية للمراجعة الداخلية تعتمد على تحديد المخاطر الجوهرية التي تواجه المنظمة وتقييمها والاستجابة لها ومراقبتها بشكل مستمر، بهدف توجيه موارد المراجعة بشكل أمثل نحو الأولويات الحقيقية للمنظمة، وتقديم تأكيدات موضوعية وخدمات استشارية تُسهم في تعزيز فاعلية إدارة المخاطر والحوكمة وتحقيق الأهداف الاستراتيجية للمنظمة</w:t>
      </w:r>
      <w:r w:rsidRPr="00203A98">
        <w:rPr>
          <w:rFonts w:ascii="Simplified Arabic" w:eastAsia="Times New Roman" w:hAnsi="Simplified Arabic" w:cs="Simplified Arabic"/>
          <w:color w:val="000000" w:themeColor="text1"/>
          <w:kern w:val="0"/>
          <w:sz w:val="28"/>
          <w:szCs w:val="28"/>
          <w14:ligatures w14:val="none"/>
        </w:rPr>
        <w:t>.</w:t>
      </w:r>
    </w:p>
    <w:p w14:paraId="603D65BC" w14:textId="790B368C" w:rsidR="002837E8" w:rsidRPr="00203A98" w:rsidRDefault="007922C2" w:rsidP="007922C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2" w:name="_Toc234229083"/>
      <w:r w:rsidRPr="00203A98">
        <w:rPr>
          <w:rFonts w:ascii="Simplified Arabic" w:eastAsia="Times New Roman" w:hAnsi="Simplified Arabic" w:cs="Simplified Arabic" w:hint="cs"/>
          <w:b/>
          <w:bCs/>
          <w:color w:val="000000" w:themeColor="text1"/>
          <w:kern w:val="0"/>
          <w:sz w:val="32"/>
          <w:szCs w:val="32"/>
          <w:rtl/>
          <w14:ligatures w14:val="none"/>
        </w:rPr>
        <w:t xml:space="preserve">3.1.2 </w:t>
      </w:r>
      <w:r w:rsidR="002837E8" w:rsidRPr="00203A98">
        <w:rPr>
          <w:rFonts w:ascii="Simplified Arabic" w:eastAsia="Times New Roman" w:hAnsi="Simplified Arabic" w:cs="Simplified Arabic"/>
          <w:b/>
          <w:bCs/>
          <w:color w:val="000000" w:themeColor="text1"/>
          <w:kern w:val="0"/>
          <w:sz w:val="32"/>
          <w:szCs w:val="32"/>
          <w:rtl/>
          <w14:ligatures w14:val="none"/>
        </w:rPr>
        <w:t>أهمية المراجعة الداخلية المبنية على المخاطر</w:t>
      </w:r>
      <w:bookmarkEnd w:id="22"/>
    </w:p>
    <w:p w14:paraId="2E74B916"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تكتسب المراجعة الداخلية المبنية على المخاطر أهمية بالغة في بيئة الأعمال المعاصرة التي تتّسم بالتعقيد وتزايد المخاطر وتنوّع مصادرها، إذ لم تعد المنظمات قادرة على الاعتماد على المداخل التقليدية للرقابة والمراجعة في مواجهة التحديات المتلاحقة. وقد أدّى ذلك إلى تعاظم الاهتمام بهذا المدخل من قِبل الأكاديميين والمهنيين على حدٍّ سواء، وتنوّعت الرؤى حول أوجه أهميته</w:t>
      </w:r>
      <w:r w:rsidRPr="00203A98">
        <w:rPr>
          <w:rFonts w:ascii="Simplified Arabic" w:eastAsia="Times New Roman" w:hAnsi="Simplified Arabic" w:cs="Simplified Arabic"/>
          <w:color w:val="000000" w:themeColor="text1"/>
          <w:kern w:val="0"/>
          <w:sz w:val="28"/>
          <w:szCs w:val="28"/>
          <w14:ligatures w14:val="none"/>
        </w:rPr>
        <w:t>.</w:t>
      </w:r>
    </w:p>
    <w:p w14:paraId="4EED4806"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ويُشير</w:t>
      </w:r>
      <w:r w:rsidRPr="00203A98">
        <w:rPr>
          <w:rFonts w:ascii="Simplified Arabic" w:eastAsia="Times New Roman" w:hAnsi="Simplified Arabic" w:cs="Simplified Arabic"/>
          <w:color w:val="000000" w:themeColor="text1"/>
          <w:kern w:val="0"/>
          <w:sz w:val="28"/>
          <w:szCs w:val="28"/>
          <w14:ligatures w14:val="none"/>
        </w:rPr>
        <w:t xml:space="preserve"> (Udoh, 2024) </w:t>
      </w:r>
      <w:r w:rsidRPr="00203A98">
        <w:rPr>
          <w:rFonts w:ascii="Simplified Arabic" w:eastAsia="Times New Roman" w:hAnsi="Simplified Arabic" w:cs="Simplified Arabic"/>
          <w:color w:val="000000" w:themeColor="text1"/>
          <w:kern w:val="0"/>
          <w:sz w:val="28"/>
          <w:szCs w:val="28"/>
          <w:rtl/>
          <w14:ligatures w14:val="none"/>
        </w:rPr>
        <w:t>إلى أن أهمية المراجعة الداخلية المبنية على المخاطر تتجلى في عدة جوانب جوهرية، أوّلها أنها تُسهم في تعزيز أطر إدارة المخاطر وحوكمة الشركات من خلال تقديم رؤية شاملة ومنهجية للمخاطر المؤثرة على تحقيق أهداف المنظمة، وثانيها أنها تُقدّم دعماً استراتيجياً لمجلس الإدارة واللجان المنبثقة عنه كلجنة المراجعة ولجنة المخاطر من خلال توفير معلومات موضوعية عن ملف المخاطر، وثالثها أنها تُعزّز من كفاءة استخدام موارد المراجعة الداخلية من خلال توجيهها نحو المجالات الأكثر أهمية بدلاً من توزيعها بالتساوي على جميع الأنشطة، ورابعها أنها ترفع من مستوى الثقة والشفافية في المنظمة أمام أصحاب المصلحة من مساهمين ومستثمرين وجهات رقابية</w:t>
      </w:r>
      <w:r w:rsidRPr="00203A98">
        <w:rPr>
          <w:rFonts w:ascii="Simplified Arabic" w:eastAsia="Times New Roman" w:hAnsi="Simplified Arabic" w:cs="Simplified Arabic"/>
          <w:color w:val="000000" w:themeColor="text1"/>
          <w:kern w:val="0"/>
          <w:sz w:val="28"/>
          <w:szCs w:val="28"/>
          <w14:ligatures w14:val="none"/>
        </w:rPr>
        <w:t>.</w:t>
      </w:r>
    </w:p>
    <w:p w14:paraId="7FF0EF82"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lastRenderedPageBreak/>
        <w:t>ويرى</w:t>
      </w:r>
      <w:r w:rsidRPr="00203A98">
        <w:rPr>
          <w:rFonts w:ascii="Simplified Arabic" w:eastAsia="Times New Roman" w:hAnsi="Simplified Arabic" w:cs="Simplified Arabic"/>
          <w:color w:val="000000" w:themeColor="text1"/>
          <w:kern w:val="0"/>
          <w:sz w:val="28"/>
          <w:szCs w:val="28"/>
          <w14:ligatures w14:val="none"/>
        </w:rPr>
        <w:t xml:space="preserve"> (Zahra, 2025) </w:t>
      </w:r>
      <w:r w:rsidRPr="00203A98">
        <w:rPr>
          <w:rFonts w:ascii="Simplified Arabic" w:eastAsia="Times New Roman" w:hAnsi="Simplified Arabic" w:cs="Simplified Arabic"/>
          <w:color w:val="000000" w:themeColor="text1"/>
          <w:kern w:val="0"/>
          <w:sz w:val="28"/>
          <w:szCs w:val="28"/>
          <w:rtl/>
          <w14:ligatures w14:val="none"/>
        </w:rPr>
        <w:t>أن أهمية هذا المدخل تظهر أيضاً في قدرته على تعزيز آليات منع واكتشاف الغش والاحتيال من خلال التركيز المُبكّر على المجالات ذات المخاطر المرتفعة قبل أن تتحوّل إلى مشكلات فعلية تُلحق أضراراً بالمنظمة، فضلاً عن دوره في تحسين قدرة المنظمة على الاستجابة السريعة للمخاطر الناشئة في بيئة الأعمال المتغيرة</w:t>
      </w:r>
      <w:r w:rsidRPr="00203A98">
        <w:rPr>
          <w:rFonts w:ascii="Simplified Arabic" w:eastAsia="Times New Roman" w:hAnsi="Simplified Arabic" w:cs="Simplified Arabic"/>
          <w:color w:val="000000" w:themeColor="text1"/>
          <w:kern w:val="0"/>
          <w:sz w:val="28"/>
          <w:szCs w:val="28"/>
          <w14:ligatures w14:val="none"/>
        </w:rPr>
        <w:t>.</w:t>
      </w:r>
    </w:p>
    <w:p w14:paraId="59214C8E"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ويُبرز</w:t>
      </w:r>
      <w:r w:rsidRPr="00203A98">
        <w:rPr>
          <w:rFonts w:ascii="Simplified Arabic" w:eastAsia="Times New Roman" w:hAnsi="Simplified Arabic" w:cs="Simplified Arabic"/>
          <w:color w:val="000000" w:themeColor="text1"/>
          <w:kern w:val="0"/>
          <w:sz w:val="28"/>
          <w:szCs w:val="28"/>
          <w14:ligatures w14:val="none"/>
        </w:rPr>
        <w:t xml:space="preserve"> (Harahap, 2024) </w:t>
      </w:r>
      <w:r w:rsidRPr="00203A98">
        <w:rPr>
          <w:rFonts w:ascii="Simplified Arabic" w:eastAsia="Times New Roman" w:hAnsi="Simplified Arabic" w:cs="Simplified Arabic"/>
          <w:color w:val="000000" w:themeColor="text1"/>
          <w:kern w:val="0"/>
          <w:sz w:val="28"/>
          <w:szCs w:val="28"/>
          <w:rtl/>
          <w14:ligatures w14:val="none"/>
        </w:rPr>
        <w:t>بُعداً آخر لأهمية المراجعة الداخلية المبنية على المخاطر، ويتمثّل في دورها الحيوي في القطاع العام والمؤسسات الحكومية، حيث تُسهم في تعزيز المساءلة وحماية المال العام وضمان تحقيق الأهداف التنموية للدولة، وذلك من خلال تركيز جهود المراجعة على المخاطر الأكثر تأثيراً على تحقيق الأهداف العامة</w:t>
      </w:r>
      <w:r w:rsidRPr="00203A98">
        <w:rPr>
          <w:rFonts w:ascii="Simplified Arabic" w:eastAsia="Times New Roman" w:hAnsi="Simplified Arabic" w:cs="Simplified Arabic"/>
          <w:color w:val="000000" w:themeColor="text1"/>
          <w:kern w:val="0"/>
          <w:sz w:val="28"/>
          <w:szCs w:val="28"/>
          <w14:ligatures w14:val="none"/>
        </w:rPr>
        <w:t>.</w:t>
      </w:r>
    </w:p>
    <w:p w14:paraId="6D82C703"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ويُوضّح (أبو العلا وآخرون، 2025) أن هذا المدخل يكتسب أهمية خاصة في القطاع الصناعي، حيث تتّسم البيئة التشغيلية بتعقيد المخاطر وتنوّعها، ويُسهم تفعيل المراجعة الداخلية المبنية على المخاطر في تحسين جودة الأداء المالي من خلال دعم عمليات إدارة المخاطر التشغيلية بشكل منهجي</w:t>
      </w:r>
      <w:r w:rsidRPr="00203A98">
        <w:rPr>
          <w:rFonts w:ascii="Simplified Arabic" w:eastAsia="Times New Roman" w:hAnsi="Simplified Arabic" w:cs="Simplified Arabic"/>
          <w:color w:val="000000" w:themeColor="text1"/>
          <w:kern w:val="0"/>
          <w:sz w:val="28"/>
          <w:szCs w:val="28"/>
          <w14:ligatures w14:val="none"/>
        </w:rPr>
        <w:t>.</w:t>
      </w:r>
    </w:p>
    <w:p w14:paraId="4D19BFB7"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كما يُضيف</w:t>
      </w:r>
      <w:r w:rsidRPr="00203A98">
        <w:rPr>
          <w:rFonts w:ascii="Simplified Arabic" w:eastAsia="Times New Roman" w:hAnsi="Simplified Arabic" w:cs="Simplified Arabic"/>
          <w:color w:val="000000" w:themeColor="text1"/>
          <w:kern w:val="0"/>
          <w:sz w:val="28"/>
          <w:szCs w:val="28"/>
          <w14:ligatures w14:val="none"/>
        </w:rPr>
        <w:t xml:space="preserve"> (Ardianingsih et al., 2024) </w:t>
      </w:r>
      <w:r w:rsidRPr="00203A98">
        <w:rPr>
          <w:rFonts w:ascii="Simplified Arabic" w:eastAsia="Times New Roman" w:hAnsi="Simplified Arabic" w:cs="Simplified Arabic"/>
          <w:color w:val="000000" w:themeColor="text1"/>
          <w:kern w:val="0"/>
          <w:sz w:val="28"/>
          <w:szCs w:val="28"/>
          <w:rtl/>
          <w14:ligatures w14:val="none"/>
        </w:rPr>
        <w:t>أن أهمية هذا المدخل تظهر في قدرته على تحقيق التوازن بين الطابع التأكيدي والطابع الاستشاري للمراجعة الداخلية، بما يُمكّنها من الاضطلاع بدور استراتيجي شامل داخل المنظمة يتجاوز الدور التقليدي المحصور في التحقق من الامتثال</w:t>
      </w:r>
      <w:r w:rsidRPr="00203A98">
        <w:rPr>
          <w:rFonts w:ascii="Simplified Arabic" w:eastAsia="Times New Roman" w:hAnsi="Simplified Arabic" w:cs="Simplified Arabic"/>
          <w:color w:val="000000" w:themeColor="text1"/>
          <w:kern w:val="0"/>
          <w:sz w:val="28"/>
          <w:szCs w:val="28"/>
          <w14:ligatures w14:val="none"/>
        </w:rPr>
        <w:t>.</w:t>
      </w:r>
    </w:p>
    <w:p w14:paraId="6FDCB29C"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ويُشير</w:t>
      </w:r>
      <w:r w:rsidRPr="00203A98">
        <w:rPr>
          <w:rFonts w:ascii="Simplified Arabic" w:eastAsia="Times New Roman" w:hAnsi="Simplified Arabic" w:cs="Simplified Arabic"/>
          <w:color w:val="000000" w:themeColor="text1"/>
          <w:kern w:val="0"/>
          <w:sz w:val="28"/>
          <w:szCs w:val="28"/>
          <w14:ligatures w14:val="none"/>
        </w:rPr>
        <w:t xml:space="preserve"> (Vu et al., 2026) </w:t>
      </w:r>
      <w:r w:rsidRPr="00203A98">
        <w:rPr>
          <w:rFonts w:ascii="Simplified Arabic" w:eastAsia="Times New Roman" w:hAnsi="Simplified Arabic" w:cs="Simplified Arabic"/>
          <w:color w:val="000000" w:themeColor="text1"/>
          <w:kern w:val="0"/>
          <w:sz w:val="28"/>
          <w:szCs w:val="28"/>
          <w:rtl/>
          <w14:ligatures w14:val="none"/>
        </w:rPr>
        <w:t>إلى أن هذا المدخل يكتسب أهمية إضافية في الاقتصادات الناشئة، حيث يُسهم في رفع مستوى الممارسة المهنية للمراجعة إلى المستويات الدولية، ويُقدّم إطاراً منهجياً يُساعد المنظمات على مواكبة التطورات في مهنة المراجعة عالمياً</w:t>
      </w:r>
      <w:r w:rsidRPr="00203A98">
        <w:rPr>
          <w:rFonts w:ascii="Simplified Arabic" w:eastAsia="Times New Roman" w:hAnsi="Simplified Arabic" w:cs="Simplified Arabic"/>
          <w:color w:val="000000" w:themeColor="text1"/>
          <w:kern w:val="0"/>
          <w:sz w:val="28"/>
          <w:szCs w:val="28"/>
          <w14:ligatures w14:val="none"/>
        </w:rPr>
        <w:t>.</w:t>
      </w:r>
    </w:p>
    <w:p w14:paraId="00BCF06E"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ويُبرز</w:t>
      </w:r>
      <w:r w:rsidRPr="00203A98">
        <w:rPr>
          <w:rFonts w:ascii="Simplified Arabic" w:eastAsia="Times New Roman" w:hAnsi="Simplified Arabic" w:cs="Simplified Arabic"/>
          <w:color w:val="000000" w:themeColor="text1"/>
          <w:kern w:val="0"/>
          <w:sz w:val="28"/>
          <w:szCs w:val="28"/>
          <w14:ligatures w14:val="none"/>
        </w:rPr>
        <w:t xml:space="preserve"> (Anugraheni et al., 2022) </w:t>
      </w:r>
      <w:r w:rsidRPr="00203A98">
        <w:rPr>
          <w:rFonts w:ascii="Simplified Arabic" w:eastAsia="Times New Roman" w:hAnsi="Simplified Arabic" w:cs="Simplified Arabic"/>
          <w:color w:val="000000" w:themeColor="text1"/>
          <w:kern w:val="0"/>
          <w:sz w:val="28"/>
          <w:szCs w:val="28"/>
          <w:rtl/>
          <w14:ligatures w14:val="none"/>
        </w:rPr>
        <w:t>أن الأهمية الحقيقية لهذا المدخل تتجلى في إسهامه في تحسين جودة المراجعة الداخلية من خلال إحكام مرحلة التخطيط، وهي المرحلة الأكثر تأثيراً على جودة العملية الرقابية بأكملها</w:t>
      </w:r>
      <w:r w:rsidRPr="00203A98">
        <w:rPr>
          <w:rFonts w:ascii="Simplified Arabic" w:eastAsia="Times New Roman" w:hAnsi="Simplified Arabic" w:cs="Simplified Arabic"/>
          <w:color w:val="000000" w:themeColor="text1"/>
          <w:kern w:val="0"/>
          <w:sz w:val="28"/>
          <w:szCs w:val="28"/>
          <w14:ligatures w14:val="none"/>
        </w:rPr>
        <w:t>.</w:t>
      </w:r>
    </w:p>
    <w:p w14:paraId="6B6052D9" w14:textId="06F58A86" w:rsidR="002837E8" w:rsidRPr="00203A98" w:rsidRDefault="007922C2" w:rsidP="007922C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3" w:name="_Toc234229084"/>
      <w:r w:rsidRPr="00203A98">
        <w:rPr>
          <w:rFonts w:ascii="Simplified Arabic" w:eastAsia="Times New Roman" w:hAnsi="Simplified Arabic" w:cs="Simplified Arabic" w:hint="cs"/>
          <w:b/>
          <w:bCs/>
          <w:color w:val="000000" w:themeColor="text1"/>
          <w:kern w:val="0"/>
          <w:sz w:val="32"/>
          <w:szCs w:val="32"/>
          <w:rtl/>
          <w14:ligatures w14:val="none"/>
        </w:rPr>
        <w:t xml:space="preserve">4.1.2 </w:t>
      </w:r>
      <w:r w:rsidR="002837E8" w:rsidRPr="00203A98">
        <w:rPr>
          <w:rFonts w:ascii="Simplified Arabic" w:eastAsia="Times New Roman" w:hAnsi="Simplified Arabic" w:cs="Simplified Arabic"/>
          <w:b/>
          <w:bCs/>
          <w:color w:val="000000" w:themeColor="text1"/>
          <w:kern w:val="0"/>
          <w:sz w:val="32"/>
          <w:szCs w:val="32"/>
          <w:rtl/>
          <w14:ligatures w14:val="none"/>
        </w:rPr>
        <w:t>أهداف المراجعة الداخلية المبنية على المخاطر</w:t>
      </w:r>
      <w:bookmarkEnd w:id="23"/>
    </w:p>
    <w:p w14:paraId="69573316"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lastRenderedPageBreak/>
        <w:t>تتعدّد الأهداف التي يسعى مدخل المراجعة الداخلية المبنية على المخاطر إلى تحقيقها، وقد تناول الباحثون هذه الأهداف من زوايا مختلفة تعكس تنوّع مجالات تطبيق هذا المدخل. ويمكن استعراض أبرز آراء الباحثين حول أهداف هذا المدخل على النحو التالي</w:t>
      </w:r>
      <w:r w:rsidRPr="00203A98">
        <w:rPr>
          <w:rFonts w:ascii="Simplified Arabic" w:eastAsia="Times New Roman" w:hAnsi="Simplified Arabic" w:cs="Simplified Arabic"/>
          <w:color w:val="000000" w:themeColor="text1"/>
          <w:kern w:val="0"/>
          <w:sz w:val="28"/>
          <w:szCs w:val="28"/>
          <w14:ligatures w14:val="none"/>
        </w:rPr>
        <w:t>:</w:t>
      </w:r>
    </w:p>
    <w:p w14:paraId="514FB9B8"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يرى</w:t>
      </w:r>
      <w:r w:rsidRPr="00203A98">
        <w:rPr>
          <w:rFonts w:ascii="Simplified Arabic" w:eastAsia="Times New Roman" w:hAnsi="Simplified Arabic" w:cs="Simplified Arabic"/>
          <w:color w:val="000000" w:themeColor="text1"/>
          <w:kern w:val="0"/>
          <w:sz w:val="28"/>
          <w:szCs w:val="28"/>
          <w14:ligatures w14:val="none"/>
        </w:rPr>
        <w:t xml:space="preserve"> (Wahyuandari et al., 2025) </w:t>
      </w:r>
      <w:r w:rsidRPr="00203A98">
        <w:rPr>
          <w:rFonts w:ascii="Simplified Arabic" w:eastAsia="Times New Roman" w:hAnsi="Simplified Arabic" w:cs="Simplified Arabic"/>
          <w:color w:val="000000" w:themeColor="text1"/>
          <w:kern w:val="0"/>
          <w:sz w:val="28"/>
          <w:szCs w:val="28"/>
          <w:rtl/>
          <w14:ligatures w14:val="none"/>
        </w:rPr>
        <w:t>أن المراجعة الداخلية المبنية على المخاطر تسعى إلى تحقيق مجموعة من الأهداف، من أبرزها: تحسين الأداء المالي التنظيمي من خلال تخفيض المخاطر المؤثرة على تحقيق الأهداف المالية، وتعزيز كفاءة استخدام الموارد المالية للمنظمة، ودعم اتخاذ القرارات المالية الرشيدة، وتوفير معلومات موثوقة عن حالة المخاطر المالية لأصحاب المصلحة</w:t>
      </w:r>
      <w:r w:rsidRPr="00203A98">
        <w:rPr>
          <w:rFonts w:ascii="Simplified Arabic" w:eastAsia="Times New Roman" w:hAnsi="Simplified Arabic" w:cs="Simplified Arabic"/>
          <w:color w:val="000000" w:themeColor="text1"/>
          <w:kern w:val="0"/>
          <w:sz w:val="28"/>
          <w:szCs w:val="28"/>
          <w14:ligatures w14:val="none"/>
        </w:rPr>
        <w:t>.</w:t>
      </w:r>
    </w:p>
    <w:p w14:paraId="7A94A2CE"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ويُحدّد</w:t>
      </w:r>
      <w:r w:rsidRPr="00203A98">
        <w:rPr>
          <w:rFonts w:ascii="Simplified Arabic" w:eastAsia="Times New Roman" w:hAnsi="Simplified Arabic" w:cs="Simplified Arabic"/>
          <w:color w:val="000000" w:themeColor="text1"/>
          <w:kern w:val="0"/>
          <w:sz w:val="28"/>
          <w:szCs w:val="28"/>
          <w14:ligatures w14:val="none"/>
        </w:rPr>
        <w:t xml:space="preserve"> (Mujalli, 2024) </w:t>
      </w:r>
      <w:r w:rsidRPr="00203A98">
        <w:rPr>
          <w:rFonts w:ascii="Simplified Arabic" w:eastAsia="Times New Roman" w:hAnsi="Simplified Arabic" w:cs="Simplified Arabic"/>
          <w:color w:val="000000" w:themeColor="text1"/>
          <w:kern w:val="0"/>
          <w:sz w:val="28"/>
          <w:szCs w:val="28"/>
          <w:rtl/>
          <w14:ligatures w14:val="none"/>
        </w:rPr>
        <w:t>مجموعة من الأهداف التي يستهدفها هذا المدخل، تشمل: مساعدة الإدارة العليا على فهم طبيعة المخاطر المؤثرة على المنظمة، وتوجيه الموارد الرقابية نحو المجالات الأكثر أهمية، وتعزيز التكامل بين أنشطة المراجعة الداخلية وإدارة المخاطر، وتقديم توصيات عملية لتحسين البيئة الرقابية</w:t>
      </w:r>
      <w:r w:rsidRPr="00203A98">
        <w:rPr>
          <w:rFonts w:ascii="Simplified Arabic" w:eastAsia="Times New Roman" w:hAnsi="Simplified Arabic" w:cs="Simplified Arabic"/>
          <w:color w:val="000000" w:themeColor="text1"/>
          <w:kern w:val="0"/>
          <w:sz w:val="28"/>
          <w:szCs w:val="28"/>
          <w14:ligatures w14:val="none"/>
        </w:rPr>
        <w:t>.</w:t>
      </w:r>
    </w:p>
    <w:p w14:paraId="3336A64F"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ويُشير</w:t>
      </w:r>
      <w:r w:rsidRPr="00203A98">
        <w:rPr>
          <w:rFonts w:ascii="Simplified Arabic" w:eastAsia="Times New Roman" w:hAnsi="Simplified Arabic" w:cs="Simplified Arabic"/>
          <w:color w:val="000000" w:themeColor="text1"/>
          <w:kern w:val="0"/>
          <w:sz w:val="28"/>
          <w:szCs w:val="28"/>
          <w14:ligatures w14:val="none"/>
        </w:rPr>
        <w:t xml:space="preserve"> (Kurniawan et al., 2023) </w:t>
      </w:r>
      <w:r w:rsidRPr="00203A98">
        <w:rPr>
          <w:rFonts w:ascii="Simplified Arabic" w:eastAsia="Times New Roman" w:hAnsi="Simplified Arabic" w:cs="Simplified Arabic"/>
          <w:color w:val="000000" w:themeColor="text1"/>
          <w:kern w:val="0"/>
          <w:sz w:val="28"/>
          <w:szCs w:val="28"/>
          <w:rtl/>
          <w14:ligatures w14:val="none"/>
        </w:rPr>
        <w:t>إلى أن هذا المدخل يستهدف تحقيق أهداف متعددة، منها: تعزيز فاعلية المراجعة الداخلية من خلال تركيزها على المخاطر الجوهرية، وتحسين قدرة المراجعين على تقديم قيمة مضافة للمنظمة، وتطوير الكفاءات المهنية للمراجعين في مجال إدارة المخاطر، ودعم منظومة الحوكمة في المنظمة</w:t>
      </w:r>
      <w:r w:rsidRPr="00203A98">
        <w:rPr>
          <w:rFonts w:ascii="Simplified Arabic" w:eastAsia="Times New Roman" w:hAnsi="Simplified Arabic" w:cs="Simplified Arabic"/>
          <w:color w:val="000000" w:themeColor="text1"/>
          <w:kern w:val="0"/>
          <w:sz w:val="28"/>
          <w:szCs w:val="28"/>
          <w14:ligatures w14:val="none"/>
        </w:rPr>
        <w:t>.</w:t>
      </w:r>
    </w:p>
    <w:p w14:paraId="5296E6B6"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ويُضيف</w:t>
      </w:r>
      <w:r w:rsidRPr="00203A98">
        <w:rPr>
          <w:rFonts w:ascii="Simplified Arabic" w:eastAsia="Times New Roman" w:hAnsi="Simplified Arabic" w:cs="Simplified Arabic"/>
          <w:color w:val="000000" w:themeColor="text1"/>
          <w:kern w:val="0"/>
          <w:sz w:val="28"/>
          <w:szCs w:val="28"/>
          <w14:ligatures w14:val="none"/>
        </w:rPr>
        <w:t xml:space="preserve"> (Attaf &amp; Bensbahou, 2025) </w:t>
      </w:r>
      <w:r w:rsidRPr="00203A98">
        <w:rPr>
          <w:rFonts w:ascii="Simplified Arabic" w:eastAsia="Times New Roman" w:hAnsi="Simplified Arabic" w:cs="Simplified Arabic"/>
          <w:color w:val="000000" w:themeColor="text1"/>
          <w:kern w:val="0"/>
          <w:sz w:val="28"/>
          <w:szCs w:val="28"/>
          <w:rtl/>
          <w14:ligatures w14:val="none"/>
        </w:rPr>
        <w:t>أن هذا المدخل يسعى إلى: تحسين عمليات إدارة المخاطر في المنظمة، وتعزيز قدرة المنظمة على التعرّف على المخاطر الناشئة، وتقديم تأكيدات موضوعية عن فاعلية إجراءات الاستجابة للمخاطر، وضمان توافق ممارسات المنظمة مع أفضل الممارسات الدولية</w:t>
      </w:r>
      <w:r w:rsidRPr="00203A98">
        <w:rPr>
          <w:rFonts w:ascii="Simplified Arabic" w:eastAsia="Times New Roman" w:hAnsi="Simplified Arabic" w:cs="Simplified Arabic"/>
          <w:color w:val="000000" w:themeColor="text1"/>
          <w:kern w:val="0"/>
          <w:sz w:val="28"/>
          <w:szCs w:val="28"/>
          <w14:ligatures w14:val="none"/>
        </w:rPr>
        <w:t>.</w:t>
      </w:r>
    </w:p>
    <w:p w14:paraId="021DAEEF"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ويرى</w:t>
      </w:r>
      <w:r w:rsidRPr="00203A98">
        <w:rPr>
          <w:rFonts w:ascii="Simplified Arabic" w:eastAsia="Times New Roman" w:hAnsi="Simplified Arabic" w:cs="Simplified Arabic"/>
          <w:color w:val="000000" w:themeColor="text1"/>
          <w:kern w:val="0"/>
          <w:sz w:val="28"/>
          <w:szCs w:val="28"/>
          <w14:ligatures w14:val="none"/>
        </w:rPr>
        <w:t xml:space="preserve"> (Ardianingsih et al., 2024) </w:t>
      </w:r>
      <w:r w:rsidRPr="00203A98">
        <w:rPr>
          <w:rFonts w:ascii="Simplified Arabic" w:eastAsia="Times New Roman" w:hAnsi="Simplified Arabic" w:cs="Simplified Arabic"/>
          <w:color w:val="000000" w:themeColor="text1"/>
          <w:kern w:val="0"/>
          <w:sz w:val="28"/>
          <w:szCs w:val="28"/>
          <w:rtl/>
          <w14:ligatures w14:val="none"/>
        </w:rPr>
        <w:t>أن هذا المدخل يستهدف: تعزيز فاعلية المراجعة الداخلية بشكل عام، وتحسين جودة تقارير المراجعة، ورفع مستوى الرضا لدى أصحاب المصلحة عن مخرجات المراجعة، وتحقيق التطوير المستمر لمنظومة الرقابة الداخلية</w:t>
      </w:r>
      <w:r w:rsidRPr="00203A98">
        <w:rPr>
          <w:rFonts w:ascii="Simplified Arabic" w:eastAsia="Times New Roman" w:hAnsi="Simplified Arabic" w:cs="Simplified Arabic"/>
          <w:color w:val="000000" w:themeColor="text1"/>
          <w:kern w:val="0"/>
          <w:sz w:val="28"/>
          <w:szCs w:val="28"/>
          <w14:ligatures w14:val="none"/>
        </w:rPr>
        <w:t>.</w:t>
      </w:r>
    </w:p>
    <w:p w14:paraId="47CCBFFF" w14:textId="28E270C0" w:rsidR="002837E8" w:rsidRPr="00203A98" w:rsidRDefault="007922C2" w:rsidP="007922C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4" w:name="_Toc234229085"/>
      <w:r w:rsidRPr="00203A98">
        <w:rPr>
          <w:rFonts w:ascii="Simplified Arabic" w:eastAsia="Times New Roman" w:hAnsi="Simplified Arabic" w:cs="Simplified Arabic" w:hint="cs"/>
          <w:b/>
          <w:bCs/>
          <w:color w:val="000000" w:themeColor="text1"/>
          <w:kern w:val="0"/>
          <w:sz w:val="32"/>
          <w:szCs w:val="32"/>
          <w:rtl/>
          <w14:ligatures w14:val="none"/>
        </w:rPr>
        <w:t xml:space="preserve">5.1.2 </w:t>
      </w:r>
      <w:r w:rsidR="002837E8" w:rsidRPr="00203A98">
        <w:rPr>
          <w:rFonts w:ascii="Simplified Arabic" w:eastAsia="Times New Roman" w:hAnsi="Simplified Arabic" w:cs="Simplified Arabic"/>
          <w:b/>
          <w:bCs/>
          <w:color w:val="000000" w:themeColor="text1"/>
          <w:kern w:val="0"/>
          <w:sz w:val="32"/>
          <w:szCs w:val="32"/>
          <w:rtl/>
          <w14:ligatures w14:val="none"/>
        </w:rPr>
        <w:t>أبعاد المراجعة الداخلية المبنية على المخاطر</w:t>
      </w:r>
      <w:bookmarkEnd w:id="24"/>
    </w:p>
    <w:p w14:paraId="14EE63D2"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تم تحديد أبعاد المراجعة الداخلية المبنية على المخاطر في الدراسة الحالية بناءً على استقراء الأدبيات المحاسبية والدراسات السابقة، وبالاعتماد بشكل رئيسي على ما ورد في دراسات كلٍّ من</w:t>
      </w:r>
      <w:r w:rsidRPr="00203A98">
        <w:rPr>
          <w:rFonts w:ascii="Simplified Arabic" w:eastAsia="Times New Roman" w:hAnsi="Simplified Arabic" w:cs="Simplified Arabic"/>
          <w:color w:val="000000" w:themeColor="text1"/>
          <w:kern w:val="0"/>
          <w:sz w:val="28"/>
          <w:szCs w:val="28"/>
          <w14:ligatures w14:val="none"/>
        </w:rPr>
        <w:t xml:space="preserve"> (Kzykeyeva, </w:t>
      </w:r>
      <w:r w:rsidRPr="00203A98">
        <w:rPr>
          <w:rFonts w:ascii="Simplified Arabic" w:eastAsia="Times New Roman" w:hAnsi="Simplified Arabic" w:cs="Simplified Arabic"/>
          <w:color w:val="000000" w:themeColor="text1"/>
          <w:kern w:val="0"/>
          <w:sz w:val="28"/>
          <w:szCs w:val="28"/>
          <w14:ligatures w14:val="none"/>
        </w:rPr>
        <w:lastRenderedPageBreak/>
        <w:t>2022</w:t>
      </w:r>
      <w:r w:rsidRPr="00203A98">
        <w:rPr>
          <w:rFonts w:ascii="Simplified Arabic" w:eastAsia="Times New Roman" w:hAnsi="Simplified Arabic" w:cs="Simplified Arabic"/>
          <w:color w:val="000000" w:themeColor="text1"/>
          <w:kern w:val="0"/>
          <w:sz w:val="28"/>
          <w:szCs w:val="28"/>
          <w:rtl/>
          <w14:ligatures w14:val="none"/>
        </w:rPr>
        <w:t>؛</w:t>
      </w:r>
      <w:r w:rsidRPr="00203A98">
        <w:rPr>
          <w:rFonts w:ascii="Simplified Arabic" w:eastAsia="Times New Roman" w:hAnsi="Simplified Arabic" w:cs="Simplified Arabic"/>
          <w:color w:val="000000" w:themeColor="text1"/>
          <w:kern w:val="0"/>
          <w:sz w:val="28"/>
          <w:szCs w:val="28"/>
          <w14:ligatures w14:val="none"/>
        </w:rPr>
        <w:t xml:space="preserve"> Attaf &amp; Bensbahou, 2025</w:t>
      </w:r>
      <w:r w:rsidRPr="00203A98">
        <w:rPr>
          <w:rFonts w:ascii="Simplified Arabic" w:eastAsia="Times New Roman" w:hAnsi="Simplified Arabic" w:cs="Simplified Arabic"/>
          <w:color w:val="000000" w:themeColor="text1"/>
          <w:kern w:val="0"/>
          <w:sz w:val="28"/>
          <w:szCs w:val="28"/>
          <w:rtl/>
          <w14:ligatures w14:val="none"/>
        </w:rPr>
        <w:t>؛</w:t>
      </w:r>
      <w:r w:rsidRPr="00203A98">
        <w:rPr>
          <w:rFonts w:ascii="Simplified Arabic" w:eastAsia="Times New Roman" w:hAnsi="Simplified Arabic" w:cs="Simplified Arabic"/>
          <w:color w:val="000000" w:themeColor="text1"/>
          <w:kern w:val="0"/>
          <w:sz w:val="28"/>
          <w:szCs w:val="28"/>
          <w14:ligatures w14:val="none"/>
        </w:rPr>
        <w:t xml:space="preserve"> Ardianingsih &amp; Payamta, 2022</w:t>
      </w:r>
      <w:r w:rsidRPr="00203A98">
        <w:rPr>
          <w:rFonts w:ascii="Simplified Arabic" w:eastAsia="Times New Roman" w:hAnsi="Simplified Arabic" w:cs="Simplified Arabic"/>
          <w:color w:val="000000" w:themeColor="text1"/>
          <w:kern w:val="0"/>
          <w:sz w:val="28"/>
          <w:szCs w:val="28"/>
          <w:rtl/>
          <w14:ligatures w14:val="none"/>
        </w:rPr>
        <w:t>؛</w:t>
      </w:r>
      <w:r w:rsidRPr="00203A98">
        <w:rPr>
          <w:rFonts w:ascii="Simplified Arabic" w:eastAsia="Times New Roman" w:hAnsi="Simplified Arabic" w:cs="Simplified Arabic"/>
          <w:color w:val="000000" w:themeColor="text1"/>
          <w:kern w:val="0"/>
          <w:sz w:val="28"/>
          <w:szCs w:val="28"/>
          <w14:ligatures w14:val="none"/>
        </w:rPr>
        <w:t xml:space="preserve"> Mujalli, 2024)</w:t>
      </w:r>
      <w:r w:rsidRPr="00203A98">
        <w:rPr>
          <w:rFonts w:ascii="Simplified Arabic" w:eastAsia="Times New Roman" w:hAnsi="Simplified Arabic" w:cs="Simplified Arabic"/>
          <w:color w:val="000000" w:themeColor="text1"/>
          <w:kern w:val="0"/>
          <w:sz w:val="28"/>
          <w:szCs w:val="28"/>
          <w:rtl/>
          <w14:ligatures w14:val="none"/>
        </w:rPr>
        <w:t>، والتي أجمعت على أن هذا المدخل يقوم على أربعة أبعاد أساسية متكاملة ومترابطة، هي: تحديد المخاطر، وتقييم المخاطر، والاستجابة للمخاطر، ومراقبة المخاطر</w:t>
      </w:r>
      <w:r w:rsidRPr="00203A98">
        <w:rPr>
          <w:rFonts w:ascii="Simplified Arabic" w:eastAsia="Times New Roman" w:hAnsi="Simplified Arabic" w:cs="Simplified Arabic"/>
          <w:color w:val="000000" w:themeColor="text1"/>
          <w:kern w:val="0"/>
          <w:sz w:val="28"/>
          <w:szCs w:val="28"/>
          <w14:ligatures w14:val="none"/>
        </w:rPr>
        <w:t>.</w:t>
      </w:r>
    </w:p>
    <w:p w14:paraId="18783307" w14:textId="77777777" w:rsidR="002837E8" w:rsidRPr="00203A98" w:rsidRDefault="002837E8" w:rsidP="007922C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03A98">
        <w:rPr>
          <w:rFonts w:ascii="Simplified Arabic" w:eastAsia="Times New Roman" w:hAnsi="Simplified Arabic" w:cs="Simplified Arabic"/>
          <w:b/>
          <w:bCs/>
          <w:color w:val="000000" w:themeColor="text1"/>
          <w:kern w:val="0"/>
          <w:sz w:val="28"/>
          <w:szCs w:val="28"/>
          <w:rtl/>
          <w14:ligatures w14:val="none"/>
        </w:rPr>
        <w:t>البعد الأول: تحديد المخاطر</w:t>
      </w:r>
      <w:r w:rsidRPr="00203A98">
        <w:rPr>
          <w:rFonts w:ascii="Simplified Arabic" w:eastAsia="Times New Roman" w:hAnsi="Simplified Arabic" w:cs="Simplified Arabic"/>
          <w:b/>
          <w:bCs/>
          <w:color w:val="000000" w:themeColor="text1"/>
          <w:kern w:val="0"/>
          <w:sz w:val="28"/>
          <w:szCs w:val="28"/>
          <w14:ligatures w14:val="none"/>
        </w:rPr>
        <w:t xml:space="preserve"> (Risk Identification)</w:t>
      </w:r>
    </w:p>
    <w:p w14:paraId="564A4ECF"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يُمثّل بُعد تحديد المخاطر نقطة الانطلاق في منظومة المراجعة الداخلية المبنية على المخاطر، إذ لا يُمكن للمنظمة أن تُدير مخاطرها بفاعلية ما لم تتمكن أولاً من التعرّف عليها بشكل شامل ودقيق. ويتضمّن هذا البُعد رصد جميع المخاطر الفعلية والمحتملة التي قد تُؤثّر على قدرة المنظمة على تحقيق أهدافها الاستراتيجية والتشغيلية والمالية ومخاطر الامتثال، سواء أكانت مخاطر داخلية تنبع من طبيعة العمليات والأنشطة داخل المنظمة، أم مخاطر خارجية مصدرها البيئة الاقتصادية والسياسية والتنظيمية المحيطة</w:t>
      </w:r>
      <w:r w:rsidRPr="00203A98">
        <w:rPr>
          <w:rFonts w:ascii="Simplified Arabic" w:eastAsia="Times New Roman" w:hAnsi="Simplified Arabic" w:cs="Simplified Arabic"/>
          <w:color w:val="000000" w:themeColor="text1"/>
          <w:kern w:val="0"/>
          <w:sz w:val="28"/>
          <w:szCs w:val="28"/>
          <w14:ligatures w14:val="none"/>
        </w:rPr>
        <w:t xml:space="preserve"> (Kzykeyeva, 2022).</w:t>
      </w:r>
    </w:p>
    <w:p w14:paraId="7BBE4F09"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ويستلزم هذا البُعد استخدام أدوات وأساليب متعددة لضمان شمولية عملية التحديد، منها المقابلات المُنظّمة مع الإدارة العليا ومديري الوحدات التنظيمية، وورش العمل الجماعية التي تجمع خبرات مختلف الأطراف المعنية، وتحليل البيانات التاريخية للأحداث والحوادث السابقة، ومراجعة التقارير الداخلية والخارجية، وتحليل البيئة الخارجية للمنظمة باستخدام أدوات كتحليل</w:t>
      </w:r>
      <w:r w:rsidRPr="00203A98">
        <w:rPr>
          <w:rFonts w:ascii="Simplified Arabic" w:eastAsia="Times New Roman" w:hAnsi="Simplified Arabic" w:cs="Simplified Arabic"/>
          <w:color w:val="000000" w:themeColor="text1"/>
          <w:kern w:val="0"/>
          <w:sz w:val="28"/>
          <w:szCs w:val="28"/>
          <w14:ligatures w14:val="none"/>
        </w:rPr>
        <w:t xml:space="preserve"> (PESTEL) </w:t>
      </w:r>
      <w:r w:rsidRPr="00203A98">
        <w:rPr>
          <w:rFonts w:ascii="Simplified Arabic" w:eastAsia="Times New Roman" w:hAnsi="Simplified Arabic" w:cs="Simplified Arabic"/>
          <w:color w:val="000000" w:themeColor="text1"/>
          <w:kern w:val="0"/>
          <w:sz w:val="28"/>
          <w:szCs w:val="28"/>
          <w:rtl/>
          <w14:ligatures w14:val="none"/>
        </w:rPr>
        <w:t>و</w:t>
      </w:r>
      <w:r w:rsidRPr="00203A98">
        <w:rPr>
          <w:rFonts w:ascii="Simplified Arabic" w:eastAsia="Times New Roman" w:hAnsi="Simplified Arabic" w:cs="Simplified Arabic"/>
          <w:color w:val="000000" w:themeColor="text1"/>
          <w:kern w:val="0"/>
          <w:sz w:val="28"/>
          <w:szCs w:val="28"/>
          <w14:ligatures w14:val="none"/>
        </w:rPr>
        <w:t xml:space="preserve">(SWOT). </w:t>
      </w:r>
      <w:r w:rsidRPr="00203A98">
        <w:rPr>
          <w:rFonts w:ascii="Simplified Arabic" w:eastAsia="Times New Roman" w:hAnsi="Simplified Arabic" w:cs="Simplified Arabic"/>
          <w:color w:val="000000" w:themeColor="text1"/>
          <w:kern w:val="0"/>
          <w:sz w:val="28"/>
          <w:szCs w:val="28"/>
          <w:rtl/>
          <w14:ligatures w14:val="none"/>
        </w:rPr>
        <w:t>كما يعتمد هذا البُعد على قوائم مرجعية شاملة تُصنّف المخاطر وفق فئات متنوعة تُيسّر عملية الرصد المنهجي</w:t>
      </w:r>
      <w:r w:rsidRPr="00203A98">
        <w:rPr>
          <w:rFonts w:ascii="Simplified Arabic" w:eastAsia="Times New Roman" w:hAnsi="Simplified Arabic" w:cs="Simplified Arabic"/>
          <w:color w:val="000000" w:themeColor="text1"/>
          <w:kern w:val="0"/>
          <w:sz w:val="28"/>
          <w:szCs w:val="28"/>
          <w14:ligatures w14:val="none"/>
        </w:rPr>
        <w:t>.</w:t>
      </w:r>
    </w:p>
    <w:p w14:paraId="4EEB056E"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ويكتسب هذا البُعد أهمية خاصة في ضوء التطورات المتلاحقة في بيئة الأعمال، إذ تظهر باستمرار مخاطر جديدة كالمخاطر السيبرانية ومخاطر الاستدامة ومخاطر التحول الرقمي، مما يستوجب تحديث عملية تحديد المخاطر بشكل دوري لاستيعاب هذه المخاطر الناشئة</w:t>
      </w:r>
      <w:r w:rsidRPr="00203A98">
        <w:rPr>
          <w:rFonts w:ascii="Simplified Arabic" w:eastAsia="Times New Roman" w:hAnsi="Simplified Arabic" w:cs="Simplified Arabic"/>
          <w:color w:val="000000" w:themeColor="text1"/>
          <w:kern w:val="0"/>
          <w:sz w:val="28"/>
          <w:szCs w:val="28"/>
          <w14:ligatures w14:val="none"/>
        </w:rPr>
        <w:t xml:space="preserve"> (Almgrashi &amp; Mujalli, 2024).</w:t>
      </w:r>
    </w:p>
    <w:p w14:paraId="293C1BDD" w14:textId="77777777" w:rsidR="002837E8" w:rsidRPr="00203A98" w:rsidRDefault="002837E8" w:rsidP="007922C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03A98">
        <w:rPr>
          <w:rFonts w:ascii="Simplified Arabic" w:eastAsia="Times New Roman" w:hAnsi="Simplified Arabic" w:cs="Simplified Arabic"/>
          <w:b/>
          <w:bCs/>
          <w:color w:val="000000" w:themeColor="text1"/>
          <w:kern w:val="0"/>
          <w:sz w:val="28"/>
          <w:szCs w:val="28"/>
          <w:rtl/>
          <w14:ligatures w14:val="none"/>
        </w:rPr>
        <w:t>البعد الثاني: تقييم المخاطر</w:t>
      </w:r>
      <w:r w:rsidRPr="00203A98">
        <w:rPr>
          <w:rFonts w:ascii="Simplified Arabic" w:eastAsia="Times New Roman" w:hAnsi="Simplified Arabic" w:cs="Simplified Arabic"/>
          <w:b/>
          <w:bCs/>
          <w:color w:val="000000" w:themeColor="text1"/>
          <w:kern w:val="0"/>
          <w:sz w:val="28"/>
          <w:szCs w:val="28"/>
          <w14:ligatures w14:val="none"/>
        </w:rPr>
        <w:t xml:space="preserve"> (Risk Assessment)</w:t>
      </w:r>
    </w:p>
    <w:p w14:paraId="0205AB08"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يأتي بُعد تقييم المخاطر في المرتبة الثانية بعد تحديدها، ويستهدف تقدير أهمية كل خطر بناءً على مؤشرين رئيسيين، هما احتمالية حدوث الخطر وحجم تأثيره المتوقع في حال حدوثه على تحقيق أهداف المنظمة. ويُتيح هذا البُعد ترتيب المخاطر تنازلياً حسب أهميتها، مما يُوفّر أساساً موضوعياً لتوجيه موارد المراجعة نحو المخاطر ذات الأولوية العليا</w:t>
      </w:r>
      <w:r w:rsidRPr="00203A98">
        <w:rPr>
          <w:rFonts w:ascii="Simplified Arabic" w:eastAsia="Times New Roman" w:hAnsi="Simplified Arabic" w:cs="Simplified Arabic"/>
          <w:color w:val="000000" w:themeColor="text1"/>
          <w:kern w:val="0"/>
          <w:sz w:val="28"/>
          <w:szCs w:val="28"/>
          <w14:ligatures w14:val="none"/>
        </w:rPr>
        <w:t xml:space="preserve"> (Ardianingsih &amp; Payamta, 2022).</w:t>
      </w:r>
    </w:p>
    <w:p w14:paraId="2E7EF8CC"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lastRenderedPageBreak/>
        <w:t>ويعتمد تقييم المخاطر على مجموعة من الأدوات والأساليب الكمية والنوعية، من أبرزها مصفوفات تقييم المخاطر</w:t>
      </w:r>
      <w:r w:rsidRPr="00203A98">
        <w:rPr>
          <w:rFonts w:ascii="Simplified Arabic" w:eastAsia="Times New Roman" w:hAnsi="Simplified Arabic" w:cs="Simplified Arabic"/>
          <w:color w:val="000000" w:themeColor="text1"/>
          <w:kern w:val="0"/>
          <w:sz w:val="28"/>
          <w:szCs w:val="28"/>
          <w14:ligatures w14:val="none"/>
        </w:rPr>
        <w:t xml:space="preserve"> (Risk Assessment Matrices) </w:t>
      </w:r>
      <w:r w:rsidRPr="00203A98">
        <w:rPr>
          <w:rFonts w:ascii="Simplified Arabic" w:eastAsia="Times New Roman" w:hAnsi="Simplified Arabic" w:cs="Simplified Arabic"/>
          <w:color w:val="000000" w:themeColor="text1"/>
          <w:kern w:val="0"/>
          <w:sz w:val="28"/>
          <w:szCs w:val="28"/>
          <w:rtl/>
          <w14:ligatures w14:val="none"/>
        </w:rPr>
        <w:t>التي تُصنّف المخاطر ضمن مستويات متعددة (منخفض، متوسط، مرتفع، شديد)، وأساليب التحليل النوعي التي تعتمد على الحكم المهني للخبراء، وأساليب التحليل الكمي التي تستخدم النماذج الإحصائية والرياضية لقياس المخاطر بشكل موضوعي. وقد أشار</w:t>
      </w:r>
      <w:r w:rsidRPr="00203A98">
        <w:rPr>
          <w:rFonts w:ascii="Simplified Arabic" w:eastAsia="Times New Roman" w:hAnsi="Simplified Arabic" w:cs="Simplified Arabic"/>
          <w:color w:val="000000" w:themeColor="text1"/>
          <w:kern w:val="0"/>
          <w:sz w:val="28"/>
          <w:szCs w:val="28"/>
          <w14:ligatures w14:val="none"/>
        </w:rPr>
        <w:t xml:space="preserve"> (Wang et al., 2025) </w:t>
      </w:r>
      <w:r w:rsidRPr="00203A98">
        <w:rPr>
          <w:rFonts w:ascii="Simplified Arabic" w:eastAsia="Times New Roman" w:hAnsi="Simplified Arabic" w:cs="Simplified Arabic"/>
          <w:color w:val="000000" w:themeColor="text1"/>
          <w:kern w:val="0"/>
          <w:sz w:val="28"/>
          <w:szCs w:val="28"/>
          <w:rtl/>
          <w14:ligatures w14:val="none"/>
        </w:rPr>
        <w:t>إلى إمكانية توظيف أساليب الأمثلة متعددة الأهداف في تقييم المخاطر بما يُحسّن دقة العملية وموضوعيتها</w:t>
      </w:r>
      <w:r w:rsidRPr="00203A98">
        <w:rPr>
          <w:rFonts w:ascii="Simplified Arabic" w:eastAsia="Times New Roman" w:hAnsi="Simplified Arabic" w:cs="Simplified Arabic"/>
          <w:color w:val="000000" w:themeColor="text1"/>
          <w:kern w:val="0"/>
          <w:sz w:val="28"/>
          <w:szCs w:val="28"/>
          <w14:ligatures w14:val="none"/>
        </w:rPr>
        <w:t>.</w:t>
      </w:r>
    </w:p>
    <w:p w14:paraId="581B6800"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كما يستلزم هذا البُعد الأخذ بعين الاعتبار مفهومي شهية المخاطر</w:t>
      </w:r>
      <w:r w:rsidRPr="00203A98">
        <w:rPr>
          <w:rFonts w:ascii="Simplified Arabic" w:eastAsia="Times New Roman" w:hAnsi="Simplified Arabic" w:cs="Simplified Arabic"/>
          <w:color w:val="000000" w:themeColor="text1"/>
          <w:kern w:val="0"/>
          <w:sz w:val="28"/>
          <w:szCs w:val="28"/>
          <w14:ligatures w14:val="none"/>
        </w:rPr>
        <w:t xml:space="preserve"> (Risk Appetite) </w:t>
      </w:r>
      <w:r w:rsidRPr="00203A98">
        <w:rPr>
          <w:rFonts w:ascii="Simplified Arabic" w:eastAsia="Times New Roman" w:hAnsi="Simplified Arabic" w:cs="Simplified Arabic"/>
          <w:color w:val="000000" w:themeColor="text1"/>
          <w:kern w:val="0"/>
          <w:sz w:val="28"/>
          <w:szCs w:val="28"/>
          <w:rtl/>
          <w14:ligatures w14:val="none"/>
        </w:rPr>
        <w:t>والقدرة على تحمّل المخاطر</w:t>
      </w:r>
      <w:r w:rsidRPr="00203A98">
        <w:rPr>
          <w:rFonts w:ascii="Simplified Arabic" w:eastAsia="Times New Roman" w:hAnsi="Simplified Arabic" w:cs="Simplified Arabic"/>
          <w:color w:val="000000" w:themeColor="text1"/>
          <w:kern w:val="0"/>
          <w:sz w:val="28"/>
          <w:szCs w:val="28"/>
          <w14:ligatures w14:val="none"/>
        </w:rPr>
        <w:t xml:space="preserve"> (Risk Tolerance) </w:t>
      </w:r>
      <w:r w:rsidRPr="00203A98">
        <w:rPr>
          <w:rFonts w:ascii="Simplified Arabic" w:eastAsia="Times New Roman" w:hAnsi="Simplified Arabic" w:cs="Simplified Arabic"/>
          <w:color w:val="000000" w:themeColor="text1"/>
          <w:kern w:val="0"/>
          <w:sz w:val="28"/>
          <w:szCs w:val="28"/>
          <w:rtl/>
          <w14:ligatures w14:val="none"/>
        </w:rPr>
        <w:t>اللذين تُحدّدهما الإدارة العليا ومجلس الإدارة، وذلك لتحديد المستويات المقبولة من المخاطر التي تستطيع المنظمة العمل ضمن حدودها</w:t>
      </w:r>
      <w:r w:rsidRPr="00203A98">
        <w:rPr>
          <w:rFonts w:ascii="Simplified Arabic" w:eastAsia="Times New Roman" w:hAnsi="Simplified Arabic" w:cs="Simplified Arabic"/>
          <w:color w:val="000000" w:themeColor="text1"/>
          <w:kern w:val="0"/>
          <w:sz w:val="28"/>
          <w:szCs w:val="28"/>
          <w14:ligatures w14:val="none"/>
        </w:rPr>
        <w:t>.</w:t>
      </w:r>
    </w:p>
    <w:p w14:paraId="2E71BA31" w14:textId="77777777" w:rsidR="002837E8" w:rsidRPr="00203A98" w:rsidRDefault="002837E8" w:rsidP="007922C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03A98">
        <w:rPr>
          <w:rFonts w:ascii="Simplified Arabic" w:eastAsia="Times New Roman" w:hAnsi="Simplified Arabic" w:cs="Simplified Arabic"/>
          <w:b/>
          <w:bCs/>
          <w:color w:val="000000" w:themeColor="text1"/>
          <w:kern w:val="0"/>
          <w:sz w:val="28"/>
          <w:szCs w:val="28"/>
          <w:rtl/>
          <w14:ligatures w14:val="none"/>
        </w:rPr>
        <w:t>البعد الثالث: الاستجابة للمخاطر</w:t>
      </w:r>
      <w:r w:rsidRPr="00203A98">
        <w:rPr>
          <w:rFonts w:ascii="Simplified Arabic" w:eastAsia="Times New Roman" w:hAnsi="Simplified Arabic" w:cs="Simplified Arabic"/>
          <w:b/>
          <w:bCs/>
          <w:color w:val="000000" w:themeColor="text1"/>
          <w:kern w:val="0"/>
          <w:sz w:val="28"/>
          <w:szCs w:val="28"/>
          <w14:ligatures w14:val="none"/>
        </w:rPr>
        <w:t xml:space="preserve"> (Risk Response)</w:t>
      </w:r>
    </w:p>
    <w:p w14:paraId="5C00BCBF"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يتضمّن بُعد الاستجابة للمخاطر اتخاذ الإجراءات المناسبة للتعامل مع كل خطر بناءً على نتائج التقييم، وذلك عبر مجموعة من الخيارات الاستراتيجية التي تشمل: تجنّب المخاطر</w:t>
      </w:r>
      <w:r w:rsidRPr="00203A98">
        <w:rPr>
          <w:rFonts w:ascii="Simplified Arabic" w:eastAsia="Times New Roman" w:hAnsi="Simplified Arabic" w:cs="Simplified Arabic"/>
          <w:color w:val="000000" w:themeColor="text1"/>
          <w:kern w:val="0"/>
          <w:sz w:val="28"/>
          <w:szCs w:val="28"/>
          <w14:ligatures w14:val="none"/>
        </w:rPr>
        <w:t xml:space="preserve"> (Risk Avoidance) </w:t>
      </w:r>
      <w:r w:rsidRPr="00203A98">
        <w:rPr>
          <w:rFonts w:ascii="Simplified Arabic" w:eastAsia="Times New Roman" w:hAnsi="Simplified Arabic" w:cs="Simplified Arabic"/>
          <w:color w:val="000000" w:themeColor="text1"/>
          <w:kern w:val="0"/>
          <w:sz w:val="28"/>
          <w:szCs w:val="28"/>
          <w:rtl/>
          <w14:ligatures w14:val="none"/>
        </w:rPr>
        <w:t>بالتخلي عن النشاط الذي يُنتجها، وتحويل المخاطر</w:t>
      </w:r>
      <w:r w:rsidRPr="00203A98">
        <w:rPr>
          <w:rFonts w:ascii="Simplified Arabic" w:eastAsia="Times New Roman" w:hAnsi="Simplified Arabic" w:cs="Simplified Arabic"/>
          <w:color w:val="000000" w:themeColor="text1"/>
          <w:kern w:val="0"/>
          <w:sz w:val="28"/>
          <w:szCs w:val="28"/>
          <w14:ligatures w14:val="none"/>
        </w:rPr>
        <w:t xml:space="preserve"> (Risk Transfer) </w:t>
      </w:r>
      <w:r w:rsidRPr="00203A98">
        <w:rPr>
          <w:rFonts w:ascii="Simplified Arabic" w:eastAsia="Times New Roman" w:hAnsi="Simplified Arabic" w:cs="Simplified Arabic"/>
          <w:color w:val="000000" w:themeColor="text1"/>
          <w:kern w:val="0"/>
          <w:sz w:val="28"/>
          <w:szCs w:val="28"/>
          <w:rtl/>
          <w14:ligatures w14:val="none"/>
        </w:rPr>
        <w:t>إلى أطراف أخرى كشركات التأمين، وتخفيف المخاطر</w:t>
      </w:r>
      <w:r w:rsidRPr="00203A98">
        <w:rPr>
          <w:rFonts w:ascii="Simplified Arabic" w:eastAsia="Times New Roman" w:hAnsi="Simplified Arabic" w:cs="Simplified Arabic"/>
          <w:color w:val="000000" w:themeColor="text1"/>
          <w:kern w:val="0"/>
          <w:sz w:val="28"/>
          <w:szCs w:val="28"/>
          <w14:ligatures w14:val="none"/>
        </w:rPr>
        <w:t xml:space="preserve"> (Risk Mitigation) </w:t>
      </w:r>
      <w:r w:rsidRPr="00203A98">
        <w:rPr>
          <w:rFonts w:ascii="Simplified Arabic" w:eastAsia="Times New Roman" w:hAnsi="Simplified Arabic" w:cs="Simplified Arabic"/>
          <w:color w:val="000000" w:themeColor="text1"/>
          <w:kern w:val="0"/>
          <w:sz w:val="28"/>
          <w:szCs w:val="28"/>
          <w:rtl/>
          <w14:ligatures w14:val="none"/>
        </w:rPr>
        <w:t>بتطبيق ضوابط رقابية تُقلّل من احتمالية حدوثها أو حجم تأثيرها، وقبول المخاطر</w:t>
      </w:r>
      <w:r w:rsidRPr="00203A98">
        <w:rPr>
          <w:rFonts w:ascii="Simplified Arabic" w:eastAsia="Times New Roman" w:hAnsi="Simplified Arabic" w:cs="Simplified Arabic"/>
          <w:color w:val="000000" w:themeColor="text1"/>
          <w:kern w:val="0"/>
          <w:sz w:val="28"/>
          <w:szCs w:val="28"/>
          <w14:ligatures w14:val="none"/>
        </w:rPr>
        <w:t xml:space="preserve"> (Risk Acceptance) </w:t>
      </w:r>
      <w:r w:rsidRPr="00203A98">
        <w:rPr>
          <w:rFonts w:ascii="Simplified Arabic" w:eastAsia="Times New Roman" w:hAnsi="Simplified Arabic" w:cs="Simplified Arabic"/>
          <w:color w:val="000000" w:themeColor="text1"/>
          <w:kern w:val="0"/>
          <w:sz w:val="28"/>
          <w:szCs w:val="28"/>
          <w:rtl/>
          <w14:ligatures w14:val="none"/>
        </w:rPr>
        <w:t>عندما تكون تكلفة معالجتها أعلى من تكلفة تحمّلها</w:t>
      </w:r>
      <w:r w:rsidRPr="00203A98">
        <w:rPr>
          <w:rFonts w:ascii="Simplified Arabic" w:eastAsia="Times New Roman" w:hAnsi="Simplified Arabic" w:cs="Simplified Arabic"/>
          <w:color w:val="000000" w:themeColor="text1"/>
          <w:kern w:val="0"/>
          <w:sz w:val="28"/>
          <w:szCs w:val="28"/>
          <w14:ligatures w14:val="none"/>
        </w:rPr>
        <w:t xml:space="preserve"> (Attaf &amp; Bensbahou, 2025).</w:t>
      </w:r>
    </w:p>
    <w:p w14:paraId="2355C826"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ويتطلّب هذا البُعد إجراء تحليل موضوعي للتكاليف والمنافع المرتبطة بكل خيار من خيارات الاستجابة، وذلك للوصول إلى القرار الأمثل الذي يُحقّق التوازن بين تخفيض المخاطر وترشيد الموارد المخصّصة للاستجابة. كما يستلزم توثيق قرارات الاستجابة وأسبابها وتحديد الأطراف المسؤولة عن تنفيذها والجداول الزمنية المرتبطة بها</w:t>
      </w:r>
      <w:r w:rsidRPr="00203A98">
        <w:rPr>
          <w:rFonts w:ascii="Simplified Arabic" w:eastAsia="Times New Roman" w:hAnsi="Simplified Arabic" w:cs="Simplified Arabic"/>
          <w:color w:val="000000" w:themeColor="text1"/>
          <w:kern w:val="0"/>
          <w:sz w:val="28"/>
          <w:szCs w:val="28"/>
          <w14:ligatures w14:val="none"/>
        </w:rPr>
        <w:t>.</w:t>
      </w:r>
    </w:p>
    <w:p w14:paraId="2CEC2EB3" w14:textId="77777777" w:rsidR="002837E8" w:rsidRPr="00203A98" w:rsidRDefault="002837E8" w:rsidP="007922C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03A98">
        <w:rPr>
          <w:rFonts w:ascii="Simplified Arabic" w:eastAsia="Times New Roman" w:hAnsi="Simplified Arabic" w:cs="Simplified Arabic"/>
          <w:b/>
          <w:bCs/>
          <w:color w:val="000000" w:themeColor="text1"/>
          <w:kern w:val="0"/>
          <w:sz w:val="28"/>
          <w:szCs w:val="28"/>
          <w:rtl/>
          <w14:ligatures w14:val="none"/>
        </w:rPr>
        <w:t>البعد الرابع: مراقبة المخاطر</w:t>
      </w:r>
      <w:r w:rsidRPr="00203A98">
        <w:rPr>
          <w:rFonts w:ascii="Simplified Arabic" w:eastAsia="Times New Roman" w:hAnsi="Simplified Arabic" w:cs="Simplified Arabic"/>
          <w:b/>
          <w:bCs/>
          <w:color w:val="000000" w:themeColor="text1"/>
          <w:kern w:val="0"/>
          <w:sz w:val="28"/>
          <w:szCs w:val="28"/>
          <w14:ligatures w14:val="none"/>
        </w:rPr>
        <w:t xml:space="preserve"> (Risk Monitoring)</w:t>
      </w:r>
    </w:p>
    <w:p w14:paraId="7BC85B25"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 xml:space="preserve">يُمثّل بُعد مراقبة المخاطر البُعد الرابع والأخير في منظومة المراجعة الداخلية المبنية على المخاطر، ويتضمّن المتابعة المستمرة والمنتظمة للمخاطر ولاستجابات المنظمة لها، وذلك للتحقق من فاعلية الإجراءات </w:t>
      </w:r>
      <w:r w:rsidRPr="00203A98">
        <w:rPr>
          <w:rFonts w:ascii="Simplified Arabic" w:eastAsia="Times New Roman" w:hAnsi="Simplified Arabic" w:cs="Simplified Arabic"/>
          <w:color w:val="000000" w:themeColor="text1"/>
          <w:kern w:val="0"/>
          <w:sz w:val="28"/>
          <w:szCs w:val="28"/>
          <w:rtl/>
          <w14:ligatures w14:val="none"/>
        </w:rPr>
        <w:lastRenderedPageBreak/>
        <w:t>المتخذة ورصد أي تغيّرات قد تطرأ على طبيعة المخاطر أو مستوياتها. كما يشمل هذا البُعد إعداد تقارير دورية للإدارة العليا ومجلس الإدارة تُوضّح الوضع الراهن للمخاطر ومدى فاعلية الاستجابات المطبّقة</w:t>
      </w:r>
      <w:r w:rsidRPr="00203A98">
        <w:rPr>
          <w:rFonts w:ascii="Simplified Arabic" w:eastAsia="Times New Roman" w:hAnsi="Simplified Arabic" w:cs="Simplified Arabic"/>
          <w:color w:val="000000" w:themeColor="text1"/>
          <w:kern w:val="0"/>
          <w:sz w:val="28"/>
          <w:szCs w:val="28"/>
          <w14:ligatures w14:val="none"/>
        </w:rPr>
        <w:t xml:space="preserve"> (Ardianingsih et al., 2024).</w:t>
      </w:r>
    </w:p>
    <w:p w14:paraId="505D9DA4"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ويعتمد هذا البُعد على توظيف مؤشرات الأداء الرئيسية</w:t>
      </w:r>
      <w:r w:rsidRPr="00203A98">
        <w:rPr>
          <w:rFonts w:ascii="Simplified Arabic" w:eastAsia="Times New Roman" w:hAnsi="Simplified Arabic" w:cs="Simplified Arabic"/>
          <w:color w:val="000000" w:themeColor="text1"/>
          <w:kern w:val="0"/>
          <w:sz w:val="28"/>
          <w:szCs w:val="28"/>
          <w14:ligatures w14:val="none"/>
        </w:rPr>
        <w:t xml:space="preserve"> (KPIs) </w:t>
      </w:r>
      <w:r w:rsidRPr="00203A98">
        <w:rPr>
          <w:rFonts w:ascii="Simplified Arabic" w:eastAsia="Times New Roman" w:hAnsi="Simplified Arabic" w:cs="Simplified Arabic"/>
          <w:color w:val="000000" w:themeColor="text1"/>
          <w:kern w:val="0"/>
          <w:sz w:val="28"/>
          <w:szCs w:val="28"/>
          <w:rtl/>
          <w14:ligatures w14:val="none"/>
        </w:rPr>
        <w:t>ومؤشرات المخاطر الرئيسية</w:t>
      </w:r>
      <w:r w:rsidRPr="00203A98">
        <w:rPr>
          <w:rFonts w:ascii="Simplified Arabic" w:eastAsia="Times New Roman" w:hAnsi="Simplified Arabic" w:cs="Simplified Arabic"/>
          <w:color w:val="000000" w:themeColor="text1"/>
          <w:kern w:val="0"/>
          <w:sz w:val="28"/>
          <w:szCs w:val="28"/>
          <w14:ligatures w14:val="none"/>
        </w:rPr>
        <w:t xml:space="preserve"> (KRIs) </w:t>
      </w:r>
      <w:r w:rsidRPr="00203A98">
        <w:rPr>
          <w:rFonts w:ascii="Simplified Arabic" w:eastAsia="Times New Roman" w:hAnsi="Simplified Arabic" w:cs="Simplified Arabic"/>
          <w:color w:val="000000" w:themeColor="text1"/>
          <w:kern w:val="0"/>
          <w:sz w:val="28"/>
          <w:szCs w:val="28"/>
          <w:rtl/>
          <w14:ligatures w14:val="none"/>
        </w:rPr>
        <w:t>لقياس فاعلية عمليات إدارة المخاطر بشكل موضوعي، فضلاً عن استخدام أنظمة الإنذار المبكر لرصد التغيّرات في مستويات المخاطر قبل تفاقمها. كما يستلزم هذا البُعد المراجعة الدورية لخريطة المخاطر وتحديثها بما يعكس التغيّرات في بيئة الأعمال</w:t>
      </w:r>
      <w:r w:rsidRPr="00203A98">
        <w:rPr>
          <w:rFonts w:ascii="Simplified Arabic" w:eastAsia="Times New Roman" w:hAnsi="Simplified Arabic" w:cs="Simplified Arabic"/>
          <w:color w:val="000000" w:themeColor="text1"/>
          <w:kern w:val="0"/>
          <w:sz w:val="28"/>
          <w:szCs w:val="28"/>
          <w14:ligatures w14:val="none"/>
        </w:rPr>
        <w:t>.</w:t>
      </w:r>
    </w:p>
    <w:p w14:paraId="32757884" w14:textId="77777777" w:rsidR="002837E8" w:rsidRPr="00203A98" w:rsidRDefault="002837E8" w:rsidP="007922C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03A98">
        <w:rPr>
          <w:rFonts w:ascii="Simplified Arabic" w:eastAsia="Times New Roman" w:hAnsi="Simplified Arabic" w:cs="Simplified Arabic"/>
          <w:b/>
          <w:bCs/>
          <w:color w:val="000000" w:themeColor="text1"/>
          <w:kern w:val="0"/>
          <w:sz w:val="28"/>
          <w:szCs w:val="28"/>
          <w:rtl/>
          <w14:ligatures w14:val="none"/>
        </w:rPr>
        <w:t>عناصر إضافية داعمة لأبعاد المدخل</w:t>
      </w:r>
    </w:p>
    <w:p w14:paraId="5F9D34EC"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إلى جانب الأبعاد الأربعة الرئيسية السابقة، تُشير الأدبيات إلى مجموعة من العناصر الداعمة التي تُعزّز من فاعلية تطبيق هذا المدخل، منها: البيئة التنظيمية الداعمة التي توفّرها الإدارة العليا</w:t>
      </w:r>
      <w:r w:rsidRPr="00203A98">
        <w:rPr>
          <w:rFonts w:ascii="Simplified Arabic" w:eastAsia="Times New Roman" w:hAnsi="Simplified Arabic" w:cs="Simplified Arabic"/>
          <w:color w:val="000000" w:themeColor="text1"/>
          <w:kern w:val="0"/>
          <w:sz w:val="28"/>
          <w:szCs w:val="28"/>
          <w14:ligatures w14:val="none"/>
        </w:rPr>
        <w:t xml:space="preserve"> (Kurniawan et al., 2023</w:t>
      </w:r>
      <w:proofErr w:type="gramStart"/>
      <w:r w:rsidRPr="00203A98">
        <w:rPr>
          <w:rFonts w:ascii="Simplified Arabic" w:eastAsia="Times New Roman" w:hAnsi="Simplified Arabic" w:cs="Simplified Arabic"/>
          <w:color w:val="000000" w:themeColor="text1"/>
          <w:kern w:val="0"/>
          <w:sz w:val="28"/>
          <w:szCs w:val="28"/>
          <w14:ligatures w14:val="none"/>
        </w:rPr>
        <w:t>)</w:t>
      </w:r>
      <w:r w:rsidRPr="00203A98">
        <w:rPr>
          <w:rFonts w:ascii="Simplified Arabic" w:eastAsia="Times New Roman" w:hAnsi="Simplified Arabic" w:cs="Simplified Arabic"/>
          <w:color w:val="000000" w:themeColor="text1"/>
          <w:kern w:val="0"/>
          <w:sz w:val="28"/>
          <w:szCs w:val="28"/>
          <w:rtl/>
          <w14:ligatures w14:val="none"/>
        </w:rPr>
        <w:t>،</w:t>
      </w:r>
      <w:proofErr w:type="gramEnd"/>
      <w:r w:rsidRPr="00203A98">
        <w:rPr>
          <w:rFonts w:ascii="Simplified Arabic" w:eastAsia="Times New Roman" w:hAnsi="Simplified Arabic" w:cs="Simplified Arabic"/>
          <w:color w:val="000000" w:themeColor="text1"/>
          <w:kern w:val="0"/>
          <w:sz w:val="28"/>
          <w:szCs w:val="28"/>
          <w:rtl/>
          <w14:ligatures w14:val="none"/>
        </w:rPr>
        <w:t xml:space="preserve"> وكفاءة المراجعين الداخليين وخبراتهم المهنية في مجال إدارة المخاطر</w:t>
      </w:r>
      <w:r w:rsidRPr="00203A98">
        <w:rPr>
          <w:rFonts w:ascii="Simplified Arabic" w:eastAsia="Times New Roman" w:hAnsi="Simplified Arabic" w:cs="Simplified Arabic"/>
          <w:color w:val="000000" w:themeColor="text1"/>
          <w:kern w:val="0"/>
          <w:sz w:val="28"/>
          <w:szCs w:val="28"/>
          <w14:ligatures w14:val="none"/>
        </w:rPr>
        <w:t xml:space="preserve"> (Mujalli, 2024)</w:t>
      </w:r>
      <w:r w:rsidRPr="00203A98">
        <w:rPr>
          <w:rFonts w:ascii="Simplified Arabic" w:eastAsia="Times New Roman" w:hAnsi="Simplified Arabic" w:cs="Simplified Arabic"/>
          <w:color w:val="000000" w:themeColor="text1"/>
          <w:kern w:val="0"/>
          <w:sz w:val="28"/>
          <w:szCs w:val="28"/>
          <w:rtl/>
          <w14:ligatures w14:val="none"/>
        </w:rPr>
        <w:t>، والبنية التحتية التكنولوجية التي تدعم عمليات جمع البيانات وتحليلها، وثقافة المخاطر السائدة في المنظمة والتي تعكس مدى وعي العاملين بأهمية إدارة المخاطر</w:t>
      </w:r>
      <w:r w:rsidRPr="00203A98">
        <w:rPr>
          <w:rFonts w:ascii="Simplified Arabic" w:eastAsia="Times New Roman" w:hAnsi="Simplified Arabic" w:cs="Simplified Arabic"/>
          <w:color w:val="000000" w:themeColor="text1"/>
          <w:kern w:val="0"/>
          <w:sz w:val="28"/>
          <w:szCs w:val="28"/>
          <w14:ligatures w14:val="none"/>
        </w:rPr>
        <w:t xml:space="preserve"> (Almgrashi &amp; Mujalli, 2024).</w:t>
      </w:r>
    </w:p>
    <w:p w14:paraId="2D041AD3" w14:textId="504B79CF" w:rsidR="002837E8" w:rsidRPr="00203A98" w:rsidRDefault="00C76BF3" w:rsidP="00C76BF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5" w:name="_Toc234229086"/>
      <w:r w:rsidRPr="00203A98">
        <w:rPr>
          <w:rFonts w:ascii="Simplified Arabic" w:eastAsia="Times New Roman" w:hAnsi="Simplified Arabic" w:cs="Simplified Arabic" w:hint="cs"/>
          <w:b/>
          <w:bCs/>
          <w:color w:val="000000" w:themeColor="text1"/>
          <w:kern w:val="0"/>
          <w:sz w:val="32"/>
          <w:szCs w:val="32"/>
          <w:rtl/>
          <w14:ligatures w14:val="none"/>
        </w:rPr>
        <w:t xml:space="preserve">6.1.2 </w:t>
      </w:r>
      <w:r w:rsidR="002837E8" w:rsidRPr="00203A98">
        <w:rPr>
          <w:rFonts w:ascii="Simplified Arabic" w:eastAsia="Times New Roman" w:hAnsi="Simplified Arabic" w:cs="Simplified Arabic"/>
          <w:b/>
          <w:bCs/>
          <w:color w:val="000000" w:themeColor="text1"/>
          <w:kern w:val="0"/>
          <w:sz w:val="32"/>
          <w:szCs w:val="32"/>
          <w:rtl/>
          <w14:ligatures w14:val="none"/>
        </w:rPr>
        <w:t>استراتيجيات ومداخل تطبيق المراجعة الداخلية المبنية على المخاطر</w:t>
      </w:r>
      <w:bookmarkEnd w:id="25"/>
    </w:p>
    <w:p w14:paraId="1185E95F"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تتنوع الاستراتيجيات والمداخل التي يمكن اعتمادها عند تطبيق المراجعة الداخلية المبنية على المخاطر، ويرتبط اختيار الاستراتيجية الملائمة بجملة من العوامل، منها طبيعة نشاط المنظمة وحجمها ومستوى نضج ممارسات إدارة المخاطر لديها والبيئة التنظيمية التي تعمل فيها</w:t>
      </w:r>
      <w:r w:rsidRPr="00203A98">
        <w:rPr>
          <w:rFonts w:ascii="Simplified Arabic" w:eastAsia="Times New Roman" w:hAnsi="Simplified Arabic" w:cs="Simplified Arabic"/>
          <w:color w:val="000000" w:themeColor="text1"/>
          <w:kern w:val="0"/>
          <w:sz w:val="28"/>
          <w:szCs w:val="28"/>
          <w14:ligatures w14:val="none"/>
        </w:rPr>
        <w:t>.</w:t>
      </w:r>
    </w:p>
    <w:p w14:paraId="59569762"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ويبرز في مقدمة هذه الاستراتيجيات المدخل المتكامل مع إدارة المخاطر المؤسسية</w:t>
      </w:r>
      <w:r w:rsidRPr="00203A98">
        <w:rPr>
          <w:rFonts w:ascii="Simplified Arabic" w:eastAsia="Times New Roman" w:hAnsi="Simplified Arabic" w:cs="Simplified Arabic"/>
          <w:color w:val="000000" w:themeColor="text1"/>
          <w:kern w:val="0"/>
          <w:sz w:val="28"/>
          <w:szCs w:val="28"/>
          <w14:ligatures w14:val="none"/>
        </w:rPr>
        <w:t xml:space="preserve"> (Enterprise Risk Management - ERM)</w:t>
      </w:r>
      <w:r w:rsidRPr="00203A98">
        <w:rPr>
          <w:rFonts w:ascii="Simplified Arabic" w:eastAsia="Times New Roman" w:hAnsi="Simplified Arabic" w:cs="Simplified Arabic"/>
          <w:color w:val="000000" w:themeColor="text1"/>
          <w:kern w:val="0"/>
          <w:sz w:val="28"/>
          <w:szCs w:val="28"/>
          <w:rtl/>
          <w14:ligatures w14:val="none"/>
        </w:rPr>
        <w:t>، والذي يقوم على دمج ممارسات المراجعة الداخلية ضمن إطار شامل لإدارة المخاطر على مستوى المنظمة بأكملها، بحيث تتكامل الأنشطة الرقابية مع أنشطة تحديد المخاطر وتقييمها والاستجابة لها في منظومة موحدة</w:t>
      </w:r>
      <w:r w:rsidRPr="00203A98">
        <w:rPr>
          <w:rFonts w:ascii="Simplified Arabic" w:eastAsia="Times New Roman" w:hAnsi="Simplified Arabic" w:cs="Simplified Arabic"/>
          <w:color w:val="000000" w:themeColor="text1"/>
          <w:kern w:val="0"/>
          <w:sz w:val="28"/>
          <w:szCs w:val="28"/>
          <w14:ligatures w14:val="none"/>
        </w:rPr>
        <w:t xml:space="preserve"> (Attaf &amp; Bensbahou, 2025).</w:t>
      </w:r>
    </w:p>
    <w:p w14:paraId="69FA7B71"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lastRenderedPageBreak/>
        <w:t>ويتّجه فريق آخر من الباحثين نحو تبنّي مدخل الاستدامة في تطبيق المراجعة الداخلية المبنية على المخاطر، حيث يتم دمج المخاطر البيئية والاجتماعية ومخاطر الحوكمة</w:t>
      </w:r>
      <w:r w:rsidRPr="00203A98">
        <w:rPr>
          <w:rFonts w:ascii="Simplified Arabic" w:eastAsia="Times New Roman" w:hAnsi="Simplified Arabic" w:cs="Simplified Arabic"/>
          <w:color w:val="000000" w:themeColor="text1"/>
          <w:kern w:val="0"/>
          <w:sz w:val="28"/>
          <w:szCs w:val="28"/>
          <w14:ligatures w14:val="none"/>
        </w:rPr>
        <w:t xml:space="preserve"> (ESG) </w:t>
      </w:r>
      <w:r w:rsidRPr="00203A98">
        <w:rPr>
          <w:rFonts w:ascii="Simplified Arabic" w:eastAsia="Times New Roman" w:hAnsi="Simplified Arabic" w:cs="Simplified Arabic"/>
          <w:color w:val="000000" w:themeColor="text1"/>
          <w:kern w:val="0"/>
          <w:sz w:val="28"/>
          <w:szCs w:val="28"/>
          <w:rtl/>
          <w14:ligatures w14:val="none"/>
        </w:rPr>
        <w:t>ضمن نطاق المراجعة، بما يُعزّز من قدرة المنظمة على تحقيق أهداف التنمية المستدامة</w:t>
      </w:r>
      <w:r w:rsidRPr="00203A98">
        <w:rPr>
          <w:rFonts w:ascii="Simplified Arabic" w:eastAsia="Times New Roman" w:hAnsi="Simplified Arabic" w:cs="Simplified Arabic"/>
          <w:color w:val="000000" w:themeColor="text1"/>
          <w:kern w:val="0"/>
          <w:sz w:val="28"/>
          <w:szCs w:val="28"/>
          <w14:ligatures w14:val="none"/>
        </w:rPr>
        <w:t xml:space="preserve"> (Almgrashi &amp; Mujalli, 2024).</w:t>
      </w:r>
    </w:p>
    <w:p w14:paraId="495E8D05"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كما ظهر المدخل الكمي المتقدم الذي يعتمد على استخدام أدوات النمذجة الرياضية والأمثلة متعددة الأهداف في تخطيط عمليات المراجعة وتخصيص مواردها بشكل أمثل، وهو مدخل يستفيد من التقدم في أدوات تحليل البيانات لتحسين موضوعية القرارات المتعلقة بالمراجعة</w:t>
      </w:r>
      <w:r w:rsidRPr="00203A98">
        <w:rPr>
          <w:rFonts w:ascii="Simplified Arabic" w:eastAsia="Times New Roman" w:hAnsi="Simplified Arabic" w:cs="Simplified Arabic"/>
          <w:color w:val="000000" w:themeColor="text1"/>
          <w:kern w:val="0"/>
          <w:sz w:val="28"/>
          <w:szCs w:val="28"/>
          <w14:ligatures w14:val="none"/>
        </w:rPr>
        <w:t xml:space="preserve"> (Wang et al., 2025).</w:t>
      </w:r>
    </w:p>
    <w:p w14:paraId="4B54D308"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ويُبرز مدخل آخر أهمية التركيز على العوامل المؤثرة في نجاح تطبيق المراجعة الداخلية المبنية على المخاطر، من قبيل كفاءة المراجعين ودعم الإدارة العليا والبنية التحتية التكنولوجية، ويقوم هذا المدخل على معالجة هذه العوامل بشكل منهجي قبل الشروع في تطبيق المدخل ذاته</w:t>
      </w:r>
      <w:r w:rsidRPr="00203A98">
        <w:rPr>
          <w:rFonts w:ascii="Simplified Arabic" w:eastAsia="Times New Roman" w:hAnsi="Simplified Arabic" w:cs="Simplified Arabic"/>
          <w:color w:val="000000" w:themeColor="text1"/>
          <w:kern w:val="0"/>
          <w:sz w:val="28"/>
          <w:szCs w:val="28"/>
          <w14:ligatures w14:val="none"/>
        </w:rPr>
        <w:t xml:space="preserve"> (Mujalli, 2024).</w:t>
      </w:r>
    </w:p>
    <w:p w14:paraId="1030A80F"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كما تُشير الأدبيات إلى مدخل تكامل خطوط الدفاع الثلاثة، والذي يقوم على تحديد الأدوار والمسؤوليات المتعلقة بإدارة المخاطر بين ثلاثة مستويات: الإدارة التنفيذية كخط دفاع أول، ووظائف الرقابة والامتثال وإدارة المخاطر كخط دفاع ثانٍ، والمراجعة الداخلية كخط دفاع ثالث يُقدّم تأكيدات مستقلة عن فاعلية الخطين الأول والثاني</w:t>
      </w:r>
      <w:r w:rsidRPr="00203A98">
        <w:rPr>
          <w:rFonts w:ascii="Simplified Arabic" w:eastAsia="Times New Roman" w:hAnsi="Simplified Arabic" w:cs="Simplified Arabic"/>
          <w:color w:val="000000" w:themeColor="text1"/>
          <w:kern w:val="0"/>
          <w:sz w:val="28"/>
          <w:szCs w:val="28"/>
          <w14:ligatures w14:val="none"/>
        </w:rPr>
        <w:t xml:space="preserve"> (Ardianingsih &amp; Payamta, 2022).</w:t>
      </w:r>
    </w:p>
    <w:p w14:paraId="35AC0C3C"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وأخيراً، يظهر مدخل التخصص القطاعي الذي يُكيّف تطبيق المراجعة الداخلية المبنية على المخاطر بحسب طبيعة القطاع الذي تعمل فيه المنظمة، كالقطاع المصرفي الإسلامي</w:t>
      </w:r>
      <w:r w:rsidRPr="00203A98">
        <w:rPr>
          <w:rFonts w:ascii="Simplified Arabic" w:eastAsia="Times New Roman" w:hAnsi="Simplified Arabic" w:cs="Simplified Arabic"/>
          <w:color w:val="000000" w:themeColor="text1"/>
          <w:kern w:val="0"/>
          <w:sz w:val="28"/>
          <w:szCs w:val="28"/>
          <w14:ligatures w14:val="none"/>
        </w:rPr>
        <w:t xml:space="preserve"> (Attaf &amp; Bensbahou, 2025)</w:t>
      </w:r>
      <w:r w:rsidRPr="00203A98">
        <w:rPr>
          <w:rFonts w:ascii="Simplified Arabic" w:eastAsia="Times New Roman" w:hAnsi="Simplified Arabic" w:cs="Simplified Arabic"/>
          <w:color w:val="000000" w:themeColor="text1"/>
          <w:kern w:val="0"/>
          <w:sz w:val="28"/>
          <w:szCs w:val="28"/>
          <w:rtl/>
          <w14:ligatures w14:val="none"/>
        </w:rPr>
        <w:t>، أو القطاع العام</w:t>
      </w:r>
      <w:r w:rsidRPr="00203A98">
        <w:rPr>
          <w:rFonts w:ascii="Simplified Arabic" w:eastAsia="Times New Roman" w:hAnsi="Simplified Arabic" w:cs="Simplified Arabic"/>
          <w:color w:val="000000" w:themeColor="text1"/>
          <w:kern w:val="0"/>
          <w:sz w:val="28"/>
          <w:szCs w:val="28"/>
          <w14:ligatures w14:val="none"/>
        </w:rPr>
        <w:t xml:space="preserve"> (Vu et al., 2026</w:t>
      </w:r>
      <w:r w:rsidRPr="00203A98">
        <w:rPr>
          <w:rFonts w:ascii="Simplified Arabic" w:eastAsia="Times New Roman" w:hAnsi="Simplified Arabic" w:cs="Simplified Arabic"/>
          <w:color w:val="000000" w:themeColor="text1"/>
          <w:kern w:val="0"/>
          <w:sz w:val="28"/>
          <w:szCs w:val="28"/>
          <w:rtl/>
          <w14:ligatures w14:val="none"/>
        </w:rPr>
        <w:t>؛</w:t>
      </w:r>
      <w:r w:rsidRPr="00203A98">
        <w:rPr>
          <w:rFonts w:ascii="Simplified Arabic" w:eastAsia="Times New Roman" w:hAnsi="Simplified Arabic" w:cs="Simplified Arabic"/>
          <w:color w:val="000000" w:themeColor="text1"/>
          <w:kern w:val="0"/>
          <w:sz w:val="28"/>
          <w:szCs w:val="28"/>
          <w14:ligatures w14:val="none"/>
        </w:rPr>
        <w:t xml:space="preserve"> Harahap, 2024</w:t>
      </w:r>
      <w:proofErr w:type="gramStart"/>
      <w:r w:rsidRPr="00203A98">
        <w:rPr>
          <w:rFonts w:ascii="Simplified Arabic" w:eastAsia="Times New Roman" w:hAnsi="Simplified Arabic" w:cs="Simplified Arabic"/>
          <w:color w:val="000000" w:themeColor="text1"/>
          <w:kern w:val="0"/>
          <w:sz w:val="28"/>
          <w:szCs w:val="28"/>
          <w14:ligatures w14:val="none"/>
        </w:rPr>
        <w:t>)</w:t>
      </w:r>
      <w:r w:rsidRPr="00203A98">
        <w:rPr>
          <w:rFonts w:ascii="Simplified Arabic" w:eastAsia="Times New Roman" w:hAnsi="Simplified Arabic" w:cs="Simplified Arabic"/>
          <w:color w:val="000000" w:themeColor="text1"/>
          <w:kern w:val="0"/>
          <w:sz w:val="28"/>
          <w:szCs w:val="28"/>
          <w:rtl/>
          <w14:ligatures w14:val="none"/>
        </w:rPr>
        <w:t>،</w:t>
      </w:r>
      <w:proofErr w:type="gramEnd"/>
      <w:r w:rsidRPr="00203A98">
        <w:rPr>
          <w:rFonts w:ascii="Simplified Arabic" w:eastAsia="Times New Roman" w:hAnsi="Simplified Arabic" w:cs="Simplified Arabic"/>
          <w:color w:val="000000" w:themeColor="text1"/>
          <w:kern w:val="0"/>
          <w:sz w:val="28"/>
          <w:szCs w:val="28"/>
          <w:rtl/>
          <w14:ligatures w14:val="none"/>
        </w:rPr>
        <w:t xml:space="preserve"> أو القطاع الصناعي (أبو العلا وآخرون، 2025)، بحيث تُراعى الخصائص المميزة لكل قطاع والمخاطر الفريدة التي يواجهها</w:t>
      </w:r>
      <w:r w:rsidRPr="00203A98">
        <w:rPr>
          <w:rFonts w:ascii="Simplified Arabic" w:eastAsia="Times New Roman" w:hAnsi="Simplified Arabic" w:cs="Simplified Arabic"/>
          <w:color w:val="000000" w:themeColor="text1"/>
          <w:kern w:val="0"/>
          <w:sz w:val="28"/>
          <w:szCs w:val="28"/>
          <w14:ligatures w14:val="none"/>
        </w:rPr>
        <w:t>.</w:t>
      </w:r>
    </w:p>
    <w:p w14:paraId="4B7A16B3" w14:textId="166434BE" w:rsidR="002837E8" w:rsidRPr="00203A98" w:rsidRDefault="00C76BF3" w:rsidP="00C76BF3">
      <w:pPr>
        <w:jc w:val="center"/>
        <w:outlineLvl w:val="1"/>
        <w:rPr>
          <w:rFonts w:ascii="Simplified Arabic" w:eastAsia="Times New Roman" w:hAnsi="Simplified Arabic" w:cs="Simplified Arabic"/>
          <w:b/>
          <w:bCs/>
          <w:color w:val="000000" w:themeColor="text1"/>
          <w:kern w:val="0"/>
          <w:sz w:val="36"/>
          <w:szCs w:val="36"/>
          <w14:ligatures w14:val="none"/>
        </w:rPr>
      </w:pPr>
      <w:r w:rsidRPr="00203A98">
        <w:rPr>
          <w:rFonts w:ascii="Simplified Arabic" w:eastAsia="Times New Roman" w:hAnsi="Simplified Arabic" w:cs="Simplified Arabic"/>
          <w:b/>
          <w:bCs/>
          <w:color w:val="000000" w:themeColor="text1"/>
          <w:kern w:val="0"/>
          <w:sz w:val="36"/>
          <w:szCs w:val="36"/>
          <w:rtl/>
          <w14:ligatures w14:val="none"/>
        </w:rPr>
        <w:br w:type="page"/>
      </w:r>
      <w:bookmarkStart w:id="26" w:name="_Toc234229087"/>
      <w:r w:rsidR="002837E8" w:rsidRPr="00203A98">
        <w:rPr>
          <w:rFonts w:ascii="Simplified Arabic" w:eastAsia="Times New Roman" w:hAnsi="Simplified Arabic" w:cs="Simplified Arabic"/>
          <w:b/>
          <w:bCs/>
          <w:color w:val="000000" w:themeColor="text1"/>
          <w:kern w:val="0"/>
          <w:sz w:val="36"/>
          <w:szCs w:val="36"/>
          <w:rtl/>
          <w14:ligatures w14:val="none"/>
        </w:rPr>
        <w:lastRenderedPageBreak/>
        <w:t>المبحث الثاني: تحليل المخاطر ومخاطر المراجعة</w:t>
      </w:r>
      <w:bookmarkEnd w:id="26"/>
    </w:p>
    <w:p w14:paraId="25C5A912" w14:textId="4419D01D" w:rsidR="002837E8" w:rsidRPr="00203A98" w:rsidRDefault="00C76BF3" w:rsidP="00C76BF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7" w:name="_Toc234229088"/>
      <w:r w:rsidRPr="00203A98">
        <w:rPr>
          <w:rFonts w:ascii="Simplified Arabic" w:eastAsia="Times New Roman" w:hAnsi="Simplified Arabic" w:cs="Simplified Arabic" w:hint="cs"/>
          <w:b/>
          <w:bCs/>
          <w:color w:val="000000" w:themeColor="text1"/>
          <w:kern w:val="0"/>
          <w:sz w:val="32"/>
          <w:szCs w:val="32"/>
          <w:rtl/>
          <w14:ligatures w14:val="none"/>
        </w:rPr>
        <w:t xml:space="preserve">1.2.2 </w:t>
      </w:r>
      <w:r w:rsidR="002837E8" w:rsidRPr="00203A98">
        <w:rPr>
          <w:rFonts w:ascii="Simplified Arabic" w:eastAsia="Times New Roman" w:hAnsi="Simplified Arabic" w:cs="Simplified Arabic"/>
          <w:b/>
          <w:bCs/>
          <w:color w:val="000000" w:themeColor="text1"/>
          <w:kern w:val="0"/>
          <w:sz w:val="32"/>
          <w:szCs w:val="32"/>
          <w:rtl/>
          <w14:ligatures w14:val="none"/>
        </w:rPr>
        <w:t>تمهيد</w:t>
      </w:r>
      <w:bookmarkEnd w:id="27"/>
    </w:p>
    <w:p w14:paraId="2AF3DB6D"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يُمثّل تحليل المخاطر ركيزة جوهرية في مهنة المراجعة المعاصرة، إذ يُشكّل الأساس الذي تُبنى عليه قرارات المراجع بشأن طبيعة إجراءات المراجعة وتوقيتها ومداها، ومن ثمّ فإن جودة عملية المراجعة وموثوقية تقاريرها تتوقف إلى حدٍّ بعيد على دقة وفاعلية تحليل المخاطر. وقد شهد هذا المفهوم تطوراً ملحوظاً في العقود الأخيرة استجابةً لتعقّد بيئة الأعمال وتنوّع المخاطر التي تواجه المنظمات، فلم يعد تحليل المخاطر مقتصراً على المخاطر المالية التقليدية، بل امتدّ ليشمل مخاطر جديدة كالمخاطر التشغيلية والاستراتيجية والسيبرانية ومخاطر الاستدامة. ويُلقي هذا المبحث الضوء على مفهوم تحليل المخاطر ومخاطر المراجعة وأهميتهما وأهدافهما وأبعادهما ومداخل تعزيز فاعليتهما، بما يُوفّر أساساً نظرياً متكاملاً لفهم المتغير التابع في الدراسة الحالية</w:t>
      </w:r>
      <w:r w:rsidRPr="00203A98">
        <w:rPr>
          <w:rFonts w:ascii="Simplified Arabic" w:eastAsia="Times New Roman" w:hAnsi="Simplified Arabic" w:cs="Simplified Arabic"/>
          <w:color w:val="000000" w:themeColor="text1"/>
          <w:kern w:val="0"/>
          <w:sz w:val="28"/>
          <w:szCs w:val="28"/>
          <w14:ligatures w14:val="none"/>
        </w:rPr>
        <w:t>.</w:t>
      </w:r>
    </w:p>
    <w:p w14:paraId="6835ADCD" w14:textId="7DB1C3C6" w:rsidR="002837E8" w:rsidRPr="00203A98" w:rsidRDefault="00C76BF3" w:rsidP="00C76BF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8" w:name="_Toc234229089"/>
      <w:r w:rsidRPr="00203A98">
        <w:rPr>
          <w:rFonts w:ascii="Simplified Arabic" w:eastAsia="Times New Roman" w:hAnsi="Simplified Arabic" w:cs="Simplified Arabic" w:hint="cs"/>
          <w:b/>
          <w:bCs/>
          <w:color w:val="000000" w:themeColor="text1"/>
          <w:kern w:val="0"/>
          <w:sz w:val="32"/>
          <w:szCs w:val="32"/>
          <w:rtl/>
          <w14:ligatures w14:val="none"/>
        </w:rPr>
        <w:t xml:space="preserve">2.2.2 </w:t>
      </w:r>
      <w:r w:rsidR="002837E8" w:rsidRPr="00203A98">
        <w:rPr>
          <w:rFonts w:ascii="Simplified Arabic" w:eastAsia="Times New Roman" w:hAnsi="Simplified Arabic" w:cs="Simplified Arabic"/>
          <w:b/>
          <w:bCs/>
          <w:color w:val="000000" w:themeColor="text1"/>
          <w:kern w:val="0"/>
          <w:sz w:val="32"/>
          <w:szCs w:val="32"/>
          <w:rtl/>
          <w14:ligatures w14:val="none"/>
        </w:rPr>
        <w:t>مفهوم تحليل المخاطر ومخاطر المراجعة</w:t>
      </w:r>
      <w:bookmarkEnd w:id="28"/>
    </w:p>
    <w:p w14:paraId="6E597D11"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تتعدّد التعريفات المُقدَّمة لمفهومي تحليل المخاطر ومخاطر المراجعة، وتعكس هذه التعريفات تنوّع الزوايا التي يُنظر منها إلى هذين المفهومين، وتباين المدارس الفكرية في تحديد ماهيتهما</w:t>
      </w:r>
      <w:r w:rsidRPr="00203A98">
        <w:rPr>
          <w:rFonts w:ascii="Simplified Arabic" w:eastAsia="Times New Roman" w:hAnsi="Simplified Arabic" w:cs="Simplified Arabic"/>
          <w:color w:val="000000" w:themeColor="text1"/>
          <w:kern w:val="0"/>
          <w:sz w:val="28"/>
          <w:szCs w:val="28"/>
          <w14:ligatures w14:val="none"/>
        </w:rPr>
        <w:t>.</w:t>
      </w:r>
    </w:p>
    <w:p w14:paraId="7A1FEF15"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يُعرَّف تحليل المخاطر في سياق المراجعة بأنه العملية المنهجية التي تستهدف دراسة المخاطر التي تواجه عميل المراجعة وفهم طبيعتها ومصادرها وأسبابها، وتقدير احتمالية حدوثها وحجم تأثيرها المتوقع على القوائم المالية، بهدف تقديم صورة واضحة لملف المخاطر تُوجّه إجراءات المراجعة بشكل ملائم (عثمان، 2021). ويُبرز هذا التعريف الطابع المنهجي لعملية التحليل واستهدافها المباشر لأغراض المراجعة</w:t>
      </w:r>
      <w:r w:rsidRPr="00203A98">
        <w:rPr>
          <w:rFonts w:ascii="Simplified Arabic" w:eastAsia="Times New Roman" w:hAnsi="Simplified Arabic" w:cs="Simplified Arabic"/>
          <w:color w:val="000000" w:themeColor="text1"/>
          <w:kern w:val="0"/>
          <w:sz w:val="28"/>
          <w:szCs w:val="28"/>
          <w14:ligatures w14:val="none"/>
        </w:rPr>
        <w:t>.</w:t>
      </w:r>
    </w:p>
    <w:p w14:paraId="3623E6D9"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وتُعرَّف مخاطر المراجعة بأنها احتمال إبداء المراجع رأياً غير ملائم حول القوائم المالية عندما تحتوي هذه القوائم على تحريف جوهري، وتتكوّن من ثلاثة عناصر رئيسية هي المخاطر الملازمة ومخاطر الرقابة ومخاطر الاكتشاف (حولي وخالد، 2021). ويُقدّم هذا التعريف الفهم التقليدي لمخاطر المراجعة الذي يستند إلى معايير المراجعة الدولية</w:t>
      </w:r>
      <w:r w:rsidRPr="00203A98">
        <w:rPr>
          <w:rFonts w:ascii="Simplified Arabic" w:eastAsia="Times New Roman" w:hAnsi="Simplified Arabic" w:cs="Simplified Arabic"/>
          <w:color w:val="000000" w:themeColor="text1"/>
          <w:kern w:val="0"/>
          <w:sz w:val="28"/>
          <w:szCs w:val="28"/>
          <w14:ligatures w14:val="none"/>
        </w:rPr>
        <w:t>.</w:t>
      </w:r>
    </w:p>
    <w:p w14:paraId="1A5BF42B"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lastRenderedPageBreak/>
        <w:t>ومن زاوية تحليلية أعمق، يُنظر إلى تحليل المخاطر باعتباره أداة استراتيجية تُمكّن المراجع من التخطيط الفعّال لعملية المراجعة من خلال ربط طبيعة الإجراءات ومداها وتوقيتها بمستويات المخاطر المحدّدة، وذلك بما يُحقّق التوازن بين فاعلية المراجعة وكفاءة استخدام مواردها (عطية وآخرون، 2022). ويُبرز هذا التعريف الطابع التخطيطي والاستراتيجي للتحليل</w:t>
      </w:r>
      <w:r w:rsidRPr="00203A98">
        <w:rPr>
          <w:rFonts w:ascii="Simplified Arabic" w:eastAsia="Times New Roman" w:hAnsi="Simplified Arabic" w:cs="Simplified Arabic"/>
          <w:color w:val="000000" w:themeColor="text1"/>
          <w:kern w:val="0"/>
          <w:sz w:val="28"/>
          <w:szCs w:val="28"/>
          <w14:ligatures w14:val="none"/>
        </w:rPr>
        <w:t>.</w:t>
      </w:r>
    </w:p>
    <w:p w14:paraId="54B2C739"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ويُقدّم فريق آخر من الباحثين رؤية موسّعة لتحليل المخاطر، إذ يُعرّفونه بأنه عملية مستمرة تبدأ منذ المراحل الأولى لعملية المراجعة وتمتدّ حتى إصدار التقرير، وتشمل التقييم الديناميكي للمخاطر واستجاباتها في ضوء الأدلة المتراكمة والمستجدات التي تطرأ خلال العملية (سند والبدوي، 2023). ويُضفي هذا التعريف بُعداً ديناميكياً على مفهوم التحليل</w:t>
      </w:r>
      <w:r w:rsidRPr="00203A98">
        <w:rPr>
          <w:rFonts w:ascii="Simplified Arabic" w:eastAsia="Times New Roman" w:hAnsi="Simplified Arabic" w:cs="Simplified Arabic"/>
          <w:color w:val="000000" w:themeColor="text1"/>
          <w:kern w:val="0"/>
          <w:sz w:val="28"/>
          <w:szCs w:val="28"/>
          <w14:ligatures w14:val="none"/>
        </w:rPr>
        <w:t>.</w:t>
      </w:r>
    </w:p>
    <w:p w14:paraId="6991B8FC"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ومن منظور تكنولوجي، يُعرَّف تحليل المخاطر بأنه العملية التي تستفيد من الأدوات التكنولوجية الحديثة كتحليل البيانات الضخمة والذكاء الاصطناعي وتقنيات سلاسل الكتل لتحسين دقة رصد المخاطر وشمولية تقييمها في بيئة الأعمال الرقمية (غنيم وآخرون، 2024). ويُبرز هذا التعريف البُعد التكنولوجي المتنامي في تحليل المخاطر</w:t>
      </w:r>
      <w:r w:rsidRPr="00203A98">
        <w:rPr>
          <w:rFonts w:ascii="Simplified Arabic" w:eastAsia="Times New Roman" w:hAnsi="Simplified Arabic" w:cs="Simplified Arabic"/>
          <w:color w:val="000000" w:themeColor="text1"/>
          <w:kern w:val="0"/>
          <w:sz w:val="28"/>
          <w:szCs w:val="28"/>
          <w14:ligatures w14:val="none"/>
        </w:rPr>
        <w:t>.</w:t>
      </w:r>
    </w:p>
    <w:p w14:paraId="16728F3D"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ومن زاوية أخرى، يُنظر إلى تحليل المخاطر باعتباره عملية تكاملية تربط بين مختلف أنشطة المراجعة ومصادر المعلومات المتاحة عن العميل، بما يشمل تقييم البيئة الرقابية وفحص إجراءات الرقابة الداخلية وتحليل القوائم المالية وفهم طبيعة نشاط العميل (ديان وباسردة، 2025). ويُبرز هذا التعريف الطابع التكاملي للعملية</w:t>
      </w:r>
      <w:r w:rsidRPr="00203A98">
        <w:rPr>
          <w:rFonts w:ascii="Simplified Arabic" w:eastAsia="Times New Roman" w:hAnsi="Simplified Arabic" w:cs="Simplified Arabic"/>
          <w:color w:val="000000" w:themeColor="text1"/>
          <w:kern w:val="0"/>
          <w:sz w:val="28"/>
          <w:szCs w:val="28"/>
          <w14:ligatures w14:val="none"/>
        </w:rPr>
        <w:t>.</w:t>
      </w:r>
    </w:p>
    <w:p w14:paraId="43EDDC05"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كما يُعرَّف تحليل المخاطر من منظور أوسع بأنه العملية التي تُوظّف الأساليب التحليلية المتقدمة كالنسب المالية وتحليل الاتجاهات واختبارات المعقولية بهدف الكشف عن التحريفات المحتملة في القوائم المالية وتحديد المجالات التي تستدعي مزيداً من الاهتمام والفحص (الخير، 2025). ويُبرز هذا التعريف البُعد الإجرائي للتحليل</w:t>
      </w:r>
      <w:r w:rsidRPr="00203A98">
        <w:rPr>
          <w:rFonts w:ascii="Simplified Arabic" w:eastAsia="Times New Roman" w:hAnsi="Simplified Arabic" w:cs="Simplified Arabic"/>
          <w:color w:val="000000" w:themeColor="text1"/>
          <w:kern w:val="0"/>
          <w:sz w:val="28"/>
          <w:szCs w:val="28"/>
          <w14:ligatures w14:val="none"/>
        </w:rPr>
        <w:t>.</w:t>
      </w:r>
    </w:p>
    <w:p w14:paraId="171E82E3"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وفي سياق مقارب، يُنظر إلى تحليل المخاطر باعتباره عملية تكيفية تتغير أساليبها وأدواتها بحسب طبيعة عميل المراجعة والقطاع الذي يعمل فيه ومدى تعقّد عملياته (جاسم وآخرون، 2024). ويُضيف هذا التعريف بُعد المرونة والتكيّف مع خصوصية كل حالة مراجعة</w:t>
      </w:r>
      <w:r w:rsidRPr="00203A98">
        <w:rPr>
          <w:rFonts w:ascii="Simplified Arabic" w:eastAsia="Times New Roman" w:hAnsi="Simplified Arabic" w:cs="Simplified Arabic"/>
          <w:color w:val="000000" w:themeColor="text1"/>
          <w:kern w:val="0"/>
          <w:sz w:val="28"/>
          <w:szCs w:val="28"/>
          <w14:ligatures w14:val="none"/>
        </w:rPr>
        <w:t>.</w:t>
      </w:r>
    </w:p>
    <w:p w14:paraId="088FF47E"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lastRenderedPageBreak/>
        <w:t>ويرى فريق آخر من الباحثين أن تحليل المخاطر يُمثّل ركيزة أساسية لتحقيق جودة المراجعة، إذ يتوقف على دقته وشموليته قدرة المراجع على الوصول إلى استنتاجات موضوعية حول عدالة القوائم المالية (جمعة وآخرون، 2023)</w:t>
      </w:r>
      <w:r w:rsidRPr="00203A98">
        <w:rPr>
          <w:rFonts w:ascii="Simplified Arabic" w:eastAsia="Times New Roman" w:hAnsi="Simplified Arabic" w:cs="Simplified Arabic"/>
          <w:color w:val="000000" w:themeColor="text1"/>
          <w:kern w:val="0"/>
          <w:sz w:val="28"/>
          <w:szCs w:val="28"/>
          <w14:ligatures w14:val="none"/>
        </w:rPr>
        <w:t>.</w:t>
      </w:r>
    </w:p>
    <w:p w14:paraId="15A337D4"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كما يُعرَّف تحليل المخاطر بأنه عملية استكشافية تستهدف الكشف عن المخاطر الخفية التي قد لا تظهر عبر إجراءات المراجعة التقليدية، وذلك من خلال توظيف تقنيات متطورة كالتحليل الشبكي الضبابي (عطية وآخرون، 2022)</w:t>
      </w:r>
      <w:r w:rsidRPr="00203A98">
        <w:rPr>
          <w:rFonts w:ascii="Simplified Arabic" w:eastAsia="Times New Roman" w:hAnsi="Simplified Arabic" w:cs="Simplified Arabic"/>
          <w:color w:val="000000" w:themeColor="text1"/>
          <w:kern w:val="0"/>
          <w:sz w:val="28"/>
          <w:szCs w:val="28"/>
          <w14:ligatures w14:val="none"/>
        </w:rPr>
        <w:t>.</w:t>
      </w:r>
    </w:p>
    <w:p w14:paraId="31A18061"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ويتّضح من استعراض هذه التعريفات أن هناك مدرستين رئيسيتين في تناول مفهوم تحليل المخاطر؛ تنظر الأولى إليه باعتباره عملية تقنية إجرائية تستهدف قياس المخاطر وتقييمها بأدوات محددة، بينما تراه الثانية عملية استراتيجية شاملة تدخل في صميم التخطيط لعملية المراجعة وتوجيه مواردها. ومن خلال استقراء التعريفات السابقة، يمكن للباحث تقديم تعريف إجرائي لفاعلية تحليل المخاطر باعتبارها قدرة عملية تحليل المخاطر على تحقيق أهدافها بكفاءة وموضوعية، من خلال تقديم صورة شاملة ودقيقة عن المخاطر التي تواجه المنظمة، وتوفير معلومات موثوقة تدعم اتخاذ قرارات المراجعة والإدارة، وتُسهم في تعزيز جودة المراجعة وحماية مصالح أصحاب المصلحة</w:t>
      </w:r>
      <w:r w:rsidRPr="00203A98">
        <w:rPr>
          <w:rFonts w:ascii="Simplified Arabic" w:eastAsia="Times New Roman" w:hAnsi="Simplified Arabic" w:cs="Simplified Arabic"/>
          <w:color w:val="000000" w:themeColor="text1"/>
          <w:kern w:val="0"/>
          <w:sz w:val="28"/>
          <w:szCs w:val="28"/>
          <w14:ligatures w14:val="none"/>
        </w:rPr>
        <w:t>.</w:t>
      </w:r>
    </w:p>
    <w:p w14:paraId="1BC6E434" w14:textId="0FD50BF2" w:rsidR="002837E8" w:rsidRPr="00203A98" w:rsidRDefault="00C76BF3" w:rsidP="00C76BF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9" w:name="_Toc234229090"/>
      <w:r w:rsidRPr="00203A98">
        <w:rPr>
          <w:rFonts w:ascii="Simplified Arabic" w:eastAsia="Times New Roman" w:hAnsi="Simplified Arabic" w:cs="Simplified Arabic" w:hint="cs"/>
          <w:b/>
          <w:bCs/>
          <w:color w:val="000000" w:themeColor="text1"/>
          <w:kern w:val="0"/>
          <w:sz w:val="32"/>
          <w:szCs w:val="32"/>
          <w:rtl/>
          <w14:ligatures w14:val="none"/>
        </w:rPr>
        <w:t xml:space="preserve">3.2.2 </w:t>
      </w:r>
      <w:r w:rsidR="002837E8" w:rsidRPr="00203A98">
        <w:rPr>
          <w:rFonts w:ascii="Simplified Arabic" w:eastAsia="Times New Roman" w:hAnsi="Simplified Arabic" w:cs="Simplified Arabic"/>
          <w:b/>
          <w:bCs/>
          <w:color w:val="000000" w:themeColor="text1"/>
          <w:kern w:val="0"/>
          <w:sz w:val="32"/>
          <w:szCs w:val="32"/>
          <w:rtl/>
          <w14:ligatures w14:val="none"/>
        </w:rPr>
        <w:t>أهمية تحليل المخاطر وفاعليته</w:t>
      </w:r>
      <w:bookmarkEnd w:id="29"/>
    </w:p>
    <w:p w14:paraId="382D6600"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يكتسب تحليل المخاطر أهمية متعاظمة في بيئة الأعمال والمراجعة المعاصرة، وذلك في ظل تنامي حجم المخاطر وتنوّع مصادرها وتعقّد آثارها على المنظمات. وقد تناول الباحثون هذه الأهمية من زوايا متعددة تعكس ثراء هذا المفهوم وتأثيره الواسع</w:t>
      </w:r>
      <w:r w:rsidRPr="00203A98">
        <w:rPr>
          <w:rFonts w:ascii="Simplified Arabic" w:eastAsia="Times New Roman" w:hAnsi="Simplified Arabic" w:cs="Simplified Arabic"/>
          <w:color w:val="000000" w:themeColor="text1"/>
          <w:kern w:val="0"/>
          <w:sz w:val="28"/>
          <w:szCs w:val="28"/>
          <w14:ligatures w14:val="none"/>
        </w:rPr>
        <w:t>.</w:t>
      </w:r>
    </w:p>
    <w:p w14:paraId="40AECFF0"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ويُشير (أمين وسند، 2025) إلى أن أهمية تحليل المخاطر تتجلى في عدة جوانب جوهرية، أولها أنه يُشكّل الأساس الذي تُبنى عليه خطة المراجعة الشاملة، إذ إن كل قرار يتخذه المراجع بشأن طبيعة إجراءات المراجعة وتوقيتها ومداها يستند إلى نتائج تحليل المخاطر، وثانيها أنه يُساعد المراجع على تخصيص موارده بكفاءة عبر توجيهها نحو المجالات ذات المخاطر المرتفعة، وثالثها أنه يُعزّز من قدرة المراجع على الحصول على أدلة مراجعة كافية وملائمة لدعم رأيه في القوائم المالية، ورابعها أنه يُسهم في تخفيض مخاطر المراجعة الإجمالية إلى مستويات مقبولة</w:t>
      </w:r>
      <w:r w:rsidRPr="00203A98">
        <w:rPr>
          <w:rFonts w:ascii="Simplified Arabic" w:eastAsia="Times New Roman" w:hAnsi="Simplified Arabic" w:cs="Simplified Arabic"/>
          <w:color w:val="000000" w:themeColor="text1"/>
          <w:kern w:val="0"/>
          <w:sz w:val="28"/>
          <w:szCs w:val="28"/>
          <w14:ligatures w14:val="none"/>
        </w:rPr>
        <w:t>.</w:t>
      </w:r>
    </w:p>
    <w:p w14:paraId="0D6BFE09"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lastRenderedPageBreak/>
        <w:t>ويرى (أبو جناح وآخرون، 2023) أن أهمية تحليل المخاطر تظهر أيضاً في دوره في دعم اتخاذ القرارات الاستراتيجية للمراجع، كقرار قبول العميل أو الاستمرار معه، وقرار تحديد فريق المراجعة المناسب، وقرار تحديد أتعاب المراجعة، إذ تعتمد هذه القرارات جميعها على تقييم واقعي لمستوى المخاطر المرتبطة بكل عميل</w:t>
      </w:r>
      <w:r w:rsidRPr="00203A98">
        <w:rPr>
          <w:rFonts w:ascii="Simplified Arabic" w:eastAsia="Times New Roman" w:hAnsi="Simplified Arabic" w:cs="Simplified Arabic"/>
          <w:color w:val="000000" w:themeColor="text1"/>
          <w:kern w:val="0"/>
          <w:sz w:val="28"/>
          <w:szCs w:val="28"/>
          <w14:ligatures w14:val="none"/>
        </w:rPr>
        <w:t>.</w:t>
      </w:r>
    </w:p>
    <w:p w14:paraId="02FD5C91"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ويُبرز (جاسم وآخرون، 2024) بُعداً آخر لأهمية تحليل المخاطر يتمثّل في مواجهة المخاطر الناشئة في بيئة الأعمال الرقمية، كمخاطر الحوسبة السحابية ومخاطر الأمن السيبراني ومخاطر التحول الرقمي، حيث يُوفّر تحليل المخاطر إطاراً منهجياً للتعامل مع هذه المخاطر الجديدة</w:t>
      </w:r>
      <w:r w:rsidRPr="00203A98">
        <w:rPr>
          <w:rFonts w:ascii="Simplified Arabic" w:eastAsia="Times New Roman" w:hAnsi="Simplified Arabic" w:cs="Simplified Arabic"/>
          <w:color w:val="000000" w:themeColor="text1"/>
          <w:kern w:val="0"/>
          <w:sz w:val="28"/>
          <w:szCs w:val="28"/>
          <w14:ligatures w14:val="none"/>
        </w:rPr>
        <w:t>.</w:t>
      </w:r>
    </w:p>
    <w:p w14:paraId="4CD4CA1E"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ويُوضّح (عثمان، 2021) أن تحليل المخاطر يكتسب أهمية خاصة في اكتشاف المخاطر المالية ومخاطر الإفلاس لعميل المراجعة، وذلك من خلال توظيف الأدوات التحليلية كالنسب المالية التي تكشف عن المؤشرات المُبكّرة لهذه المخاطر</w:t>
      </w:r>
      <w:r w:rsidRPr="00203A98">
        <w:rPr>
          <w:rFonts w:ascii="Simplified Arabic" w:eastAsia="Times New Roman" w:hAnsi="Simplified Arabic" w:cs="Simplified Arabic"/>
          <w:color w:val="000000" w:themeColor="text1"/>
          <w:kern w:val="0"/>
          <w:sz w:val="28"/>
          <w:szCs w:val="28"/>
          <w14:ligatures w14:val="none"/>
        </w:rPr>
        <w:t>.</w:t>
      </w:r>
    </w:p>
    <w:p w14:paraId="1A5AB785"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كما يُشير (غنيم وآخرون، 2024) إلى أن تحليل المخاطر يكتسب أهمية إضافية في بيئة البيانات الضخمة، حيث يُتيح استيعاب الكم الهائل من المعلومات المتاحة وتحويلها إلى رؤى قابلة للتطبيق تدعم اتخاذ قرارات المراجعة</w:t>
      </w:r>
      <w:r w:rsidRPr="00203A98">
        <w:rPr>
          <w:rFonts w:ascii="Simplified Arabic" w:eastAsia="Times New Roman" w:hAnsi="Simplified Arabic" w:cs="Simplified Arabic"/>
          <w:color w:val="000000" w:themeColor="text1"/>
          <w:kern w:val="0"/>
          <w:sz w:val="28"/>
          <w:szCs w:val="28"/>
          <w14:ligatures w14:val="none"/>
        </w:rPr>
        <w:t>.</w:t>
      </w:r>
    </w:p>
    <w:p w14:paraId="253F32E6"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ويرى (الدابي وأمبدي، 2021) أن أهمية تحليل المخاطر تتعزّز في ظل الاتجاهات الحديثة للمراجعة الخارجية، كالمراجعة الإلكترونية والمراجعة المستمرة، التي تعتمد بشكل جوهري على قدرات متطورة في تحليل المخاطر</w:t>
      </w:r>
      <w:r w:rsidRPr="00203A98">
        <w:rPr>
          <w:rFonts w:ascii="Simplified Arabic" w:eastAsia="Times New Roman" w:hAnsi="Simplified Arabic" w:cs="Simplified Arabic"/>
          <w:color w:val="000000" w:themeColor="text1"/>
          <w:kern w:val="0"/>
          <w:sz w:val="28"/>
          <w:szCs w:val="28"/>
          <w14:ligatures w14:val="none"/>
        </w:rPr>
        <w:t>.</w:t>
      </w:r>
    </w:p>
    <w:p w14:paraId="04906345"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ويُضيف (جمعة وآخرون، 2023) أن تحليل المخاطر يكتسب أهميته من ارتباطه بمفهوم القدرة الإدارية للعميل، حيث تُشكّل جودة الإدارة أحد أهم العوامل المؤثرة على مستوى المخاطر، ومن ثمّ فإن تحليل المخاطر يُوفّر إطاراً لتقييم هذا الجانب</w:t>
      </w:r>
      <w:r w:rsidRPr="00203A98">
        <w:rPr>
          <w:rFonts w:ascii="Simplified Arabic" w:eastAsia="Times New Roman" w:hAnsi="Simplified Arabic" w:cs="Simplified Arabic"/>
          <w:color w:val="000000" w:themeColor="text1"/>
          <w:kern w:val="0"/>
          <w:sz w:val="28"/>
          <w:szCs w:val="28"/>
          <w14:ligatures w14:val="none"/>
        </w:rPr>
        <w:t>.</w:t>
      </w:r>
    </w:p>
    <w:p w14:paraId="323D0D02"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كما يُبرز</w:t>
      </w:r>
      <w:r w:rsidRPr="00203A98">
        <w:rPr>
          <w:rFonts w:ascii="Simplified Arabic" w:eastAsia="Times New Roman" w:hAnsi="Simplified Arabic" w:cs="Simplified Arabic"/>
          <w:color w:val="000000" w:themeColor="text1"/>
          <w:kern w:val="0"/>
          <w:sz w:val="28"/>
          <w:szCs w:val="28"/>
          <w14:ligatures w14:val="none"/>
        </w:rPr>
        <w:t xml:space="preserve"> (Kurniawan et al., 2023) </w:t>
      </w:r>
      <w:r w:rsidRPr="00203A98">
        <w:rPr>
          <w:rFonts w:ascii="Simplified Arabic" w:eastAsia="Times New Roman" w:hAnsi="Simplified Arabic" w:cs="Simplified Arabic"/>
          <w:color w:val="000000" w:themeColor="text1"/>
          <w:kern w:val="0"/>
          <w:sz w:val="28"/>
          <w:szCs w:val="28"/>
          <w:rtl/>
          <w14:ligatures w14:val="none"/>
        </w:rPr>
        <w:t>أن تحليل المخاطر يُشكّل حلقة الوصل بين المراجعة الداخلية والإدارة العليا، حيث يُقدّم للإدارة معلومات موضوعية عن حالة المخاطر تُمكّنها من اتخاذ قرارات مستنيرة</w:t>
      </w:r>
      <w:r w:rsidRPr="00203A98">
        <w:rPr>
          <w:rFonts w:ascii="Simplified Arabic" w:eastAsia="Times New Roman" w:hAnsi="Simplified Arabic" w:cs="Simplified Arabic"/>
          <w:color w:val="000000" w:themeColor="text1"/>
          <w:kern w:val="0"/>
          <w:sz w:val="28"/>
          <w:szCs w:val="28"/>
          <w14:ligatures w14:val="none"/>
        </w:rPr>
        <w:t>.</w:t>
      </w:r>
    </w:p>
    <w:p w14:paraId="6B28CF61" w14:textId="34EB78A7" w:rsidR="002837E8" w:rsidRPr="00203A98" w:rsidRDefault="00C76BF3" w:rsidP="00C76BF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0" w:name="_Toc234229091"/>
      <w:r w:rsidRPr="00203A98">
        <w:rPr>
          <w:rFonts w:ascii="Simplified Arabic" w:eastAsia="Times New Roman" w:hAnsi="Simplified Arabic" w:cs="Simplified Arabic" w:hint="cs"/>
          <w:b/>
          <w:bCs/>
          <w:color w:val="000000" w:themeColor="text1"/>
          <w:kern w:val="0"/>
          <w:sz w:val="32"/>
          <w:szCs w:val="32"/>
          <w:rtl/>
          <w14:ligatures w14:val="none"/>
        </w:rPr>
        <w:t xml:space="preserve">4.2.2 </w:t>
      </w:r>
      <w:r w:rsidR="002837E8" w:rsidRPr="00203A98">
        <w:rPr>
          <w:rFonts w:ascii="Simplified Arabic" w:eastAsia="Times New Roman" w:hAnsi="Simplified Arabic" w:cs="Simplified Arabic"/>
          <w:b/>
          <w:bCs/>
          <w:color w:val="000000" w:themeColor="text1"/>
          <w:kern w:val="0"/>
          <w:sz w:val="32"/>
          <w:szCs w:val="32"/>
          <w:rtl/>
          <w14:ligatures w14:val="none"/>
        </w:rPr>
        <w:t>أهداف تحليل المخاطر</w:t>
      </w:r>
      <w:bookmarkEnd w:id="30"/>
    </w:p>
    <w:p w14:paraId="17A8AB49"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lastRenderedPageBreak/>
        <w:t>تتعدّد الأهداف التي تستهدفها عملية تحليل المخاطر، ويتناول الباحثون هذه الأهداف من زوايا مختلفة تعكس تنوّع مجالات تطبيق هذه العملية</w:t>
      </w:r>
      <w:r w:rsidRPr="00203A98">
        <w:rPr>
          <w:rFonts w:ascii="Simplified Arabic" w:eastAsia="Times New Roman" w:hAnsi="Simplified Arabic" w:cs="Simplified Arabic"/>
          <w:color w:val="000000" w:themeColor="text1"/>
          <w:kern w:val="0"/>
          <w:sz w:val="28"/>
          <w:szCs w:val="28"/>
          <w14:ligatures w14:val="none"/>
        </w:rPr>
        <w:t>:</w:t>
      </w:r>
    </w:p>
    <w:p w14:paraId="3CBFCA7D"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يرى (الخير، 2025) أن تحليل المخاطر يستهدف تحقيق مجموعة من الأهداف، من أبرزها: توفير معلومات موضوعية عن مستوى المخاطر لدى عميل المراجعة، ودعم تخطيط إجراءات المراجعة الملائمة لكل مستوى من مستويات المخاطر، وتحسين جودة الأدلة المُتحصّل عليها خلال عملية المراجعة، وتخفيض مخاطر المراجعة الإجمالية</w:t>
      </w:r>
      <w:r w:rsidRPr="00203A98">
        <w:rPr>
          <w:rFonts w:ascii="Simplified Arabic" w:eastAsia="Times New Roman" w:hAnsi="Simplified Arabic" w:cs="Simplified Arabic"/>
          <w:color w:val="000000" w:themeColor="text1"/>
          <w:kern w:val="0"/>
          <w:sz w:val="28"/>
          <w:szCs w:val="28"/>
          <w14:ligatures w14:val="none"/>
        </w:rPr>
        <w:t>.</w:t>
      </w:r>
    </w:p>
    <w:p w14:paraId="24C7F561"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ويُحدّد (عثمان، 2021) مجموعة من الأهداف التي يستهدفها تحليل المخاطر، تشمل: اكتشاف المخاطر المالية المُحدقة بعميل المراجعة، والتنبؤ بمخاطر الإفلاس والتعثر المالي، وتقييم قدرة العميل على الاستمرارية، وتوجيه اهتمام المراجع نحو المؤشرات المالية المُنذرة بمخاطر جوهرية</w:t>
      </w:r>
      <w:r w:rsidRPr="00203A98">
        <w:rPr>
          <w:rFonts w:ascii="Simplified Arabic" w:eastAsia="Times New Roman" w:hAnsi="Simplified Arabic" w:cs="Simplified Arabic"/>
          <w:color w:val="000000" w:themeColor="text1"/>
          <w:kern w:val="0"/>
          <w:sz w:val="28"/>
          <w:szCs w:val="28"/>
          <w14:ligatures w14:val="none"/>
        </w:rPr>
        <w:t>.</w:t>
      </w:r>
    </w:p>
    <w:p w14:paraId="261D4728"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ويُشير (سند والبدوي، 2023) إلى أن تحليل المخاطر يستهدف: الحد من مخاطر المراجعة عبر مختلف مراحل عملية المراجعة، وتعزيز جودة تقارير المراجعة، وحماية المراجع من المسؤولية القانونية المترتبة على إبداء رأي غير ملائم، ودعم استقلالية المراجع وموضوعيته</w:t>
      </w:r>
      <w:r w:rsidRPr="00203A98">
        <w:rPr>
          <w:rFonts w:ascii="Simplified Arabic" w:eastAsia="Times New Roman" w:hAnsi="Simplified Arabic" w:cs="Simplified Arabic"/>
          <w:color w:val="000000" w:themeColor="text1"/>
          <w:kern w:val="0"/>
          <w:sz w:val="28"/>
          <w:szCs w:val="28"/>
          <w14:ligatures w14:val="none"/>
        </w:rPr>
        <w:t>.</w:t>
      </w:r>
    </w:p>
    <w:p w14:paraId="4C3F96DB"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ويُضيف (ديان وباسردة، 2025) أن تحليل المخاطر يسعى إلى: تقييم فاعلية نظام الرقابة الداخلية لدى العميل، وتحديد الثغرات الرقابية التي قد تُشكّل مصدراً للمخاطر، ودعم تصميم إجراءات المراجعة الأساسية بما يتلاءم مع تقييم الرقابة الداخلية</w:t>
      </w:r>
      <w:r w:rsidRPr="00203A98">
        <w:rPr>
          <w:rFonts w:ascii="Simplified Arabic" w:eastAsia="Times New Roman" w:hAnsi="Simplified Arabic" w:cs="Simplified Arabic"/>
          <w:color w:val="000000" w:themeColor="text1"/>
          <w:kern w:val="0"/>
          <w:sz w:val="28"/>
          <w:szCs w:val="28"/>
          <w14:ligatures w14:val="none"/>
        </w:rPr>
        <w:t>.</w:t>
      </w:r>
    </w:p>
    <w:p w14:paraId="3E8B3AC8"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ويرى (عطية وآخرون، 2022) أن تحليل المخاطر يستهدف: توفير إطار كمي دقيق لتقدير المخاطر بأنواعها المختلفة، وتحسين موضوعية قرارات المراجع، وتقليل الاعتماد على الأحكام الشخصية غير المُبرَّرة، ودعم عملية التخطيط للمراجعة بأسس علمية</w:t>
      </w:r>
      <w:r w:rsidRPr="00203A98">
        <w:rPr>
          <w:rFonts w:ascii="Simplified Arabic" w:eastAsia="Times New Roman" w:hAnsi="Simplified Arabic" w:cs="Simplified Arabic"/>
          <w:color w:val="000000" w:themeColor="text1"/>
          <w:kern w:val="0"/>
          <w:sz w:val="28"/>
          <w:szCs w:val="28"/>
          <w14:ligatures w14:val="none"/>
        </w:rPr>
        <w:t>.</w:t>
      </w:r>
    </w:p>
    <w:p w14:paraId="7E5AE1B8" w14:textId="0792C3A5" w:rsidR="002837E8" w:rsidRPr="00203A98" w:rsidRDefault="00C76BF3" w:rsidP="00C76BF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1" w:name="_Toc234229092"/>
      <w:r w:rsidRPr="00203A98">
        <w:rPr>
          <w:rFonts w:ascii="Simplified Arabic" w:eastAsia="Times New Roman" w:hAnsi="Simplified Arabic" w:cs="Simplified Arabic" w:hint="cs"/>
          <w:b/>
          <w:bCs/>
          <w:color w:val="000000" w:themeColor="text1"/>
          <w:kern w:val="0"/>
          <w:sz w:val="32"/>
          <w:szCs w:val="32"/>
          <w:rtl/>
          <w14:ligatures w14:val="none"/>
        </w:rPr>
        <w:t xml:space="preserve">5.2.2 </w:t>
      </w:r>
      <w:r w:rsidR="002837E8" w:rsidRPr="00203A98">
        <w:rPr>
          <w:rFonts w:ascii="Simplified Arabic" w:eastAsia="Times New Roman" w:hAnsi="Simplified Arabic" w:cs="Simplified Arabic"/>
          <w:b/>
          <w:bCs/>
          <w:color w:val="000000" w:themeColor="text1"/>
          <w:kern w:val="0"/>
          <w:sz w:val="32"/>
          <w:szCs w:val="32"/>
          <w:rtl/>
          <w14:ligatures w14:val="none"/>
        </w:rPr>
        <w:t>أبعاد ومكونات تحليل المخاطر</w:t>
      </w:r>
      <w:bookmarkEnd w:id="31"/>
    </w:p>
    <w:p w14:paraId="7F925297"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تم تحديد أبعاد ومكونات تحليل المخاطر في الدراسة الحالية بناءً على استقراء الأدبيات المحاسبية والدراسات السابقة، وبالاعتماد بشكل رئيسي على ما ورد في دراسات كلٍّ من (حولي وخالد، 2021؛ عطية وآخرون، 2022؛ الخير، 2025؛ ديان وباسردة، 2025)</w:t>
      </w:r>
      <w:r w:rsidRPr="00203A98">
        <w:rPr>
          <w:rFonts w:ascii="Simplified Arabic" w:eastAsia="Times New Roman" w:hAnsi="Simplified Arabic" w:cs="Simplified Arabic"/>
          <w:color w:val="000000" w:themeColor="text1"/>
          <w:kern w:val="0"/>
          <w:sz w:val="28"/>
          <w:szCs w:val="28"/>
          <w14:ligatures w14:val="none"/>
        </w:rPr>
        <w:t>.</w:t>
      </w:r>
    </w:p>
    <w:p w14:paraId="2B7769B6" w14:textId="77777777" w:rsidR="002837E8" w:rsidRPr="00203A98" w:rsidRDefault="002837E8" w:rsidP="00C76BF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03A98">
        <w:rPr>
          <w:rFonts w:ascii="Simplified Arabic" w:eastAsia="Times New Roman" w:hAnsi="Simplified Arabic" w:cs="Simplified Arabic"/>
          <w:b/>
          <w:bCs/>
          <w:color w:val="000000" w:themeColor="text1"/>
          <w:kern w:val="0"/>
          <w:sz w:val="28"/>
          <w:szCs w:val="28"/>
          <w:rtl/>
          <w14:ligatures w14:val="none"/>
        </w:rPr>
        <w:lastRenderedPageBreak/>
        <w:t>المكوّن الأول: المخاطر الملازمة</w:t>
      </w:r>
      <w:r w:rsidRPr="00203A98">
        <w:rPr>
          <w:rFonts w:ascii="Simplified Arabic" w:eastAsia="Times New Roman" w:hAnsi="Simplified Arabic" w:cs="Simplified Arabic"/>
          <w:b/>
          <w:bCs/>
          <w:color w:val="000000" w:themeColor="text1"/>
          <w:kern w:val="0"/>
          <w:sz w:val="28"/>
          <w:szCs w:val="28"/>
          <w14:ligatures w14:val="none"/>
        </w:rPr>
        <w:t xml:space="preserve"> (Inherent Risk)</w:t>
      </w:r>
    </w:p>
    <w:p w14:paraId="1F1F3287"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تُمثّل المخاطر الملازمة احتمال تعرّض رصيد حساب معيّن أو نوع معيّن من العمليات لتحريف قد يكون جوهرياً بمفرده أو عند تجميعه مع تحريفات في أرصدة أو أنواع أخرى، بافتراض عدم وجود إجراءات رقابة داخلية ذات صلة (حولي وخالد، 2021). وتنبع هذه المخاطر من طبيعة نشاط المنظمة وبيئتها الاقتصادية والصناعية، ومن ثمّ فإنها تخضع لعوامل خارجة عن سيطرة الإدارة إلى حدٍّ بعيد</w:t>
      </w:r>
      <w:r w:rsidRPr="00203A98">
        <w:rPr>
          <w:rFonts w:ascii="Simplified Arabic" w:eastAsia="Times New Roman" w:hAnsi="Simplified Arabic" w:cs="Simplified Arabic"/>
          <w:color w:val="000000" w:themeColor="text1"/>
          <w:kern w:val="0"/>
          <w:sz w:val="28"/>
          <w:szCs w:val="28"/>
          <w14:ligatures w14:val="none"/>
        </w:rPr>
        <w:t>.</w:t>
      </w:r>
    </w:p>
    <w:p w14:paraId="0AE21C7E" w14:textId="77777777" w:rsidR="002837E8" w:rsidRPr="00203A98" w:rsidRDefault="002837E8" w:rsidP="00C76BF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03A98">
        <w:rPr>
          <w:rFonts w:ascii="Simplified Arabic" w:eastAsia="Times New Roman" w:hAnsi="Simplified Arabic" w:cs="Simplified Arabic"/>
          <w:b/>
          <w:bCs/>
          <w:color w:val="000000" w:themeColor="text1"/>
          <w:kern w:val="0"/>
          <w:sz w:val="28"/>
          <w:szCs w:val="28"/>
          <w:rtl/>
          <w14:ligatures w14:val="none"/>
        </w:rPr>
        <w:t>المكوّن الثاني: مخاطر الرقابة</w:t>
      </w:r>
      <w:r w:rsidRPr="00203A98">
        <w:rPr>
          <w:rFonts w:ascii="Simplified Arabic" w:eastAsia="Times New Roman" w:hAnsi="Simplified Arabic" w:cs="Simplified Arabic"/>
          <w:b/>
          <w:bCs/>
          <w:color w:val="000000" w:themeColor="text1"/>
          <w:kern w:val="0"/>
          <w:sz w:val="28"/>
          <w:szCs w:val="28"/>
          <w14:ligatures w14:val="none"/>
        </w:rPr>
        <w:t xml:space="preserve"> (Control Risk)</w:t>
      </w:r>
    </w:p>
    <w:p w14:paraId="1F6BD123"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تُمثّل مخاطر الرقابة احتمال حدوث تحريف جوهري في رصيد حساب أو نوع من العمليات لا يستطيع نظام الرقابة الداخلية منعه أو اكتشافه في الوقت المناسب. ويرتبط هذا المكوّن ارتباطاً وثيقاً بجودة تصميم وتشغيل نظام الرقابة الداخلية لدى العميل، وتُعدّ عملية تقييم هذا النظام من الخطوات الجوهرية في تحليل المخاطر (ديان وباسردة، 2025)</w:t>
      </w:r>
      <w:r w:rsidRPr="00203A98">
        <w:rPr>
          <w:rFonts w:ascii="Simplified Arabic" w:eastAsia="Times New Roman" w:hAnsi="Simplified Arabic" w:cs="Simplified Arabic"/>
          <w:color w:val="000000" w:themeColor="text1"/>
          <w:kern w:val="0"/>
          <w:sz w:val="28"/>
          <w:szCs w:val="28"/>
          <w14:ligatures w14:val="none"/>
        </w:rPr>
        <w:t>.</w:t>
      </w:r>
    </w:p>
    <w:p w14:paraId="0642EA82" w14:textId="77777777" w:rsidR="002837E8" w:rsidRPr="00203A98" w:rsidRDefault="002837E8" w:rsidP="00C76BF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03A98">
        <w:rPr>
          <w:rFonts w:ascii="Simplified Arabic" w:eastAsia="Times New Roman" w:hAnsi="Simplified Arabic" w:cs="Simplified Arabic"/>
          <w:b/>
          <w:bCs/>
          <w:color w:val="000000" w:themeColor="text1"/>
          <w:kern w:val="0"/>
          <w:sz w:val="28"/>
          <w:szCs w:val="28"/>
          <w:rtl/>
          <w14:ligatures w14:val="none"/>
        </w:rPr>
        <w:t>المكوّن الثالث: مخاطر الاكتشاف</w:t>
      </w:r>
      <w:r w:rsidRPr="00203A98">
        <w:rPr>
          <w:rFonts w:ascii="Simplified Arabic" w:eastAsia="Times New Roman" w:hAnsi="Simplified Arabic" w:cs="Simplified Arabic"/>
          <w:b/>
          <w:bCs/>
          <w:color w:val="000000" w:themeColor="text1"/>
          <w:kern w:val="0"/>
          <w:sz w:val="28"/>
          <w:szCs w:val="28"/>
          <w14:ligatures w14:val="none"/>
        </w:rPr>
        <w:t xml:space="preserve"> (Detection Risk)</w:t>
      </w:r>
    </w:p>
    <w:p w14:paraId="502B38F2"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تُمثّل مخاطر الاكتشاف احتمال عدم تمكّن إجراءات المراجعة من اكتشاف تحريف جوهري في الحسابات، سواء أكان هذا التحريف موجوداً بمفرده أو مُجمّعاً مع تحريفات أخرى. ويرتبط هذا المكوّن بطبيعة إجراءات المراجعة المطبّقة وتوقيتها ومداها، ومن ثمّ فإنه المكوّن الوحيد الذي يقع تحت السيطرة المباشرة للمراجع (الخير، 2025)</w:t>
      </w:r>
      <w:r w:rsidRPr="00203A98">
        <w:rPr>
          <w:rFonts w:ascii="Simplified Arabic" w:eastAsia="Times New Roman" w:hAnsi="Simplified Arabic" w:cs="Simplified Arabic"/>
          <w:color w:val="000000" w:themeColor="text1"/>
          <w:kern w:val="0"/>
          <w:sz w:val="28"/>
          <w:szCs w:val="28"/>
          <w14:ligatures w14:val="none"/>
        </w:rPr>
        <w:t>.</w:t>
      </w:r>
    </w:p>
    <w:p w14:paraId="25346CD7" w14:textId="77777777" w:rsidR="002837E8" w:rsidRPr="00203A98" w:rsidRDefault="002837E8" w:rsidP="00C76BF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03A98">
        <w:rPr>
          <w:rFonts w:ascii="Simplified Arabic" w:eastAsia="Times New Roman" w:hAnsi="Simplified Arabic" w:cs="Simplified Arabic"/>
          <w:b/>
          <w:bCs/>
          <w:color w:val="000000" w:themeColor="text1"/>
          <w:kern w:val="0"/>
          <w:sz w:val="28"/>
          <w:szCs w:val="28"/>
          <w:rtl/>
          <w14:ligatures w14:val="none"/>
        </w:rPr>
        <w:t>المكوّن الرابع: المخاطر الاستراتيجية والتشغيلية</w:t>
      </w:r>
    </w:p>
    <w:p w14:paraId="67402E2C"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إلى جانب المكوّنات التقليدية الثلاثة السابقة، تُشير الأدبيات الحديثة إلى مكوّنات موسّعة تشمل المخاطر الاستراتيجية والتشغيلية التي تؤثر على قدرة المنظمة على تحقيق أهدافها. وقد أدخل (عطية وآخرون، 2022) هذه المخاطر ضمن نطاق تحليل المراجع لتقديم صورة أكثر شمولاً عن ملف المخاطر</w:t>
      </w:r>
      <w:r w:rsidRPr="00203A98">
        <w:rPr>
          <w:rFonts w:ascii="Simplified Arabic" w:eastAsia="Times New Roman" w:hAnsi="Simplified Arabic" w:cs="Simplified Arabic"/>
          <w:color w:val="000000" w:themeColor="text1"/>
          <w:kern w:val="0"/>
          <w:sz w:val="28"/>
          <w:szCs w:val="28"/>
          <w14:ligatures w14:val="none"/>
        </w:rPr>
        <w:t>.</w:t>
      </w:r>
    </w:p>
    <w:p w14:paraId="2438456C" w14:textId="77777777" w:rsidR="002837E8" w:rsidRPr="00203A98" w:rsidRDefault="002837E8" w:rsidP="00C76BF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03A98">
        <w:rPr>
          <w:rFonts w:ascii="Simplified Arabic" w:eastAsia="Times New Roman" w:hAnsi="Simplified Arabic" w:cs="Simplified Arabic"/>
          <w:b/>
          <w:bCs/>
          <w:color w:val="000000" w:themeColor="text1"/>
          <w:kern w:val="0"/>
          <w:sz w:val="28"/>
          <w:szCs w:val="28"/>
          <w:rtl/>
          <w14:ligatures w14:val="none"/>
        </w:rPr>
        <w:t>عناصر داعمة لفاعلية تحليل المخاطر</w:t>
      </w:r>
    </w:p>
    <w:p w14:paraId="1DCC083E"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 xml:space="preserve">تعتمد فاعلية تحليل المخاطر على مجموعة من العناصر الداعمة، منها: استخدام إجراءات المراجعة التحليلية (الخير، 2025)، وتوظيف الأدوات التكنولوجية الحديثة كسلاسل الكتل (غنيم وآخرون، 2024) </w:t>
      </w:r>
      <w:r w:rsidRPr="00203A98">
        <w:rPr>
          <w:rFonts w:ascii="Simplified Arabic" w:eastAsia="Times New Roman" w:hAnsi="Simplified Arabic" w:cs="Simplified Arabic"/>
          <w:color w:val="000000" w:themeColor="text1"/>
          <w:kern w:val="0"/>
          <w:sz w:val="28"/>
          <w:szCs w:val="28"/>
          <w:rtl/>
          <w14:ligatures w14:val="none"/>
        </w:rPr>
        <w:lastRenderedPageBreak/>
        <w:t>والحوسبة السحابية (جاسم وآخرون، 2024)، والاعتماد على المراجعة الإلكترونية (أمين وسند، 2025)، وتوظيف مراجعة النظير كآلية لضمان جودة تحليل المخاطر (سند والبدوي، 2023)، وتقييم القدرة الإدارية للعميل باعتبارها مؤشراً على مستوى المخاطر (جمعة وآخرون، 2023)</w:t>
      </w:r>
      <w:r w:rsidRPr="00203A98">
        <w:rPr>
          <w:rFonts w:ascii="Simplified Arabic" w:eastAsia="Times New Roman" w:hAnsi="Simplified Arabic" w:cs="Simplified Arabic"/>
          <w:color w:val="000000" w:themeColor="text1"/>
          <w:kern w:val="0"/>
          <w:sz w:val="28"/>
          <w:szCs w:val="28"/>
          <w14:ligatures w14:val="none"/>
        </w:rPr>
        <w:t>.</w:t>
      </w:r>
    </w:p>
    <w:p w14:paraId="3764FB5B" w14:textId="1015BECB" w:rsidR="002837E8" w:rsidRPr="00203A98" w:rsidRDefault="00C76BF3" w:rsidP="00C76BF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2" w:name="_Toc234229093"/>
      <w:r w:rsidRPr="00203A98">
        <w:rPr>
          <w:rFonts w:ascii="Simplified Arabic" w:eastAsia="Times New Roman" w:hAnsi="Simplified Arabic" w:cs="Simplified Arabic" w:hint="cs"/>
          <w:b/>
          <w:bCs/>
          <w:color w:val="000000" w:themeColor="text1"/>
          <w:kern w:val="0"/>
          <w:sz w:val="32"/>
          <w:szCs w:val="32"/>
          <w:rtl/>
          <w14:ligatures w14:val="none"/>
        </w:rPr>
        <w:t xml:space="preserve">6.2.2 </w:t>
      </w:r>
      <w:r w:rsidR="002837E8" w:rsidRPr="00203A98">
        <w:rPr>
          <w:rFonts w:ascii="Simplified Arabic" w:eastAsia="Times New Roman" w:hAnsi="Simplified Arabic" w:cs="Simplified Arabic"/>
          <w:b/>
          <w:bCs/>
          <w:color w:val="000000" w:themeColor="text1"/>
          <w:kern w:val="0"/>
          <w:sz w:val="32"/>
          <w:szCs w:val="32"/>
          <w:rtl/>
          <w14:ligatures w14:val="none"/>
        </w:rPr>
        <w:t>استراتيجيات ومداخل تعزيز فاعلية تحليل المخاطر</w:t>
      </w:r>
      <w:bookmarkEnd w:id="32"/>
    </w:p>
    <w:p w14:paraId="380B9AD1"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تتنوع الاستراتيجيات والمداخل الرامية إلى تعزيز فاعلية تحليل المخاطر في عملية المراجعة، ويعكس هذا التنوع ثراء الأدبيات المهنية وسعي المهنة الدائم نحو تطوير أدواتها استجابةً للتطورات في بيئة الأعمال</w:t>
      </w:r>
      <w:r w:rsidRPr="00203A98">
        <w:rPr>
          <w:rFonts w:ascii="Simplified Arabic" w:eastAsia="Times New Roman" w:hAnsi="Simplified Arabic" w:cs="Simplified Arabic"/>
          <w:color w:val="000000" w:themeColor="text1"/>
          <w:kern w:val="0"/>
          <w:sz w:val="28"/>
          <w:szCs w:val="28"/>
          <w14:ligatures w14:val="none"/>
        </w:rPr>
        <w:t>.</w:t>
      </w:r>
    </w:p>
    <w:p w14:paraId="303F05B7"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يبرز في مقدمة هذه الاستراتيجيات مدخل المراجعة التحليلية الذي يعتمد على استخدام أساليب التحليل المقارن وتحليل النسب المالية وتحليل الاتجاهات واختبارات المعقولية، بهدف الكشف عن العلاقات غير المعتادة أو التقلبات غير المُبرَّرة التي قد تُشير إلى وجود مخاطر تحريف جوهري في القوائم المالية (الخير، 2025)</w:t>
      </w:r>
      <w:r w:rsidRPr="00203A98">
        <w:rPr>
          <w:rFonts w:ascii="Simplified Arabic" w:eastAsia="Times New Roman" w:hAnsi="Simplified Arabic" w:cs="Simplified Arabic"/>
          <w:color w:val="000000" w:themeColor="text1"/>
          <w:kern w:val="0"/>
          <w:sz w:val="28"/>
          <w:szCs w:val="28"/>
          <w14:ligatures w14:val="none"/>
        </w:rPr>
        <w:t>.</w:t>
      </w:r>
    </w:p>
    <w:p w14:paraId="7CCB0363"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ويظهر مدخل آخر يتمثّل في تعزيز تحليل المخاطر من خلال المراجعة الإلكترونية التي تُوظّف الأدوات الرقمية والبرامج المتخصّصة لأتمتة عمليات جمع البيانات وتحليلها، بما يُتيح تغطية شاملة للمخاطر بدلاً من الاعتماد على أساليب العيّنات التقليدية (أمين وسند، 2025)</w:t>
      </w:r>
      <w:r w:rsidRPr="00203A98">
        <w:rPr>
          <w:rFonts w:ascii="Simplified Arabic" w:eastAsia="Times New Roman" w:hAnsi="Simplified Arabic" w:cs="Simplified Arabic"/>
          <w:color w:val="000000" w:themeColor="text1"/>
          <w:kern w:val="0"/>
          <w:sz w:val="28"/>
          <w:szCs w:val="28"/>
          <w14:ligatures w14:val="none"/>
        </w:rPr>
        <w:t>.</w:t>
      </w:r>
    </w:p>
    <w:p w14:paraId="134DD8DD"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كما يُشير (غنيم وآخرون، 2024) إلى مدخل توظيف تقنية سلاسل الكتل في تعزيز فاعلية تحليل المخاطر في بيئة البيانات الضخمة، حيث تُوفّر هذه التقنية سجلاً لا يقبل التعديل للعمليات، مما يُسهم في تخفيض المخاطر المرتبطة بموثوقية البيانات وسلامتها</w:t>
      </w:r>
      <w:r w:rsidRPr="00203A98">
        <w:rPr>
          <w:rFonts w:ascii="Simplified Arabic" w:eastAsia="Times New Roman" w:hAnsi="Simplified Arabic" w:cs="Simplified Arabic"/>
          <w:color w:val="000000" w:themeColor="text1"/>
          <w:kern w:val="0"/>
          <w:sz w:val="28"/>
          <w:szCs w:val="28"/>
          <w14:ligatures w14:val="none"/>
        </w:rPr>
        <w:t>.</w:t>
      </w:r>
    </w:p>
    <w:p w14:paraId="2C855F57"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ويُقدّم (جاسم وآخرون، 2024) مدخلاً آخر يتمثّل في التعامل مع تحليل المخاطر في بيئة الحوسبة السحابية، حيث تظهر تحديات ومخاطر جديدة تستوجب أدوات تحليلية مُتكيّفة مع طبيعة هذه البيئة الرقمية</w:t>
      </w:r>
      <w:r w:rsidRPr="00203A98">
        <w:rPr>
          <w:rFonts w:ascii="Simplified Arabic" w:eastAsia="Times New Roman" w:hAnsi="Simplified Arabic" w:cs="Simplified Arabic"/>
          <w:color w:val="000000" w:themeColor="text1"/>
          <w:kern w:val="0"/>
          <w:sz w:val="28"/>
          <w:szCs w:val="28"/>
          <w14:ligatures w14:val="none"/>
        </w:rPr>
        <w:t>.</w:t>
      </w:r>
    </w:p>
    <w:p w14:paraId="13A76A45"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ويظهر مدخل المراجعة المشتركة كاستراتيجية لتعزيز فاعلية تحليل المخاطر، حيث يعتمد على وجود أكثر من مراجع في العملية الواحدة، بما يُتيح تعدد وجهات النظر وتبادل الخبرات وتحسين موضوعية تحليل المخاطر (أبو جناح وآخرون، 2023)</w:t>
      </w:r>
      <w:r w:rsidRPr="00203A98">
        <w:rPr>
          <w:rFonts w:ascii="Simplified Arabic" w:eastAsia="Times New Roman" w:hAnsi="Simplified Arabic" w:cs="Simplified Arabic"/>
          <w:color w:val="000000" w:themeColor="text1"/>
          <w:kern w:val="0"/>
          <w:sz w:val="28"/>
          <w:szCs w:val="28"/>
          <w14:ligatures w14:val="none"/>
        </w:rPr>
        <w:t>.</w:t>
      </w:r>
    </w:p>
    <w:p w14:paraId="18A48E7E"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lastRenderedPageBreak/>
        <w:t>ويُبرز (سند والبدوي، 2023) مدخل مراجعة النظير كآلية لتعزيز جودة تحليل المخاطر، إذ يقوم مراجعون مستقلون بفحص جودة عمل مكتب المراجعة، بما يُوفّر ضماناً إضافياً لفاعلية عمليات تحليل المخاطر المطبّقة</w:t>
      </w:r>
      <w:r w:rsidRPr="00203A98">
        <w:rPr>
          <w:rFonts w:ascii="Simplified Arabic" w:eastAsia="Times New Roman" w:hAnsi="Simplified Arabic" w:cs="Simplified Arabic"/>
          <w:color w:val="000000" w:themeColor="text1"/>
          <w:kern w:val="0"/>
          <w:sz w:val="28"/>
          <w:szCs w:val="28"/>
          <w14:ligatures w14:val="none"/>
        </w:rPr>
        <w:t>.</w:t>
      </w:r>
    </w:p>
    <w:p w14:paraId="7BFB3ECD"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كما يظهر المدخل الكمي المتقدم القائم على استخدام التحليل الشبكي الضبابي في تحليل المخاطر، والذي يُوفّر إطاراً رياضياً موضوعياً للتعامل مع الغموض وعدم اليقين في تقدير المخاطر (عطية وآخرون، 2022)</w:t>
      </w:r>
      <w:r w:rsidRPr="00203A98">
        <w:rPr>
          <w:rFonts w:ascii="Simplified Arabic" w:eastAsia="Times New Roman" w:hAnsi="Simplified Arabic" w:cs="Simplified Arabic"/>
          <w:color w:val="000000" w:themeColor="text1"/>
          <w:kern w:val="0"/>
          <w:sz w:val="28"/>
          <w:szCs w:val="28"/>
          <w14:ligatures w14:val="none"/>
        </w:rPr>
        <w:t>.</w:t>
      </w:r>
    </w:p>
    <w:p w14:paraId="70A5462A"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ويطرح (ديان وباسردة، 2025) مدخل تعزيز تحليل المخاطر من خلال التقييم الدقيق للرقابة الداخلية لدى العميل، إذ يُشكّل هذا التقييم أساساً موضوعياً لتقدير مخاطر الرقابة وتوجيه إجراءات المراجعة اللاحقة</w:t>
      </w:r>
      <w:r w:rsidRPr="00203A98">
        <w:rPr>
          <w:rFonts w:ascii="Simplified Arabic" w:eastAsia="Times New Roman" w:hAnsi="Simplified Arabic" w:cs="Simplified Arabic"/>
          <w:color w:val="000000" w:themeColor="text1"/>
          <w:kern w:val="0"/>
          <w:sz w:val="28"/>
          <w:szCs w:val="28"/>
          <w14:ligatures w14:val="none"/>
        </w:rPr>
        <w:t>.</w:t>
      </w:r>
    </w:p>
    <w:p w14:paraId="0F81B7AA"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ويُضيف (جمعة وآخرون، 2023) مدخل تحليل القدرة الإدارية كأحد المداخل الحديثة في تحليل المخاطر، حيث يُعتبر تقييم كفاءة الإدارة وخبراتها مؤشراً مهماً على مستوى المخاطر المرتبطة بالعميل</w:t>
      </w:r>
      <w:r w:rsidRPr="00203A98">
        <w:rPr>
          <w:rFonts w:ascii="Simplified Arabic" w:eastAsia="Times New Roman" w:hAnsi="Simplified Arabic" w:cs="Simplified Arabic"/>
          <w:color w:val="000000" w:themeColor="text1"/>
          <w:kern w:val="0"/>
          <w:sz w:val="28"/>
          <w:szCs w:val="28"/>
          <w14:ligatures w14:val="none"/>
        </w:rPr>
        <w:t>.</w:t>
      </w:r>
    </w:p>
    <w:p w14:paraId="7E6FB8B7"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ويظهر مدخل الاتجاهات الحديثة للمراجعة كإطار شامل يجمع بين عدة استراتيجيات لتعزيز فاعلية تحليل المخاطر، بما يشمل المراجعة المستمرة والمراجعة الإلكترونية والمراجعة المشتركة ومراجعة النظير (الدابي وأمبدي، 2021)</w:t>
      </w:r>
      <w:r w:rsidRPr="00203A98">
        <w:rPr>
          <w:rFonts w:ascii="Simplified Arabic" w:eastAsia="Times New Roman" w:hAnsi="Simplified Arabic" w:cs="Simplified Arabic"/>
          <w:color w:val="000000" w:themeColor="text1"/>
          <w:kern w:val="0"/>
          <w:sz w:val="28"/>
          <w:szCs w:val="28"/>
          <w14:ligatures w14:val="none"/>
        </w:rPr>
        <w:t>.</w:t>
      </w:r>
    </w:p>
    <w:p w14:paraId="1F0E3B05" w14:textId="77777777" w:rsidR="002837E8" w:rsidRPr="00203A98" w:rsidRDefault="002837E8" w:rsidP="007922C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03A98">
        <w:rPr>
          <w:rFonts w:ascii="Simplified Arabic" w:eastAsia="Times New Roman" w:hAnsi="Simplified Arabic" w:cs="Simplified Arabic"/>
          <w:color w:val="000000" w:themeColor="text1"/>
          <w:kern w:val="0"/>
          <w:sz w:val="28"/>
          <w:szCs w:val="28"/>
          <w:rtl/>
          <w14:ligatures w14:val="none"/>
        </w:rPr>
        <w:t>وأخيراً، يُبرز (عثمان، 2021) مدخل التحليل المالي بالنسب المالية كأداة أساسية في تحليل المخاطر، حيث تُوفّر هذه النسب مؤشرات كمية موضوعية عن الوضع المالي للعميل ومستوى المخاطر التي يواجهها، بما في ذلك مخاطر الإفلاس والتعثر المالي</w:t>
      </w:r>
      <w:r w:rsidRPr="00203A98">
        <w:rPr>
          <w:rFonts w:ascii="Simplified Arabic" w:eastAsia="Times New Roman" w:hAnsi="Simplified Arabic" w:cs="Simplified Arabic"/>
          <w:color w:val="000000" w:themeColor="text1"/>
          <w:kern w:val="0"/>
          <w:sz w:val="28"/>
          <w:szCs w:val="28"/>
          <w14:ligatures w14:val="none"/>
        </w:rPr>
        <w:t>.</w:t>
      </w:r>
    </w:p>
    <w:p w14:paraId="171F51D7" w14:textId="23E9C665" w:rsidR="00203A98" w:rsidRPr="00203A98" w:rsidRDefault="00C76BF3" w:rsidP="00A73685">
      <w:pPr>
        <w:jc w:val="center"/>
        <w:outlineLvl w:val="0"/>
        <w:rPr>
          <w:rFonts w:ascii="Simplified Arabic" w:hAnsi="Simplified Arabic" w:cs="Simplified Arabic"/>
          <w:b/>
          <w:bCs/>
          <w:color w:val="000000" w:themeColor="text1"/>
          <w:szCs w:val="28"/>
          <w:rtl/>
        </w:rPr>
        <w:sectPr w:rsidR="00203A98" w:rsidRPr="00203A98" w:rsidSect="007922C2">
          <w:footerReference w:type="default" r:id="rId10"/>
          <w:pgSz w:w="11906" w:h="16838" w:code="9"/>
          <w:pgMar w:top="1134" w:right="1701" w:bottom="1134" w:left="1134" w:header="720" w:footer="720" w:gutter="0"/>
          <w:pgNumType w:start="1"/>
          <w:cols w:space="708"/>
          <w:bidi/>
          <w:rtlGutter/>
          <w:docGrid w:linePitch="360"/>
        </w:sectPr>
      </w:pPr>
      <w:r w:rsidRPr="00203A98">
        <w:rPr>
          <w:rFonts w:ascii="Simplified Arabic" w:eastAsia="Times New Roman" w:hAnsi="Simplified Arabic" w:cs="Simplified Arabic"/>
          <w:b/>
          <w:bCs/>
          <w:color w:val="000000" w:themeColor="text1"/>
          <w:kern w:val="0"/>
          <w:sz w:val="40"/>
          <w:szCs w:val="40"/>
          <w:rtl/>
          <w14:ligatures w14:val="none"/>
        </w:rPr>
        <w:br w:type="page"/>
      </w:r>
      <w:bookmarkStart w:id="33" w:name="_GoBack"/>
      <w:bookmarkEnd w:id="2"/>
      <w:bookmarkEnd w:id="33"/>
    </w:p>
    <w:p w14:paraId="29D4231B" w14:textId="5692A5E0" w:rsidR="0081623B" w:rsidRPr="00203A98" w:rsidRDefault="00E27D3B" w:rsidP="007922C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03A98">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6B0DC4FA">
            <wp:simplePos x="0" y="0"/>
            <wp:positionH relativeFrom="column">
              <wp:posOffset>4278630</wp:posOffset>
            </wp:positionH>
            <wp:positionV relativeFrom="paragraph">
              <wp:posOffset>49530</wp:posOffset>
            </wp:positionV>
            <wp:extent cx="1362075" cy="1261110"/>
            <wp:effectExtent l="0" t="0" r="9525" b="0"/>
            <wp:wrapTight wrapText="bothSides">
              <wp:wrapPolygon edited="0">
                <wp:start x="0" y="0"/>
                <wp:lineTo x="0" y="21208"/>
                <wp:lineTo x="21449" y="21208"/>
                <wp:lineTo x="21449"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62075" cy="126111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203A98">
        <w:rPr>
          <w:rFonts w:asciiTheme="majorBidi" w:eastAsia="Calibri" w:hAnsiTheme="majorBidi" w:cstheme="majorBidi"/>
          <w:b/>
          <w:bCs/>
          <w:color w:val="000000" w:themeColor="text1"/>
          <w:kern w:val="0"/>
          <w:sz w:val="32"/>
          <w:szCs w:val="32"/>
          <w:lang w:bidi="ar-EG"/>
          <w14:ligatures w14:val="none"/>
        </w:rPr>
        <w:t>Mid</w:t>
      </w:r>
      <w:r w:rsidR="000D353F" w:rsidRPr="00203A98">
        <w:rPr>
          <w:rFonts w:asciiTheme="majorBidi" w:eastAsia="Calibri" w:hAnsiTheme="majorBidi" w:cstheme="majorBidi"/>
          <w:b/>
          <w:bCs/>
          <w:color w:val="000000" w:themeColor="text1"/>
          <w:kern w:val="0"/>
          <w:sz w:val="32"/>
          <w:szCs w:val="32"/>
          <w:lang w:bidi="ar-EG"/>
          <w14:ligatures w14:val="none"/>
        </w:rPr>
        <w:t xml:space="preserve"> </w:t>
      </w:r>
      <w:r w:rsidR="0081623B" w:rsidRPr="00203A98">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203A98" w:rsidRDefault="0081623B" w:rsidP="007922C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03A98">
        <w:rPr>
          <w:rFonts w:asciiTheme="majorBidi" w:eastAsia="Calibri" w:hAnsiTheme="majorBidi" w:cstheme="majorBidi"/>
          <w:b/>
          <w:bCs/>
          <w:color w:val="000000" w:themeColor="text1"/>
          <w:kern w:val="0"/>
          <w:sz w:val="32"/>
          <w:szCs w:val="32"/>
          <w:lang w:bidi="ar-EG"/>
          <w14:ligatures w14:val="none"/>
        </w:rPr>
        <w:t>College of Management</w:t>
      </w:r>
    </w:p>
    <w:p w14:paraId="04411127" w14:textId="0A4A8C75" w:rsidR="00E27D3B" w:rsidRPr="00203A98" w:rsidRDefault="007014C3" w:rsidP="00203A98">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203A98">
        <w:rPr>
          <w:rFonts w:asciiTheme="majorBidi" w:eastAsia="Calibri" w:hAnsiTheme="majorBidi" w:cstheme="majorBidi"/>
          <w:b/>
          <w:bCs/>
          <w:color w:val="000000" w:themeColor="text1"/>
          <w:kern w:val="0"/>
          <w:sz w:val="32"/>
          <w:szCs w:val="32"/>
          <w:lang w:bidi="ar-EG"/>
          <w14:ligatures w14:val="none"/>
        </w:rPr>
        <w:t>Master of Risk Management</w:t>
      </w:r>
      <w:r w:rsidR="003E0E80" w:rsidRPr="00203A98">
        <w:rPr>
          <w:rFonts w:asciiTheme="majorBidi" w:eastAsia="Calibri" w:hAnsiTheme="majorBidi" w:cstheme="majorBidi"/>
          <w:b/>
          <w:bCs/>
          <w:color w:val="000000" w:themeColor="text1"/>
          <w:kern w:val="0"/>
          <w:sz w:val="32"/>
          <w:szCs w:val="32"/>
          <w14:ligatures w14:val="none"/>
        </w:rPr>
        <w:t xml:space="preserve"> </w:t>
      </w:r>
    </w:p>
    <w:p w14:paraId="0CBE22B0" w14:textId="77777777" w:rsidR="00CC6261" w:rsidRPr="00203A98" w:rsidRDefault="00CC6261" w:rsidP="007922C2">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768E3FBA" w14:textId="77777777" w:rsidR="00997343" w:rsidRPr="00203A98" w:rsidRDefault="00997343" w:rsidP="00203A98">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203A98">
        <w:rPr>
          <w:rFonts w:asciiTheme="majorBidi" w:eastAsia="Calibri" w:hAnsiTheme="majorBidi" w:cstheme="majorBidi"/>
          <w:b/>
          <w:bCs/>
          <w:color w:val="000000" w:themeColor="text1"/>
          <w:kern w:val="0"/>
          <w:sz w:val="40"/>
          <w:szCs w:val="40"/>
          <w:lang w:bidi="ar-EG"/>
          <w14:ligatures w14:val="none"/>
        </w:rPr>
        <w:t>Enhancing the Effectiveness of Risk Analysis through Risk-Based Internal Auditing: An Advanced Field Study in Saudi Joint-Stock Companies</w:t>
      </w:r>
    </w:p>
    <w:p w14:paraId="56B88E22" w14:textId="77777777" w:rsidR="00203A98" w:rsidRPr="00203A98" w:rsidRDefault="00203A98" w:rsidP="00203A98">
      <w:pPr>
        <w:tabs>
          <w:tab w:val="left" w:pos="3120"/>
          <w:tab w:val="center" w:pos="4535"/>
        </w:tabs>
        <w:bidi w:val="0"/>
        <w:spacing w:before="100" w:beforeAutospacing="1" w:after="100" w:afterAutospacing="1" w:line="276" w:lineRule="auto"/>
        <w:rPr>
          <w:rFonts w:ascii="Simplified Arabic" w:eastAsia="Calibri" w:hAnsi="Simplified Arabic" w:cs="Simplified Arabic"/>
          <w:b/>
          <w:bCs/>
          <w:color w:val="000000" w:themeColor="text1"/>
          <w:kern w:val="0"/>
          <w:sz w:val="36"/>
          <w:szCs w:val="36"/>
          <w:rtl/>
          <w:lang w:bidi="ar-EG"/>
          <w14:ligatures w14:val="none"/>
        </w:rPr>
      </w:pPr>
      <w:r w:rsidRPr="00203A98">
        <w:rPr>
          <w:rFonts w:ascii="Simplified Arabic" w:eastAsia="Calibri" w:hAnsi="Simplified Arabic" w:cs="Simplified Arabic"/>
          <w:b/>
          <w:bCs/>
          <w:color w:val="000000" w:themeColor="text1"/>
          <w:kern w:val="0"/>
          <w:sz w:val="36"/>
          <w:szCs w:val="36"/>
          <w:lang w:bidi="ar-EG"/>
          <w14:ligatures w14:val="none"/>
        </w:rPr>
        <w:tab/>
      </w:r>
      <w:r w:rsidRPr="00203A98">
        <w:rPr>
          <w:rFonts w:ascii="Simplified Arabic" w:eastAsia="Calibri" w:hAnsi="Simplified Arabic" w:cs="Simplified Arabic"/>
          <w:b/>
          <w:bCs/>
          <w:color w:val="000000" w:themeColor="text1"/>
          <w:kern w:val="0"/>
          <w:sz w:val="36"/>
          <w:szCs w:val="36"/>
          <w:lang w:bidi="ar-EG"/>
          <w14:ligatures w14:val="none"/>
        </w:rPr>
        <w:tab/>
      </w:r>
    </w:p>
    <w:p w14:paraId="2DC35C18" w14:textId="01318B44" w:rsidR="00203A98" w:rsidRPr="00203A98" w:rsidRDefault="00203A98" w:rsidP="00203A98">
      <w:pPr>
        <w:tabs>
          <w:tab w:val="left" w:pos="3120"/>
          <w:tab w:val="center" w:pos="4535"/>
        </w:tabs>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rtl/>
          <w:lang w:bidi="ar-EG"/>
          <w14:ligatures w14:val="none"/>
        </w:rPr>
      </w:pPr>
      <w:r w:rsidRPr="00203A98">
        <w:rPr>
          <w:rFonts w:ascii="Simplified Arabic" w:eastAsia="Calibri" w:hAnsi="Simplified Arabic" w:cs="Simplified Arabic"/>
          <w:b/>
          <w:bCs/>
          <w:color w:val="000000" w:themeColor="text1"/>
          <w:kern w:val="0"/>
          <w:sz w:val="36"/>
          <w:szCs w:val="36"/>
          <w:lang w:bidi="ar-EG"/>
          <w14:ligatures w14:val="none"/>
        </w:rPr>
        <w:t>Prepared by:</w:t>
      </w:r>
    </w:p>
    <w:p w14:paraId="232DD040" w14:textId="4E493970" w:rsidR="00997343" w:rsidRPr="00203A98" w:rsidRDefault="00203A98" w:rsidP="00203A98">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rtl/>
          <w:lang w:bidi="ar-EG"/>
          <w14:ligatures w14:val="none"/>
        </w:rPr>
      </w:pPr>
      <w:r w:rsidRPr="00203A98">
        <w:rPr>
          <w:rFonts w:ascii="Simplified Arabic" w:eastAsia="Calibri" w:hAnsi="Simplified Arabic" w:cs="Simplified Arabic"/>
          <w:color w:val="000000" w:themeColor="text1"/>
          <w:kern w:val="0"/>
          <w:sz w:val="36"/>
          <w:szCs w:val="36"/>
          <w:lang w:bidi="ar-EG"/>
          <w14:ligatures w14:val="none"/>
        </w:rPr>
        <w:t>Ali Mohammed Al-Qashim</w:t>
      </w:r>
    </w:p>
    <w:p w14:paraId="6B918489" w14:textId="77777777" w:rsidR="00203A98" w:rsidRPr="00203A98" w:rsidRDefault="00203A98" w:rsidP="00203A98">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rtl/>
          <w:lang w:bidi="ar-EG"/>
          <w14:ligatures w14:val="none"/>
        </w:rPr>
      </w:pPr>
      <w:r w:rsidRPr="00203A98">
        <w:rPr>
          <w:rFonts w:ascii="Simplified Arabic" w:eastAsia="Calibri" w:hAnsi="Simplified Arabic" w:cs="Simplified Arabic"/>
          <w:color w:val="000000" w:themeColor="text1"/>
          <w:kern w:val="0"/>
          <w:sz w:val="36"/>
          <w:szCs w:val="36"/>
          <w:lang w:bidi="ar-EG"/>
          <w14:ligatures w14:val="none"/>
        </w:rPr>
        <w:t>253002168</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203A98" w:rsidRPr="00203A98" w14:paraId="778005CE" w14:textId="77777777" w:rsidTr="00697BFB">
        <w:tc>
          <w:tcPr>
            <w:tcW w:w="4530" w:type="dxa"/>
          </w:tcPr>
          <w:p w14:paraId="65EA446B" w14:textId="77777777" w:rsidR="00203A98" w:rsidRPr="00203A98" w:rsidRDefault="00203A98" w:rsidP="00697BF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03A98">
              <w:rPr>
                <w:rFonts w:asciiTheme="majorBidi" w:eastAsia="Calibri" w:hAnsiTheme="majorBidi" w:cstheme="majorBidi"/>
                <w:b/>
                <w:bCs/>
                <w:color w:val="000000" w:themeColor="text1"/>
                <w:kern w:val="0"/>
                <w:sz w:val="36"/>
                <w:szCs w:val="36"/>
                <w:lang w:bidi="ar-EG"/>
                <w14:ligatures w14:val="none"/>
              </w:rPr>
              <w:t>Main supervisor</w:t>
            </w:r>
            <w:r w:rsidRPr="00203A98">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674FB282" w14:textId="77777777" w:rsidR="00203A98" w:rsidRPr="00203A98" w:rsidRDefault="00203A98" w:rsidP="00697BF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03A98">
              <w:rPr>
                <w:rFonts w:asciiTheme="majorBidi" w:eastAsia="Calibri" w:hAnsiTheme="majorBidi" w:cstheme="majorBidi"/>
                <w:b/>
                <w:bCs/>
                <w:color w:val="000000" w:themeColor="text1"/>
                <w:kern w:val="0"/>
                <w:sz w:val="36"/>
                <w:szCs w:val="36"/>
                <w:lang w:bidi="ar-EG"/>
                <w14:ligatures w14:val="none"/>
              </w:rPr>
              <w:t>Second supervisor</w:t>
            </w:r>
            <w:r w:rsidRPr="00203A98">
              <w:rPr>
                <w:rFonts w:asciiTheme="majorBidi" w:eastAsia="Calibri" w:hAnsiTheme="majorBidi" w:cstheme="majorBidi"/>
                <w:b/>
                <w:bCs/>
                <w:color w:val="000000" w:themeColor="text1"/>
                <w:kern w:val="0"/>
                <w:sz w:val="36"/>
                <w:szCs w:val="36"/>
                <w:rtl/>
                <w:lang w:bidi="ar-EG"/>
                <w14:ligatures w14:val="none"/>
              </w:rPr>
              <w:t>/</w:t>
            </w:r>
          </w:p>
        </w:tc>
      </w:tr>
      <w:tr w:rsidR="00203A98" w:rsidRPr="00203A98" w14:paraId="5AC9B12E" w14:textId="77777777" w:rsidTr="00697BFB">
        <w:tc>
          <w:tcPr>
            <w:tcW w:w="4530" w:type="dxa"/>
          </w:tcPr>
          <w:p w14:paraId="056BB536" w14:textId="77777777" w:rsidR="00203A98" w:rsidRPr="00203A98" w:rsidRDefault="00203A98" w:rsidP="00697BF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03A98">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10139862" w14:textId="77777777" w:rsidR="00203A98" w:rsidRPr="00203A98" w:rsidRDefault="00203A98" w:rsidP="00697BF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03A98">
              <w:rPr>
                <w:rFonts w:asciiTheme="majorBidi" w:eastAsia="Calibri" w:hAnsiTheme="majorBidi" w:cstheme="majorBidi"/>
                <w:color w:val="000000" w:themeColor="text1"/>
                <w:kern w:val="0"/>
                <w:sz w:val="36"/>
                <w:szCs w:val="36"/>
                <w:lang w:bidi="ar-EG"/>
                <w14:ligatures w14:val="none"/>
              </w:rPr>
              <w:t>Dr. Fayez Jarad</w:t>
            </w:r>
          </w:p>
        </w:tc>
      </w:tr>
    </w:tbl>
    <w:p w14:paraId="069F19CA" w14:textId="77777777" w:rsidR="00203A98" w:rsidRPr="00203A98" w:rsidRDefault="00203A98" w:rsidP="00203A98">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20AD1953" w14:textId="77777777" w:rsidR="00203A98" w:rsidRPr="00203A98" w:rsidRDefault="00203A98" w:rsidP="00203A98">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203A98">
        <w:rPr>
          <w:rFonts w:asciiTheme="majorBidi" w:eastAsia="Calibri" w:hAnsiTheme="majorBidi" w:cstheme="majorBidi"/>
          <w:color w:val="000000" w:themeColor="text1"/>
          <w:kern w:val="0"/>
          <w:sz w:val="36"/>
          <w:szCs w:val="36"/>
          <w:rtl/>
          <w:lang w:bidi="ar-EG"/>
          <w14:ligatures w14:val="none"/>
        </w:rPr>
        <w:t>1448 – 2026</w:t>
      </w:r>
    </w:p>
    <w:p w14:paraId="61A083B9" w14:textId="77777777" w:rsidR="00203A98" w:rsidRPr="00203A98" w:rsidRDefault="00203A98" w:rsidP="00203A98">
      <w:pPr>
        <w:bidi w:val="0"/>
        <w:spacing w:before="100" w:beforeAutospacing="1" w:after="100" w:afterAutospacing="1" w:line="276" w:lineRule="auto"/>
        <w:jc w:val="center"/>
        <w:rPr>
          <w:rFonts w:ascii="Simplified Arabic" w:eastAsia="Calibri" w:hAnsi="Simplified Arabic" w:cs="Simplified Arabic"/>
          <w:color w:val="000000" w:themeColor="text1"/>
          <w:kern w:val="0"/>
          <w:sz w:val="36"/>
          <w:szCs w:val="36"/>
          <w:lang w:bidi="ar-EG"/>
          <w14:ligatures w14:val="none"/>
        </w:rPr>
      </w:pPr>
    </w:p>
    <w:p w14:paraId="6E52896B" w14:textId="2A65F304" w:rsidR="009125CE" w:rsidRPr="00203A98" w:rsidRDefault="009125CE" w:rsidP="007922C2">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203A98" w:rsidSect="007922C2">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B4390A" w14:textId="77777777" w:rsidR="0021382E" w:rsidRDefault="0021382E" w:rsidP="009125CE">
      <w:pPr>
        <w:spacing w:after="0" w:line="240" w:lineRule="auto"/>
      </w:pPr>
      <w:r>
        <w:separator/>
      </w:r>
    </w:p>
  </w:endnote>
  <w:endnote w:type="continuationSeparator" w:id="0">
    <w:p w14:paraId="3A1C2370" w14:textId="77777777" w:rsidR="0021382E" w:rsidRDefault="0021382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252253245"/>
      <w:docPartObj>
        <w:docPartGallery w:val="Page Numbers (Bottom of Page)"/>
        <w:docPartUnique/>
      </w:docPartObj>
    </w:sdtPr>
    <w:sdtEndPr>
      <w:rPr>
        <w:rFonts w:ascii="Simplified Arabic" w:hAnsi="Simplified Arabic" w:cs="Simplified Arabic"/>
        <w:b/>
        <w:bCs/>
        <w:noProof/>
        <w:sz w:val="24"/>
        <w:szCs w:val="24"/>
      </w:rPr>
    </w:sdtEndPr>
    <w:sdtContent>
      <w:p w14:paraId="0C9EC26F" w14:textId="5DE41012" w:rsidR="00C76BF3" w:rsidRDefault="00C76BF3">
        <w:pPr>
          <w:pStyle w:val="Footer"/>
          <w:jc w:val="center"/>
        </w:pPr>
      </w:p>
      <w:p w14:paraId="13047AE1" w14:textId="1A96E9F3" w:rsidR="00C76BF3" w:rsidRPr="007922C2" w:rsidRDefault="00C76BF3" w:rsidP="007922C2">
        <w:pPr>
          <w:pStyle w:val="Footer"/>
          <w:jc w:val="center"/>
          <w:rPr>
            <w:rFonts w:ascii="Simplified Arabic" w:hAnsi="Simplified Arabic" w:cs="Simplified Arabic"/>
            <w:b/>
            <w:bCs/>
            <w:sz w:val="24"/>
            <w:szCs w:val="24"/>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81957620"/>
      <w:docPartObj>
        <w:docPartGallery w:val="Page Numbers (Bottom of Page)"/>
        <w:docPartUnique/>
      </w:docPartObj>
    </w:sdtPr>
    <w:sdtEndPr>
      <w:rPr>
        <w:rFonts w:ascii="Simplified Arabic" w:hAnsi="Simplified Arabic" w:cs="Simplified Arabic"/>
        <w:b/>
        <w:bCs/>
        <w:noProof/>
        <w:sz w:val="24"/>
        <w:szCs w:val="24"/>
      </w:rPr>
    </w:sdtEndPr>
    <w:sdtContent>
      <w:p w14:paraId="42EBE97D" w14:textId="77777777" w:rsidR="00C76BF3" w:rsidRDefault="00C76BF3">
        <w:pPr>
          <w:pStyle w:val="Footer"/>
          <w:jc w:val="center"/>
        </w:pPr>
        <w:r>
          <w:rPr>
            <w:noProof/>
          </w:rPr>
          <mc:AlternateContent>
            <mc:Choice Requires="wps">
              <w:drawing>
                <wp:inline distT="0" distB="0" distL="0" distR="0" wp14:anchorId="3276A03A" wp14:editId="0BED93AF">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4584D2DE"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6F69372D" w14:textId="77777777" w:rsidR="00C76BF3" w:rsidRPr="007922C2" w:rsidRDefault="00C76BF3" w:rsidP="007922C2">
        <w:pPr>
          <w:pStyle w:val="Footer"/>
          <w:jc w:val="center"/>
          <w:rPr>
            <w:rFonts w:ascii="Simplified Arabic" w:hAnsi="Simplified Arabic" w:cs="Simplified Arabic"/>
            <w:b/>
            <w:bCs/>
            <w:sz w:val="24"/>
            <w:szCs w:val="24"/>
          </w:rPr>
        </w:pPr>
        <w:r w:rsidRPr="007922C2">
          <w:rPr>
            <w:rFonts w:ascii="Simplified Arabic" w:hAnsi="Simplified Arabic" w:cs="Simplified Arabic"/>
            <w:b/>
            <w:bCs/>
            <w:sz w:val="24"/>
            <w:szCs w:val="24"/>
          </w:rPr>
          <w:fldChar w:fldCharType="begin"/>
        </w:r>
        <w:r w:rsidRPr="007922C2">
          <w:rPr>
            <w:rFonts w:ascii="Simplified Arabic" w:hAnsi="Simplified Arabic" w:cs="Simplified Arabic"/>
            <w:b/>
            <w:bCs/>
            <w:sz w:val="24"/>
            <w:szCs w:val="24"/>
          </w:rPr>
          <w:instrText xml:space="preserve"> PAGE    \* MERGEFORMAT </w:instrText>
        </w:r>
        <w:r w:rsidRPr="007922C2">
          <w:rPr>
            <w:rFonts w:ascii="Simplified Arabic" w:hAnsi="Simplified Arabic" w:cs="Simplified Arabic"/>
            <w:b/>
            <w:bCs/>
            <w:sz w:val="24"/>
            <w:szCs w:val="24"/>
          </w:rPr>
          <w:fldChar w:fldCharType="separate"/>
        </w:r>
        <w:r w:rsidR="00A73685">
          <w:rPr>
            <w:rFonts w:ascii="Simplified Arabic" w:hAnsi="Simplified Arabic" w:cs="Simplified Arabic"/>
            <w:b/>
            <w:bCs/>
            <w:noProof/>
            <w:sz w:val="24"/>
            <w:szCs w:val="24"/>
            <w:rtl/>
          </w:rPr>
          <w:t>42</w:t>
        </w:r>
        <w:r w:rsidRPr="007922C2">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649704434"/>
      <w:docPartObj>
        <w:docPartGallery w:val="Page Numbers (Bottom of Page)"/>
        <w:docPartUnique/>
      </w:docPartObj>
    </w:sdtPr>
    <w:sdtEndPr>
      <w:rPr>
        <w:rFonts w:ascii="Simplified Arabic" w:hAnsi="Simplified Arabic" w:cs="Simplified Arabic"/>
        <w:b/>
        <w:bCs/>
        <w:noProof/>
        <w:sz w:val="24"/>
        <w:szCs w:val="24"/>
      </w:rPr>
    </w:sdtEndPr>
    <w:sdtContent>
      <w:p w14:paraId="7FFB43C3" w14:textId="3105891B" w:rsidR="00203A98" w:rsidRDefault="00203A98">
        <w:pPr>
          <w:pStyle w:val="Footer"/>
          <w:jc w:val="center"/>
        </w:pPr>
      </w:p>
      <w:p w14:paraId="656397E8" w14:textId="6BCB51FE" w:rsidR="00203A98" w:rsidRPr="007922C2" w:rsidRDefault="00203A98" w:rsidP="007922C2">
        <w:pPr>
          <w:pStyle w:val="Footer"/>
          <w:jc w:val="center"/>
          <w:rPr>
            <w:rFonts w:ascii="Simplified Arabic" w:hAnsi="Simplified Arabic" w:cs="Simplified Arabic"/>
            <w:b/>
            <w:bCs/>
            <w:sz w:val="24"/>
            <w:szCs w:val="24"/>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ADCD3C" w14:textId="77777777" w:rsidR="0021382E" w:rsidRDefault="0021382E" w:rsidP="009125CE">
      <w:pPr>
        <w:spacing w:after="0" w:line="240" w:lineRule="auto"/>
      </w:pPr>
      <w:r>
        <w:separator/>
      </w:r>
    </w:p>
  </w:footnote>
  <w:footnote w:type="continuationSeparator" w:id="0">
    <w:p w14:paraId="1325BCFE" w14:textId="77777777" w:rsidR="0021382E" w:rsidRDefault="0021382E"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01C23"/>
    <w:multiLevelType w:val="hybridMultilevel"/>
    <w:tmpl w:val="35F453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3AB6F04"/>
    <w:multiLevelType w:val="multilevel"/>
    <w:tmpl w:val="62165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BAF7BFE"/>
    <w:multiLevelType w:val="multilevel"/>
    <w:tmpl w:val="34646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1F5108"/>
    <w:multiLevelType w:val="hybridMultilevel"/>
    <w:tmpl w:val="C1F8F2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E3186E"/>
    <w:multiLevelType w:val="multilevel"/>
    <w:tmpl w:val="BCF23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43664D"/>
    <w:multiLevelType w:val="multilevel"/>
    <w:tmpl w:val="6ADACFD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03F5B7E"/>
    <w:multiLevelType w:val="hybridMultilevel"/>
    <w:tmpl w:val="55F056C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3252D3"/>
    <w:multiLevelType w:val="hybridMultilevel"/>
    <w:tmpl w:val="7AA0E53E"/>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2CBA1C7B"/>
    <w:multiLevelType w:val="multilevel"/>
    <w:tmpl w:val="BA165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5B64569"/>
    <w:multiLevelType w:val="multilevel"/>
    <w:tmpl w:val="3EA81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703310E"/>
    <w:multiLevelType w:val="multilevel"/>
    <w:tmpl w:val="6ADACFD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C217E9A"/>
    <w:multiLevelType w:val="multilevel"/>
    <w:tmpl w:val="6A469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DC040FC"/>
    <w:multiLevelType w:val="multilevel"/>
    <w:tmpl w:val="9C82A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7CC0FD3"/>
    <w:multiLevelType w:val="hybridMultilevel"/>
    <w:tmpl w:val="AB28B8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8D566B3"/>
    <w:multiLevelType w:val="hybridMultilevel"/>
    <w:tmpl w:val="6DDC1D8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54074C55"/>
    <w:multiLevelType w:val="hybridMultilevel"/>
    <w:tmpl w:val="20E67E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A676FCE"/>
    <w:multiLevelType w:val="hybridMultilevel"/>
    <w:tmpl w:val="E3C8F5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C196D45"/>
    <w:multiLevelType w:val="hybridMultilevel"/>
    <w:tmpl w:val="0F7EB44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D8B71F2"/>
    <w:multiLevelType w:val="hybridMultilevel"/>
    <w:tmpl w:val="5674F2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0294B6A"/>
    <w:multiLevelType w:val="multilevel"/>
    <w:tmpl w:val="CBF4D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2">
    <w:nsid w:val="6C887446"/>
    <w:multiLevelType w:val="hybridMultilevel"/>
    <w:tmpl w:val="E99C8B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765C6C88"/>
    <w:multiLevelType w:val="multilevel"/>
    <w:tmpl w:val="EE90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87D1615"/>
    <w:multiLevelType w:val="hybridMultilevel"/>
    <w:tmpl w:val="93B4EA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0"/>
  </w:num>
  <w:num w:numId="3">
    <w:abstractNumId w:val="20"/>
  </w:num>
  <w:num w:numId="4">
    <w:abstractNumId w:val="9"/>
  </w:num>
  <w:num w:numId="5">
    <w:abstractNumId w:val="13"/>
  </w:num>
  <w:num w:numId="6">
    <w:abstractNumId w:val="2"/>
  </w:num>
  <w:num w:numId="7">
    <w:abstractNumId w:val="23"/>
  </w:num>
  <w:num w:numId="8">
    <w:abstractNumId w:val="12"/>
  </w:num>
  <w:num w:numId="9">
    <w:abstractNumId w:val="1"/>
  </w:num>
  <w:num w:numId="10">
    <w:abstractNumId w:val="4"/>
  </w:num>
  <w:num w:numId="11">
    <w:abstractNumId w:val="16"/>
  </w:num>
  <w:num w:numId="12">
    <w:abstractNumId w:val="24"/>
  </w:num>
  <w:num w:numId="13">
    <w:abstractNumId w:val="17"/>
  </w:num>
  <w:num w:numId="14">
    <w:abstractNumId w:val="15"/>
  </w:num>
  <w:num w:numId="15">
    <w:abstractNumId w:val="14"/>
  </w:num>
  <w:num w:numId="16">
    <w:abstractNumId w:val="0"/>
  </w:num>
  <w:num w:numId="17">
    <w:abstractNumId w:val="22"/>
  </w:num>
  <w:num w:numId="18">
    <w:abstractNumId w:val="11"/>
  </w:num>
  <w:num w:numId="19">
    <w:abstractNumId w:val="5"/>
  </w:num>
  <w:num w:numId="20">
    <w:abstractNumId w:val="18"/>
  </w:num>
  <w:num w:numId="21">
    <w:abstractNumId w:val="19"/>
  </w:num>
  <w:num w:numId="22">
    <w:abstractNumId w:val="8"/>
  </w:num>
  <w:num w:numId="23">
    <w:abstractNumId w:val="6"/>
  </w:num>
  <w:num w:numId="24">
    <w:abstractNumId w:val="7"/>
  </w:num>
  <w:num w:numId="25">
    <w:abstractNumId w:val="2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14C60"/>
    <w:rsid w:val="00016962"/>
    <w:rsid w:val="000204A8"/>
    <w:rsid w:val="00020F7B"/>
    <w:rsid w:val="00022B3A"/>
    <w:rsid w:val="0004554E"/>
    <w:rsid w:val="00052AB0"/>
    <w:rsid w:val="00053122"/>
    <w:rsid w:val="000543EF"/>
    <w:rsid w:val="000602CA"/>
    <w:rsid w:val="000610C9"/>
    <w:rsid w:val="00061FA2"/>
    <w:rsid w:val="00064FF1"/>
    <w:rsid w:val="00067938"/>
    <w:rsid w:val="0007370A"/>
    <w:rsid w:val="00075DF4"/>
    <w:rsid w:val="000769E1"/>
    <w:rsid w:val="000842EB"/>
    <w:rsid w:val="00093973"/>
    <w:rsid w:val="00094E98"/>
    <w:rsid w:val="000A06E6"/>
    <w:rsid w:val="000A2ED4"/>
    <w:rsid w:val="000A4AC3"/>
    <w:rsid w:val="000A4DAE"/>
    <w:rsid w:val="000A6930"/>
    <w:rsid w:val="000B28D9"/>
    <w:rsid w:val="000C4130"/>
    <w:rsid w:val="000C46EE"/>
    <w:rsid w:val="000D03ED"/>
    <w:rsid w:val="000D2E22"/>
    <w:rsid w:val="000D353F"/>
    <w:rsid w:val="000D7A52"/>
    <w:rsid w:val="000E0212"/>
    <w:rsid w:val="000E2A00"/>
    <w:rsid w:val="000E3680"/>
    <w:rsid w:val="000E503B"/>
    <w:rsid w:val="000F44B4"/>
    <w:rsid w:val="001038CB"/>
    <w:rsid w:val="0010665F"/>
    <w:rsid w:val="00110487"/>
    <w:rsid w:val="0012342D"/>
    <w:rsid w:val="001306F3"/>
    <w:rsid w:val="00131E44"/>
    <w:rsid w:val="00136A9D"/>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46EC"/>
    <w:rsid w:val="001B6D18"/>
    <w:rsid w:val="001B7151"/>
    <w:rsid w:val="001C2162"/>
    <w:rsid w:val="001C42F9"/>
    <w:rsid w:val="001D4406"/>
    <w:rsid w:val="001E7B16"/>
    <w:rsid w:val="001F0034"/>
    <w:rsid w:val="001F159D"/>
    <w:rsid w:val="001F46A5"/>
    <w:rsid w:val="00203A98"/>
    <w:rsid w:val="0021382E"/>
    <w:rsid w:val="0021718D"/>
    <w:rsid w:val="00217ADA"/>
    <w:rsid w:val="0022009F"/>
    <w:rsid w:val="00223AE0"/>
    <w:rsid w:val="002304C2"/>
    <w:rsid w:val="00234450"/>
    <w:rsid w:val="00244894"/>
    <w:rsid w:val="00250D99"/>
    <w:rsid w:val="00251BCA"/>
    <w:rsid w:val="0025395E"/>
    <w:rsid w:val="00256363"/>
    <w:rsid w:val="00260558"/>
    <w:rsid w:val="0026283D"/>
    <w:rsid w:val="00270FB5"/>
    <w:rsid w:val="00274BDE"/>
    <w:rsid w:val="002766BC"/>
    <w:rsid w:val="00276887"/>
    <w:rsid w:val="00280068"/>
    <w:rsid w:val="002807A1"/>
    <w:rsid w:val="002828EF"/>
    <w:rsid w:val="002837E8"/>
    <w:rsid w:val="00286958"/>
    <w:rsid w:val="0029680E"/>
    <w:rsid w:val="002A32D6"/>
    <w:rsid w:val="002A337C"/>
    <w:rsid w:val="002A365A"/>
    <w:rsid w:val="002A76B5"/>
    <w:rsid w:val="002B1274"/>
    <w:rsid w:val="002C205F"/>
    <w:rsid w:val="002C21BB"/>
    <w:rsid w:val="002C5EE0"/>
    <w:rsid w:val="002D0190"/>
    <w:rsid w:val="002D30A7"/>
    <w:rsid w:val="002D3120"/>
    <w:rsid w:val="002D5C0C"/>
    <w:rsid w:val="002E36BC"/>
    <w:rsid w:val="002E4629"/>
    <w:rsid w:val="002F5968"/>
    <w:rsid w:val="002F5FA3"/>
    <w:rsid w:val="00301731"/>
    <w:rsid w:val="00303BF8"/>
    <w:rsid w:val="00304304"/>
    <w:rsid w:val="003060F7"/>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2106"/>
    <w:rsid w:val="003D5D45"/>
    <w:rsid w:val="003D6376"/>
    <w:rsid w:val="003E0E80"/>
    <w:rsid w:val="003E29FB"/>
    <w:rsid w:val="003E3EBB"/>
    <w:rsid w:val="003E5B08"/>
    <w:rsid w:val="003E7CB6"/>
    <w:rsid w:val="003F3DA3"/>
    <w:rsid w:val="00401DBE"/>
    <w:rsid w:val="00402123"/>
    <w:rsid w:val="00403383"/>
    <w:rsid w:val="004130C0"/>
    <w:rsid w:val="00413CBD"/>
    <w:rsid w:val="00413DF8"/>
    <w:rsid w:val="00413F36"/>
    <w:rsid w:val="004163C7"/>
    <w:rsid w:val="004215C5"/>
    <w:rsid w:val="004260FE"/>
    <w:rsid w:val="00433FD4"/>
    <w:rsid w:val="0043649D"/>
    <w:rsid w:val="0044617B"/>
    <w:rsid w:val="00446ED1"/>
    <w:rsid w:val="004475C8"/>
    <w:rsid w:val="004613E8"/>
    <w:rsid w:val="00461DB2"/>
    <w:rsid w:val="00464637"/>
    <w:rsid w:val="00464AF1"/>
    <w:rsid w:val="004708AB"/>
    <w:rsid w:val="00470A2D"/>
    <w:rsid w:val="00473631"/>
    <w:rsid w:val="00474A1C"/>
    <w:rsid w:val="00475C10"/>
    <w:rsid w:val="00476ADB"/>
    <w:rsid w:val="00476C6E"/>
    <w:rsid w:val="00476FE0"/>
    <w:rsid w:val="0047707D"/>
    <w:rsid w:val="00482056"/>
    <w:rsid w:val="00482616"/>
    <w:rsid w:val="004914B1"/>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4F517E"/>
    <w:rsid w:val="00504E7A"/>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041E"/>
    <w:rsid w:val="005663EA"/>
    <w:rsid w:val="0058591B"/>
    <w:rsid w:val="00586F13"/>
    <w:rsid w:val="00590B27"/>
    <w:rsid w:val="00597F74"/>
    <w:rsid w:val="005A4FB6"/>
    <w:rsid w:val="005A755A"/>
    <w:rsid w:val="005B112C"/>
    <w:rsid w:val="005B2F92"/>
    <w:rsid w:val="005B5824"/>
    <w:rsid w:val="005B678B"/>
    <w:rsid w:val="005B7D85"/>
    <w:rsid w:val="005C0751"/>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5D0"/>
    <w:rsid w:val="00633F50"/>
    <w:rsid w:val="006344B4"/>
    <w:rsid w:val="006352B0"/>
    <w:rsid w:val="00642229"/>
    <w:rsid w:val="006450DB"/>
    <w:rsid w:val="00647482"/>
    <w:rsid w:val="0066191A"/>
    <w:rsid w:val="00663FD3"/>
    <w:rsid w:val="00666183"/>
    <w:rsid w:val="00667140"/>
    <w:rsid w:val="006716C2"/>
    <w:rsid w:val="00673D30"/>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14C3"/>
    <w:rsid w:val="00701590"/>
    <w:rsid w:val="0070333D"/>
    <w:rsid w:val="00705AF7"/>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2755"/>
    <w:rsid w:val="007739B3"/>
    <w:rsid w:val="007753A5"/>
    <w:rsid w:val="00775634"/>
    <w:rsid w:val="00780E8F"/>
    <w:rsid w:val="0078216A"/>
    <w:rsid w:val="007874FA"/>
    <w:rsid w:val="00791E1F"/>
    <w:rsid w:val="007922C2"/>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D654A"/>
    <w:rsid w:val="007E0AD8"/>
    <w:rsid w:val="007E1EBB"/>
    <w:rsid w:val="007E3A20"/>
    <w:rsid w:val="007E6564"/>
    <w:rsid w:val="007F1674"/>
    <w:rsid w:val="007F1855"/>
    <w:rsid w:val="007F2AAC"/>
    <w:rsid w:val="007F6F3A"/>
    <w:rsid w:val="00806716"/>
    <w:rsid w:val="00807477"/>
    <w:rsid w:val="00811E32"/>
    <w:rsid w:val="008124AA"/>
    <w:rsid w:val="008156EA"/>
    <w:rsid w:val="0081623B"/>
    <w:rsid w:val="00821534"/>
    <w:rsid w:val="00823CF5"/>
    <w:rsid w:val="0083081C"/>
    <w:rsid w:val="00831F14"/>
    <w:rsid w:val="008332E4"/>
    <w:rsid w:val="00834674"/>
    <w:rsid w:val="0083662A"/>
    <w:rsid w:val="00836FAC"/>
    <w:rsid w:val="0084024D"/>
    <w:rsid w:val="00850760"/>
    <w:rsid w:val="0085226F"/>
    <w:rsid w:val="00853DF6"/>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97343"/>
    <w:rsid w:val="009A62C5"/>
    <w:rsid w:val="009B059D"/>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3685"/>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0BD"/>
    <w:rsid w:val="00AF24F6"/>
    <w:rsid w:val="00AF31BE"/>
    <w:rsid w:val="00AF46DF"/>
    <w:rsid w:val="00AF49EF"/>
    <w:rsid w:val="00B04BD9"/>
    <w:rsid w:val="00B05F9C"/>
    <w:rsid w:val="00B134E7"/>
    <w:rsid w:val="00B15A9E"/>
    <w:rsid w:val="00B16D15"/>
    <w:rsid w:val="00B21E86"/>
    <w:rsid w:val="00B25388"/>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95555"/>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091"/>
    <w:rsid w:val="00C1175F"/>
    <w:rsid w:val="00C11CB2"/>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6BF3"/>
    <w:rsid w:val="00C77324"/>
    <w:rsid w:val="00C77A43"/>
    <w:rsid w:val="00C80FEB"/>
    <w:rsid w:val="00C83C91"/>
    <w:rsid w:val="00C83DD5"/>
    <w:rsid w:val="00C83F6A"/>
    <w:rsid w:val="00C86842"/>
    <w:rsid w:val="00C86B6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75AD3"/>
    <w:rsid w:val="00D92BC0"/>
    <w:rsid w:val="00D92F77"/>
    <w:rsid w:val="00D965B5"/>
    <w:rsid w:val="00DA0EBA"/>
    <w:rsid w:val="00DA1C1B"/>
    <w:rsid w:val="00DA3C05"/>
    <w:rsid w:val="00DA4EAA"/>
    <w:rsid w:val="00DA61E2"/>
    <w:rsid w:val="00DB0FBB"/>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3F61"/>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46F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24529"/>
    <w:rsid w:val="00F30BD7"/>
    <w:rsid w:val="00F310F2"/>
    <w:rsid w:val="00F33937"/>
    <w:rsid w:val="00F3442D"/>
    <w:rsid w:val="00F450D5"/>
    <w:rsid w:val="00F540A1"/>
    <w:rsid w:val="00F546CE"/>
    <w:rsid w:val="00F563E2"/>
    <w:rsid w:val="00F60BB7"/>
    <w:rsid w:val="00F66109"/>
    <w:rsid w:val="00F72CBB"/>
    <w:rsid w:val="00F733B2"/>
    <w:rsid w:val="00F91846"/>
    <w:rsid w:val="00F95872"/>
    <w:rsid w:val="00F965AA"/>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0566"/>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2807A1"/>
    <w:pPr>
      <w:keepNext/>
      <w:keepLines/>
      <w:spacing w:before="480" w:after="240" w:line="276" w:lineRule="auto"/>
      <w:jc w:val="lowKashida"/>
      <w:outlineLvl w:val="0"/>
    </w:pPr>
    <w:rPr>
      <w:rFonts w:ascii="Simplified Arabic" w:eastAsiaTheme="majorEastAsia" w:hAnsi="Simplified Arabic" w:cs="Simplified Arabic"/>
      <w:b/>
      <w:bCs/>
      <w:sz w:val="28"/>
      <w:szCs w:val="28"/>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2807A1"/>
    <w:rPr>
      <w:rFonts w:ascii="Simplified Arabic" w:eastAsiaTheme="majorEastAsia" w:hAnsi="Simplified Arabic" w:cs="Simplified Arabic"/>
      <w:b/>
      <w:bCs/>
      <w:sz w:val="28"/>
      <w:szCs w:val="28"/>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335D11"/>
    <w:rPr>
      <w:i/>
      <w:iCs/>
    </w:rPr>
  </w:style>
  <w:style w:type="paragraph" w:customStyle="1" w:styleId="msonormal0">
    <w:name w:val="msonormal"/>
    <w:basedOn w:val="Normal"/>
    <w:rsid w:val="00F965A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1Light-Accent2">
    <w:name w:val="Grid Table 1 Light Accent 2"/>
    <w:basedOn w:val="TableNormal"/>
    <w:uiPriority w:val="46"/>
    <w:rsid w:val="007922C2"/>
    <w:pPr>
      <w:spacing w:after="0" w:line="240" w:lineRule="auto"/>
    </w:pPr>
    <w:tblPr>
      <w:tblStyleRowBandSize w:val="1"/>
      <w:tblStyleColBandSize w:val="1"/>
      <w:tblInd w:w="0" w:type="dxa"/>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CellMar>
        <w:top w:w="0" w:type="dxa"/>
        <w:left w:w="108" w:type="dxa"/>
        <w:bottom w:w="0" w:type="dxa"/>
        <w:right w:w="108" w:type="dxa"/>
      </w:tblCellMar>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C76BF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6Colorful-Accent3">
    <w:name w:val="Grid Table 6 Colorful Accent 3"/>
    <w:basedOn w:val="TableNormal"/>
    <w:uiPriority w:val="51"/>
    <w:rsid w:val="00C76BF3"/>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2122986">
      <w:bodyDiv w:val="1"/>
      <w:marLeft w:val="0"/>
      <w:marRight w:val="0"/>
      <w:marTop w:val="0"/>
      <w:marBottom w:val="0"/>
      <w:divBdr>
        <w:top w:val="none" w:sz="0" w:space="0" w:color="auto"/>
        <w:left w:val="none" w:sz="0" w:space="0" w:color="auto"/>
        <w:bottom w:val="none" w:sz="0" w:space="0" w:color="auto"/>
        <w:right w:val="none" w:sz="0" w:space="0" w:color="auto"/>
      </w:divBdr>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2092730">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272724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35992648">
      <w:bodyDiv w:val="1"/>
      <w:marLeft w:val="0"/>
      <w:marRight w:val="0"/>
      <w:marTop w:val="0"/>
      <w:marBottom w:val="0"/>
      <w:divBdr>
        <w:top w:val="none" w:sz="0" w:space="0" w:color="auto"/>
        <w:left w:val="none" w:sz="0" w:space="0" w:color="auto"/>
        <w:bottom w:val="none" w:sz="0" w:space="0" w:color="auto"/>
        <w:right w:val="none" w:sz="0" w:space="0" w:color="auto"/>
      </w:divBdr>
      <w:divsChild>
        <w:div w:id="1374034382">
          <w:marLeft w:val="0"/>
          <w:marRight w:val="0"/>
          <w:marTop w:val="0"/>
          <w:marBottom w:val="0"/>
          <w:divBdr>
            <w:top w:val="none" w:sz="0" w:space="0" w:color="auto"/>
            <w:left w:val="none" w:sz="0" w:space="0" w:color="auto"/>
            <w:bottom w:val="none" w:sz="0" w:space="0" w:color="auto"/>
            <w:right w:val="none" w:sz="0" w:space="0" w:color="auto"/>
          </w:divBdr>
          <w:divsChild>
            <w:div w:id="336225529">
              <w:marLeft w:val="0"/>
              <w:marRight w:val="0"/>
              <w:marTop w:val="0"/>
              <w:marBottom w:val="0"/>
              <w:divBdr>
                <w:top w:val="none" w:sz="0" w:space="0" w:color="auto"/>
                <w:left w:val="none" w:sz="0" w:space="0" w:color="auto"/>
                <w:bottom w:val="none" w:sz="0" w:space="0" w:color="auto"/>
                <w:right w:val="none" w:sz="0" w:space="0" w:color="auto"/>
              </w:divBdr>
              <w:divsChild>
                <w:div w:id="430005832">
                  <w:marLeft w:val="0"/>
                  <w:marRight w:val="0"/>
                  <w:marTop w:val="0"/>
                  <w:marBottom w:val="0"/>
                  <w:divBdr>
                    <w:top w:val="none" w:sz="0" w:space="0" w:color="auto"/>
                    <w:left w:val="none" w:sz="0" w:space="0" w:color="auto"/>
                    <w:bottom w:val="none" w:sz="0" w:space="0" w:color="auto"/>
                    <w:right w:val="none" w:sz="0" w:space="0" w:color="auto"/>
                  </w:divBdr>
                  <w:divsChild>
                    <w:div w:id="13306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988909">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3289499">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2395653">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451110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693921139">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7307438">
      <w:bodyDiv w:val="1"/>
      <w:marLeft w:val="0"/>
      <w:marRight w:val="0"/>
      <w:marTop w:val="0"/>
      <w:marBottom w:val="0"/>
      <w:divBdr>
        <w:top w:val="none" w:sz="0" w:space="0" w:color="auto"/>
        <w:left w:val="none" w:sz="0" w:space="0" w:color="auto"/>
        <w:bottom w:val="none" w:sz="0" w:space="0" w:color="auto"/>
        <w:right w:val="none" w:sz="0" w:space="0" w:color="auto"/>
      </w:divBdr>
    </w:div>
    <w:div w:id="757478605">
      <w:bodyDiv w:val="1"/>
      <w:marLeft w:val="0"/>
      <w:marRight w:val="0"/>
      <w:marTop w:val="0"/>
      <w:marBottom w:val="0"/>
      <w:divBdr>
        <w:top w:val="none" w:sz="0" w:space="0" w:color="auto"/>
        <w:left w:val="none" w:sz="0" w:space="0" w:color="auto"/>
        <w:bottom w:val="none" w:sz="0" w:space="0" w:color="auto"/>
        <w:right w:val="none" w:sz="0" w:space="0" w:color="auto"/>
      </w:divBdr>
    </w:div>
    <w:div w:id="759570804">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67888003">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4739220">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569511">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3707756">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7873667">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5397415">
      <w:bodyDiv w:val="1"/>
      <w:marLeft w:val="0"/>
      <w:marRight w:val="0"/>
      <w:marTop w:val="0"/>
      <w:marBottom w:val="0"/>
      <w:divBdr>
        <w:top w:val="none" w:sz="0" w:space="0" w:color="auto"/>
        <w:left w:val="none" w:sz="0" w:space="0" w:color="auto"/>
        <w:bottom w:val="none" w:sz="0" w:space="0" w:color="auto"/>
        <w:right w:val="none" w:sz="0" w:space="0" w:color="auto"/>
      </w:divBdr>
    </w:div>
    <w:div w:id="10874558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3257319">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298296921">
      <w:bodyDiv w:val="1"/>
      <w:marLeft w:val="0"/>
      <w:marRight w:val="0"/>
      <w:marTop w:val="0"/>
      <w:marBottom w:val="0"/>
      <w:divBdr>
        <w:top w:val="none" w:sz="0" w:space="0" w:color="auto"/>
        <w:left w:val="none" w:sz="0" w:space="0" w:color="auto"/>
        <w:bottom w:val="none" w:sz="0" w:space="0" w:color="auto"/>
        <w:right w:val="none" w:sz="0" w:space="0" w:color="auto"/>
      </w:divBdr>
      <w:divsChild>
        <w:div w:id="1341737654">
          <w:marLeft w:val="0"/>
          <w:marRight w:val="0"/>
          <w:marTop w:val="0"/>
          <w:marBottom w:val="0"/>
          <w:divBdr>
            <w:top w:val="none" w:sz="0" w:space="0" w:color="auto"/>
            <w:left w:val="none" w:sz="0" w:space="0" w:color="auto"/>
            <w:bottom w:val="none" w:sz="0" w:space="0" w:color="auto"/>
            <w:right w:val="none" w:sz="0" w:space="0" w:color="auto"/>
          </w:divBdr>
          <w:divsChild>
            <w:div w:id="36783641">
              <w:marLeft w:val="0"/>
              <w:marRight w:val="0"/>
              <w:marTop w:val="0"/>
              <w:marBottom w:val="0"/>
              <w:divBdr>
                <w:top w:val="none" w:sz="0" w:space="0" w:color="auto"/>
                <w:left w:val="none" w:sz="0" w:space="0" w:color="auto"/>
                <w:bottom w:val="none" w:sz="0" w:space="0" w:color="auto"/>
                <w:right w:val="none" w:sz="0" w:space="0" w:color="auto"/>
              </w:divBdr>
              <w:divsChild>
                <w:div w:id="172038659">
                  <w:marLeft w:val="0"/>
                  <w:marRight w:val="0"/>
                  <w:marTop w:val="0"/>
                  <w:marBottom w:val="0"/>
                  <w:divBdr>
                    <w:top w:val="none" w:sz="0" w:space="0" w:color="auto"/>
                    <w:left w:val="none" w:sz="0" w:space="0" w:color="auto"/>
                    <w:bottom w:val="none" w:sz="0" w:space="0" w:color="auto"/>
                    <w:right w:val="none" w:sz="0" w:space="0" w:color="auto"/>
                  </w:divBdr>
                  <w:divsChild>
                    <w:div w:id="64154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18084685">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0761914">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9282919">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806188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38766759">
      <w:bodyDiv w:val="1"/>
      <w:marLeft w:val="0"/>
      <w:marRight w:val="0"/>
      <w:marTop w:val="0"/>
      <w:marBottom w:val="0"/>
      <w:divBdr>
        <w:top w:val="none" w:sz="0" w:space="0" w:color="auto"/>
        <w:left w:val="none" w:sz="0" w:space="0" w:color="auto"/>
        <w:bottom w:val="none" w:sz="0" w:space="0" w:color="auto"/>
        <w:right w:val="none" w:sz="0" w:space="0" w:color="auto"/>
      </w:divBdr>
      <w:divsChild>
        <w:div w:id="443772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1728774">
      <w:bodyDiv w:val="1"/>
      <w:marLeft w:val="0"/>
      <w:marRight w:val="0"/>
      <w:marTop w:val="0"/>
      <w:marBottom w:val="0"/>
      <w:divBdr>
        <w:top w:val="none" w:sz="0" w:space="0" w:color="auto"/>
        <w:left w:val="none" w:sz="0" w:space="0" w:color="auto"/>
        <w:bottom w:val="none" w:sz="0" w:space="0" w:color="auto"/>
        <w:right w:val="none" w:sz="0" w:space="0" w:color="auto"/>
      </w:divBdr>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0723130">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638238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3937729">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79548046">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4009262">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A583EB6-C516-4B09-BF2F-20A27F1C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10983</Words>
  <Characters>62608</Characters>
  <Application>Microsoft Office Word</Application>
  <DocSecurity>0</DocSecurity>
  <Lines>521</Lines>
  <Paragraphs>146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73445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3</cp:revision>
  <cp:lastPrinted>2026-07-06T08:25:00Z</cp:lastPrinted>
  <dcterms:created xsi:type="dcterms:W3CDTF">2026-07-06T08:24:00Z</dcterms:created>
  <dcterms:modified xsi:type="dcterms:W3CDTF">2026-07-06T08:25:00Z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