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D2A1" w14:textId="77777777" w:rsidR="00454428" w:rsidRDefault="00000000" w:rsidP="00C72BA8">
      <w:pPr>
        <w:pStyle w:val="Body"/>
        <w:spacing w:line="360" w:lineRule="auto"/>
        <w:rPr>
          <w:rFonts w:ascii="Times New Roman" w:eastAsia="Times New Roman" w:hAnsi="Times New Roman" w:cs="Times New Roman"/>
          <w:b/>
          <w:bCs/>
          <w:sz w:val="28"/>
          <w:szCs w:val="28"/>
        </w:rPr>
      </w:pPr>
      <w:r>
        <w:rPr>
          <w:rFonts w:ascii="Times New Roman" w:hAnsi="Times New Roman"/>
          <w:noProof/>
          <w:sz w:val="28"/>
          <w:szCs w:val="28"/>
        </w:rPr>
        <mc:AlternateContent>
          <mc:Choice Requires="wps">
            <w:drawing>
              <wp:anchor distT="0" distB="0" distL="0" distR="0" simplePos="0" relativeHeight="251660288" behindDoc="0" locked="0" layoutInCell="1" allowOverlap="1" wp14:anchorId="40C0D051" wp14:editId="4004859F">
                <wp:simplePos x="0" y="0"/>
                <wp:positionH relativeFrom="column">
                  <wp:posOffset>3749040</wp:posOffset>
                </wp:positionH>
                <wp:positionV relativeFrom="line">
                  <wp:posOffset>-5079</wp:posOffset>
                </wp:positionV>
                <wp:extent cx="1990725" cy="885825"/>
                <wp:effectExtent l="0" t="0" r="0" b="0"/>
                <wp:wrapNone/>
                <wp:docPr id="1073741825" name="officeArt object" descr="مربع نص 6"/>
                <wp:cNvGraphicFramePr/>
                <a:graphic xmlns:a="http://schemas.openxmlformats.org/drawingml/2006/main">
                  <a:graphicData uri="http://schemas.microsoft.com/office/word/2010/wordprocessingShape">
                    <wps:wsp>
                      <wps:cNvSpPr txBox="1"/>
                      <wps:spPr>
                        <a:xfrm>
                          <a:off x="0" y="0"/>
                          <a:ext cx="1990725" cy="885825"/>
                        </a:xfrm>
                        <a:prstGeom prst="rect">
                          <a:avLst/>
                        </a:prstGeom>
                        <a:solidFill>
                          <a:srgbClr val="FFFFFF"/>
                        </a:solidFill>
                        <a:ln w="12700" cap="flat">
                          <a:noFill/>
                          <a:miter lim="400000"/>
                        </a:ln>
                        <a:effectLst/>
                      </wps:spPr>
                      <wps:txbx>
                        <w:txbxContent>
                          <w:p w14:paraId="5D4066CA" w14:textId="77777777" w:rsidR="00454428" w:rsidRDefault="00000000">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0AB4292E" w14:textId="77777777" w:rsidR="00454428" w:rsidRDefault="00000000">
                            <w:pPr>
                              <w:pStyle w:val="Body"/>
                              <w:spacing w:after="200" w:line="276" w:lineRule="auto"/>
                              <w:jc w:val="center"/>
                            </w:pPr>
                            <w:r>
                              <w:rPr>
                                <w:rFonts w:ascii="Arial Unicode MS" w:hAnsi="Arial Unicode MS" w:cs="Times New Roman" w:hint="cs"/>
                                <w:b/>
                                <w:bCs/>
                                <w:sz w:val="24"/>
                                <w:szCs w:val="24"/>
                                <w:rtl/>
                                <w:lang w:val="ar-SA"/>
                              </w:rPr>
                              <w:t>برنامج دكتوراه القانون</w:t>
                            </w:r>
                          </w:p>
                        </w:txbxContent>
                      </wps:txbx>
                      <wps:bodyPr wrap="square" lIns="45719" tIns="45719" rIns="45719" bIns="45719" numCol="1" anchor="t">
                        <a:noAutofit/>
                      </wps:bodyPr>
                    </wps:wsp>
                  </a:graphicData>
                </a:graphic>
              </wp:anchor>
            </w:drawing>
          </mc:Choice>
          <mc:Fallback>
            <w:pict>
              <v:shapetype w14:anchorId="40C0D051" id="_x0000_t202" coordsize="21600,21600" o:spt="202" path="m,l,21600r21600,l21600,xe">
                <v:stroke joinstyle="miter"/>
                <v:path gradientshapeok="t" o:connecttype="rect"/>
              </v:shapetype>
              <v:shape id="officeArt object" o:spid="_x0000_s1026" type="#_x0000_t202" alt="مربع نص 6" style="position:absolute;left:0;text-align:left;margin-left:295.2pt;margin-top:-.4pt;width:156.75pt;height:69.7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" stroked="f" strokeweight="1pt">
                <v:stroke miterlimit="4"/>
                <v:textbox inset="1.27mm,1.27mm,1.27mm,1.27mm">
                  <w:txbxContent>
                    <w:p w14:paraId="5D4066CA" w14:textId="77777777" w:rsidR="00454428" w:rsidRDefault="00000000">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0AB4292E" w14:textId="77777777" w:rsidR="00454428" w:rsidRDefault="00000000">
                      <w:pPr>
                        <w:pStyle w:val="Body"/>
                        <w:spacing w:after="200" w:line="276" w:lineRule="auto"/>
                        <w:jc w:val="center"/>
                      </w:pPr>
                      <w:r>
                        <w:rPr>
                          <w:rFonts w:ascii="Arial Unicode MS" w:hAnsi="Arial Unicode MS" w:cs="Times New Roman" w:hint="cs"/>
                          <w:b/>
                          <w:bCs/>
                          <w:sz w:val="24"/>
                          <w:szCs w:val="24"/>
                          <w:rtl/>
                          <w:lang w:val="ar-SA"/>
                        </w:rPr>
                        <w:t>برنامج دكتوراه القانون</w:t>
                      </w:r>
                    </w:p>
                  </w:txbxContent>
                </v:textbox>
                <w10:wrap anchory="line"/>
              </v:shape>
            </w:pict>
          </mc:Fallback>
        </mc:AlternateContent>
      </w:r>
      <w:r>
        <w:rPr>
          <w:rFonts w:ascii="Times New Roman" w:eastAsia="Times New Roman" w:hAnsi="Times New Roman" w:cs="Times New Roman"/>
          <w:noProof/>
          <w:sz w:val="28"/>
          <w:szCs w:val="28"/>
        </w:rPr>
        <mc:AlternateContent>
          <mc:Choice Requires="wps">
            <w:drawing>
              <wp:anchor distT="0" distB="0" distL="0" distR="0" simplePos="0" relativeHeight="251659264" behindDoc="0" locked="0" layoutInCell="1" allowOverlap="1" wp14:anchorId="08870892" wp14:editId="3F607A6B">
                <wp:simplePos x="0" y="0"/>
                <wp:positionH relativeFrom="column">
                  <wp:posOffset>-567690</wp:posOffset>
                </wp:positionH>
                <wp:positionV relativeFrom="line">
                  <wp:posOffset>-805180</wp:posOffset>
                </wp:positionV>
                <wp:extent cx="2927986" cy="1819275"/>
                <wp:effectExtent l="0" t="0" r="0" b="0"/>
                <wp:wrapNone/>
                <wp:docPr id="1073741826" name="officeArt object" descr="مربع نص 2"/>
                <wp:cNvGraphicFramePr/>
                <a:graphic xmlns:a="http://schemas.openxmlformats.org/drawingml/2006/main">
                  <a:graphicData uri="http://schemas.microsoft.com/office/word/2010/wordprocessingShape">
                    <wps:wsp>
                      <wps:cNvSpPr txBox="1"/>
                      <wps:spPr>
                        <a:xfrm>
                          <a:off x="0" y="0"/>
                          <a:ext cx="2927986" cy="1819275"/>
                        </a:xfrm>
                        <a:prstGeom prst="rect">
                          <a:avLst/>
                        </a:prstGeom>
                        <a:noFill/>
                        <a:ln w="12700" cap="flat">
                          <a:noFill/>
                          <a:miter lim="400000"/>
                        </a:ln>
                        <a:effectLst/>
                      </wps:spPr>
                      <wps:txbx>
                        <w:txbxContent>
                          <w:p w14:paraId="5A5BCD88" w14:textId="77777777" w:rsidR="00454428" w:rsidRDefault="00000000">
                            <w:pPr>
                              <w:pStyle w:val="Body"/>
                              <w:jc w:val="center"/>
                            </w:pPr>
                            <w:r>
                              <w:rPr>
                                <w:rStyle w:val="NoneA"/>
                                <w:noProof/>
                              </w:rPr>
                              <w:drawing>
                                <wp:inline distT="0" distB="0" distL="0" distR="0" wp14:anchorId="078B91D5" wp14:editId="10663A79">
                                  <wp:extent cx="1724534" cy="17245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7"/>
                                          <a:stretch>
                                            <a:fillRect/>
                                          </a:stretch>
                                        </pic:blipFill>
                                        <pic:spPr>
                                          <a:xfrm>
                                            <a:off x="0" y="0"/>
                                            <a:ext cx="1724534" cy="1724534"/>
                                          </a:xfrm>
                                          <a:prstGeom prst="rect">
                                            <a:avLst/>
                                          </a:prstGeom>
                                        </pic:spPr>
                                      </pic:pic>
                                    </a:graphicData>
                                  </a:graphic>
                                </wp:inline>
                              </w:drawing>
                            </w:r>
                          </w:p>
                        </w:txbxContent>
                      </wps:txbx>
                      <wps:bodyPr wrap="square" lIns="45719" tIns="45719" rIns="45719" bIns="45719" numCol="1" anchor="t">
                        <a:noAutofit/>
                      </wps:bodyPr>
                    </wps:wsp>
                  </a:graphicData>
                </a:graphic>
              </wp:anchor>
            </w:drawing>
          </mc:Choice>
          <mc:Fallback>
            <w:pict>
              <v:shape w14:anchorId="08870892" id="_x0000_s1027" type="#_x0000_t202" alt="مربع نص 2" style="position:absolute;left:0;text-align:left;margin-left:-44.7pt;margin-top:-63.4pt;width:230.55pt;height:143.25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" filled="f" stroked="f" strokeweight="1pt">
                <v:stroke miterlimit="4"/>
                <v:textbox inset="1.27mm,1.27mm,1.27mm,1.27mm">
                  <w:txbxContent>
                    <w:p w14:paraId="5A5BCD88" w14:textId="77777777" w:rsidR="00454428" w:rsidRDefault="00000000">
                      <w:pPr>
                        <w:pStyle w:val="Body"/>
                        <w:jc w:val="center"/>
                      </w:pPr>
                      <w:r>
                        <w:rPr>
                          <w:rStyle w:val="NoneA"/>
                          <w:noProof/>
                        </w:rPr>
                        <w:drawing>
                          <wp:inline distT="0" distB="0" distL="0" distR="0" wp14:anchorId="078B91D5" wp14:editId="10663A79">
                            <wp:extent cx="1724534" cy="17245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7"/>
                                    <a:stretch>
                                      <a:fillRect/>
                                    </a:stretch>
                                  </pic:blipFill>
                                  <pic:spPr>
                                    <a:xfrm>
                                      <a:off x="0" y="0"/>
                                      <a:ext cx="1724534" cy="1724534"/>
                                    </a:xfrm>
                                    <a:prstGeom prst="rect">
                                      <a:avLst/>
                                    </a:prstGeom>
                                  </pic:spPr>
                                </pic:pic>
                              </a:graphicData>
                            </a:graphic>
                          </wp:inline>
                        </w:drawing>
                      </w:r>
                    </w:p>
                  </w:txbxContent>
                </v:textbox>
                <w10:wrap anchory="line"/>
              </v:shape>
            </w:pict>
          </mc:Fallback>
        </mc:AlternateContent>
      </w:r>
      <w:r>
        <w:rPr>
          <w:rFonts w:ascii="Times New Roman" w:hAnsi="Times New Roman"/>
          <w:b/>
          <w:bCs/>
          <w:sz w:val="28"/>
          <w:szCs w:val="28"/>
        </w:rPr>
        <w:t xml:space="preserve">   </w:t>
      </w:r>
    </w:p>
    <w:p w14:paraId="24165F61" w14:textId="77777777" w:rsidR="00454428" w:rsidRDefault="00454428" w:rsidP="00C72BA8">
      <w:pPr>
        <w:pStyle w:val="Body"/>
        <w:spacing w:line="360" w:lineRule="auto"/>
        <w:rPr>
          <w:rFonts w:ascii="Times New Roman" w:eastAsia="Times New Roman" w:hAnsi="Times New Roman" w:cs="Times New Roman"/>
          <w:lang w:val="ar-SA"/>
        </w:rPr>
      </w:pPr>
    </w:p>
    <w:p w14:paraId="0955CD81"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Pr>
      </w:pPr>
      <w:bookmarkStart w:id="0" w:name="_Hlk180453328"/>
    </w:p>
    <w:p w14:paraId="3BB9895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lang w:val="ar-SA"/>
        </w:rPr>
      </w:pPr>
    </w:p>
    <w:p w14:paraId="57D74A70"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lang w:val="ar-SA"/>
        </w:rPr>
      </w:pPr>
    </w:p>
    <w:p w14:paraId="794F977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Pr>
      </w:pPr>
    </w:p>
    <w:p w14:paraId="7D733FFE" w14:textId="77777777" w:rsidR="00454428" w:rsidRDefault="00000000" w:rsidP="00C72BA8">
      <w:pPr>
        <w:pStyle w:val="Body"/>
        <w:spacing w:line="360" w:lineRule="auto"/>
        <w:jc w:val="center"/>
        <w:rPr>
          <w:rFonts w:ascii="Times New Roman" w:eastAsia="Times New Roman" w:hAnsi="Times New Roman" w:cs="Times New Roman"/>
          <w:b/>
          <w:bCs/>
          <w:spacing w:val="-4"/>
          <w:sz w:val="36"/>
          <w:szCs w:val="36"/>
        </w:rPr>
      </w:pPr>
      <w:r>
        <w:rPr>
          <w:rFonts w:ascii="Arial Unicode MS" w:hAnsi="Arial Unicode MS" w:cs="Times New Roman" w:hint="cs"/>
          <w:b/>
          <w:bCs/>
          <w:spacing w:val="-4"/>
          <w:sz w:val="36"/>
          <w:szCs w:val="36"/>
          <w:rtl/>
          <w:lang w:val="ar-SA"/>
        </w:rPr>
        <w:t xml:space="preserve">رسالة </w:t>
      </w:r>
      <w:bookmarkEnd w:id="0"/>
      <w:r>
        <w:rPr>
          <w:rFonts w:ascii="Arial Unicode MS" w:hAnsi="Arial Unicode MS" w:cs="Times New Roman" w:hint="cs"/>
          <w:b/>
          <w:bCs/>
          <w:spacing w:val="-4"/>
          <w:sz w:val="36"/>
          <w:szCs w:val="36"/>
          <w:rtl/>
          <w:lang w:val="ar-SA"/>
        </w:rPr>
        <w:t>بعنـوان</w:t>
      </w:r>
    </w:p>
    <w:p w14:paraId="496AEC48" w14:textId="77777777" w:rsidR="00454428" w:rsidRDefault="00000000" w:rsidP="00C72BA8">
      <w:pPr>
        <w:pStyle w:val="Body"/>
        <w:spacing w:before="240" w:line="360" w:lineRule="auto"/>
        <w:jc w:val="center"/>
        <w:rPr>
          <w:rFonts w:ascii="Times New Roman" w:eastAsia="Times New Roman" w:hAnsi="Times New Roman" w:cs="Times New Roman"/>
          <w:b/>
          <w:bCs/>
          <w:sz w:val="36"/>
          <w:szCs w:val="36"/>
        </w:rPr>
      </w:pPr>
      <w:bookmarkStart w:id="1" w:name="_Hlk175677510"/>
      <w:r>
        <w:rPr>
          <w:rFonts w:ascii="Arial Unicode MS" w:hAnsi="Arial Unicode MS" w:cs="Times New Roman" w:hint="cs"/>
          <w:b/>
          <w:bCs/>
          <w:sz w:val="36"/>
          <w:szCs w:val="36"/>
          <w:rtl/>
          <w:lang w:val="ar-SA"/>
        </w:rPr>
        <w:t xml:space="preserve">الحمـاية القانونيـة لحقـوق الملكيـة الفكرية في البيئة الرقميـة </w:t>
      </w:r>
      <w:bookmarkEnd w:id="1"/>
    </w:p>
    <w:p w14:paraId="25F76D7C" w14:textId="77777777" w:rsidR="00454428" w:rsidRDefault="00000000" w:rsidP="00C72BA8">
      <w:pPr>
        <w:pStyle w:val="Body"/>
        <w:spacing w:line="360" w:lineRule="auto"/>
        <w:jc w:val="center"/>
        <w:rPr>
          <w:rFonts w:ascii="Times New Roman" w:eastAsia="Times New Roman" w:hAnsi="Times New Roman" w:cs="Times New Roman"/>
          <w:b/>
          <w:bCs/>
          <w:sz w:val="36"/>
          <w:szCs w:val="36"/>
        </w:rPr>
      </w:pPr>
      <w:r>
        <w:rPr>
          <w:rFonts w:ascii="Times New Roman" w:hAnsi="Times New Roman"/>
          <w:b/>
          <w:bCs/>
          <w:sz w:val="36"/>
          <w:szCs w:val="36"/>
          <w:rtl/>
          <w:lang w:val="ar-SA"/>
        </w:rPr>
        <w:t>"</w:t>
      </w:r>
      <w:r>
        <w:rPr>
          <w:rFonts w:ascii="Arial Unicode MS" w:hAnsi="Arial Unicode MS" w:cs="Times New Roman" w:hint="cs"/>
          <w:b/>
          <w:bCs/>
          <w:sz w:val="36"/>
          <w:szCs w:val="36"/>
          <w:rtl/>
          <w:lang w:val="ar-SA"/>
        </w:rPr>
        <w:t>دراسة مقارنة</w:t>
      </w:r>
      <w:r>
        <w:rPr>
          <w:rFonts w:ascii="Times New Roman" w:hAnsi="Times New Roman"/>
          <w:b/>
          <w:bCs/>
          <w:sz w:val="36"/>
          <w:szCs w:val="36"/>
          <w:rtl/>
          <w:lang w:val="ar-SA"/>
        </w:rPr>
        <w:t>"</w:t>
      </w:r>
    </w:p>
    <w:p w14:paraId="6AB1A368" w14:textId="77777777" w:rsidR="00454428" w:rsidRPr="00113335" w:rsidRDefault="00454428" w:rsidP="00113335">
      <w:pPr>
        <w:pStyle w:val="Body"/>
        <w:spacing w:line="360" w:lineRule="auto"/>
        <w:rPr>
          <w:rFonts w:ascii="Times New Roman" w:eastAsia="Times New Roman" w:hAnsi="Times New Roman" w:cs="Times New Roman"/>
          <w:b/>
          <w:bCs/>
          <w:sz w:val="36"/>
          <w:szCs w:val="36"/>
          <w:lang w:val="en-US"/>
        </w:rPr>
      </w:pPr>
    </w:p>
    <w:p w14:paraId="3BD6B814" w14:textId="77777777" w:rsidR="00454428" w:rsidRDefault="00454428" w:rsidP="00C72BA8">
      <w:pPr>
        <w:pStyle w:val="Body"/>
        <w:spacing w:line="360" w:lineRule="auto"/>
        <w:jc w:val="center"/>
        <w:rPr>
          <w:rFonts w:ascii="Times New Roman" w:eastAsia="Times New Roman" w:hAnsi="Times New Roman" w:cs="Times New Roman"/>
          <w:b/>
          <w:bCs/>
          <w:sz w:val="20"/>
          <w:szCs w:val="20"/>
          <w:lang w:val="ar-SA"/>
        </w:rPr>
      </w:pPr>
    </w:p>
    <w:p w14:paraId="6B60547B" w14:textId="525C45B9" w:rsidR="00454428" w:rsidRPr="00113335" w:rsidRDefault="00000000" w:rsidP="00113335">
      <w:pPr>
        <w:pStyle w:val="Body"/>
        <w:spacing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رسالة مقدمــة لجامعة ميد أوشن لاستكمال متطلبات نيـل درجـة الدكتـوراه في القانون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الملكية الفكرية</w:t>
      </w:r>
      <w:r>
        <w:rPr>
          <w:rFonts w:ascii="Times New Roman" w:hAnsi="Times New Roman"/>
          <w:b/>
          <w:bCs/>
          <w:sz w:val="24"/>
          <w:szCs w:val="24"/>
          <w:rtl/>
          <w:lang w:val="ar-SA"/>
        </w:rPr>
        <w:t>"</w:t>
      </w:r>
    </w:p>
    <w:p w14:paraId="6995DF67"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إعداد</w:t>
      </w:r>
      <w:r>
        <w:rPr>
          <w:rFonts w:ascii="Times New Roman" w:hAnsi="Times New Roman"/>
          <w:b/>
          <w:bCs/>
          <w:sz w:val="28"/>
          <w:szCs w:val="28"/>
          <w:rtl/>
          <w:lang w:val="ar-SA"/>
        </w:rPr>
        <w:t>:</w:t>
      </w:r>
    </w:p>
    <w:p w14:paraId="35A861D6"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الباحـث</w:t>
      </w:r>
      <w:r>
        <w:rPr>
          <w:rFonts w:ascii="Times New Roman" w:hAnsi="Times New Roman"/>
          <w:b/>
          <w:bCs/>
          <w:sz w:val="28"/>
          <w:szCs w:val="28"/>
          <w:rtl/>
          <w:lang w:val="ar-SA"/>
        </w:rPr>
        <w:t xml:space="preserve">: </w:t>
      </w:r>
      <w:r>
        <w:rPr>
          <w:rFonts w:ascii="Arial Unicode MS" w:hAnsi="Arial Unicode MS" w:cs="Times New Roman" w:hint="cs"/>
          <w:b/>
          <w:bCs/>
          <w:sz w:val="28"/>
          <w:szCs w:val="28"/>
          <w:rtl/>
          <w:lang w:val="ar-SA"/>
        </w:rPr>
        <w:t>خـالد عمـر بـاراس</w:t>
      </w:r>
    </w:p>
    <w:p w14:paraId="17BE2C68"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الرقـم الأكاديمي</w:t>
      </w:r>
      <w:r>
        <w:rPr>
          <w:rFonts w:ascii="Times New Roman" w:hAnsi="Times New Roman"/>
          <w:b/>
          <w:bCs/>
          <w:sz w:val="28"/>
          <w:szCs w:val="28"/>
          <w:rtl/>
          <w:lang w:val="ar-SA"/>
        </w:rPr>
        <w:t>: 232001583</w:t>
      </w:r>
    </w:p>
    <w:p w14:paraId="2C124B2A" w14:textId="77777777" w:rsidR="00454428" w:rsidRPr="00113335" w:rsidRDefault="00454428" w:rsidP="00C72BA8">
      <w:pPr>
        <w:pStyle w:val="Body"/>
        <w:spacing w:line="360" w:lineRule="auto"/>
        <w:rPr>
          <w:rFonts w:ascii="Times New Roman" w:eastAsia="Times New Roman" w:hAnsi="Times New Roman" w:cs="Times New Roman"/>
          <w:lang w:val="en-US"/>
        </w:rPr>
      </w:pPr>
    </w:p>
    <w:p w14:paraId="54DA472C" w14:textId="77777777" w:rsidR="00454428" w:rsidRDefault="00000000" w:rsidP="00C72BA8">
      <w:pPr>
        <w:pStyle w:val="Body"/>
        <w:spacing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العام الجامعي</w:t>
      </w:r>
      <w:r>
        <w:rPr>
          <w:rFonts w:ascii="Times New Roman" w:hAnsi="Times New Roman"/>
          <w:b/>
          <w:bCs/>
          <w:sz w:val="24"/>
          <w:szCs w:val="24"/>
          <w:rtl/>
          <w:lang w:val="ar-SA"/>
        </w:rPr>
        <w:t xml:space="preserve">: </w:t>
      </w:r>
    </w:p>
    <w:p w14:paraId="54E956AC" w14:textId="77777777" w:rsidR="00454428" w:rsidRDefault="00000000" w:rsidP="00C72BA8">
      <w:pPr>
        <w:pStyle w:val="Body"/>
        <w:spacing w:line="360" w:lineRule="auto"/>
        <w:jc w:val="center"/>
        <w:rPr>
          <w:rFonts w:ascii="Times New Roman" w:eastAsia="Times New Roman" w:hAnsi="Times New Roman" w:cs="Times New Roman"/>
          <w:b/>
          <w:bCs/>
          <w:sz w:val="24"/>
          <w:szCs w:val="24"/>
        </w:rPr>
      </w:pPr>
      <w:r>
        <w:rPr>
          <w:rFonts w:ascii="Times New Roman" w:hAnsi="Times New Roman"/>
          <w:b/>
          <w:bCs/>
          <w:sz w:val="24"/>
          <w:szCs w:val="24"/>
          <w:rtl/>
        </w:rPr>
        <w:t>1447</w:t>
      </w:r>
      <w:r>
        <w:rPr>
          <w:rFonts w:ascii="Arial Unicode MS" w:hAnsi="Arial Unicode MS" w:cs="Times New Roman" w:hint="cs"/>
          <w:b/>
          <w:bCs/>
          <w:sz w:val="24"/>
          <w:szCs w:val="24"/>
          <w:rtl/>
          <w:lang w:val="ar-SA"/>
        </w:rPr>
        <w:t xml:space="preserve">هـ </w:t>
      </w:r>
      <w:r>
        <w:rPr>
          <w:rFonts w:ascii="Times New Roman" w:hAnsi="Times New Roman"/>
          <w:b/>
          <w:bCs/>
          <w:sz w:val="24"/>
          <w:szCs w:val="24"/>
          <w:rtl/>
          <w:lang w:val="ar-SA"/>
        </w:rPr>
        <w:t xml:space="preserve">- </w:t>
      </w:r>
      <w:r>
        <w:rPr>
          <w:rFonts w:ascii="Times New Roman" w:hAnsi="Times New Roman"/>
          <w:b/>
          <w:bCs/>
          <w:sz w:val="24"/>
          <w:szCs w:val="24"/>
        </w:rPr>
        <w:t>2026</w:t>
      </w:r>
      <w:r>
        <w:rPr>
          <w:rFonts w:ascii="Arial Unicode MS" w:hAnsi="Arial Unicode MS" w:cs="Times New Roman" w:hint="cs"/>
          <w:b/>
          <w:bCs/>
          <w:sz w:val="24"/>
          <w:szCs w:val="24"/>
          <w:rtl/>
          <w:lang w:val="ar-SA"/>
        </w:rPr>
        <w:t>م</w:t>
      </w:r>
    </w:p>
    <w:p w14:paraId="16AEEFB6" w14:textId="77777777" w:rsidR="00454428" w:rsidRDefault="00454428" w:rsidP="00C72BA8">
      <w:pPr>
        <w:pStyle w:val="Body"/>
        <w:spacing w:line="360" w:lineRule="auto"/>
        <w:sectPr w:rsidR="00454428">
          <w:headerReference w:type="default" r:id="rId8"/>
          <w:footerReference w:type="default" r:id="rId9"/>
          <w:headerReference w:type="first" r:id="rId10"/>
          <w:footerReference w:type="first" r:id="rId11"/>
          <w:pgSz w:w="11900" w:h="16840"/>
          <w:pgMar w:top="1418" w:right="1985" w:bottom="1418" w:left="1418" w:header="709" w:footer="709" w:gutter="0"/>
          <w:pgNumType w:start="0"/>
          <w:cols w:space="720"/>
          <w:titlePg/>
          <w:bidi/>
        </w:sectPr>
      </w:pPr>
    </w:p>
    <w:p w14:paraId="502EC9D2" w14:textId="77777777" w:rsidR="00454428" w:rsidRDefault="00000000" w:rsidP="00C72BA8">
      <w:pPr>
        <w:pStyle w:val="Body"/>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noProof/>
          <w:sz w:val="28"/>
          <w:szCs w:val="28"/>
          <w:lang w:val="ar-SA"/>
        </w:rPr>
        <w:lastRenderedPageBreak/>
        <w:drawing>
          <wp:inline distT="0" distB="0" distL="0" distR="0" wp14:anchorId="7345293E" wp14:editId="3F4C2F94">
            <wp:extent cx="5058250" cy="4914900"/>
            <wp:effectExtent l="0" t="0" r="0" b="0"/>
            <wp:docPr id="1073741828" name="officeArt object" descr="صورة 2"/>
            <wp:cNvGraphicFramePr/>
            <a:graphic xmlns:a="http://schemas.openxmlformats.org/drawingml/2006/main">
              <a:graphicData uri="http://schemas.openxmlformats.org/drawingml/2006/picture">
                <pic:pic xmlns:pic="http://schemas.openxmlformats.org/drawingml/2006/picture">
                  <pic:nvPicPr>
                    <pic:cNvPr id="1073741828" name="صورة 2" descr="صورة 2"/>
                    <pic:cNvPicPr>
                      <a:picLocks noChangeAspect="1"/>
                    </pic:cNvPicPr>
                  </pic:nvPicPr>
                  <pic:blipFill>
                    <a:blip r:embed="rId12"/>
                    <a:stretch>
                      <a:fillRect/>
                    </a:stretch>
                  </pic:blipFill>
                  <pic:spPr>
                    <a:xfrm>
                      <a:off x="0" y="0"/>
                      <a:ext cx="5058250" cy="4914900"/>
                    </a:xfrm>
                    <a:prstGeom prst="rect">
                      <a:avLst/>
                    </a:prstGeom>
                    <a:ln w="12700" cap="flat">
                      <a:noFill/>
                      <a:miter lim="400000"/>
                    </a:ln>
                    <a:effectLst/>
                  </pic:spPr>
                </pic:pic>
              </a:graphicData>
            </a:graphic>
          </wp:inline>
        </w:drawing>
      </w:r>
    </w:p>
    <w:p w14:paraId="2E0159AD" w14:textId="77777777" w:rsidR="00454428" w:rsidRDefault="00454428" w:rsidP="00C72BA8">
      <w:pPr>
        <w:pStyle w:val="a"/>
        <w:spacing w:after="160"/>
        <w:rPr>
          <w:lang w:val="ar-SA"/>
        </w:rPr>
      </w:pPr>
    </w:p>
    <w:p w14:paraId="04DA1A44" w14:textId="77777777" w:rsidR="00454428" w:rsidRDefault="00454428" w:rsidP="00C72BA8">
      <w:pPr>
        <w:pStyle w:val="a"/>
        <w:spacing w:after="160"/>
        <w:rPr>
          <w:lang w:val="ar-SA"/>
        </w:rPr>
      </w:pPr>
    </w:p>
    <w:p w14:paraId="3E2E6311" w14:textId="77777777" w:rsidR="00454428" w:rsidRDefault="00454428" w:rsidP="00C72BA8">
      <w:pPr>
        <w:pStyle w:val="a"/>
        <w:spacing w:after="160"/>
        <w:rPr>
          <w:lang w:val="ar-SA"/>
        </w:rPr>
      </w:pPr>
    </w:p>
    <w:p w14:paraId="149B5E24" w14:textId="77777777" w:rsidR="00454428" w:rsidRDefault="00454428" w:rsidP="00C72BA8">
      <w:pPr>
        <w:pStyle w:val="a"/>
        <w:spacing w:after="160"/>
        <w:rPr>
          <w:lang w:val="ar-SA"/>
        </w:rPr>
      </w:pPr>
    </w:p>
    <w:p w14:paraId="27775230" w14:textId="77777777" w:rsidR="00454428" w:rsidRDefault="00454428" w:rsidP="00C72BA8">
      <w:pPr>
        <w:pStyle w:val="a"/>
        <w:spacing w:after="160"/>
        <w:rPr>
          <w:lang w:val="ar-SA"/>
        </w:rPr>
      </w:pPr>
    </w:p>
    <w:p w14:paraId="2798BD60" w14:textId="77777777" w:rsidR="00454428" w:rsidRDefault="00454428" w:rsidP="00C72BA8">
      <w:pPr>
        <w:pStyle w:val="a"/>
        <w:spacing w:after="160"/>
        <w:rPr>
          <w:lang w:val="ar-SA"/>
        </w:rPr>
      </w:pPr>
    </w:p>
    <w:p w14:paraId="29A5DFB9" w14:textId="77777777" w:rsidR="00454428" w:rsidRDefault="00454428" w:rsidP="00C72BA8">
      <w:pPr>
        <w:pStyle w:val="a"/>
        <w:spacing w:after="160"/>
        <w:rPr>
          <w:lang w:val="ar-SA"/>
        </w:rPr>
      </w:pPr>
    </w:p>
    <w:p w14:paraId="5B84797F" w14:textId="77777777" w:rsidR="00454428" w:rsidRDefault="00454428" w:rsidP="00C72BA8">
      <w:pPr>
        <w:pStyle w:val="a"/>
        <w:spacing w:after="160"/>
        <w:rPr>
          <w:lang w:val="ar-SA"/>
        </w:rPr>
      </w:pPr>
    </w:p>
    <w:p w14:paraId="0435ED4F" w14:textId="77777777" w:rsidR="00454428" w:rsidRDefault="00454428" w:rsidP="00C72BA8">
      <w:pPr>
        <w:pStyle w:val="a"/>
        <w:spacing w:after="160"/>
        <w:rPr>
          <w:lang w:val="ar-SA"/>
        </w:rPr>
      </w:pPr>
    </w:p>
    <w:p w14:paraId="23DD9FF5" w14:textId="77777777" w:rsidR="00454428" w:rsidRDefault="00454428" w:rsidP="00C72BA8">
      <w:pPr>
        <w:pStyle w:val="Body"/>
        <w:spacing w:before="240" w:line="360" w:lineRule="auto"/>
        <w:rPr>
          <w:rFonts w:ascii="Times New Roman" w:eastAsia="Times New Roman" w:hAnsi="Times New Roman" w:cs="Times New Roman"/>
          <w:b/>
          <w:bCs/>
          <w:sz w:val="32"/>
          <w:szCs w:val="32"/>
          <w:lang w:val="ar-SA"/>
        </w:rPr>
      </w:pPr>
    </w:p>
    <w:p w14:paraId="084E2C96" w14:textId="77777777" w:rsidR="00454428" w:rsidRDefault="00000000" w:rsidP="00C72BA8">
      <w:pPr>
        <w:pStyle w:val="a"/>
        <w:spacing w:after="160"/>
        <w:rPr>
          <w:lang w:val="ar-SA"/>
        </w:rPr>
      </w:pPr>
      <w:bookmarkStart w:id="2" w:name="_Toc"/>
      <w:r>
        <w:rPr>
          <w:rFonts w:ascii="Arial Unicode MS" w:eastAsia="Arial Unicode MS" w:hAnsi="Arial Unicode MS" w:hint="cs"/>
          <w:rtl/>
          <w:lang w:val="ar-SA"/>
        </w:rPr>
        <w:t>الإهداء</w:t>
      </w:r>
      <w:bookmarkEnd w:id="2"/>
    </w:p>
    <w:p w14:paraId="3D421AC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2C097492"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إلى من علّمني أن العلم رسالة، وأن الصبر مفتاح كل نجاح</w:t>
      </w:r>
      <w:r>
        <w:rPr>
          <w:rFonts w:ascii="Times New Roman" w:hAnsi="Times New Roman"/>
          <w:sz w:val="24"/>
          <w:szCs w:val="24"/>
          <w:rtl/>
          <w:lang w:val="ar-SA"/>
        </w:rPr>
        <w:t>…</w:t>
      </w:r>
    </w:p>
    <w:p w14:paraId="01C9D4B1"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36F14100"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إلى والديّ الكريمين،</w:t>
      </w:r>
    </w:p>
    <w:p w14:paraId="1426D96D" w14:textId="472689FF"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عرفانًا بفضلهما، وتقديرًا لعطائهما، ودعائهما الذي كان سندًا لي في كل مرحلة من مراحل هذا العمل</w:t>
      </w:r>
      <w:r>
        <w:rPr>
          <w:rFonts w:ascii="Times New Roman" w:hAnsi="Times New Roman"/>
          <w:sz w:val="24"/>
          <w:szCs w:val="24"/>
          <w:rtl/>
          <w:lang w:val="ar-SA"/>
        </w:rPr>
        <w:t>.</w:t>
      </w:r>
    </w:p>
    <w:p w14:paraId="316FD981"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زوجتي الغالية،</w:t>
      </w:r>
    </w:p>
    <w:p w14:paraId="0603B577" w14:textId="2C88E09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التي منحتني الدعم والتشجيع، وشاركتني مشقة الطريق، فكان حضورها دافعًا للاستمرار والعطاء</w:t>
      </w:r>
      <w:r>
        <w:rPr>
          <w:rFonts w:ascii="Times New Roman" w:hAnsi="Times New Roman"/>
          <w:sz w:val="24"/>
          <w:szCs w:val="24"/>
          <w:rtl/>
          <w:lang w:val="ar-SA"/>
        </w:rPr>
        <w:t>.</w:t>
      </w:r>
    </w:p>
    <w:p w14:paraId="57554D9A"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أبنائي وبناتي وقرة عيوني،</w:t>
      </w:r>
    </w:p>
    <w:p w14:paraId="4C8E8F4D" w14:textId="1A1BE7DB"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الذين أجبروني أن أكون لهم القدوة في هذه الحياة الشاقة، فكانوا دوما سباقين للوصول للأعالي</w:t>
      </w:r>
      <w:r>
        <w:rPr>
          <w:rFonts w:ascii="Times New Roman" w:hAnsi="Times New Roman"/>
          <w:sz w:val="24"/>
          <w:szCs w:val="24"/>
          <w:rtl/>
          <w:lang w:val="ar-SA"/>
        </w:rPr>
        <w:t>.</w:t>
      </w:r>
    </w:p>
    <w:p w14:paraId="1F6BED87" w14:textId="3B9A737B"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وإلى أخي وشقيقي</w:t>
      </w:r>
      <w:r>
        <w:rPr>
          <w:rFonts w:ascii="Arial Unicode MS" w:hAnsi="Arial Unicode MS" w:cs="Times New Roman" w:hint="cs"/>
          <w:sz w:val="24"/>
          <w:szCs w:val="24"/>
          <w:rtl/>
          <w:lang w:val="ar-SA"/>
        </w:rPr>
        <w:t xml:space="preserve"> وسندي في هذه الحياة، دمت فخرا وعزا</w:t>
      </w:r>
      <w:r>
        <w:rPr>
          <w:rFonts w:ascii="Times New Roman" w:hAnsi="Times New Roman"/>
          <w:sz w:val="24"/>
          <w:szCs w:val="24"/>
          <w:rtl/>
          <w:lang w:val="ar-SA"/>
        </w:rPr>
        <w:t>.</w:t>
      </w:r>
    </w:p>
    <w:p w14:paraId="0996A329" w14:textId="2F4D14FE"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وإلى كل من آمن بقيمة العلم، وجعل من المعرفة سبيلًا للرقي والارتقاء</w:t>
      </w:r>
      <w:r>
        <w:rPr>
          <w:rFonts w:ascii="Times New Roman" w:hAnsi="Times New Roman"/>
          <w:sz w:val="24"/>
          <w:szCs w:val="24"/>
          <w:rtl/>
          <w:lang w:val="ar-SA"/>
        </w:rPr>
        <w:t>…</w:t>
      </w:r>
    </w:p>
    <w:p w14:paraId="02D9DD1B" w14:textId="77777777" w:rsidR="00113335" w:rsidRPr="00113335" w:rsidRDefault="00113335" w:rsidP="00113335">
      <w:pPr>
        <w:pStyle w:val="Body"/>
        <w:spacing w:after="100" w:line="360" w:lineRule="auto"/>
        <w:jc w:val="both"/>
        <w:rPr>
          <w:rFonts w:ascii="Times New Roman" w:eastAsia="Times New Roman" w:hAnsi="Times New Roman" w:cs="Times New Roman"/>
          <w:sz w:val="24"/>
          <w:szCs w:val="24"/>
        </w:rPr>
      </w:pPr>
    </w:p>
    <w:p w14:paraId="72FE0B9F"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أهدي هذا العمل</w:t>
      </w:r>
      <w:r>
        <w:rPr>
          <w:rFonts w:ascii="Times New Roman" w:hAnsi="Times New Roman"/>
          <w:sz w:val="24"/>
          <w:szCs w:val="24"/>
          <w:rtl/>
          <w:lang w:val="ar-SA"/>
        </w:rPr>
        <w:t>.</w:t>
      </w:r>
    </w:p>
    <w:p w14:paraId="1710C7A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79C812ED"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0B8B1652"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71E403CE"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10D2435E" w14:textId="77777777" w:rsidR="00454428" w:rsidRDefault="00454428" w:rsidP="00C72BA8">
      <w:pPr>
        <w:pStyle w:val="Body"/>
        <w:spacing w:before="240" w:line="360" w:lineRule="auto"/>
        <w:rPr>
          <w:rFonts w:ascii="Times New Roman" w:eastAsia="Times New Roman" w:hAnsi="Times New Roman" w:cs="Times New Roman"/>
          <w:b/>
          <w:bCs/>
          <w:sz w:val="32"/>
          <w:szCs w:val="32"/>
          <w:lang w:val="en-US"/>
        </w:rPr>
      </w:pPr>
    </w:p>
    <w:p w14:paraId="671A4F09" w14:textId="77777777" w:rsidR="00113335" w:rsidRPr="00113335" w:rsidRDefault="00113335" w:rsidP="00C72BA8">
      <w:pPr>
        <w:pStyle w:val="Body"/>
        <w:spacing w:before="240" w:line="360" w:lineRule="auto"/>
        <w:rPr>
          <w:rFonts w:ascii="Times New Roman" w:eastAsia="Times New Roman" w:hAnsi="Times New Roman" w:cs="Times New Roman"/>
          <w:b/>
          <w:bCs/>
          <w:sz w:val="32"/>
          <w:szCs w:val="32"/>
          <w:lang w:val="en-US"/>
        </w:rPr>
      </w:pPr>
    </w:p>
    <w:p w14:paraId="7F062431" w14:textId="77777777" w:rsidR="00113335" w:rsidRDefault="00113335" w:rsidP="00C72BA8">
      <w:pPr>
        <w:pStyle w:val="a"/>
        <w:spacing w:after="160"/>
        <w:rPr>
          <w:rFonts w:ascii="Arial Unicode MS" w:eastAsia="Arial Unicode MS" w:hAnsi="Arial Unicode MS"/>
        </w:rPr>
      </w:pPr>
      <w:bookmarkStart w:id="3" w:name="_Toc1"/>
    </w:p>
    <w:p w14:paraId="15D06095" w14:textId="77777777" w:rsidR="00113335" w:rsidRDefault="00113335" w:rsidP="00C72BA8">
      <w:pPr>
        <w:pStyle w:val="a"/>
        <w:spacing w:after="160"/>
        <w:rPr>
          <w:rFonts w:ascii="Arial Unicode MS" w:eastAsia="Arial Unicode MS" w:hAnsi="Arial Unicode MS"/>
        </w:rPr>
      </w:pPr>
    </w:p>
    <w:p w14:paraId="43BBBBF4" w14:textId="77777777" w:rsidR="00113335" w:rsidRDefault="00113335" w:rsidP="00C72BA8">
      <w:pPr>
        <w:pStyle w:val="a"/>
        <w:spacing w:after="160"/>
        <w:rPr>
          <w:rFonts w:ascii="Arial Unicode MS" w:eastAsia="Arial Unicode MS" w:hAnsi="Arial Unicode MS"/>
        </w:rPr>
      </w:pPr>
    </w:p>
    <w:p w14:paraId="6D6F311B" w14:textId="7615F743" w:rsidR="00454428" w:rsidRDefault="00000000" w:rsidP="00C72BA8">
      <w:pPr>
        <w:pStyle w:val="a"/>
        <w:spacing w:after="160"/>
        <w:rPr>
          <w:lang w:val="ar-SA"/>
        </w:rPr>
      </w:pPr>
      <w:r>
        <w:rPr>
          <w:rFonts w:ascii="Arial Unicode MS" w:eastAsia="Arial Unicode MS" w:hAnsi="Arial Unicode MS" w:hint="cs"/>
          <w:rtl/>
          <w:lang w:val="ar-SA"/>
        </w:rPr>
        <w:t>الشكر والتقدير</w:t>
      </w:r>
      <w:bookmarkEnd w:id="3"/>
    </w:p>
    <w:p w14:paraId="5DBBCF58" w14:textId="77777777" w:rsidR="00454428" w:rsidRDefault="00454428" w:rsidP="00C72BA8">
      <w:pPr>
        <w:pStyle w:val="Body"/>
        <w:bidi w:val="0"/>
        <w:spacing w:after="100" w:line="360" w:lineRule="auto"/>
        <w:jc w:val="both"/>
        <w:rPr>
          <w:rFonts w:ascii="Times New Roman" w:eastAsia="Times New Roman" w:hAnsi="Times New Roman" w:cs="Times New Roman"/>
          <w:b/>
          <w:bCs/>
          <w:sz w:val="24"/>
          <w:szCs w:val="24"/>
        </w:rPr>
      </w:pPr>
    </w:p>
    <w:p w14:paraId="090E4A7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5F2459D9" w14:textId="739083B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الحمد لله رب العالمين، والصلاة والسلام على أشرف الأنبياء والمرسلين</w:t>
      </w:r>
      <w:r>
        <w:rPr>
          <w:rFonts w:ascii="Times New Roman" w:hAnsi="Times New Roman"/>
          <w:sz w:val="24"/>
          <w:szCs w:val="24"/>
          <w:rtl/>
          <w:lang w:val="ar-SA"/>
        </w:rPr>
        <w:t>.</w:t>
      </w:r>
    </w:p>
    <w:p w14:paraId="2BEAC493" w14:textId="0A19175D"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 أتقدّم بالشكر والتقدير إلى أصحاب السعادة أعضاء لجنة المناقشة الكرام، لما بذلوه من جهد علمي، وما سيقدّمونه من ملاحظات بنّاءة تسهم في تطوير هذا العمل</w:t>
      </w:r>
      <w:r>
        <w:rPr>
          <w:rFonts w:ascii="Times New Roman" w:hAnsi="Times New Roman"/>
          <w:sz w:val="24"/>
          <w:szCs w:val="24"/>
          <w:rtl/>
          <w:lang w:val="ar-SA"/>
        </w:rPr>
        <w:t>.</w:t>
      </w:r>
    </w:p>
    <w:p w14:paraId="2A5009D0" w14:textId="7FA1FA36"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ولا يفوتني أن أتقدّم بالشكر لكل من أسهم، بصورة مباشرة أو غير مباشرة، في إنجاز هذه الرسالة، من أساتذة وزملاء وباحثين</w:t>
      </w:r>
      <w:r>
        <w:rPr>
          <w:rFonts w:ascii="Times New Roman" w:hAnsi="Times New Roman"/>
          <w:sz w:val="24"/>
          <w:szCs w:val="24"/>
          <w:rtl/>
          <w:lang w:val="ar-SA"/>
        </w:rPr>
        <w:t>.</w:t>
      </w:r>
    </w:p>
    <w:p w14:paraId="5B954C46"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الختام، أسأل الله تعالى أن يجعل هذا العمل خالصًا لوجهه الكريم، وأن ينفع به، وأن يجعله إضافة علمية نافعة في مجال الدراسات القانونية</w:t>
      </w:r>
      <w:r>
        <w:rPr>
          <w:rFonts w:ascii="Times New Roman" w:hAnsi="Times New Roman"/>
          <w:sz w:val="24"/>
          <w:szCs w:val="24"/>
          <w:rtl/>
          <w:lang w:val="ar-SA"/>
        </w:rPr>
        <w:t>.</w:t>
      </w:r>
    </w:p>
    <w:p w14:paraId="099BFFDC"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0B35A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3B90FCAE"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43A86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14340306"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2A64C02B"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en-US"/>
        </w:rPr>
      </w:pPr>
    </w:p>
    <w:p w14:paraId="64DF5062" w14:textId="77777777" w:rsidR="00113335" w:rsidRDefault="00113335" w:rsidP="00C72BA8">
      <w:pPr>
        <w:pStyle w:val="Body"/>
        <w:spacing w:after="100" w:line="360" w:lineRule="auto"/>
        <w:jc w:val="both"/>
        <w:rPr>
          <w:rFonts w:ascii="Times New Roman" w:eastAsia="Times New Roman" w:hAnsi="Times New Roman" w:cs="Times New Roman"/>
          <w:sz w:val="24"/>
          <w:szCs w:val="24"/>
          <w:lang w:val="en-US"/>
        </w:rPr>
      </w:pPr>
    </w:p>
    <w:p w14:paraId="4CD46A79" w14:textId="77777777" w:rsidR="00113335" w:rsidRDefault="00113335" w:rsidP="00C72BA8">
      <w:pPr>
        <w:pStyle w:val="Body"/>
        <w:spacing w:after="100" w:line="360" w:lineRule="auto"/>
        <w:jc w:val="both"/>
        <w:rPr>
          <w:rFonts w:ascii="Times New Roman" w:eastAsia="Times New Roman" w:hAnsi="Times New Roman" w:cs="Times New Roman"/>
          <w:sz w:val="24"/>
          <w:szCs w:val="24"/>
          <w:lang w:val="en-US"/>
        </w:rPr>
      </w:pPr>
    </w:p>
    <w:p w14:paraId="47A9C473" w14:textId="77777777" w:rsidR="00113335" w:rsidRDefault="00113335" w:rsidP="00C72BA8">
      <w:pPr>
        <w:pStyle w:val="Body"/>
        <w:spacing w:after="100" w:line="360" w:lineRule="auto"/>
        <w:jc w:val="both"/>
        <w:rPr>
          <w:rFonts w:ascii="Times New Roman" w:eastAsia="Times New Roman" w:hAnsi="Times New Roman" w:cs="Times New Roman"/>
          <w:sz w:val="24"/>
          <w:szCs w:val="24"/>
          <w:lang w:val="en-US"/>
        </w:rPr>
      </w:pPr>
    </w:p>
    <w:p w14:paraId="4026BB7B" w14:textId="77777777" w:rsidR="00113335" w:rsidRDefault="00113335" w:rsidP="00C72BA8">
      <w:pPr>
        <w:pStyle w:val="Body"/>
        <w:spacing w:after="100" w:line="360" w:lineRule="auto"/>
        <w:jc w:val="both"/>
        <w:rPr>
          <w:rFonts w:ascii="Times New Roman" w:eastAsia="Times New Roman" w:hAnsi="Times New Roman" w:cs="Times New Roman"/>
          <w:sz w:val="24"/>
          <w:szCs w:val="24"/>
          <w:lang w:val="en-US"/>
        </w:rPr>
      </w:pPr>
    </w:p>
    <w:p w14:paraId="2947420F" w14:textId="77777777" w:rsidR="00454428" w:rsidRPr="00113335" w:rsidRDefault="00454428" w:rsidP="00113335">
      <w:pPr>
        <w:pStyle w:val="Body"/>
        <w:bidi w:val="0"/>
        <w:spacing w:after="100" w:line="360" w:lineRule="auto"/>
        <w:jc w:val="both"/>
        <w:rPr>
          <w:rFonts w:ascii="Times New Roman" w:eastAsia="Times New Roman" w:hAnsi="Times New Roman" w:cs="Times New Roman"/>
          <w:sz w:val="24"/>
          <w:szCs w:val="24"/>
          <w:lang w:val="en-US"/>
        </w:rPr>
      </w:pPr>
    </w:p>
    <w:p w14:paraId="2DBE0CD9" w14:textId="77777777" w:rsidR="00454428" w:rsidRDefault="00000000" w:rsidP="00C72BA8">
      <w:pPr>
        <w:pStyle w:val="a"/>
        <w:spacing w:after="160"/>
        <w:rPr>
          <w:lang w:val="ar-SA"/>
        </w:rPr>
      </w:pPr>
      <w:bookmarkStart w:id="4" w:name="_Toc2"/>
      <w:r>
        <w:rPr>
          <w:rFonts w:ascii="Arial Unicode MS" w:eastAsia="Arial Unicode MS" w:hAnsi="Arial Unicode MS" w:hint="cs"/>
          <w:rtl/>
          <w:lang w:val="ar-SA"/>
        </w:rPr>
        <w:lastRenderedPageBreak/>
        <w:t>المستخـلص</w:t>
      </w:r>
      <w:bookmarkEnd w:id="4"/>
    </w:p>
    <w:p w14:paraId="6EFF9AAD"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lang w:val="ar-SA"/>
        </w:rPr>
      </w:pPr>
    </w:p>
    <w:p w14:paraId="5EDDC160" w14:textId="77777777" w:rsidR="00454428" w:rsidRDefault="00454428" w:rsidP="00C72BA8">
      <w:pPr>
        <w:pStyle w:val="Body"/>
        <w:spacing w:after="100" w:line="360" w:lineRule="auto"/>
        <w:jc w:val="both"/>
        <w:rPr>
          <w:rFonts w:ascii="Times New Roman" w:eastAsia="Times New Roman" w:hAnsi="Times New Roman" w:cs="Times New Roman"/>
          <w:sz w:val="24"/>
          <w:szCs w:val="24"/>
          <w:rtl/>
        </w:rPr>
      </w:pPr>
    </w:p>
    <w:p w14:paraId="7C507AAE"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تهدف هذه الدراسة إلى تحليل الإطار القانوني المنظم لحماية حقوق الملكية الفكرية في البيئة الرقمية، وبيان مدى كفاية القواعد القانونية الحالية في مواجهة التحديات الناشئة عن التطور التكنولوجي، لاسيما فيما يتعلق بالمصنفات الرقمية ومسؤولية المنصات الإلكترونية</w:t>
      </w:r>
      <w:r>
        <w:rPr>
          <w:rFonts w:ascii="Times New Roman" w:hAnsi="Times New Roman"/>
          <w:sz w:val="24"/>
          <w:szCs w:val="24"/>
          <w:rtl/>
        </w:rPr>
        <w:t>.</w:t>
      </w:r>
    </w:p>
    <w:p w14:paraId="367F5A4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4EB61873"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وتعتمد الدراسة على المنهج التحليلي المقارن، من خلال دراسة النظام السعودي ومقارنته ببعض التشريعات الأجنبية، بهدف الوقوف على أوجه القصور واقتراح الحلول المناسبة</w:t>
      </w:r>
      <w:r>
        <w:rPr>
          <w:rFonts w:ascii="Times New Roman" w:hAnsi="Times New Roman"/>
          <w:sz w:val="24"/>
          <w:szCs w:val="24"/>
          <w:rtl/>
        </w:rPr>
        <w:t>.</w:t>
      </w:r>
    </w:p>
    <w:p w14:paraId="3AD4CD64"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0D85876"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وقد توصلت الدراسة إلى أن القواعد القانونية التقليدية لم تعد كافية لمواجهة الاعتداءات في البيئة الرقمية، كما كشفت عن وجود قصور في تنظيم مسؤولية المنصات الرقمية، وصعوبات في تحديد الاختصاص القضائي، إضافة إلى قصور وسائل الإثبات التقليدية في التعامل مع الأدلة الرقمية</w:t>
      </w:r>
      <w:r>
        <w:rPr>
          <w:rFonts w:ascii="Times New Roman" w:hAnsi="Times New Roman"/>
          <w:sz w:val="24"/>
          <w:szCs w:val="24"/>
          <w:rtl/>
        </w:rPr>
        <w:t>.</w:t>
      </w:r>
    </w:p>
    <w:p w14:paraId="56C66641"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44DBF15"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أظهرت الدراسة إمكانية الاستفادة من التقنيات الحديثة، مثل تقنية البلوكشين، في توثيق المصنفات الرقمية، مع الحاجة إلى تنظيم قانوني يحدد حجيتها</w:t>
      </w:r>
      <w:r>
        <w:rPr>
          <w:rFonts w:ascii="Times New Roman" w:hAnsi="Times New Roman"/>
          <w:sz w:val="24"/>
          <w:szCs w:val="24"/>
          <w:rtl/>
        </w:rPr>
        <w:t>.</w:t>
      </w:r>
    </w:p>
    <w:p w14:paraId="05A83896"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18F8F90"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ضوء ذلك، توصي الدراسة بضرورة تطوير التشريعات الوطنية، واستحداث تنظيم قانوني لمسؤولية المنصات الرقمية، وتنظيم الأدلة الرقمية، إلى جانب تعزيز كفاءة القضاء في التعامل مع المنازعات الرقمية</w:t>
      </w:r>
      <w:r>
        <w:rPr>
          <w:rFonts w:ascii="Times New Roman" w:hAnsi="Times New Roman"/>
          <w:sz w:val="24"/>
          <w:szCs w:val="24"/>
          <w:rtl/>
        </w:rPr>
        <w:t>.</w:t>
      </w:r>
    </w:p>
    <w:p w14:paraId="1B833C3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4A9C69A"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034B366"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0D3256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F4E8F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3E8B13C"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0E428E9"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C022B83"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A4C3B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AC2D792"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FD4B369" w14:textId="77777777" w:rsidR="00454428" w:rsidRDefault="00000000" w:rsidP="00C72BA8">
      <w:pPr>
        <w:pStyle w:val="Body"/>
        <w:spacing w:after="100" w:line="360" w:lineRule="auto"/>
        <w:jc w:val="center"/>
        <w:rPr>
          <w:rFonts w:ascii="Times New Roman" w:eastAsia="Times New Roman" w:hAnsi="Times New Roman" w:cs="Times New Roman"/>
          <w:b/>
          <w:bCs/>
          <w:sz w:val="32"/>
          <w:szCs w:val="32"/>
        </w:rPr>
      </w:pPr>
      <w:r>
        <w:rPr>
          <w:b/>
          <w:bCs/>
          <w:sz w:val="32"/>
          <w:szCs w:val="32"/>
          <w:lang w:val="de-DE"/>
        </w:rPr>
        <w:t>ABSTRACT</w:t>
      </w:r>
    </w:p>
    <w:p w14:paraId="4DF3A5E6" w14:textId="77777777" w:rsidR="00454428" w:rsidRDefault="00454428" w:rsidP="00C72BA8">
      <w:pPr>
        <w:pStyle w:val="Body"/>
        <w:spacing w:before="120" w:line="360" w:lineRule="auto"/>
        <w:jc w:val="right"/>
        <w:rPr>
          <w:rFonts w:ascii="Times New Roman" w:eastAsia="Times New Roman" w:hAnsi="Times New Roman" w:cs="Times New Roman"/>
          <w:b/>
          <w:bCs/>
          <w:sz w:val="32"/>
          <w:szCs w:val="32"/>
        </w:rPr>
      </w:pPr>
    </w:p>
    <w:p w14:paraId="173051D5" w14:textId="77777777" w:rsidR="00454428" w:rsidRDefault="00454428" w:rsidP="00C72BA8">
      <w:pPr>
        <w:pStyle w:val="Body"/>
        <w:spacing w:before="120" w:line="360" w:lineRule="auto"/>
        <w:jc w:val="right"/>
        <w:rPr>
          <w:rFonts w:ascii="Times New Roman" w:eastAsia="Times New Roman" w:hAnsi="Times New Roman" w:cs="Times New Roman"/>
          <w:b/>
          <w:bCs/>
          <w:sz w:val="24"/>
          <w:szCs w:val="24"/>
        </w:rPr>
      </w:pPr>
    </w:p>
    <w:p w14:paraId="33C013B9" w14:textId="77777777" w:rsidR="00454428" w:rsidRPr="00C72BA8" w:rsidRDefault="00000000" w:rsidP="00C72BA8">
      <w:pPr>
        <w:pStyle w:val="Body"/>
        <w:spacing w:before="120" w:line="360" w:lineRule="auto"/>
        <w:jc w:val="right"/>
        <w:rPr>
          <w:rFonts w:ascii="Times New Roman" w:eastAsia="Times New Roman" w:hAnsi="Times New Roman" w:cs="Times New Roman"/>
          <w:b/>
          <w:bCs/>
          <w:sz w:val="24"/>
          <w:szCs w:val="24"/>
          <w:lang w:val="en-US"/>
        </w:rPr>
      </w:pPr>
      <w:r>
        <w:rPr>
          <w:rFonts w:ascii="Times New Roman" w:hAnsi="Times New Roman"/>
          <w:b/>
          <w:bCs/>
          <w:sz w:val="24"/>
          <w:szCs w:val="24"/>
          <w:rtl/>
          <w:lang w:val="ar-SA"/>
        </w:rPr>
        <w:t>This study aims to analyze the legal framework governing the protection of intellectual property rights in the digital environment, and to assess the adequacy of current legal rules in addressing challenges arising from technological developments, particularly with regard to digital works and the liability of online platforms.</w:t>
      </w:r>
    </w:p>
    <w:p w14:paraId="6AC174A6"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lang w:val="en-US"/>
        </w:rPr>
      </w:pPr>
    </w:p>
    <w:p w14:paraId="1AA4F958" w14:textId="77777777" w:rsidR="00454428" w:rsidRPr="00C72BA8" w:rsidRDefault="00000000" w:rsidP="00C72BA8">
      <w:pPr>
        <w:pStyle w:val="Body"/>
        <w:spacing w:before="120" w:line="360" w:lineRule="auto"/>
        <w:jc w:val="right"/>
        <w:rPr>
          <w:rFonts w:ascii="Times New Roman" w:eastAsia="Times New Roman" w:hAnsi="Times New Roman" w:cs="Times New Roman"/>
          <w:b/>
          <w:bCs/>
          <w:sz w:val="24"/>
          <w:szCs w:val="24"/>
          <w:lang w:val="en-US"/>
        </w:rPr>
      </w:pPr>
      <w:r>
        <w:rPr>
          <w:rFonts w:ascii="Times New Roman" w:hAnsi="Times New Roman"/>
          <w:b/>
          <w:bCs/>
          <w:sz w:val="24"/>
          <w:szCs w:val="24"/>
          <w:rtl/>
          <w:lang w:val="ar-SA"/>
        </w:rPr>
        <w:t>The study adopts an analytical and comparative approach by examining the Saudi legal system and comparing it with selected foreign legislations, with the aim of identifying legal gaps and proposing appropriate solutions.</w:t>
      </w:r>
    </w:p>
    <w:p w14:paraId="45FE742B"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lang w:val="en-US"/>
        </w:rPr>
      </w:pPr>
    </w:p>
    <w:p w14:paraId="4DBB6F3C" w14:textId="77777777" w:rsidR="00454428" w:rsidRPr="00C72BA8" w:rsidRDefault="00000000" w:rsidP="00C72BA8">
      <w:pPr>
        <w:pStyle w:val="Body"/>
        <w:spacing w:before="120" w:line="360" w:lineRule="auto"/>
        <w:jc w:val="right"/>
        <w:rPr>
          <w:rFonts w:ascii="Times New Roman" w:eastAsia="Times New Roman" w:hAnsi="Times New Roman" w:cs="Times New Roman"/>
          <w:b/>
          <w:bCs/>
          <w:sz w:val="24"/>
          <w:szCs w:val="24"/>
          <w:lang w:val="en-US"/>
        </w:rPr>
      </w:pPr>
      <w:r>
        <w:rPr>
          <w:rFonts w:ascii="Times New Roman" w:hAnsi="Times New Roman"/>
          <w:b/>
          <w:bCs/>
          <w:sz w:val="24"/>
          <w:szCs w:val="24"/>
          <w:rtl/>
          <w:lang w:val="ar-SA"/>
        </w:rPr>
        <w:t>The study finds that traditional legal rules are no longer sufficient to address infringements in the digital environment. It also reveals deficiencies in regulating platform liability, difficulties in determining jurisdiction, and limitations of traditional evidentiary rules in dealing with digital evidence.</w:t>
      </w:r>
    </w:p>
    <w:p w14:paraId="2AA733EE"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lang w:val="en-US"/>
        </w:rPr>
      </w:pPr>
    </w:p>
    <w:p w14:paraId="6B7FF0D9" w14:textId="77777777" w:rsidR="00454428" w:rsidRPr="00C72BA8" w:rsidRDefault="00000000" w:rsidP="00C72BA8">
      <w:pPr>
        <w:pStyle w:val="Body"/>
        <w:spacing w:before="120" w:line="360" w:lineRule="auto"/>
        <w:jc w:val="right"/>
        <w:rPr>
          <w:rFonts w:ascii="Times New Roman" w:eastAsia="Times New Roman" w:hAnsi="Times New Roman" w:cs="Times New Roman"/>
          <w:b/>
          <w:bCs/>
          <w:sz w:val="24"/>
          <w:szCs w:val="24"/>
          <w:lang w:val="en-US"/>
        </w:rPr>
      </w:pPr>
      <w:r>
        <w:rPr>
          <w:rFonts w:ascii="Times New Roman" w:hAnsi="Times New Roman"/>
          <w:b/>
          <w:bCs/>
          <w:sz w:val="24"/>
          <w:szCs w:val="24"/>
          <w:rtl/>
          <w:lang w:val="ar-SA"/>
        </w:rPr>
        <w:t>Furthermore, the study highlights the potential of modern technologies, such as blockchain, in documenting digital works, while emphasizing the need for a clear legal framework governing their evidentiary value.</w:t>
      </w:r>
    </w:p>
    <w:p w14:paraId="2647A84C"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lang w:val="en-US"/>
        </w:rPr>
      </w:pPr>
    </w:p>
    <w:p w14:paraId="26104201" w14:textId="77777777" w:rsidR="00454428" w:rsidRPr="00C72BA8" w:rsidRDefault="00000000" w:rsidP="00C72BA8">
      <w:pPr>
        <w:pStyle w:val="Body"/>
        <w:spacing w:before="120" w:line="360" w:lineRule="auto"/>
        <w:jc w:val="right"/>
        <w:rPr>
          <w:rFonts w:ascii="Times New Roman" w:eastAsia="Times New Roman" w:hAnsi="Times New Roman" w:cs="Times New Roman"/>
          <w:b/>
          <w:bCs/>
          <w:sz w:val="24"/>
          <w:szCs w:val="24"/>
          <w:lang w:val="en-US"/>
        </w:rPr>
      </w:pPr>
      <w:r>
        <w:rPr>
          <w:rFonts w:ascii="Times New Roman" w:hAnsi="Times New Roman"/>
          <w:b/>
          <w:bCs/>
          <w:sz w:val="24"/>
          <w:szCs w:val="24"/>
          <w:rtl/>
          <w:lang w:val="ar-SA"/>
        </w:rPr>
        <w:t>Based on these findings, the study recommends developing national legislation, establishing a legal framework for platform liability and digital evidence, and enhancing judicial capacity to handle digital disputes.</w:t>
      </w:r>
    </w:p>
    <w:p w14:paraId="26634A74"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lang w:val="en-US"/>
        </w:rPr>
      </w:pPr>
    </w:p>
    <w:p w14:paraId="4A2C0EEB" w14:textId="77777777" w:rsidR="00454428" w:rsidRDefault="00000000" w:rsidP="00C72BA8">
      <w:pPr>
        <w:pStyle w:val="Body"/>
        <w:spacing w:before="120" w:line="360" w:lineRule="auto"/>
        <w:jc w:val="center"/>
        <w:rPr>
          <w:rFonts w:ascii="Times New Roman" w:eastAsia="Times New Roman" w:hAnsi="Times New Roman" w:cs="Times New Roman"/>
          <w:b/>
          <w:bCs/>
          <w:sz w:val="32"/>
          <w:szCs w:val="32"/>
          <w:lang w:val="ar-SA"/>
        </w:rPr>
      </w:pPr>
      <w:r>
        <w:rPr>
          <w:rFonts w:ascii="Arial Unicode MS" w:hAnsi="Arial Unicode MS" w:cs="Times New Roman" w:hint="cs"/>
          <w:b/>
          <w:bCs/>
          <w:sz w:val="32"/>
          <w:szCs w:val="32"/>
          <w:rtl/>
          <w:lang w:val="ar-SA"/>
        </w:rPr>
        <w:t>قائمــة المحتــويات</w:t>
      </w:r>
    </w:p>
    <w:p w14:paraId="174531DA" w14:textId="77777777" w:rsidR="00454428" w:rsidRDefault="00000000" w:rsidP="00C72BA8">
      <w:pPr>
        <w:pStyle w:val="Body"/>
        <w:spacing w:before="120" w:after="120" w:line="360" w:lineRule="auto"/>
        <w:jc w:val="both"/>
      </w:pPr>
      <w:r>
        <w:rPr>
          <w:rFonts w:ascii="Times New Roman" w:eastAsia="Times New Roman" w:hAnsi="Times New Roman" w:cs="Times New Roman"/>
          <w:lang w:val="ar-SA"/>
        </w:rPr>
        <w:fldChar w:fldCharType="begin"/>
      </w:r>
      <w:r>
        <w:rPr>
          <w:rFonts w:ascii="Times New Roman" w:eastAsia="Times New Roman" w:hAnsi="Times New Roman" w:cs="Times New Roman"/>
          <w:lang w:val="ar-SA"/>
        </w:rPr>
        <w:instrText xml:space="preserve"> TOC \t "جانبي, 1,عنوان, 2"</w:instrText>
      </w:r>
      <w:r>
        <w:rPr>
          <w:rFonts w:ascii="Times New Roman" w:eastAsia="Times New Roman" w:hAnsi="Times New Roman" w:cs="Times New Roman"/>
          <w:lang w:val="ar-SA"/>
        </w:rPr>
        <w:fldChar w:fldCharType="separate"/>
      </w:r>
    </w:p>
    <w:p w14:paraId="549641EC" w14:textId="4E517ED9" w:rsidR="00454428" w:rsidRDefault="00000000" w:rsidP="00C72BA8">
      <w:pPr>
        <w:pStyle w:val="TOC2"/>
        <w:spacing w:line="360" w:lineRule="auto"/>
      </w:pPr>
      <w:r>
        <w:rPr>
          <w:rFonts w:ascii="Arial Unicode MS" w:eastAsia="Arial Unicode MS" w:hAnsi="Arial Unicode MS" w:hint="cs"/>
          <w:rtl/>
          <w:lang w:val="ar-SA"/>
        </w:rPr>
        <w:t>الإهداء</w:t>
      </w:r>
      <w:r>
        <w:rPr>
          <w:rFonts w:ascii="Arial Unicode MS" w:eastAsia="Arial Unicode MS" w:hAnsi="Arial Unicode MS" w:hint="cs"/>
          <w:rtl/>
          <w:lang w:val="ar-SA"/>
        </w:rPr>
        <w:tab/>
      </w:r>
      <w:r>
        <w:fldChar w:fldCharType="begin"/>
      </w:r>
      <w:r>
        <w:instrText xml:space="preserve"> PAGEREF _Toc \h </w:instrText>
      </w:r>
      <w:r>
        <w:fldChar w:fldCharType="separate"/>
      </w:r>
      <w:r w:rsidR="00113335">
        <w:rPr>
          <w:noProof/>
          <w:rtl/>
        </w:rPr>
        <w:t>3</w:t>
      </w:r>
      <w:r>
        <w:fldChar w:fldCharType="end"/>
      </w:r>
    </w:p>
    <w:p w14:paraId="236BF0C0" w14:textId="633E0DA2" w:rsidR="00454428" w:rsidRDefault="00000000" w:rsidP="00C72BA8">
      <w:pPr>
        <w:pStyle w:val="TOC2"/>
        <w:spacing w:line="360" w:lineRule="auto"/>
      </w:pPr>
      <w:r>
        <w:rPr>
          <w:rFonts w:ascii="Arial Unicode MS" w:eastAsia="Arial Unicode MS" w:hAnsi="Arial Unicode MS" w:hint="cs"/>
          <w:rtl/>
          <w:lang w:val="ar-SA"/>
        </w:rPr>
        <w:t>الشكر والتقدير</w:t>
      </w:r>
      <w:r>
        <w:rPr>
          <w:rFonts w:ascii="Arial Unicode MS" w:eastAsia="Arial Unicode MS" w:hAnsi="Arial Unicode MS" w:hint="cs"/>
          <w:rtl/>
          <w:lang w:val="ar-SA"/>
        </w:rPr>
        <w:tab/>
      </w:r>
      <w:r>
        <w:fldChar w:fldCharType="begin"/>
      </w:r>
      <w:r>
        <w:instrText xml:space="preserve"> PAGEREF _Toc1 \h </w:instrText>
      </w:r>
      <w:r>
        <w:fldChar w:fldCharType="separate"/>
      </w:r>
      <w:r w:rsidR="00113335">
        <w:rPr>
          <w:noProof/>
          <w:rtl/>
        </w:rPr>
        <w:t>4</w:t>
      </w:r>
      <w:r>
        <w:fldChar w:fldCharType="end"/>
      </w:r>
    </w:p>
    <w:p w14:paraId="7EFFAC72" w14:textId="6C5E42CF" w:rsidR="00454428" w:rsidRDefault="00000000" w:rsidP="00C72BA8">
      <w:pPr>
        <w:pStyle w:val="TOC2"/>
        <w:spacing w:line="360" w:lineRule="auto"/>
      </w:pPr>
      <w:r>
        <w:rPr>
          <w:rFonts w:ascii="Arial Unicode MS" w:eastAsia="Arial Unicode MS" w:hAnsi="Arial Unicode MS" w:hint="cs"/>
          <w:rtl/>
          <w:lang w:val="ar-SA"/>
        </w:rPr>
        <w:t>المستخـلص</w:t>
      </w:r>
      <w:r>
        <w:rPr>
          <w:rFonts w:ascii="Arial Unicode MS" w:eastAsia="Arial Unicode MS" w:hAnsi="Arial Unicode MS" w:hint="cs"/>
          <w:rtl/>
          <w:lang w:val="ar-SA"/>
        </w:rPr>
        <w:tab/>
      </w:r>
      <w:r>
        <w:fldChar w:fldCharType="begin"/>
      </w:r>
      <w:r>
        <w:instrText xml:space="preserve"> PAGEREF _Toc2 \h </w:instrText>
      </w:r>
      <w:r>
        <w:fldChar w:fldCharType="separate"/>
      </w:r>
      <w:r w:rsidR="00113335">
        <w:rPr>
          <w:noProof/>
          <w:rtl/>
        </w:rPr>
        <w:t>5</w:t>
      </w:r>
      <w:r>
        <w:fldChar w:fldCharType="end"/>
      </w:r>
    </w:p>
    <w:p w14:paraId="3187822F" w14:textId="6D65E63B" w:rsidR="00454428" w:rsidRDefault="00000000" w:rsidP="00C72BA8">
      <w:pPr>
        <w:pStyle w:val="TOC2"/>
        <w:spacing w:line="360" w:lineRule="auto"/>
      </w:pPr>
      <w:r>
        <w:rPr>
          <w:rFonts w:ascii="Arial Unicode MS" w:eastAsia="Arial Unicode MS" w:hAnsi="Arial Unicode MS" w:hint="cs"/>
          <w:rtl/>
          <w:lang w:val="ar-SA"/>
        </w:rPr>
        <w:t>المقدمة</w:t>
      </w:r>
      <w:r>
        <w:rPr>
          <w:rFonts w:ascii="Arial Unicode MS" w:eastAsia="Arial Unicode MS" w:hAnsi="Arial Unicode MS" w:hint="cs"/>
          <w:rtl/>
          <w:lang w:val="ar-SA"/>
        </w:rPr>
        <w:tab/>
      </w:r>
      <w:r>
        <w:fldChar w:fldCharType="begin"/>
      </w:r>
      <w:r>
        <w:instrText xml:space="preserve"> PAGEREF _Toc3 \h </w:instrText>
      </w:r>
      <w:r>
        <w:fldChar w:fldCharType="separate"/>
      </w:r>
      <w:r w:rsidR="00113335">
        <w:rPr>
          <w:noProof/>
          <w:rtl/>
        </w:rPr>
        <w:t>1</w:t>
      </w:r>
      <w:r>
        <w:fldChar w:fldCharType="end"/>
      </w:r>
    </w:p>
    <w:p w14:paraId="369A06CA" w14:textId="692CF734" w:rsidR="00454428" w:rsidRDefault="00000000" w:rsidP="00C72BA8">
      <w:pPr>
        <w:pStyle w:val="TOC1"/>
        <w:spacing w:line="360" w:lineRule="auto"/>
      </w:pPr>
      <w:r>
        <w:rPr>
          <w:rFonts w:ascii="Arial Unicode MS" w:eastAsia="Arial Unicode MS" w:hAnsi="Arial Unicode MS" w:hint="cs"/>
          <w:rtl/>
          <w:lang w:val="ar-SA"/>
        </w:rPr>
        <w:t>أولًا: أهمية الدراسة:</w:t>
      </w:r>
      <w:r>
        <w:rPr>
          <w:rFonts w:ascii="Arial Unicode MS" w:eastAsia="Arial Unicode MS" w:hAnsi="Arial Unicode MS" w:hint="cs"/>
          <w:rtl/>
          <w:lang w:val="ar-SA"/>
        </w:rPr>
        <w:tab/>
      </w:r>
      <w:r>
        <w:fldChar w:fldCharType="begin"/>
      </w:r>
      <w:r>
        <w:instrText xml:space="preserve"> PAGEREF _Toc4 \h </w:instrText>
      </w:r>
      <w:r>
        <w:fldChar w:fldCharType="separate"/>
      </w:r>
      <w:r w:rsidR="00113335">
        <w:rPr>
          <w:noProof/>
          <w:rtl/>
        </w:rPr>
        <w:t>3</w:t>
      </w:r>
      <w:r>
        <w:fldChar w:fldCharType="end"/>
      </w:r>
    </w:p>
    <w:p w14:paraId="4E033252" w14:textId="12BD4E31" w:rsidR="00454428" w:rsidRDefault="00000000" w:rsidP="00C72BA8">
      <w:pPr>
        <w:pStyle w:val="TOC1"/>
        <w:spacing w:line="360" w:lineRule="auto"/>
      </w:pPr>
      <w:r>
        <w:rPr>
          <w:rFonts w:ascii="Arial Unicode MS" w:eastAsia="Arial Unicode MS" w:hAnsi="Arial Unicode MS" w:hint="cs"/>
          <w:rtl/>
          <w:lang w:val="ar-SA"/>
        </w:rPr>
        <w:t>ثانيًا: أهداف الدراسة:</w:t>
      </w:r>
      <w:r>
        <w:rPr>
          <w:rFonts w:ascii="Arial Unicode MS" w:eastAsia="Arial Unicode MS" w:hAnsi="Arial Unicode MS" w:hint="cs"/>
          <w:rtl/>
          <w:lang w:val="ar-SA"/>
        </w:rPr>
        <w:tab/>
      </w:r>
      <w:r>
        <w:fldChar w:fldCharType="begin"/>
      </w:r>
      <w:r>
        <w:instrText xml:space="preserve"> PAGEREF _Toc5 \h </w:instrText>
      </w:r>
      <w:r>
        <w:fldChar w:fldCharType="separate"/>
      </w:r>
      <w:r w:rsidR="00113335">
        <w:rPr>
          <w:noProof/>
          <w:rtl/>
        </w:rPr>
        <w:t>4</w:t>
      </w:r>
      <w:r>
        <w:fldChar w:fldCharType="end"/>
      </w:r>
    </w:p>
    <w:p w14:paraId="6BAE63CE" w14:textId="1A1C45B8" w:rsidR="00454428" w:rsidRDefault="00000000" w:rsidP="00C72BA8">
      <w:pPr>
        <w:pStyle w:val="TOC1"/>
        <w:spacing w:line="360" w:lineRule="auto"/>
      </w:pPr>
      <w:r>
        <w:rPr>
          <w:rFonts w:ascii="Arial Unicode MS" w:eastAsia="Arial Unicode MS" w:hAnsi="Arial Unicode MS" w:hint="cs"/>
          <w:rtl/>
          <w:lang w:val="ar-SA"/>
        </w:rPr>
        <w:t>ثالثًا: مشكلة الدراسة:</w:t>
      </w:r>
      <w:r>
        <w:rPr>
          <w:rFonts w:ascii="Arial Unicode MS" w:eastAsia="Arial Unicode MS" w:hAnsi="Arial Unicode MS" w:hint="cs"/>
          <w:rtl/>
          <w:lang w:val="ar-SA"/>
        </w:rPr>
        <w:tab/>
      </w:r>
      <w:r>
        <w:fldChar w:fldCharType="begin"/>
      </w:r>
      <w:r>
        <w:instrText xml:space="preserve"> PAGEREF _Toc6 \h </w:instrText>
      </w:r>
      <w:r>
        <w:fldChar w:fldCharType="separate"/>
      </w:r>
      <w:r w:rsidR="00113335">
        <w:rPr>
          <w:noProof/>
          <w:rtl/>
        </w:rPr>
        <w:t>4</w:t>
      </w:r>
      <w:r>
        <w:fldChar w:fldCharType="end"/>
      </w:r>
    </w:p>
    <w:p w14:paraId="1C37C4E2" w14:textId="51F90025" w:rsidR="00454428" w:rsidRDefault="00000000" w:rsidP="00C72BA8">
      <w:pPr>
        <w:pStyle w:val="TOC1"/>
        <w:spacing w:line="360" w:lineRule="auto"/>
      </w:pPr>
      <w:r>
        <w:rPr>
          <w:rFonts w:ascii="Arial Unicode MS" w:eastAsia="Arial Unicode MS" w:hAnsi="Arial Unicode MS" w:hint="cs"/>
          <w:rtl/>
          <w:lang w:val="ar-SA"/>
        </w:rPr>
        <w:t>رابعًا: تساؤلات الدراسة:</w:t>
      </w:r>
      <w:r>
        <w:rPr>
          <w:rFonts w:ascii="Arial Unicode MS" w:eastAsia="Arial Unicode MS" w:hAnsi="Arial Unicode MS" w:hint="cs"/>
          <w:rtl/>
          <w:lang w:val="ar-SA"/>
        </w:rPr>
        <w:tab/>
      </w:r>
      <w:r>
        <w:fldChar w:fldCharType="begin"/>
      </w:r>
      <w:r>
        <w:instrText xml:space="preserve"> PAGEREF _Toc7 \h </w:instrText>
      </w:r>
      <w:r>
        <w:fldChar w:fldCharType="separate"/>
      </w:r>
      <w:r w:rsidR="00113335">
        <w:rPr>
          <w:noProof/>
          <w:rtl/>
        </w:rPr>
        <w:t>5</w:t>
      </w:r>
      <w:r>
        <w:fldChar w:fldCharType="end"/>
      </w:r>
    </w:p>
    <w:p w14:paraId="2288CCEC" w14:textId="5C87955D" w:rsidR="00454428" w:rsidRDefault="00000000" w:rsidP="00C72BA8">
      <w:pPr>
        <w:pStyle w:val="TOC1"/>
        <w:numPr>
          <w:ilvl w:val="0"/>
          <w:numId w:val="1"/>
        </w:numPr>
        <w:spacing w:line="360" w:lineRule="auto"/>
        <w:rPr>
          <w:rFonts w:ascii="Arial Unicode MS" w:eastAsia="Arial Unicode MS" w:hAnsi="Arial Unicode MS"/>
          <w:cs/>
        </w:rPr>
      </w:pPr>
      <w:r>
        <w:rPr>
          <w:rFonts w:ascii="Arial Unicode MS" w:eastAsia="Arial Unicode MS" w:hAnsi="Arial Unicode MS" w:hint="cs"/>
          <w:rtl/>
          <w:lang w:val="ar-SA"/>
        </w:rPr>
        <w:t>ما الخصائص القانونية التي تميز المصنفات الرقمية عن المصنفات التقليدية؟</w:t>
      </w:r>
      <w:r>
        <w:rPr>
          <w:rFonts w:ascii="Arial Unicode MS" w:eastAsia="Arial Unicode MS" w:hAnsi="Arial Unicode MS" w:hint="cs"/>
          <w:rtl/>
          <w:lang w:val="ar-SA"/>
        </w:rPr>
        <w:tab/>
      </w:r>
      <w:r>
        <w:fldChar w:fldCharType="begin"/>
      </w:r>
      <w:r>
        <w:instrText xml:space="preserve"> PAGEREF _Toc8 \h </w:instrText>
      </w:r>
      <w:r>
        <w:fldChar w:fldCharType="separate"/>
      </w:r>
      <w:r w:rsidR="00113335">
        <w:rPr>
          <w:noProof/>
          <w:rtl/>
        </w:rPr>
        <w:t>5</w:t>
      </w:r>
      <w:r>
        <w:fldChar w:fldCharType="end"/>
      </w:r>
    </w:p>
    <w:p w14:paraId="752A43C3" w14:textId="589DC89F" w:rsidR="00454428" w:rsidRDefault="00000000" w:rsidP="00C72BA8">
      <w:pPr>
        <w:pStyle w:val="TOC1"/>
        <w:numPr>
          <w:ilvl w:val="0"/>
          <w:numId w:val="2"/>
        </w:numPr>
        <w:spacing w:line="360" w:lineRule="auto"/>
        <w:rPr>
          <w:rFonts w:ascii="Arial Unicode MS" w:eastAsia="Arial Unicode MS" w:hAnsi="Arial Unicode MS"/>
          <w:cs/>
        </w:rPr>
      </w:pPr>
      <w:r>
        <w:rPr>
          <w:rFonts w:ascii="Arial Unicode MS" w:eastAsia="Arial Unicode MS" w:hAnsi="Arial Unicode MS" w:hint="cs"/>
          <w:rtl/>
          <w:lang w:val="ar-SA"/>
        </w:rPr>
        <w:t>إلى أي مدى توفر الاتفاقيات الدولية حماية كافية لحقوق الملكية الفكرية في البيئة الرقمية؟</w:t>
      </w:r>
      <w:r>
        <w:rPr>
          <w:rFonts w:ascii="Arial Unicode MS" w:eastAsia="Arial Unicode MS" w:hAnsi="Arial Unicode MS" w:hint="cs"/>
          <w:rtl/>
          <w:lang w:val="ar-SA"/>
        </w:rPr>
        <w:tab/>
      </w:r>
      <w:r>
        <w:fldChar w:fldCharType="begin"/>
      </w:r>
      <w:r>
        <w:instrText xml:space="preserve"> PAGEREF _Toc9 \h </w:instrText>
      </w:r>
      <w:r>
        <w:fldChar w:fldCharType="separate"/>
      </w:r>
      <w:r w:rsidR="00113335">
        <w:rPr>
          <w:noProof/>
          <w:rtl/>
        </w:rPr>
        <w:t>5</w:t>
      </w:r>
      <w:r>
        <w:fldChar w:fldCharType="end"/>
      </w:r>
    </w:p>
    <w:p w14:paraId="71767B5C" w14:textId="35A858D6" w:rsidR="00454428" w:rsidRDefault="00000000" w:rsidP="00C72BA8">
      <w:pPr>
        <w:pStyle w:val="TOC1"/>
        <w:numPr>
          <w:ilvl w:val="0"/>
          <w:numId w:val="3"/>
        </w:numPr>
        <w:spacing w:line="360" w:lineRule="auto"/>
        <w:rPr>
          <w:rFonts w:ascii="Arial Unicode MS" w:eastAsia="Arial Unicode MS" w:hAnsi="Arial Unicode MS"/>
          <w:cs/>
        </w:rPr>
      </w:pPr>
      <w:r>
        <w:rPr>
          <w:rFonts w:ascii="Arial Unicode MS" w:eastAsia="Arial Unicode MS" w:hAnsi="Arial Unicode MS" w:hint="cs"/>
          <w:rtl/>
          <w:lang w:val="ar-SA"/>
        </w:rPr>
        <w:t>ما نطاق المسؤولية القانونية لمزودي خدمات الإنترنت والمنصات الرقمية عن الانتهاكات التي تقع عبرها؟</w:t>
      </w:r>
      <w:r>
        <w:rPr>
          <w:rFonts w:ascii="Arial Unicode MS" w:eastAsia="Arial Unicode MS" w:hAnsi="Arial Unicode MS" w:hint="cs"/>
          <w:rtl/>
          <w:lang w:val="ar-SA"/>
        </w:rPr>
        <w:tab/>
      </w:r>
      <w:r>
        <w:fldChar w:fldCharType="begin"/>
      </w:r>
      <w:r>
        <w:instrText xml:space="preserve"> PAGEREF _Toc10 \h </w:instrText>
      </w:r>
      <w:r>
        <w:fldChar w:fldCharType="separate"/>
      </w:r>
      <w:r w:rsidR="00113335">
        <w:rPr>
          <w:noProof/>
          <w:rtl/>
        </w:rPr>
        <w:t>5</w:t>
      </w:r>
      <w:r>
        <w:fldChar w:fldCharType="end"/>
      </w:r>
    </w:p>
    <w:p w14:paraId="69676B6F" w14:textId="37421F63" w:rsidR="00454428" w:rsidRDefault="00000000" w:rsidP="00C72BA8">
      <w:pPr>
        <w:pStyle w:val="TOC1"/>
        <w:numPr>
          <w:ilvl w:val="0"/>
          <w:numId w:val="4"/>
        </w:numPr>
        <w:spacing w:line="360" w:lineRule="auto"/>
        <w:rPr>
          <w:rFonts w:ascii="Arial Unicode MS" w:eastAsia="Arial Unicode MS" w:hAnsi="Arial Unicode MS"/>
          <w:cs/>
        </w:rPr>
      </w:pPr>
      <w:r>
        <w:rPr>
          <w:rFonts w:ascii="Arial Unicode MS" w:eastAsia="Arial Unicode MS" w:hAnsi="Arial Unicode MS" w:hint="cs"/>
          <w:rtl/>
          <w:lang w:val="ar-SA"/>
        </w:rPr>
        <w:t>إلى أي مدى يواكب النظام السعودي التطورات المرتبطة بالملكية الفكرية الرقمية مقارنة بالتشريعات الأجنبية؟</w:t>
      </w:r>
      <w:r>
        <w:rPr>
          <w:rFonts w:ascii="Arial Unicode MS" w:eastAsia="Arial Unicode MS" w:hAnsi="Arial Unicode MS" w:hint="cs"/>
          <w:rtl/>
          <w:lang w:val="ar-SA"/>
        </w:rPr>
        <w:tab/>
      </w:r>
      <w:r>
        <w:fldChar w:fldCharType="begin"/>
      </w:r>
      <w:r>
        <w:instrText xml:space="preserve"> PAGEREF _Toc11 \h </w:instrText>
      </w:r>
      <w:r>
        <w:fldChar w:fldCharType="separate"/>
      </w:r>
      <w:r w:rsidR="00113335">
        <w:rPr>
          <w:noProof/>
          <w:rtl/>
        </w:rPr>
        <w:t>5</w:t>
      </w:r>
      <w:r>
        <w:fldChar w:fldCharType="end"/>
      </w:r>
    </w:p>
    <w:p w14:paraId="3F917AA2" w14:textId="65CAD174" w:rsidR="00454428" w:rsidRDefault="00000000" w:rsidP="00C72BA8">
      <w:pPr>
        <w:pStyle w:val="TOC1"/>
        <w:numPr>
          <w:ilvl w:val="0"/>
          <w:numId w:val="5"/>
        </w:numPr>
        <w:spacing w:line="360" w:lineRule="auto"/>
        <w:rPr>
          <w:rFonts w:ascii="Arial Unicode MS" w:eastAsia="Arial Unicode MS" w:hAnsi="Arial Unicode MS"/>
          <w:cs/>
        </w:rPr>
      </w:pPr>
      <w:r>
        <w:rPr>
          <w:rFonts w:ascii="Arial Unicode MS" w:eastAsia="Arial Unicode MS" w:hAnsi="Arial Unicode MS" w:hint="cs"/>
          <w:rtl/>
          <w:lang w:val="ar-SA"/>
        </w:rPr>
        <w:t>ما أبرز الإشكالات المتعلقة بتحديد الاختصاص القضائي والقانون الواجب التطبيق في النزاعات الرقمية؟</w:t>
      </w:r>
      <w:r>
        <w:rPr>
          <w:rFonts w:ascii="Arial Unicode MS" w:eastAsia="Arial Unicode MS" w:hAnsi="Arial Unicode MS" w:hint="cs"/>
          <w:rtl/>
          <w:lang w:val="ar-SA"/>
        </w:rPr>
        <w:tab/>
      </w:r>
      <w:r>
        <w:fldChar w:fldCharType="begin"/>
      </w:r>
      <w:r>
        <w:instrText xml:space="preserve"> PAGEREF _Toc12 \h </w:instrText>
      </w:r>
      <w:r>
        <w:fldChar w:fldCharType="separate"/>
      </w:r>
      <w:r w:rsidR="00113335">
        <w:rPr>
          <w:noProof/>
          <w:rtl/>
        </w:rPr>
        <w:t>5</w:t>
      </w:r>
      <w:r>
        <w:fldChar w:fldCharType="end"/>
      </w:r>
    </w:p>
    <w:p w14:paraId="4B1A759D" w14:textId="0C2CD7D2" w:rsidR="00454428" w:rsidRDefault="00000000" w:rsidP="00C72BA8">
      <w:pPr>
        <w:pStyle w:val="TOC1"/>
        <w:numPr>
          <w:ilvl w:val="0"/>
          <w:numId w:val="6"/>
        </w:numPr>
        <w:spacing w:line="360" w:lineRule="auto"/>
        <w:rPr>
          <w:rFonts w:ascii="Arial Unicode MS" w:eastAsia="Arial Unicode MS" w:hAnsi="Arial Unicode MS"/>
          <w:cs/>
        </w:rPr>
      </w:pPr>
      <w:r>
        <w:rPr>
          <w:rFonts w:ascii="Arial Unicode MS" w:eastAsia="Arial Unicode MS" w:hAnsi="Arial Unicode MS" w:hint="cs"/>
          <w:rtl/>
          <w:lang w:val="ar-SA"/>
        </w:rPr>
        <w:t>ما الوضع القانوني للمصنفات الناتجة عن تقنيات الذكاء الاصطناعي؟</w:t>
      </w:r>
      <w:r>
        <w:rPr>
          <w:rFonts w:ascii="Arial Unicode MS" w:eastAsia="Arial Unicode MS" w:hAnsi="Arial Unicode MS" w:hint="cs"/>
          <w:rtl/>
          <w:lang w:val="ar-SA"/>
        </w:rPr>
        <w:tab/>
      </w:r>
      <w:r>
        <w:fldChar w:fldCharType="begin"/>
      </w:r>
      <w:r>
        <w:instrText xml:space="preserve"> PAGEREF _Toc13 \h </w:instrText>
      </w:r>
      <w:r>
        <w:fldChar w:fldCharType="separate"/>
      </w:r>
      <w:r w:rsidR="00113335">
        <w:rPr>
          <w:noProof/>
          <w:rtl/>
        </w:rPr>
        <w:t>5</w:t>
      </w:r>
      <w:r>
        <w:fldChar w:fldCharType="end"/>
      </w:r>
    </w:p>
    <w:p w14:paraId="511EDCEE" w14:textId="1CB8512B" w:rsidR="00454428" w:rsidRDefault="00000000" w:rsidP="00C72BA8">
      <w:pPr>
        <w:pStyle w:val="TOC1"/>
        <w:numPr>
          <w:ilvl w:val="0"/>
          <w:numId w:val="7"/>
        </w:numPr>
        <w:spacing w:line="360" w:lineRule="auto"/>
        <w:rPr>
          <w:rFonts w:ascii="Arial Unicode MS" w:eastAsia="Arial Unicode MS" w:hAnsi="Arial Unicode MS"/>
          <w:cs/>
        </w:rPr>
      </w:pPr>
      <w:r>
        <w:rPr>
          <w:rFonts w:ascii="Arial Unicode MS" w:eastAsia="Arial Unicode MS" w:hAnsi="Arial Unicode MS" w:hint="cs"/>
          <w:rtl/>
          <w:lang w:val="ar-SA"/>
        </w:rPr>
        <w:t>ما مدى فعالية آليات إزالة المحتوى المخالف في البيئة الرقمية؟</w:t>
      </w:r>
      <w:r>
        <w:rPr>
          <w:rFonts w:ascii="Arial Unicode MS" w:eastAsia="Arial Unicode MS" w:hAnsi="Arial Unicode MS" w:hint="cs"/>
          <w:rtl/>
          <w:lang w:val="ar-SA"/>
        </w:rPr>
        <w:tab/>
      </w:r>
      <w:r>
        <w:fldChar w:fldCharType="begin"/>
      </w:r>
      <w:r>
        <w:instrText xml:space="preserve"> PAGEREF _Toc14 \h </w:instrText>
      </w:r>
      <w:r>
        <w:fldChar w:fldCharType="separate"/>
      </w:r>
      <w:r w:rsidR="00113335">
        <w:rPr>
          <w:noProof/>
          <w:rtl/>
        </w:rPr>
        <w:t>5</w:t>
      </w:r>
      <w:r>
        <w:fldChar w:fldCharType="end"/>
      </w:r>
    </w:p>
    <w:p w14:paraId="280E6896" w14:textId="5B7CF2EC" w:rsidR="00454428" w:rsidRDefault="00000000" w:rsidP="00C72BA8">
      <w:pPr>
        <w:pStyle w:val="TOC1"/>
        <w:spacing w:line="360" w:lineRule="auto"/>
      </w:pPr>
      <w:r>
        <w:rPr>
          <w:rFonts w:ascii="Arial Unicode MS" w:eastAsia="Arial Unicode MS" w:hAnsi="Arial Unicode MS" w:hint="cs"/>
          <w:rtl/>
          <w:lang w:val="ar-SA"/>
        </w:rPr>
        <w:t>خامسًا: منهجية الدراسة:</w:t>
      </w:r>
      <w:r>
        <w:rPr>
          <w:rFonts w:ascii="Arial Unicode MS" w:eastAsia="Arial Unicode MS" w:hAnsi="Arial Unicode MS" w:hint="cs"/>
          <w:rtl/>
          <w:lang w:val="ar-SA"/>
        </w:rPr>
        <w:tab/>
      </w:r>
      <w:r>
        <w:fldChar w:fldCharType="begin"/>
      </w:r>
      <w:r>
        <w:instrText xml:space="preserve"> PAGEREF _Toc15 \h </w:instrText>
      </w:r>
      <w:r>
        <w:fldChar w:fldCharType="separate"/>
      </w:r>
      <w:r w:rsidR="00113335">
        <w:rPr>
          <w:noProof/>
          <w:rtl/>
        </w:rPr>
        <w:t>5</w:t>
      </w:r>
      <w:r>
        <w:fldChar w:fldCharType="end"/>
      </w:r>
    </w:p>
    <w:p w14:paraId="4BCEF8F7" w14:textId="45051C8A" w:rsidR="00454428" w:rsidRDefault="00000000" w:rsidP="00C72BA8">
      <w:pPr>
        <w:pStyle w:val="TOC1"/>
        <w:spacing w:line="360" w:lineRule="auto"/>
      </w:pPr>
      <w:r>
        <w:rPr>
          <w:rFonts w:ascii="Arial Unicode MS" w:eastAsia="Arial Unicode MS" w:hAnsi="Arial Unicode MS" w:hint="cs"/>
          <w:rtl/>
          <w:lang w:val="ar-SA"/>
        </w:rPr>
        <w:t>سادسًا: الدراسات السابقة:</w:t>
      </w:r>
      <w:r>
        <w:rPr>
          <w:rFonts w:ascii="Arial Unicode MS" w:eastAsia="Arial Unicode MS" w:hAnsi="Arial Unicode MS" w:hint="cs"/>
          <w:rtl/>
          <w:lang w:val="ar-SA"/>
        </w:rPr>
        <w:tab/>
      </w:r>
      <w:r>
        <w:fldChar w:fldCharType="begin"/>
      </w:r>
      <w:r>
        <w:instrText xml:space="preserve"> PAGEREF _Toc16 \h </w:instrText>
      </w:r>
      <w:r>
        <w:fldChar w:fldCharType="separate"/>
      </w:r>
      <w:r w:rsidR="00113335">
        <w:rPr>
          <w:noProof/>
          <w:rtl/>
        </w:rPr>
        <w:t>5</w:t>
      </w:r>
      <w:r>
        <w:fldChar w:fldCharType="end"/>
      </w:r>
    </w:p>
    <w:p w14:paraId="5E31F797" w14:textId="4D2A1155" w:rsidR="00454428" w:rsidRDefault="00000000" w:rsidP="00C72BA8">
      <w:pPr>
        <w:pStyle w:val="TOC1"/>
        <w:spacing w:line="360" w:lineRule="auto"/>
      </w:pPr>
      <w:r>
        <w:rPr>
          <w:rFonts w:ascii="Arial Unicode MS" w:eastAsia="Arial Unicode MS" w:hAnsi="Arial Unicode MS" w:hint="cs"/>
          <w:rtl/>
          <w:lang w:val="ar-SA"/>
        </w:rPr>
        <w:t>سابعًا: مخطط البحث:</w:t>
      </w:r>
      <w:r>
        <w:rPr>
          <w:rFonts w:ascii="Arial Unicode MS" w:eastAsia="Arial Unicode MS" w:hAnsi="Arial Unicode MS" w:hint="cs"/>
          <w:rtl/>
          <w:lang w:val="ar-SA"/>
        </w:rPr>
        <w:tab/>
      </w:r>
      <w:r>
        <w:fldChar w:fldCharType="begin"/>
      </w:r>
      <w:r>
        <w:instrText xml:space="preserve"> PAGEREF _Toc17 \h </w:instrText>
      </w:r>
      <w:r>
        <w:fldChar w:fldCharType="separate"/>
      </w:r>
      <w:r w:rsidR="00113335">
        <w:rPr>
          <w:noProof/>
          <w:rtl/>
        </w:rPr>
        <w:t>7</w:t>
      </w:r>
      <w:r>
        <w:fldChar w:fldCharType="end"/>
      </w:r>
    </w:p>
    <w:p w14:paraId="3DF45038" w14:textId="1493ECC7" w:rsidR="00454428" w:rsidRDefault="00000000" w:rsidP="00C72BA8">
      <w:pPr>
        <w:pStyle w:val="TOC2"/>
        <w:spacing w:line="360" w:lineRule="auto"/>
      </w:pPr>
      <w:r>
        <w:rPr>
          <w:rFonts w:ascii="Arial Unicode MS" w:eastAsia="Arial Unicode MS" w:hAnsi="Arial Unicode MS" w:hint="cs"/>
          <w:rtl/>
          <w:lang w:val="ar-SA"/>
        </w:rPr>
        <w:t>الفصــل التمهيدي</w:t>
      </w:r>
      <w:r>
        <w:rPr>
          <w:rFonts w:ascii="Arial Unicode MS" w:eastAsia="Arial Unicode MS" w:hAnsi="Arial Unicode MS" w:hint="cs"/>
          <w:rtl/>
          <w:lang w:val="ar-SA"/>
        </w:rPr>
        <w:tab/>
      </w:r>
      <w:r>
        <w:fldChar w:fldCharType="begin"/>
      </w:r>
      <w:r>
        <w:instrText xml:space="preserve"> PAGEREF _Toc18 \h </w:instrText>
      </w:r>
      <w:r>
        <w:fldChar w:fldCharType="separate"/>
      </w:r>
      <w:r w:rsidR="00113335">
        <w:rPr>
          <w:noProof/>
          <w:rtl/>
        </w:rPr>
        <w:t>10</w:t>
      </w:r>
      <w:r>
        <w:fldChar w:fldCharType="end"/>
      </w:r>
    </w:p>
    <w:p w14:paraId="60B6518E" w14:textId="393F854F" w:rsidR="00454428" w:rsidRDefault="00000000" w:rsidP="00C72BA8">
      <w:pPr>
        <w:pStyle w:val="TOC2"/>
        <w:spacing w:line="360" w:lineRule="auto"/>
      </w:pPr>
      <w:r>
        <w:rPr>
          <w:rFonts w:ascii="Arial Unicode MS" w:eastAsia="Arial Unicode MS" w:hAnsi="Arial Unicode MS" w:hint="cs"/>
          <w:rtl/>
          <w:lang w:val="ar-SA"/>
        </w:rPr>
        <w:t>الإطار العام لأساسيات حماية حقوق الملكية الفكرية</w:t>
      </w:r>
      <w:r>
        <w:rPr>
          <w:rFonts w:ascii="Arial Unicode MS" w:eastAsia="Arial Unicode MS" w:hAnsi="Arial Unicode MS" w:hint="cs"/>
          <w:rtl/>
          <w:lang w:val="ar-SA"/>
        </w:rPr>
        <w:tab/>
      </w:r>
      <w:r>
        <w:fldChar w:fldCharType="begin"/>
      </w:r>
      <w:r>
        <w:instrText xml:space="preserve"> PAGEREF _Toc19 \h </w:instrText>
      </w:r>
      <w:r>
        <w:fldChar w:fldCharType="separate"/>
      </w:r>
      <w:r w:rsidR="00113335">
        <w:rPr>
          <w:noProof/>
          <w:rtl/>
        </w:rPr>
        <w:t>10</w:t>
      </w:r>
      <w:r>
        <w:fldChar w:fldCharType="end"/>
      </w:r>
    </w:p>
    <w:p w14:paraId="4D638CED" w14:textId="314111AF" w:rsidR="00454428" w:rsidRDefault="00000000" w:rsidP="00C72BA8">
      <w:pPr>
        <w:pStyle w:val="TOC2"/>
        <w:spacing w:line="360" w:lineRule="auto"/>
      </w:pPr>
      <w:r>
        <w:rPr>
          <w:rFonts w:ascii="Arial Unicode MS" w:eastAsia="Arial Unicode MS" w:hAnsi="Arial Unicode MS" w:hint="cs"/>
          <w:rtl/>
          <w:lang w:val="ar-SA"/>
        </w:rPr>
        <w:t>المبحث الأول</w:t>
      </w:r>
      <w:r>
        <w:rPr>
          <w:rFonts w:ascii="Arial Unicode MS" w:eastAsia="Arial Unicode MS" w:hAnsi="Arial Unicode MS" w:hint="cs"/>
          <w:rtl/>
          <w:lang w:val="ar-SA"/>
        </w:rPr>
        <w:tab/>
      </w:r>
      <w:r>
        <w:fldChar w:fldCharType="begin"/>
      </w:r>
      <w:r>
        <w:instrText xml:space="preserve"> PAGEREF _Toc20 \h </w:instrText>
      </w:r>
      <w:r>
        <w:fldChar w:fldCharType="separate"/>
      </w:r>
      <w:r w:rsidR="00113335">
        <w:rPr>
          <w:noProof/>
          <w:rtl/>
        </w:rPr>
        <w:t>11</w:t>
      </w:r>
      <w:r>
        <w:fldChar w:fldCharType="end"/>
      </w:r>
    </w:p>
    <w:p w14:paraId="7F223FDA" w14:textId="285404BC" w:rsidR="00454428" w:rsidRDefault="00000000" w:rsidP="00C72BA8">
      <w:pPr>
        <w:pStyle w:val="TOC2"/>
        <w:spacing w:line="360" w:lineRule="auto"/>
      </w:pPr>
      <w:r>
        <w:rPr>
          <w:rFonts w:ascii="Arial Unicode MS" w:eastAsia="Arial Unicode MS" w:hAnsi="Arial Unicode MS" w:hint="cs"/>
          <w:rtl/>
          <w:lang w:val="ar-SA"/>
        </w:rPr>
        <w:t>ماهية حقوق الملكية الفكرية</w:t>
      </w:r>
      <w:r>
        <w:rPr>
          <w:rFonts w:ascii="Arial Unicode MS" w:eastAsia="Arial Unicode MS" w:hAnsi="Arial Unicode MS" w:hint="cs"/>
          <w:rtl/>
          <w:lang w:val="ar-SA"/>
        </w:rPr>
        <w:tab/>
      </w:r>
      <w:r>
        <w:fldChar w:fldCharType="begin"/>
      </w:r>
      <w:r>
        <w:instrText xml:space="preserve"> PAGEREF _Toc21 \h </w:instrText>
      </w:r>
      <w:r>
        <w:fldChar w:fldCharType="separate"/>
      </w:r>
      <w:r w:rsidR="00113335">
        <w:rPr>
          <w:noProof/>
          <w:rtl/>
        </w:rPr>
        <w:t>11</w:t>
      </w:r>
      <w:r>
        <w:fldChar w:fldCharType="end"/>
      </w:r>
    </w:p>
    <w:p w14:paraId="5FF893A4" w14:textId="3B4733B8"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_Toc22 \h </w:instrText>
      </w:r>
      <w:r>
        <w:fldChar w:fldCharType="separate"/>
      </w:r>
      <w:r w:rsidR="00113335">
        <w:rPr>
          <w:noProof/>
          <w:rtl/>
        </w:rPr>
        <w:t>12</w:t>
      </w:r>
      <w:r>
        <w:fldChar w:fldCharType="end"/>
      </w:r>
    </w:p>
    <w:p w14:paraId="5E44E7BF" w14:textId="1DDFFB1E" w:rsidR="00454428" w:rsidRDefault="00000000" w:rsidP="00C72BA8">
      <w:pPr>
        <w:pStyle w:val="TOC2"/>
        <w:spacing w:line="360" w:lineRule="auto"/>
      </w:pPr>
      <w:r>
        <w:rPr>
          <w:rFonts w:ascii="Arial Unicode MS" w:eastAsia="Arial Unicode MS" w:hAnsi="Arial Unicode MS" w:hint="cs"/>
          <w:rtl/>
          <w:lang w:val="ar-SA"/>
        </w:rPr>
        <w:lastRenderedPageBreak/>
        <w:t>تعريف حقوق الملكية الفكرية</w:t>
      </w:r>
      <w:r>
        <w:rPr>
          <w:rFonts w:ascii="Arial Unicode MS" w:eastAsia="Arial Unicode MS" w:hAnsi="Arial Unicode MS" w:hint="cs"/>
          <w:rtl/>
          <w:lang w:val="ar-SA"/>
        </w:rPr>
        <w:tab/>
      </w:r>
      <w:r>
        <w:fldChar w:fldCharType="begin"/>
      </w:r>
      <w:r>
        <w:instrText xml:space="preserve"> PAGEREF _Toc23 \h </w:instrText>
      </w:r>
      <w:r>
        <w:fldChar w:fldCharType="separate"/>
      </w:r>
      <w:r w:rsidR="00113335">
        <w:rPr>
          <w:noProof/>
          <w:rtl/>
        </w:rPr>
        <w:t>12</w:t>
      </w:r>
      <w:r>
        <w:fldChar w:fldCharType="end"/>
      </w:r>
    </w:p>
    <w:p w14:paraId="147B7D2E" w14:textId="138FB5F2" w:rsidR="00454428" w:rsidRDefault="00000000" w:rsidP="00C72BA8">
      <w:pPr>
        <w:pStyle w:val="TOC2"/>
        <w:spacing w:line="360" w:lineRule="auto"/>
      </w:pPr>
      <w:r>
        <w:rPr>
          <w:rFonts w:ascii="Arial Unicode MS" w:eastAsia="Arial Unicode MS" w:hAnsi="Arial Unicode MS" w:hint="cs"/>
          <w:rtl/>
          <w:lang w:val="ar-SA"/>
        </w:rPr>
        <w:t>الفرع الأول</w:t>
      </w:r>
      <w:r>
        <w:rPr>
          <w:rFonts w:ascii="Arial Unicode MS" w:eastAsia="Arial Unicode MS" w:hAnsi="Arial Unicode MS" w:hint="cs"/>
          <w:rtl/>
          <w:lang w:val="ar-SA"/>
        </w:rPr>
        <w:tab/>
      </w:r>
      <w:r>
        <w:fldChar w:fldCharType="begin"/>
      </w:r>
      <w:r>
        <w:instrText xml:space="preserve"> PAGEREF _Toc24 \h </w:instrText>
      </w:r>
      <w:r>
        <w:fldChar w:fldCharType="separate"/>
      </w:r>
      <w:r w:rsidR="00113335">
        <w:rPr>
          <w:noProof/>
          <w:rtl/>
        </w:rPr>
        <w:t>13</w:t>
      </w:r>
      <w:r>
        <w:fldChar w:fldCharType="end"/>
      </w:r>
    </w:p>
    <w:p w14:paraId="607E0BAD" w14:textId="43B47B95" w:rsidR="00454428" w:rsidRDefault="00000000" w:rsidP="00C72BA8">
      <w:pPr>
        <w:pStyle w:val="TOC2"/>
        <w:spacing w:line="360" w:lineRule="auto"/>
      </w:pPr>
      <w:r>
        <w:rPr>
          <w:rFonts w:ascii="Arial Unicode MS" w:eastAsia="Arial Unicode MS" w:hAnsi="Arial Unicode MS" w:hint="cs"/>
          <w:rtl/>
          <w:lang w:val="ar-SA"/>
        </w:rPr>
        <w:t>المفهوم التقليدي للملكية الفكرية</w:t>
      </w:r>
      <w:r>
        <w:rPr>
          <w:rFonts w:ascii="Arial Unicode MS" w:eastAsia="Arial Unicode MS" w:hAnsi="Arial Unicode MS" w:hint="cs"/>
          <w:rtl/>
          <w:lang w:val="ar-SA"/>
        </w:rPr>
        <w:tab/>
      </w:r>
      <w:r>
        <w:fldChar w:fldCharType="begin"/>
      </w:r>
      <w:r>
        <w:instrText xml:space="preserve"> PAGEREF _Toc25 \h </w:instrText>
      </w:r>
      <w:r>
        <w:fldChar w:fldCharType="separate"/>
      </w:r>
      <w:r w:rsidR="00113335">
        <w:rPr>
          <w:noProof/>
          <w:rtl/>
        </w:rPr>
        <w:t>13</w:t>
      </w:r>
      <w:r>
        <w:fldChar w:fldCharType="end"/>
      </w:r>
    </w:p>
    <w:p w14:paraId="5E92CE01" w14:textId="5AC0B80F" w:rsidR="00454428" w:rsidRDefault="00000000" w:rsidP="00C72BA8">
      <w:pPr>
        <w:pStyle w:val="TOC2"/>
        <w:spacing w:line="360" w:lineRule="auto"/>
      </w:pPr>
      <w:r>
        <w:rPr>
          <w:rFonts w:ascii="Arial Unicode MS" w:eastAsia="Arial Unicode MS" w:hAnsi="Arial Unicode MS" w:hint="cs"/>
          <w:rtl/>
          <w:lang w:val="ar-SA"/>
        </w:rPr>
        <w:t>الفرع الثاني</w:t>
      </w:r>
      <w:r>
        <w:rPr>
          <w:rFonts w:ascii="Arial Unicode MS" w:eastAsia="Arial Unicode MS" w:hAnsi="Arial Unicode MS" w:hint="cs"/>
          <w:rtl/>
          <w:lang w:val="ar-SA"/>
        </w:rPr>
        <w:tab/>
      </w:r>
      <w:r>
        <w:fldChar w:fldCharType="begin"/>
      </w:r>
      <w:r>
        <w:instrText xml:space="preserve"> PAGEREF _Toc26 \h </w:instrText>
      </w:r>
      <w:r>
        <w:fldChar w:fldCharType="separate"/>
      </w:r>
      <w:r w:rsidR="00113335">
        <w:rPr>
          <w:noProof/>
          <w:rtl/>
        </w:rPr>
        <w:t>16</w:t>
      </w:r>
      <w:r>
        <w:fldChar w:fldCharType="end"/>
      </w:r>
    </w:p>
    <w:p w14:paraId="40F5D441" w14:textId="0174D2E6" w:rsidR="00454428" w:rsidRDefault="00000000" w:rsidP="00C72BA8">
      <w:pPr>
        <w:pStyle w:val="TOC2"/>
        <w:spacing w:line="360" w:lineRule="auto"/>
      </w:pPr>
      <w:r>
        <w:rPr>
          <w:rFonts w:ascii="Arial Unicode MS" w:eastAsia="Arial Unicode MS" w:hAnsi="Arial Unicode MS" w:hint="cs"/>
          <w:rtl/>
          <w:lang w:val="ar-SA"/>
        </w:rPr>
        <w:t>مفهوم الملكية الفكرية الإلكترونية</w:t>
      </w:r>
      <w:r>
        <w:rPr>
          <w:rFonts w:ascii="Arial Unicode MS" w:eastAsia="Arial Unicode MS" w:hAnsi="Arial Unicode MS" w:hint="cs"/>
          <w:rtl/>
          <w:lang w:val="ar-SA"/>
        </w:rPr>
        <w:tab/>
      </w:r>
      <w:r>
        <w:fldChar w:fldCharType="begin"/>
      </w:r>
      <w:r>
        <w:instrText xml:space="preserve"> PAGEREF _Toc27 \h </w:instrText>
      </w:r>
      <w:r>
        <w:fldChar w:fldCharType="separate"/>
      </w:r>
      <w:r w:rsidR="00113335">
        <w:rPr>
          <w:noProof/>
          <w:rtl/>
        </w:rPr>
        <w:t>16</w:t>
      </w:r>
      <w:r>
        <w:fldChar w:fldCharType="end"/>
      </w:r>
    </w:p>
    <w:p w14:paraId="31DC9DED" w14:textId="0E7AB864"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_Toc28 \h </w:instrText>
      </w:r>
      <w:r>
        <w:fldChar w:fldCharType="separate"/>
      </w:r>
      <w:r w:rsidR="00113335">
        <w:rPr>
          <w:noProof/>
          <w:rtl/>
        </w:rPr>
        <w:t>21</w:t>
      </w:r>
      <w:r>
        <w:fldChar w:fldCharType="end"/>
      </w:r>
    </w:p>
    <w:p w14:paraId="77A35E8B" w14:textId="524F6586" w:rsidR="00454428" w:rsidRDefault="00000000" w:rsidP="00C72BA8">
      <w:pPr>
        <w:pStyle w:val="TOC2"/>
        <w:spacing w:line="360" w:lineRule="auto"/>
      </w:pPr>
      <w:r>
        <w:rPr>
          <w:rFonts w:ascii="Arial Unicode MS" w:eastAsia="Arial Unicode MS" w:hAnsi="Arial Unicode MS" w:hint="cs"/>
          <w:rtl/>
          <w:lang w:val="ar-SA"/>
        </w:rPr>
        <w:t>أهمية أهداف وحقوق وأنواع الملكية الفكرية</w:t>
      </w:r>
      <w:r>
        <w:rPr>
          <w:rFonts w:ascii="Arial Unicode MS" w:eastAsia="Arial Unicode MS" w:hAnsi="Arial Unicode MS" w:hint="cs"/>
          <w:rtl/>
          <w:lang w:val="ar-SA"/>
        </w:rPr>
        <w:tab/>
      </w:r>
      <w:r>
        <w:fldChar w:fldCharType="begin"/>
      </w:r>
      <w:r>
        <w:instrText xml:space="preserve"> PAGEREF _Toc29 \h </w:instrText>
      </w:r>
      <w:r>
        <w:fldChar w:fldCharType="separate"/>
      </w:r>
      <w:r w:rsidR="00113335">
        <w:rPr>
          <w:noProof/>
          <w:rtl/>
        </w:rPr>
        <w:t>21</w:t>
      </w:r>
      <w:r>
        <w:fldChar w:fldCharType="end"/>
      </w:r>
    </w:p>
    <w:p w14:paraId="516EE558" w14:textId="70C01517" w:rsidR="00454428" w:rsidRDefault="00000000" w:rsidP="00C72BA8">
      <w:pPr>
        <w:pStyle w:val="TOC2"/>
        <w:spacing w:line="360" w:lineRule="auto"/>
      </w:pPr>
      <w:r>
        <w:rPr>
          <w:rFonts w:ascii="Arial Unicode MS" w:eastAsia="Arial Unicode MS" w:hAnsi="Arial Unicode MS" w:hint="cs"/>
          <w:rtl/>
          <w:lang w:val="ar-SA"/>
        </w:rPr>
        <w:t>الفرع الأول</w:t>
      </w:r>
      <w:r>
        <w:rPr>
          <w:rFonts w:ascii="Arial Unicode MS" w:eastAsia="Arial Unicode MS" w:hAnsi="Arial Unicode MS" w:hint="cs"/>
          <w:rtl/>
          <w:lang w:val="ar-SA"/>
        </w:rPr>
        <w:tab/>
      </w:r>
      <w:r>
        <w:fldChar w:fldCharType="begin"/>
      </w:r>
      <w:r>
        <w:instrText xml:space="preserve"> PAGEREF _Toc30 \h </w:instrText>
      </w:r>
      <w:r>
        <w:fldChar w:fldCharType="separate"/>
      </w:r>
      <w:r w:rsidR="00113335">
        <w:rPr>
          <w:noProof/>
          <w:rtl/>
        </w:rPr>
        <w:t>22</w:t>
      </w:r>
      <w:r>
        <w:fldChar w:fldCharType="end"/>
      </w:r>
    </w:p>
    <w:p w14:paraId="26613B8F" w14:textId="628164E2" w:rsidR="00454428" w:rsidRDefault="00000000" w:rsidP="00C72BA8">
      <w:pPr>
        <w:pStyle w:val="TOC2"/>
        <w:spacing w:line="360" w:lineRule="auto"/>
      </w:pPr>
      <w:r>
        <w:rPr>
          <w:rFonts w:ascii="Arial Unicode MS" w:eastAsia="Arial Unicode MS" w:hAnsi="Arial Unicode MS" w:hint="cs"/>
          <w:rtl/>
          <w:lang w:val="ar-SA"/>
        </w:rPr>
        <w:t>أهمية وأهداف حقوق الملكية الفكرية</w:t>
      </w:r>
      <w:r>
        <w:rPr>
          <w:rFonts w:ascii="Arial Unicode MS" w:eastAsia="Arial Unicode MS" w:hAnsi="Arial Unicode MS" w:hint="cs"/>
          <w:rtl/>
          <w:lang w:val="ar-SA"/>
        </w:rPr>
        <w:tab/>
      </w:r>
      <w:r>
        <w:fldChar w:fldCharType="begin"/>
      </w:r>
      <w:r>
        <w:instrText xml:space="preserve"> PAGEREF _Toc31 \h </w:instrText>
      </w:r>
      <w:r>
        <w:fldChar w:fldCharType="separate"/>
      </w:r>
      <w:r w:rsidR="00113335">
        <w:rPr>
          <w:noProof/>
          <w:rtl/>
        </w:rPr>
        <w:t>22</w:t>
      </w:r>
      <w:r>
        <w:fldChar w:fldCharType="end"/>
      </w:r>
    </w:p>
    <w:p w14:paraId="7B36A793" w14:textId="6893221F" w:rsidR="00454428" w:rsidRDefault="00000000" w:rsidP="00C72BA8">
      <w:pPr>
        <w:pStyle w:val="TOC2"/>
        <w:spacing w:line="360" w:lineRule="auto"/>
      </w:pPr>
      <w:r>
        <w:rPr>
          <w:rFonts w:ascii="Arial Unicode MS" w:eastAsia="Arial Unicode MS" w:hAnsi="Arial Unicode MS" w:hint="cs"/>
          <w:rtl/>
          <w:lang w:val="ar-SA"/>
        </w:rPr>
        <w:t>الفرع الثاني</w:t>
      </w:r>
      <w:r>
        <w:rPr>
          <w:rFonts w:ascii="Arial Unicode MS" w:eastAsia="Arial Unicode MS" w:hAnsi="Arial Unicode MS" w:hint="cs"/>
          <w:rtl/>
          <w:lang w:val="ar-SA"/>
        </w:rPr>
        <w:tab/>
      </w:r>
      <w:r>
        <w:fldChar w:fldCharType="begin"/>
      </w:r>
      <w:r>
        <w:instrText xml:space="preserve"> PAGEREF _Toc32 \h </w:instrText>
      </w:r>
      <w:r>
        <w:fldChar w:fldCharType="separate"/>
      </w:r>
      <w:r w:rsidR="00113335">
        <w:rPr>
          <w:noProof/>
          <w:rtl/>
        </w:rPr>
        <w:t>26</w:t>
      </w:r>
      <w:r>
        <w:fldChar w:fldCharType="end"/>
      </w:r>
    </w:p>
    <w:p w14:paraId="7AC7AF4E" w14:textId="24F39474" w:rsidR="00454428" w:rsidRDefault="00000000" w:rsidP="00C72BA8">
      <w:pPr>
        <w:pStyle w:val="TOC2"/>
        <w:spacing w:line="360" w:lineRule="auto"/>
      </w:pPr>
      <w:r>
        <w:rPr>
          <w:rFonts w:ascii="Arial Unicode MS" w:eastAsia="Arial Unicode MS" w:hAnsi="Arial Unicode MS" w:hint="cs"/>
          <w:rtl/>
          <w:lang w:val="ar-SA"/>
        </w:rPr>
        <w:t>أنواع حقوق الملكية الفكرية</w:t>
      </w:r>
      <w:r>
        <w:rPr>
          <w:rFonts w:ascii="Arial Unicode MS" w:eastAsia="Arial Unicode MS" w:hAnsi="Arial Unicode MS" w:hint="cs"/>
          <w:rtl/>
          <w:lang w:val="ar-SA"/>
        </w:rPr>
        <w:tab/>
      </w:r>
      <w:r>
        <w:fldChar w:fldCharType="begin"/>
      </w:r>
      <w:r>
        <w:instrText xml:space="preserve"> PAGEREF _Toc33 \h </w:instrText>
      </w:r>
      <w:r>
        <w:fldChar w:fldCharType="separate"/>
      </w:r>
      <w:r w:rsidR="00113335">
        <w:rPr>
          <w:noProof/>
          <w:rtl/>
        </w:rPr>
        <w:t>26</w:t>
      </w:r>
      <w:r>
        <w:fldChar w:fldCharType="end"/>
      </w:r>
    </w:p>
    <w:p w14:paraId="599D3BBF" w14:textId="319BFE16" w:rsidR="00454428" w:rsidRDefault="00000000" w:rsidP="00C72BA8">
      <w:pPr>
        <w:pStyle w:val="TOC2"/>
        <w:spacing w:line="360" w:lineRule="auto"/>
      </w:pPr>
      <w:r>
        <w:rPr>
          <w:rFonts w:ascii="Arial Unicode MS" w:eastAsia="Arial Unicode MS" w:hAnsi="Arial Unicode MS" w:hint="cs"/>
          <w:rtl/>
          <w:lang w:val="ar-SA"/>
        </w:rPr>
        <w:t>المبحث الثاني</w:t>
      </w:r>
      <w:r>
        <w:rPr>
          <w:rFonts w:ascii="Arial Unicode MS" w:eastAsia="Arial Unicode MS" w:hAnsi="Arial Unicode MS" w:hint="cs"/>
          <w:rtl/>
          <w:lang w:val="ar-SA"/>
        </w:rPr>
        <w:tab/>
      </w:r>
      <w:r>
        <w:fldChar w:fldCharType="begin"/>
      </w:r>
      <w:r>
        <w:instrText xml:space="preserve"> PAGEREF _Toc34 \h </w:instrText>
      </w:r>
      <w:r>
        <w:fldChar w:fldCharType="separate"/>
      </w:r>
      <w:r w:rsidR="00113335">
        <w:rPr>
          <w:noProof/>
          <w:rtl/>
        </w:rPr>
        <w:t>32</w:t>
      </w:r>
      <w:r>
        <w:fldChar w:fldCharType="end"/>
      </w:r>
    </w:p>
    <w:p w14:paraId="0009E455" w14:textId="73F62E27" w:rsidR="00454428" w:rsidRDefault="00000000" w:rsidP="00C72BA8">
      <w:pPr>
        <w:pStyle w:val="TOC2"/>
        <w:spacing w:line="360" w:lineRule="auto"/>
      </w:pPr>
      <w:r>
        <w:rPr>
          <w:rFonts w:ascii="Arial Unicode MS" w:eastAsia="Arial Unicode MS" w:hAnsi="Arial Unicode MS" w:hint="cs"/>
          <w:rtl/>
          <w:lang w:val="ar-SA"/>
        </w:rPr>
        <w:t>نُبذة تاريخية عن نشأة حقوق الملكية الفكرية</w:t>
      </w:r>
      <w:r>
        <w:rPr>
          <w:rFonts w:ascii="Arial Unicode MS" w:eastAsia="Arial Unicode MS" w:hAnsi="Arial Unicode MS" w:hint="cs"/>
          <w:rtl/>
          <w:lang w:val="ar-SA"/>
        </w:rPr>
        <w:tab/>
      </w:r>
      <w:r>
        <w:fldChar w:fldCharType="begin"/>
      </w:r>
      <w:r>
        <w:instrText xml:space="preserve"> PAGEREF _Toc35 \h </w:instrText>
      </w:r>
      <w:r>
        <w:fldChar w:fldCharType="separate"/>
      </w:r>
      <w:r w:rsidR="00113335">
        <w:rPr>
          <w:noProof/>
          <w:rtl/>
        </w:rPr>
        <w:t>32</w:t>
      </w:r>
      <w:r>
        <w:fldChar w:fldCharType="end"/>
      </w:r>
    </w:p>
    <w:p w14:paraId="16895178" w14:textId="5B6BE272"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_Toc36 \h </w:instrText>
      </w:r>
      <w:r>
        <w:fldChar w:fldCharType="separate"/>
      </w:r>
      <w:r w:rsidR="00113335">
        <w:rPr>
          <w:noProof/>
          <w:rtl/>
        </w:rPr>
        <w:t>33</w:t>
      </w:r>
      <w:r>
        <w:fldChar w:fldCharType="end"/>
      </w:r>
    </w:p>
    <w:p w14:paraId="2D07321A" w14:textId="75D3082F" w:rsidR="00454428" w:rsidRDefault="00000000" w:rsidP="00C72BA8">
      <w:pPr>
        <w:pStyle w:val="TOC2"/>
        <w:spacing w:line="360" w:lineRule="auto"/>
      </w:pPr>
      <w:r>
        <w:rPr>
          <w:rFonts w:ascii="Arial Unicode MS" w:eastAsia="Arial Unicode MS" w:hAnsi="Arial Unicode MS" w:hint="cs"/>
          <w:rtl/>
          <w:lang w:val="ar-SA"/>
        </w:rPr>
        <w:t>نُبذة تاريخية عن نشأة حقوق الملكية الفكرية</w:t>
      </w:r>
      <w:r>
        <w:rPr>
          <w:rFonts w:ascii="Arial Unicode MS" w:eastAsia="Arial Unicode MS" w:hAnsi="Arial Unicode MS" w:hint="cs"/>
          <w:rtl/>
          <w:lang w:val="ar-SA"/>
        </w:rPr>
        <w:tab/>
      </w:r>
      <w:r>
        <w:fldChar w:fldCharType="begin"/>
      </w:r>
      <w:r>
        <w:instrText xml:space="preserve"> PAGEREF _Toc37 \h </w:instrText>
      </w:r>
      <w:r>
        <w:fldChar w:fldCharType="separate"/>
      </w:r>
      <w:r w:rsidR="00113335">
        <w:rPr>
          <w:noProof/>
          <w:rtl/>
        </w:rPr>
        <w:t>33</w:t>
      </w:r>
      <w:r>
        <w:fldChar w:fldCharType="end"/>
      </w:r>
    </w:p>
    <w:p w14:paraId="0819D7D9" w14:textId="2EE90704" w:rsidR="00454428" w:rsidRDefault="00000000" w:rsidP="00C72BA8">
      <w:pPr>
        <w:pStyle w:val="TOC2"/>
        <w:spacing w:line="360" w:lineRule="auto"/>
      </w:pPr>
      <w:r>
        <w:rPr>
          <w:rFonts w:ascii="Arial Unicode MS" w:eastAsia="Arial Unicode MS" w:hAnsi="Arial Unicode MS" w:hint="cs"/>
          <w:rtl/>
          <w:lang w:val="ar-SA"/>
        </w:rPr>
        <w:t>الفرع الأول</w:t>
      </w:r>
      <w:r>
        <w:rPr>
          <w:rFonts w:ascii="Arial Unicode MS" w:eastAsia="Arial Unicode MS" w:hAnsi="Arial Unicode MS" w:hint="cs"/>
          <w:rtl/>
          <w:lang w:val="ar-SA"/>
        </w:rPr>
        <w:tab/>
      </w:r>
      <w:r>
        <w:fldChar w:fldCharType="begin"/>
      </w:r>
      <w:r>
        <w:instrText xml:space="preserve"> PAGEREF _Toc38 \h </w:instrText>
      </w:r>
      <w:r>
        <w:fldChar w:fldCharType="separate"/>
      </w:r>
      <w:r w:rsidR="00113335">
        <w:rPr>
          <w:noProof/>
          <w:rtl/>
        </w:rPr>
        <w:t>34</w:t>
      </w:r>
      <w:r>
        <w:fldChar w:fldCharType="end"/>
      </w:r>
    </w:p>
    <w:p w14:paraId="627A5D4F" w14:textId="02546148" w:rsidR="00454428" w:rsidRDefault="00000000" w:rsidP="00C72BA8">
      <w:pPr>
        <w:pStyle w:val="TOC2"/>
        <w:spacing w:line="360" w:lineRule="auto"/>
      </w:pPr>
      <w:r>
        <w:rPr>
          <w:rFonts w:ascii="Arial Unicode MS" w:eastAsia="Arial Unicode MS" w:hAnsi="Arial Unicode MS" w:hint="cs"/>
          <w:rtl/>
          <w:lang w:val="ar-SA"/>
        </w:rPr>
        <w:t>تاريخ تطوُّر الملكية الفكرية</w:t>
      </w:r>
      <w:r>
        <w:rPr>
          <w:rFonts w:ascii="Arial Unicode MS" w:eastAsia="Arial Unicode MS" w:hAnsi="Arial Unicode MS" w:hint="cs"/>
          <w:rtl/>
          <w:lang w:val="ar-SA"/>
        </w:rPr>
        <w:tab/>
      </w:r>
      <w:r>
        <w:fldChar w:fldCharType="begin"/>
      </w:r>
      <w:r>
        <w:instrText xml:space="preserve"> PAGEREF _Toc39 \h </w:instrText>
      </w:r>
      <w:r>
        <w:fldChar w:fldCharType="separate"/>
      </w:r>
      <w:r w:rsidR="00113335">
        <w:rPr>
          <w:noProof/>
          <w:rtl/>
        </w:rPr>
        <w:t>34</w:t>
      </w:r>
      <w:r>
        <w:fldChar w:fldCharType="end"/>
      </w:r>
    </w:p>
    <w:p w14:paraId="0B5A8E1C" w14:textId="6D245584" w:rsidR="00454428" w:rsidRDefault="00000000" w:rsidP="00C72BA8">
      <w:pPr>
        <w:pStyle w:val="TOC2"/>
        <w:spacing w:line="360" w:lineRule="auto"/>
      </w:pPr>
      <w:r>
        <w:rPr>
          <w:rFonts w:ascii="Arial Unicode MS" w:eastAsia="Arial Unicode MS" w:hAnsi="Arial Unicode MS" w:hint="cs"/>
          <w:rtl/>
          <w:lang w:val="ar-SA"/>
        </w:rPr>
        <w:t>الفرع الثاني</w:t>
      </w:r>
      <w:r>
        <w:rPr>
          <w:rFonts w:ascii="Arial Unicode MS" w:eastAsia="Arial Unicode MS" w:hAnsi="Arial Unicode MS" w:hint="cs"/>
          <w:rtl/>
          <w:lang w:val="ar-SA"/>
        </w:rPr>
        <w:tab/>
      </w:r>
      <w:r>
        <w:fldChar w:fldCharType="begin"/>
      </w:r>
      <w:r>
        <w:instrText xml:space="preserve"> PAGEREF _Toc40 \h </w:instrText>
      </w:r>
      <w:r>
        <w:fldChar w:fldCharType="separate"/>
      </w:r>
      <w:r w:rsidR="00113335">
        <w:rPr>
          <w:noProof/>
          <w:rtl/>
        </w:rPr>
        <w:t>38</w:t>
      </w:r>
      <w:r>
        <w:fldChar w:fldCharType="end"/>
      </w:r>
    </w:p>
    <w:p w14:paraId="2C0A8158" w14:textId="415547E7" w:rsidR="00454428" w:rsidRDefault="00000000" w:rsidP="00C72BA8">
      <w:pPr>
        <w:pStyle w:val="TOC2"/>
        <w:spacing w:line="360" w:lineRule="auto"/>
      </w:pPr>
      <w:r>
        <w:rPr>
          <w:rFonts w:ascii="Arial Unicode MS" w:eastAsia="Arial Unicode MS" w:hAnsi="Arial Unicode MS" w:hint="cs"/>
          <w:rtl/>
          <w:lang w:val="ar-SA"/>
        </w:rPr>
        <w:t>نشأة حقوق المؤلف في الدول العربية</w:t>
      </w:r>
      <w:r>
        <w:rPr>
          <w:rFonts w:ascii="Arial Unicode MS" w:eastAsia="Arial Unicode MS" w:hAnsi="Arial Unicode MS" w:hint="cs"/>
          <w:rtl/>
          <w:lang w:val="ar-SA"/>
        </w:rPr>
        <w:tab/>
      </w:r>
      <w:r>
        <w:fldChar w:fldCharType="begin"/>
      </w:r>
      <w:r>
        <w:instrText xml:space="preserve"> PAGEREF _Toc41 \h </w:instrText>
      </w:r>
      <w:r>
        <w:fldChar w:fldCharType="separate"/>
      </w:r>
      <w:r w:rsidR="00113335">
        <w:rPr>
          <w:noProof/>
          <w:rtl/>
        </w:rPr>
        <w:t>38</w:t>
      </w:r>
      <w:r>
        <w:fldChar w:fldCharType="end"/>
      </w:r>
    </w:p>
    <w:p w14:paraId="2A10D726" w14:textId="3F5E1613"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_Toc42 \h </w:instrText>
      </w:r>
      <w:r>
        <w:fldChar w:fldCharType="separate"/>
      </w:r>
      <w:r w:rsidR="00113335">
        <w:rPr>
          <w:noProof/>
          <w:rtl/>
        </w:rPr>
        <w:t>41</w:t>
      </w:r>
      <w:r>
        <w:fldChar w:fldCharType="end"/>
      </w:r>
    </w:p>
    <w:p w14:paraId="631A9FE6" w14:textId="649D03BF" w:rsidR="00454428" w:rsidRDefault="00000000" w:rsidP="00C72BA8">
      <w:pPr>
        <w:pStyle w:val="TOC2"/>
        <w:spacing w:line="360" w:lineRule="auto"/>
      </w:pPr>
      <w:r>
        <w:rPr>
          <w:rFonts w:ascii="Arial Unicode MS" w:eastAsia="Arial Unicode MS" w:hAnsi="Arial Unicode MS" w:hint="cs"/>
          <w:rtl/>
          <w:lang w:val="ar-SA"/>
        </w:rPr>
        <w:t>تطوُّر الأطر القانونية والمؤسسية لحماية حقوق الملكية الفكرية</w:t>
      </w:r>
      <w:r>
        <w:rPr>
          <w:rFonts w:ascii="Arial Unicode MS" w:eastAsia="Arial Unicode MS" w:hAnsi="Arial Unicode MS" w:hint="cs"/>
          <w:rtl/>
          <w:lang w:val="ar-SA"/>
        </w:rPr>
        <w:tab/>
      </w:r>
      <w:r>
        <w:fldChar w:fldCharType="begin"/>
      </w:r>
      <w:r>
        <w:instrText xml:space="preserve"> PAGEREF _Toc43 \h </w:instrText>
      </w:r>
      <w:r>
        <w:fldChar w:fldCharType="separate"/>
      </w:r>
      <w:r w:rsidR="00113335">
        <w:rPr>
          <w:noProof/>
          <w:rtl/>
        </w:rPr>
        <w:t>41</w:t>
      </w:r>
      <w:r>
        <w:fldChar w:fldCharType="end"/>
      </w:r>
    </w:p>
    <w:p w14:paraId="0F752542" w14:textId="4B86311E" w:rsidR="00454428" w:rsidRDefault="00000000" w:rsidP="00C72BA8">
      <w:pPr>
        <w:pStyle w:val="TOC2"/>
        <w:spacing w:line="360" w:lineRule="auto"/>
      </w:pPr>
      <w:r>
        <w:rPr>
          <w:rFonts w:ascii="Arial Unicode MS" w:eastAsia="Arial Unicode MS" w:hAnsi="Arial Unicode MS" w:hint="cs"/>
          <w:rtl/>
          <w:lang w:val="ar-SA"/>
        </w:rPr>
        <w:t>الفرع الأول</w:t>
      </w:r>
      <w:r>
        <w:rPr>
          <w:rFonts w:ascii="Arial Unicode MS" w:eastAsia="Arial Unicode MS" w:hAnsi="Arial Unicode MS" w:hint="cs"/>
          <w:rtl/>
          <w:lang w:val="ar-SA"/>
        </w:rPr>
        <w:tab/>
      </w:r>
      <w:r>
        <w:fldChar w:fldCharType="begin"/>
      </w:r>
      <w:r>
        <w:instrText xml:space="preserve"> PAGEREF _Toc44 \h </w:instrText>
      </w:r>
      <w:r>
        <w:fldChar w:fldCharType="separate"/>
      </w:r>
      <w:r w:rsidR="00113335">
        <w:rPr>
          <w:noProof/>
          <w:rtl/>
        </w:rPr>
        <w:t>42</w:t>
      </w:r>
      <w:r>
        <w:fldChar w:fldCharType="end"/>
      </w:r>
    </w:p>
    <w:p w14:paraId="1C22FB44" w14:textId="7165D173" w:rsidR="00454428" w:rsidRDefault="00000000" w:rsidP="00C72BA8">
      <w:pPr>
        <w:pStyle w:val="TOC2"/>
        <w:spacing w:line="360" w:lineRule="auto"/>
      </w:pPr>
      <w:r>
        <w:rPr>
          <w:rFonts w:ascii="Arial Unicode MS" w:eastAsia="Arial Unicode MS" w:hAnsi="Arial Unicode MS" w:hint="cs"/>
          <w:rtl/>
          <w:lang w:val="ar-SA"/>
        </w:rPr>
        <w:t>تطوُّر الأطر التشريعية لحماية حقوق الملكية الفكرية</w:t>
      </w:r>
      <w:r>
        <w:rPr>
          <w:rFonts w:ascii="Arial Unicode MS" w:eastAsia="Arial Unicode MS" w:hAnsi="Arial Unicode MS" w:hint="cs"/>
          <w:rtl/>
          <w:lang w:val="ar-SA"/>
        </w:rPr>
        <w:tab/>
      </w:r>
      <w:r>
        <w:fldChar w:fldCharType="begin"/>
      </w:r>
      <w:r>
        <w:instrText xml:space="preserve"> PAGEREF _Toc45 \h </w:instrText>
      </w:r>
      <w:r>
        <w:fldChar w:fldCharType="separate"/>
      </w:r>
      <w:r w:rsidR="00113335">
        <w:rPr>
          <w:noProof/>
          <w:rtl/>
        </w:rPr>
        <w:t>42</w:t>
      </w:r>
      <w:r>
        <w:fldChar w:fldCharType="end"/>
      </w:r>
    </w:p>
    <w:p w14:paraId="050E3294" w14:textId="13D50674" w:rsidR="00454428" w:rsidRDefault="00000000" w:rsidP="00C72BA8">
      <w:pPr>
        <w:pStyle w:val="TOC2"/>
        <w:spacing w:line="360" w:lineRule="auto"/>
      </w:pPr>
      <w:r>
        <w:rPr>
          <w:rFonts w:ascii="Arial Unicode MS" w:eastAsia="Arial Unicode MS" w:hAnsi="Arial Unicode MS" w:hint="cs"/>
          <w:rtl/>
          <w:lang w:val="ar-SA"/>
        </w:rPr>
        <w:t>الفرع الثاني</w:t>
      </w:r>
      <w:r>
        <w:rPr>
          <w:rFonts w:ascii="Arial Unicode MS" w:eastAsia="Arial Unicode MS" w:hAnsi="Arial Unicode MS" w:hint="cs"/>
          <w:rtl/>
          <w:lang w:val="ar-SA"/>
        </w:rPr>
        <w:tab/>
      </w:r>
      <w:r>
        <w:fldChar w:fldCharType="begin"/>
      </w:r>
      <w:r>
        <w:instrText xml:space="preserve"> PAGEREF _Toc46 \h </w:instrText>
      </w:r>
      <w:r>
        <w:fldChar w:fldCharType="separate"/>
      </w:r>
      <w:r w:rsidR="00113335">
        <w:rPr>
          <w:noProof/>
          <w:rtl/>
        </w:rPr>
        <w:t>49</w:t>
      </w:r>
      <w:r>
        <w:fldChar w:fldCharType="end"/>
      </w:r>
    </w:p>
    <w:p w14:paraId="0CB70733" w14:textId="3E38F210" w:rsidR="00454428" w:rsidRDefault="00000000" w:rsidP="00C72BA8">
      <w:pPr>
        <w:pStyle w:val="TOC2"/>
        <w:spacing w:line="360" w:lineRule="auto"/>
      </w:pPr>
      <w:r>
        <w:rPr>
          <w:rFonts w:ascii="Arial Unicode MS" w:eastAsia="Arial Unicode MS" w:hAnsi="Arial Unicode MS" w:hint="cs"/>
          <w:rtl/>
          <w:lang w:val="ar-SA"/>
        </w:rPr>
        <w:t>دور المؤسسات الوطنية والدولية في دعم الحماية</w:t>
      </w:r>
      <w:r>
        <w:rPr>
          <w:rFonts w:ascii="Arial Unicode MS" w:eastAsia="Arial Unicode MS" w:hAnsi="Arial Unicode MS" w:hint="cs"/>
          <w:rtl/>
          <w:lang w:val="ar-SA"/>
        </w:rPr>
        <w:tab/>
      </w:r>
      <w:r>
        <w:fldChar w:fldCharType="begin"/>
      </w:r>
      <w:r>
        <w:instrText xml:space="preserve"> PAGEREF _Toc47 \h </w:instrText>
      </w:r>
      <w:r>
        <w:fldChar w:fldCharType="separate"/>
      </w:r>
      <w:r w:rsidR="00113335">
        <w:rPr>
          <w:noProof/>
          <w:rtl/>
        </w:rPr>
        <w:t>49</w:t>
      </w:r>
      <w:r>
        <w:fldChar w:fldCharType="end"/>
      </w:r>
    </w:p>
    <w:p w14:paraId="649BE22D" w14:textId="247593D8" w:rsidR="00454428" w:rsidRDefault="00000000" w:rsidP="00C72BA8">
      <w:pPr>
        <w:pStyle w:val="TOC2"/>
        <w:spacing w:line="360" w:lineRule="auto"/>
      </w:pPr>
      <w:r>
        <w:rPr>
          <w:rFonts w:ascii="Arial Unicode MS" w:eastAsia="Arial Unicode MS" w:hAnsi="Arial Unicode MS" w:hint="cs"/>
          <w:rtl/>
          <w:lang w:val="ar-SA"/>
        </w:rPr>
        <w:t>الفصل الأول</w:t>
      </w:r>
      <w:r>
        <w:rPr>
          <w:rFonts w:ascii="Arial Unicode MS" w:eastAsia="Arial Unicode MS" w:hAnsi="Arial Unicode MS" w:hint="cs"/>
          <w:rtl/>
          <w:lang w:val="ar-SA"/>
        </w:rPr>
        <w:tab/>
      </w:r>
      <w:r>
        <w:fldChar w:fldCharType="begin"/>
      </w:r>
      <w:r>
        <w:instrText xml:space="preserve"> PAGEREF _Toc48 \h </w:instrText>
      </w:r>
      <w:r>
        <w:fldChar w:fldCharType="separate"/>
      </w:r>
      <w:r w:rsidR="00113335">
        <w:rPr>
          <w:noProof/>
          <w:rtl/>
        </w:rPr>
        <w:t>53</w:t>
      </w:r>
      <w:r>
        <w:fldChar w:fldCharType="end"/>
      </w:r>
    </w:p>
    <w:p w14:paraId="4B40D075" w14:textId="49D60095" w:rsidR="00454428" w:rsidRDefault="00000000" w:rsidP="00C72BA8">
      <w:pPr>
        <w:pStyle w:val="TOC2"/>
        <w:spacing w:line="360" w:lineRule="auto"/>
      </w:pPr>
      <w:r>
        <w:rPr>
          <w:rFonts w:ascii="Arial Unicode MS" w:eastAsia="Arial Unicode MS" w:hAnsi="Arial Unicode MS" w:hint="cs"/>
          <w:rtl/>
          <w:lang w:val="ar-SA"/>
        </w:rPr>
        <w:t>التعريف بالبيئة الرقمية وخصائصها</w:t>
      </w:r>
      <w:r>
        <w:rPr>
          <w:rFonts w:ascii="Arial Unicode MS" w:eastAsia="Arial Unicode MS" w:hAnsi="Arial Unicode MS" w:hint="cs"/>
          <w:rtl/>
          <w:lang w:val="ar-SA"/>
        </w:rPr>
        <w:tab/>
      </w:r>
      <w:r>
        <w:fldChar w:fldCharType="begin"/>
      </w:r>
      <w:r>
        <w:instrText xml:space="preserve"> PAGEREF _Toc49 \h </w:instrText>
      </w:r>
      <w:r>
        <w:fldChar w:fldCharType="separate"/>
      </w:r>
      <w:r w:rsidR="00113335">
        <w:rPr>
          <w:noProof/>
          <w:rtl/>
        </w:rPr>
        <w:t>53</w:t>
      </w:r>
      <w:r>
        <w:fldChar w:fldCharType="end"/>
      </w:r>
    </w:p>
    <w:p w14:paraId="1089F8DD" w14:textId="2468AEE4" w:rsidR="00454428" w:rsidRDefault="00000000" w:rsidP="00C72BA8">
      <w:pPr>
        <w:pStyle w:val="TOC2"/>
        <w:spacing w:line="360" w:lineRule="auto"/>
      </w:pPr>
      <w:r>
        <w:rPr>
          <w:rFonts w:ascii="Arial Unicode MS" w:eastAsia="Arial Unicode MS" w:hAnsi="Arial Unicode MS" w:hint="cs"/>
          <w:rtl/>
          <w:lang w:val="ar-SA"/>
        </w:rPr>
        <w:lastRenderedPageBreak/>
        <w:t>المبحث الأول</w:t>
      </w:r>
      <w:r>
        <w:rPr>
          <w:rFonts w:ascii="Arial Unicode MS" w:eastAsia="Arial Unicode MS" w:hAnsi="Arial Unicode MS" w:hint="cs"/>
          <w:rtl/>
          <w:lang w:val="ar-SA"/>
        </w:rPr>
        <w:tab/>
      </w:r>
      <w:r>
        <w:fldChar w:fldCharType="begin"/>
      </w:r>
      <w:r>
        <w:instrText xml:space="preserve"> PAGEREF _Toc50 \h </w:instrText>
      </w:r>
      <w:r>
        <w:fldChar w:fldCharType="separate"/>
      </w:r>
      <w:r w:rsidR="00113335">
        <w:rPr>
          <w:noProof/>
          <w:rtl/>
        </w:rPr>
        <w:t>54</w:t>
      </w:r>
      <w:r>
        <w:fldChar w:fldCharType="end"/>
      </w:r>
    </w:p>
    <w:p w14:paraId="181D0064" w14:textId="24AD987D" w:rsidR="00454428" w:rsidRDefault="00000000" w:rsidP="00C72BA8">
      <w:pPr>
        <w:pStyle w:val="TOC2"/>
        <w:spacing w:line="360" w:lineRule="auto"/>
      </w:pPr>
      <w:r>
        <w:rPr>
          <w:rFonts w:ascii="Arial Unicode MS" w:eastAsia="Arial Unicode MS" w:hAnsi="Arial Unicode MS" w:hint="cs"/>
          <w:rtl/>
          <w:lang w:val="ar-SA"/>
        </w:rPr>
        <w:t>البيئة الرقمية ومكوناتها</w:t>
      </w:r>
      <w:r>
        <w:rPr>
          <w:rFonts w:ascii="Arial Unicode MS" w:eastAsia="Arial Unicode MS" w:hAnsi="Arial Unicode MS" w:hint="cs"/>
          <w:rtl/>
          <w:lang w:val="ar-SA"/>
        </w:rPr>
        <w:tab/>
      </w:r>
      <w:r>
        <w:fldChar w:fldCharType="begin"/>
      </w:r>
      <w:r>
        <w:instrText xml:space="preserve"> PAGEREF _Toc51 \h </w:instrText>
      </w:r>
      <w:r>
        <w:fldChar w:fldCharType="separate"/>
      </w:r>
      <w:r w:rsidR="00113335">
        <w:rPr>
          <w:noProof/>
          <w:rtl/>
        </w:rPr>
        <w:t>54</w:t>
      </w:r>
      <w:r>
        <w:fldChar w:fldCharType="end"/>
      </w:r>
    </w:p>
    <w:p w14:paraId="2BA4C875" w14:textId="7E74D87E"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_Toc52 \h </w:instrText>
      </w:r>
      <w:r>
        <w:fldChar w:fldCharType="separate"/>
      </w:r>
      <w:r w:rsidR="00113335">
        <w:rPr>
          <w:noProof/>
          <w:rtl/>
        </w:rPr>
        <w:t>55</w:t>
      </w:r>
      <w:r>
        <w:fldChar w:fldCharType="end"/>
      </w:r>
    </w:p>
    <w:p w14:paraId="6BAAF8F5" w14:textId="683A085B" w:rsidR="00454428" w:rsidRDefault="00000000" w:rsidP="00C72BA8">
      <w:pPr>
        <w:pStyle w:val="TOC2"/>
        <w:spacing w:line="360" w:lineRule="auto"/>
      </w:pPr>
      <w:r>
        <w:rPr>
          <w:rFonts w:ascii="Arial Unicode MS" w:eastAsia="Arial Unicode MS" w:hAnsi="Arial Unicode MS" w:hint="cs"/>
          <w:rtl/>
          <w:lang w:val="ar-SA"/>
        </w:rPr>
        <w:t>مفهوم البيئة الرقمية وأبرز خصائصها</w:t>
      </w:r>
      <w:r>
        <w:rPr>
          <w:rFonts w:ascii="Arial Unicode MS" w:eastAsia="Arial Unicode MS" w:hAnsi="Arial Unicode MS" w:hint="cs"/>
          <w:rtl/>
          <w:lang w:val="ar-SA"/>
        </w:rPr>
        <w:tab/>
      </w:r>
      <w:r>
        <w:fldChar w:fldCharType="begin"/>
      </w:r>
      <w:r>
        <w:instrText xml:space="preserve"> PAGEREF _Toc53 \h </w:instrText>
      </w:r>
      <w:r>
        <w:fldChar w:fldCharType="separate"/>
      </w:r>
      <w:r w:rsidR="00113335">
        <w:rPr>
          <w:noProof/>
          <w:rtl/>
        </w:rPr>
        <w:t>55</w:t>
      </w:r>
      <w:r>
        <w:fldChar w:fldCharType="end"/>
      </w:r>
    </w:p>
    <w:p w14:paraId="191DC1A6" w14:textId="0ADC18A2"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_Toc54 \h </w:instrText>
      </w:r>
      <w:r>
        <w:fldChar w:fldCharType="separate"/>
      </w:r>
      <w:r w:rsidR="00113335">
        <w:rPr>
          <w:noProof/>
          <w:rtl/>
        </w:rPr>
        <w:t>67</w:t>
      </w:r>
      <w:r>
        <w:fldChar w:fldCharType="end"/>
      </w:r>
    </w:p>
    <w:p w14:paraId="259AAD56" w14:textId="5ECC8D79" w:rsidR="00454428" w:rsidRDefault="00000000" w:rsidP="00C72BA8">
      <w:pPr>
        <w:pStyle w:val="TOC2"/>
        <w:spacing w:line="360" w:lineRule="auto"/>
      </w:pPr>
      <w:r>
        <w:rPr>
          <w:rFonts w:ascii="Arial Unicode MS" w:eastAsia="Arial Unicode MS" w:hAnsi="Arial Unicode MS" w:hint="cs"/>
          <w:rtl/>
          <w:lang w:val="ar-SA"/>
        </w:rPr>
        <w:t>أثر البيئة الرقمية على تطوُّر الملكية الفكرية</w:t>
      </w:r>
      <w:r>
        <w:rPr>
          <w:rFonts w:ascii="Arial Unicode MS" w:eastAsia="Arial Unicode MS" w:hAnsi="Arial Unicode MS" w:hint="cs"/>
          <w:rtl/>
          <w:lang w:val="ar-SA"/>
        </w:rPr>
        <w:tab/>
      </w:r>
      <w:r>
        <w:fldChar w:fldCharType="begin"/>
      </w:r>
      <w:r>
        <w:instrText xml:space="preserve"> PAGEREF _Toc55 \h </w:instrText>
      </w:r>
      <w:r>
        <w:fldChar w:fldCharType="separate"/>
      </w:r>
      <w:r w:rsidR="00113335">
        <w:rPr>
          <w:noProof/>
          <w:rtl/>
        </w:rPr>
        <w:t>67</w:t>
      </w:r>
      <w:r>
        <w:fldChar w:fldCharType="end"/>
      </w:r>
    </w:p>
    <w:p w14:paraId="39F88047" w14:textId="38253C75" w:rsidR="00454428" w:rsidRDefault="00000000" w:rsidP="00C72BA8">
      <w:pPr>
        <w:pStyle w:val="TOC2"/>
        <w:spacing w:line="360" w:lineRule="auto"/>
      </w:pPr>
      <w:r>
        <w:rPr>
          <w:rFonts w:ascii="Arial Unicode MS" w:eastAsia="Arial Unicode MS" w:hAnsi="Arial Unicode MS" w:hint="cs"/>
          <w:rtl/>
          <w:lang w:val="ar-SA"/>
        </w:rPr>
        <w:t>المبحث الثاني</w:t>
      </w:r>
      <w:r>
        <w:rPr>
          <w:rFonts w:ascii="Arial Unicode MS" w:eastAsia="Arial Unicode MS" w:hAnsi="Arial Unicode MS" w:hint="cs"/>
          <w:rtl/>
          <w:lang w:val="ar-SA"/>
        </w:rPr>
        <w:tab/>
      </w:r>
      <w:r>
        <w:fldChar w:fldCharType="begin"/>
      </w:r>
      <w:r>
        <w:instrText xml:space="preserve"> PAGEREF _Toc56 \h </w:instrText>
      </w:r>
      <w:r>
        <w:fldChar w:fldCharType="separate"/>
      </w:r>
      <w:r w:rsidR="00113335">
        <w:rPr>
          <w:noProof/>
          <w:rtl/>
        </w:rPr>
        <w:t>78</w:t>
      </w:r>
      <w:r>
        <w:fldChar w:fldCharType="end"/>
      </w:r>
    </w:p>
    <w:p w14:paraId="0D5DFAF0" w14:textId="4E3A9783" w:rsidR="00454428" w:rsidRDefault="00000000" w:rsidP="00C72BA8">
      <w:pPr>
        <w:pStyle w:val="TOC2"/>
        <w:spacing w:line="360" w:lineRule="auto"/>
      </w:pPr>
      <w:r>
        <w:rPr>
          <w:rFonts w:ascii="Arial Unicode MS" w:eastAsia="Arial Unicode MS" w:hAnsi="Arial Unicode MS" w:hint="cs"/>
          <w:rtl/>
          <w:lang w:val="ar-SA"/>
        </w:rPr>
        <w:t>إشكاليات حماية حقوق الملكية الفكرية في البيئة الرقمية</w:t>
      </w:r>
      <w:r>
        <w:rPr>
          <w:rFonts w:ascii="Arial Unicode MS" w:eastAsia="Arial Unicode MS" w:hAnsi="Arial Unicode MS" w:hint="cs"/>
          <w:rtl/>
          <w:lang w:val="ar-SA"/>
        </w:rPr>
        <w:tab/>
      </w:r>
      <w:r>
        <w:fldChar w:fldCharType="begin"/>
      </w:r>
      <w:r>
        <w:instrText xml:space="preserve"> PAGEREF _Toc57 \h </w:instrText>
      </w:r>
      <w:r>
        <w:fldChar w:fldCharType="separate"/>
      </w:r>
      <w:r w:rsidR="00113335">
        <w:rPr>
          <w:noProof/>
          <w:rtl/>
        </w:rPr>
        <w:t>78</w:t>
      </w:r>
      <w:r>
        <w:fldChar w:fldCharType="end"/>
      </w:r>
    </w:p>
    <w:p w14:paraId="6970862D" w14:textId="1DF83386"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_Toc58 \h </w:instrText>
      </w:r>
      <w:r>
        <w:fldChar w:fldCharType="separate"/>
      </w:r>
      <w:r w:rsidR="00113335">
        <w:rPr>
          <w:noProof/>
          <w:rtl/>
        </w:rPr>
        <w:t>79</w:t>
      </w:r>
      <w:r>
        <w:fldChar w:fldCharType="end"/>
      </w:r>
    </w:p>
    <w:p w14:paraId="1CD86702" w14:textId="294EBF62" w:rsidR="00454428" w:rsidRDefault="00000000" w:rsidP="00C72BA8">
      <w:pPr>
        <w:pStyle w:val="TOC2"/>
        <w:spacing w:line="360" w:lineRule="auto"/>
      </w:pPr>
      <w:r>
        <w:rPr>
          <w:rFonts w:ascii="Arial Unicode MS" w:eastAsia="Arial Unicode MS" w:hAnsi="Arial Unicode MS" w:hint="cs"/>
          <w:rtl/>
          <w:lang w:val="ar-SA"/>
        </w:rPr>
        <w:t>أدوات تداول الإنتاج الفكري الرقمي وتحدياتها التقنية</w:t>
      </w:r>
      <w:r>
        <w:rPr>
          <w:rFonts w:ascii="Arial Unicode MS" w:eastAsia="Arial Unicode MS" w:hAnsi="Arial Unicode MS" w:hint="cs"/>
          <w:rtl/>
          <w:lang w:val="ar-SA"/>
        </w:rPr>
        <w:tab/>
      </w:r>
      <w:r>
        <w:fldChar w:fldCharType="begin"/>
      </w:r>
      <w:r>
        <w:instrText xml:space="preserve"> PAGEREF _Toc59 \h </w:instrText>
      </w:r>
      <w:r>
        <w:fldChar w:fldCharType="separate"/>
      </w:r>
      <w:r w:rsidR="00113335">
        <w:rPr>
          <w:noProof/>
          <w:rtl/>
        </w:rPr>
        <w:t>79</w:t>
      </w:r>
      <w:r>
        <w:fldChar w:fldCharType="end"/>
      </w:r>
    </w:p>
    <w:p w14:paraId="34F47877" w14:textId="18E1CF8D"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_Toc60 \h </w:instrText>
      </w:r>
      <w:r>
        <w:fldChar w:fldCharType="separate"/>
      </w:r>
      <w:r w:rsidR="00113335">
        <w:rPr>
          <w:noProof/>
          <w:rtl/>
        </w:rPr>
        <w:t>93</w:t>
      </w:r>
      <w:r>
        <w:fldChar w:fldCharType="end"/>
      </w:r>
    </w:p>
    <w:p w14:paraId="21BE44AD" w14:textId="2D36021F" w:rsidR="00454428" w:rsidRDefault="00000000" w:rsidP="00C72BA8">
      <w:pPr>
        <w:pStyle w:val="TOC2"/>
        <w:spacing w:line="360" w:lineRule="auto"/>
      </w:pPr>
      <w:r>
        <w:rPr>
          <w:rFonts w:ascii="Arial Unicode MS" w:eastAsia="Arial Unicode MS" w:hAnsi="Arial Unicode MS" w:hint="cs"/>
          <w:rtl/>
          <w:lang w:val="ar-SA"/>
        </w:rPr>
        <w:t>خصائص الإنتاج الفكري الرقمي وحدود الحماية القانونية</w:t>
      </w:r>
      <w:r>
        <w:rPr>
          <w:rFonts w:ascii="Arial Unicode MS" w:eastAsia="Arial Unicode MS" w:hAnsi="Arial Unicode MS" w:hint="cs"/>
          <w:rtl/>
          <w:lang w:val="ar-SA"/>
        </w:rPr>
        <w:tab/>
      </w:r>
      <w:r>
        <w:fldChar w:fldCharType="begin"/>
      </w:r>
      <w:r>
        <w:instrText xml:space="preserve"> PAGEREF _Toc61 \h </w:instrText>
      </w:r>
      <w:r>
        <w:fldChar w:fldCharType="separate"/>
      </w:r>
      <w:r w:rsidR="00113335">
        <w:rPr>
          <w:noProof/>
          <w:rtl/>
        </w:rPr>
        <w:t>93</w:t>
      </w:r>
      <w:r>
        <w:fldChar w:fldCharType="end"/>
      </w:r>
    </w:p>
    <w:p w14:paraId="1B5D535A" w14:textId="647B1F63" w:rsidR="00454428" w:rsidRDefault="00000000" w:rsidP="00C72BA8">
      <w:pPr>
        <w:pStyle w:val="TOC2"/>
        <w:spacing w:line="360" w:lineRule="auto"/>
      </w:pPr>
      <w:r>
        <w:rPr>
          <w:rFonts w:ascii="Arial Unicode MS" w:eastAsia="Arial Unicode MS" w:hAnsi="Arial Unicode MS" w:hint="cs"/>
          <w:rtl/>
          <w:lang w:val="ar-SA"/>
        </w:rPr>
        <w:t>الفصل الثاني</w:t>
      </w:r>
      <w:r>
        <w:rPr>
          <w:rFonts w:ascii="Arial Unicode MS" w:eastAsia="Arial Unicode MS" w:hAnsi="Arial Unicode MS" w:hint="cs"/>
          <w:rtl/>
          <w:lang w:val="ar-SA"/>
        </w:rPr>
        <w:tab/>
      </w:r>
      <w:r>
        <w:fldChar w:fldCharType="begin"/>
      </w:r>
      <w:r>
        <w:instrText xml:space="preserve"> PAGEREF _Toc62 \h </w:instrText>
      </w:r>
      <w:r>
        <w:fldChar w:fldCharType="separate"/>
      </w:r>
      <w:r w:rsidR="00113335">
        <w:rPr>
          <w:noProof/>
          <w:rtl/>
        </w:rPr>
        <w:t>99</w:t>
      </w:r>
      <w:r>
        <w:fldChar w:fldCharType="end"/>
      </w:r>
    </w:p>
    <w:p w14:paraId="66536781" w14:textId="7BB9FAE4" w:rsidR="00454428" w:rsidRDefault="00000000" w:rsidP="00C72BA8">
      <w:pPr>
        <w:pStyle w:val="TOC2"/>
        <w:spacing w:line="360" w:lineRule="auto"/>
      </w:pPr>
      <w:r>
        <w:rPr>
          <w:rFonts w:ascii="Arial Unicode MS" w:eastAsia="Arial Unicode MS" w:hAnsi="Arial Unicode MS" w:hint="cs"/>
          <w:rtl/>
          <w:lang w:val="ar-SA"/>
        </w:rPr>
        <w:t>الإطار القانوني لحماية الملكية الفكرية في الاتفاقيات الدولية والقوانين الوطنية</w:t>
      </w:r>
      <w:r>
        <w:rPr>
          <w:rFonts w:ascii="Arial Unicode MS" w:eastAsia="Arial Unicode MS" w:hAnsi="Arial Unicode MS" w:hint="cs"/>
          <w:rtl/>
          <w:lang w:val="ar-SA"/>
        </w:rPr>
        <w:tab/>
      </w:r>
      <w:r>
        <w:fldChar w:fldCharType="begin"/>
      </w:r>
      <w:r>
        <w:instrText xml:space="preserve"> PAGEREF _Toc63 \h </w:instrText>
      </w:r>
      <w:r>
        <w:fldChar w:fldCharType="separate"/>
      </w:r>
      <w:r w:rsidR="00113335">
        <w:rPr>
          <w:noProof/>
          <w:rtl/>
        </w:rPr>
        <w:t>99</w:t>
      </w:r>
      <w:r>
        <w:fldChar w:fldCharType="end"/>
      </w:r>
    </w:p>
    <w:p w14:paraId="28B6A877" w14:textId="75F2F903" w:rsidR="00454428" w:rsidRDefault="00000000" w:rsidP="00C72BA8">
      <w:pPr>
        <w:pStyle w:val="TOC2"/>
        <w:spacing w:line="360" w:lineRule="auto"/>
      </w:pPr>
      <w:r>
        <w:rPr>
          <w:rFonts w:ascii="Arial Unicode MS" w:eastAsia="Arial Unicode MS" w:hAnsi="Arial Unicode MS" w:hint="cs"/>
          <w:rtl/>
          <w:lang w:val="ar-SA"/>
        </w:rPr>
        <w:t>المبحث الأول</w:t>
      </w:r>
      <w:r>
        <w:rPr>
          <w:rFonts w:ascii="Arial Unicode MS" w:eastAsia="Arial Unicode MS" w:hAnsi="Arial Unicode MS" w:hint="cs"/>
          <w:rtl/>
          <w:lang w:val="ar-SA"/>
        </w:rPr>
        <w:tab/>
      </w:r>
      <w:r>
        <w:fldChar w:fldCharType="begin"/>
      </w:r>
      <w:r>
        <w:instrText xml:space="preserve"> PAGEREF _Toc64 \h </w:instrText>
      </w:r>
      <w:r>
        <w:fldChar w:fldCharType="separate"/>
      </w:r>
      <w:r w:rsidR="00113335">
        <w:rPr>
          <w:noProof/>
          <w:rtl/>
        </w:rPr>
        <w:t>100</w:t>
      </w:r>
      <w:r>
        <w:fldChar w:fldCharType="end"/>
      </w:r>
    </w:p>
    <w:p w14:paraId="0269A697" w14:textId="32203CFF" w:rsidR="00454428" w:rsidRDefault="00000000" w:rsidP="00C72BA8">
      <w:pPr>
        <w:pStyle w:val="TOC2"/>
        <w:spacing w:line="360" w:lineRule="auto"/>
      </w:pPr>
      <w:r>
        <w:rPr>
          <w:rFonts w:ascii="Arial Unicode MS" w:eastAsia="Arial Unicode MS" w:hAnsi="Arial Unicode MS" w:hint="cs"/>
          <w:rtl/>
          <w:lang w:val="ar-SA"/>
        </w:rPr>
        <w:t>الحماية الدولية والتعاون العابر للحدود</w:t>
      </w:r>
      <w:r>
        <w:rPr>
          <w:rFonts w:ascii="Arial Unicode MS" w:eastAsia="Arial Unicode MS" w:hAnsi="Arial Unicode MS" w:hint="cs"/>
          <w:rtl/>
          <w:lang w:val="ar-SA"/>
        </w:rPr>
        <w:tab/>
      </w:r>
      <w:r>
        <w:fldChar w:fldCharType="begin"/>
      </w:r>
      <w:r>
        <w:instrText xml:space="preserve"> PAGEREF _Toc65 \h </w:instrText>
      </w:r>
      <w:r>
        <w:fldChar w:fldCharType="separate"/>
      </w:r>
      <w:r w:rsidR="00113335">
        <w:rPr>
          <w:noProof/>
          <w:rtl/>
        </w:rPr>
        <w:t>100</w:t>
      </w:r>
      <w:r>
        <w:fldChar w:fldCharType="end"/>
      </w:r>
    </w:p>
    <w:p w14:paraId="2A289BAA" w14:textId="7CDDA388"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_Toc66 \h </w:instrText>
      </w:r>
      <w:r>
        <w:fldChar w:fldCharType="separate"/>
      </w:r>
      <w:r w:rsidR="00113335">
        <w:rPr>
          <w:noProof/>
          <w:rtl/>
        </w:rPr>
        <w:t>101</w:t>
      </w:r>
      <w:r>
        <w:fldChar w:fldCharType="end"/>
      </w:r>
    </w:p>
    <w:p w14:paraId="72E8940F" w14:textId="32B8CDD6" w:rsidR="00454428" w:rsidRDefault="00000000" w:rsidP="00C72BA8">
      <w:pPr>
        <w:pStyle w:val="TOC2"/>
        <w:spacing w:line="360" w:lineRule="auto"/>
      </w:pPr>
      <w:r>
        <w:rPr>
          <w:rFonts w:ascii="Arial Unicode MS" w:eastAsia="Arial Unicode MS" w:hAnsi="Arial Unicode MS" w:hint="cs"/>
          <w:rtl/>
          <w:lang w:val="ar-SA"/>
        </w:rPr>
        <w:t>اتفاقية بيرن وتريبس والاتفاقيات الأخرى</w:t>
      </w:r>
      <w:r>
        <w:rPr>
          <w:rFonts w:ascii="Arial Unicode MS" w:eastAsia="Arial Unicode MS" w:hAnsi="Arial Unicode MS" w:hint="cs"/>
          <w:rtl/>
          <w:lang w:val="ar-SA"/>
        </w:rPr>
        <w:tab/>
      </w:r>
      <w:r>
        <w:fldChar w:fldCharType="begin"/>
      </w:r>
      <w:r>
        <w:instrText xml:space="preserve"> PAGEREF _Toc67 \h </w:instrText>
      </w:r>
      <w:r>
        <w:fldChar w:fldCharType="separate"/>
      </w:r>
      <w:r w:rsidR="00113335">
        <w:rPr>
          <w:noProof/>
          <w:rtl/>
        </w:rPr>
        <w:t>101</w:t>
      </w:r>
      <w:r>
        <w:fldChar w:fldCharType="end"/>
      </w:r>
    </w:p>
    <w:p w14:paraId="5F850958" w14:textId="5A24A12C"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_Toc68 \h </w:instrText>
      </w:r>
      <w:r>
        <w:fldChar w:fldCharType="separate"/>
      </w:r>
      <w:r w:rsidR="00113335">
        <w:rPr>
          <w:noProof/>
          <w:rtl/>
        </w:rPr>
        <w:t>114</w:t>
      </w:r>
      <w:r>
        <w:fldChar w:fldCharType="end"/>
      </w:r>
    </w:p>
    <w:p w14:paraId="0DC46597" w14:textId="45489ED3" w:rsidR="00454428" w:rsidRDefault="00000000" w:rsidP="00C72BA8">
      <w:pPr>
        <w:pStyle w:val="TOC2"/>
        <w:spacing w:line="360" w:lineRule="auto"/>
      </w:pPr>
      <w:r>
        <w:rPr>
          <w:rFonts w:ascii="Arial Unicode MS" w:eastAsia="Arial Unicode MS" w:hAnsi="Arial Unicode MS" w:hint="cs"/>
          <w:rtl/>
          <w:lang w:val="ar-SA"/>
        </w:rPr>
        <w:t>التحديات الدولية في تنفيذ الحماية الرقمية</w:t>
      </w:r>
      <w:r>
        <w:rPr>
          <w:rFonts w:ascii="Arial Unicode MS" w:eastAsia="Arial Unicode MS" w:hAnsi="Arial Unicode MS" w:hint="cs"/>
          <w:rtl/>
          <w:lang w:val="ar-SA"/>
        </w:rPr>
        <w:tab/>
      </w:r>
      <w:r>
        <w:fldChar w:fldCharType="begin"/>
      </w:r>
      <w:r>
        <w:instrText xml:space="preserve"> PAGEREF _Toc69 \h </w:instrText>
      </w:r>
      <w:r>
        <w:fldChar w:fldCharType="separate"/>
      </w:r>
      <w:r w:rsidR="00113335">
        <w:rPr>
          <w:noProof/>
          <w:rtl/>
        </w:rPr>
        <w:t>114</w:t>
      </w:r>
      <w:r>
        <w:fldChar w:fldCharType="end"/>
      </w:r>
    </w:p>
    <w:p w14:paraId="427A058E" w14:textId="775CE97B" w:rsidR="00454428" w:rsidRDefault="00000000" w:rsidP="00C72BA8">
      <w:pPr>
        <w:pStyle w:val="TOC2"/>
        <w:spacing w:line="360" w:lineRule="auto"/>
      </w:pPr>
      <w:r>
        <w:rPr>
          <w:rFonts w:ascii="Arial Unicode MS" w:eastAsia="Arial Unicode MS" w:hAnsi="Arial Unicode MS" w:hint="cs"/>
          <w:rtl/>
          <w:lang w:val="ar-SA"/>
        </w:rPr>
        <w:t>المبحث الثاني</w:t>
      </w:r>
      <w:r>
        <w:rPr>
          <w:rFonts w:ascii="Arial Unicode MS" w:eastAsia="Arial Unicode MS" w:hAnsi="Arial Unicode MS" w:hint="cs"/>
          <w:rtl/>
          <w:lang w:val="ar-SA"/>
        </w:rPr>
        <w:tab/>
      </w:r>
      <w:r>
        <w:fldChar w:fldCharType="begin"/>
      </w:r>
      <w:r>
        <w:instrText xml:space="preserve"> PAGEREF _Toc70 \h </w:instrText>
      </w:r>
      <w:r>
        <w:fldChar w:fldCharType="separate"/>
      </w:r>
      <w:r w:rsidR="00113335">
        <w:rPr>
          <w:noProof/>
          <w:rtl/>
        </w:rPr>
        <w:t>118</w:t>
      </w:r>
      <w:r>
        <w:fldChar w:fldCharType="end"/>
      </w:r>
    </w:p>
    <w:p w14:paraId="5E33FF29" w14:textId="42EC2AFE" w:rsidR="00454428" w:rsidRDefault="00000000" w:rsidP="00C72BA8">
      <w:pPr>
        <w:pStyle w:val="TOC2"/>
        <w:spacing w:line="360" w:lineRule="auto"/>
      </w:pPr>
      <w:r>
        <w:rPr>
          <w:rFonts w:ascii="Arial Unicode MS" w:eastAsia="Arial Unicode MS" w:hAnsi="Arial Unicode MS" w:hint="cs"/>
          <w:rtl/>
          <w:lang w:val="ar-SA"/>
        </w:rPr>
        <w:t>النظام القانونية للمصنف الرقمي</w:t>
      </w:r>
      <w:r>
        <w:rPr>
          <w:rFonts w:ascii="Arial Unicode MS" w:eastAsia="Arial Unicode MS" w:hAnsi="Arial Unicode MS" w:hint="cs"/>
          <w:rtl/>
          <w:lang w:val="ar-SA"/>
        </w:rPr>
        <w:tab/>
      </w:r>
      <w:r>
        <w:fldChar w:fldCharType="begin"/>
      </w:r>
      <w:r>
        <w:instrText xml:space="preserve"> PAGEREF _Toc71 \h </w:instrText>
      </w:r>
      <w:r>
        <w:fldChar w:fldCharType="separate"/>
      </w:r>
      <w:r w:rsidR="00113335">
        <w:rPr>
          <w:noProof/>
          <w:rtl/>
        </w:rPr>
        <w:t>118</w:t>
      </w:r>
      <w:r>
        <w:fldChar w:fldCharType="end"/>
      </w:r>
    </w:p>
    <w:p w14:paraId="0BD0BB4A" w14:textId="48DD7925"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_Toc72 \h </w:instrText>
      </w:r>
      <w:r>
        <w:fldChar w:fldCharType="separate"/>
      </w:r>
      <w:r w:rsidR="00113335">
        <w:rPr>
          <w:noProof/>
          <w:rtl/>
        </w:rPr>
        <w:t>119</w:t>
      </w:r>
      <w:r>
        <w:fldChar w:fldCharType="end"/>
      </w:r>
    </w:p>
    <w:p w14:paraId="61ADAEDE" w14:textId="2BCC4485" w:rsidR="00454428" w:rsidRDefault="00000000" w:rsidP="00C72BA8">
      <w:pPr>
        <w:pStyle w:val="TOC2"/>
        <w:spacing w:line="360" w:lineRule="auto"/>
      </w:pPr>
      <w:r>
        <w:rPr>
          <w:rFonts w:ascii="Arial Unicode MS" w:eastAsia="Arial Unicode MS" w:hAnsi="Arial Unicode MS" w:hint="cs"/>
          <w:rtl/>
          <w:lang w:val="ar-SA"/>
        </w:rPr>
        <w:t>نطاق الحماية القانونية في النظام السعودي</w:t>
      </w:r>
      <w:r>
        <w:rPr>
          <w:rFonts w:ascii="Arial Unicode MS" w:eastAsia="Arial Unicode MS" w:hAnsi="Arial Unicode MS" w:hint="cs"/>
          <w:rtl/>
          <w:lang w:val="ar-SA"/>
        </w:rPr>
        <w:tab/>
      </w:r>
      <w:r>
        <w:fldChar w:fldCharType="begin"/>
      </w:r>
      <w:r>
        <w:instrText xml:space="preserve"> PAGEREF _Toc73 \h </w:instrText>
      </w:r>
      <w:r>
        <w:fldChar w:fldCharType="separate"/>
      </w:r>
      <w:r w:rsidR="00113335">
        <w:rPr>
          <w:noProof/>
          <w:rtl/>
        </w:rPr>
        <w:t>119</w:t>
      </w:r>
      <w:r>
        <w:fldChar w:fldCharType="end"/>
      </w:r>
    </w:p>
    <w:p w14:paraId="5F1A6233" w14:textId="3CF6CD9B"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_Toc74 \h </w:instrText>
      </w:r>
      <w:r>
        <w:fldChar w:fldCharType="separate"/>
      </w:r>
      <w:r w:rsidR="00113335">
        <w:rPr>
          <w:noProof/>
          <w:rtl/>
        </w:rPr>
        <w:t>127</w:t>
      </w:r>
      <w:r>
        <w:fldChar w:fldCharType="end"/>
      </w:r>
    </w:p>
    <w:p w14:paraId="1236196B" w14:textId="58683AEC" w:rsidR="00454428" w:rsidRDefault="00000000" w:rsidP="00C72BA8">
      <w:pPr>
        <w:pStyle w:val="TOC2"/>
        <w:spacing w:line="360" w:lineRule="auto"/>
      </w:pPr>
      <w:r>
        <w:rPr>
          <w:rFonts w:ascii="Arial Unicode MS" w:eastAsia="Arial Unicode MS" w:hAnsi="Arial Unicode MS" w:hint="cs"/>
          <w:rtl/>
          <w:lang w:val="ar-SA"/>
        </w:rPr>
        <w:t>نطاق حماية الملكية الفكرية في التشريعيْنِ الفَرنسي والأمريكي</w:t>
      </w:r>
      <w:r>
        <w:rPr>
          <w:rFonts w:ascii="Arial Unicode MS" w:eastAsia="Arial Unicode MS" w:hAnsi="Arial Unicode MS" w:hint="cs"/>
          <w:rtl/>
          <w:lang w:val="ar-SA"/>
        </w:rPr>
        <w:tab/>
      </w:r>
      <w:r>
        <w:fldChar w:fldCharType="begin"/>
      </w:r>
      <w:r>
        <w:instrText xml:space="preserve"> PAGEREF _Toc75 \h </w:instrText>
      </w:r>
      <w:r>
        <w:fldChar w:fldCharType="separate"/>
      </w:r>
      <w:r w:rsidR="00113335">
        <w:rPr>
          <w:noProof/>
          <w:rtl/>
        </w:rPr>
        <w:t>127</w:t>
      </w:r>
      <w:r>
        <w:fldChar w:fldCharType="end"/>
      </w:r>
    </w:p>
    <w:p w14:paraId="4079DE03" w14:textId="4A7D6FC6" w:rsidR="00454428" w:rsidRDefault="00000000" w:rsidP="00C72BA8">
      <w:pPr>
        <w:pStyle w:val="TOC2"/>
        <w:spacing w:line="360" w:lineRule="auto"/>
      </w:pPr>
      <w:r>
        <w:rPr>
          <w:rFonts w:ascii="Arial Unicode MS" w:eastAsia="Arial Unicode MS" w:hAnsi="Arial Unicode MS" w:hint="cs"/>
          <w:rtl/>
          <w:lang w:val="ar-SA"/>
        </w:rPr>
        <w:t>الفصل الثالث</w:t>
      </w:r>
      <w:r>
        <w:rPr>
          <w:rFonts w:ascii="Arial Unicode MS" w:eastAsia="Arial Unicode MS" w:hAnsi="Arial Unicode MS" w:hint="cs"/>
          <w:rtl/>
          <w:lang w:val="ar-SA"/>
        </w:rPr>
        <w:tab/>
      </w:r>
      <w:r>
        <w:fldChar w:fldCharType="begin"/>
      </w:r>
      <w:r>
        <w:instrText xml:space="preserve"> PAGEREF _Toc76 \h </w:instrText>
      </w:r>
      <w:r>
        <w:fldChar w:fldCharType="separate"/>
      </w:r>
      <w:r w:rsidR="00113335">
        <w:rPr>
          <w:noProof/>
          <w:rtl/>
        </w:rPr>
        <w:t>139</w:t>
      </w:r>
      <w:r>
        <w:fldChar w:fldCharType="end"/>
      </w:r>
    </w:p>
    <w:p w14:paraId="1E46DF26" w14:textId="34D7AC10" w:rsidR="00454428" w:rsidRDefault="00000000" w:rsidP="00C72BA8">
      <w:pPr>
        <w:pStyle w:val="TOC2"/>
        <w:spacing w:line="360" w:lineRule="auto"/>
      </w:pPr>
      <w:r>
        <w:rPr>
          <w:rFonts w:ascii="Arial Unicode MS" w:eastAsia="Arial Unicode MS" w:hAnsi="Arial Unicode MS" w:hint="cs"/>
          <w:rtl/>
          <w:lang w:val="ar-SA"/>
        </w:rPr>
        <w:lastRenderedPageBreak/>
        <w:t>صور الحماية القانونية للملكية الفكرية في البيئة الرقمية</w:t>
      </w:r>
      <w:r>
        <w:rPr>
          <w:rFonts w:ascii="Arial Unicode MS" w:eastAsia="Arial Unicode MS" w:hAnsi="Arial Unicode MS" w:hint="cs"/>
          <w:rtl/>
          <w:lang w:val="ar-SA"/>
        </w:rPr>
        <w:tab/>
      </w:r>
      <w:r>
        <w:fldChar w:fldCharType="begin"/>
      </w:r>
      <w:r>
        <w:instrText xml:space="preserve"> PAGEREF _Toc77 \h </w:instrText>
      </w:r>
      <w:r>
        <w:fldChar w:fldCharType="separate"/>
      </w:r>
      <w:r w:rsidR="00113335">
        <w:rPr>
          <w:noProof/>
          <w:rtl/>
        </w:rPr>
        <w:t>139</w:t>
      </w:r>
      <w:r>
        <w:fldChar w:fldCharType="end"/>
      </w:r>
    </w:p>
    <w:p w14:paraId="1FEB8847" w14:textId="3D08969A" w:rsidR="00454428" w:rsidRDefault="00000000" w:rsidP="00C72BA8">
      <w:pPr>
        <w:pStyle w:val="TOC2"/>
        <w:spacing w:line="360" w:lineRule="auto"/>
      </w:pPr>
      <w:r>
        <w:rPr>
          <w:rFonts w:ascii="Arial Unicode MS" w:eastAsia="Arial Unicode MS" w:hAnsi="Arial Unicode MS" w:hint="cs"/>
          <w:rtl/>
          <w:lang w:val="ar-SA"/>
        </w:rPr>
        <w:t>المبحث الأول</w:t>
      </w:r>
      <w:r>
        <w:rPr>
          <w:rFonts w:ascii="Arial Unicode MS" w:eastAsia="Arial Unicode MS" w:hAnsi="Arial Unicode MS" w:hint="cs"/>
          <w:rtl/>
          <w:lang w:val="ar-SA"/>
        </w:rPr>
        <w:tab/>
      </w:r>
      <w:r>
        <w:fldChar w:fldCharType="begin"/>
      </w:r>
      <w:r>
        <w:instrText xml:space="preserve"> PAGEREF _Toc78 \h </w:instrText>
      </w:r>
      <w:r>
        <w:fldChar w:fldCharType="separate"/>
      </w:r>
      <w:r w:rsidR="00113335">
        <w:rPr>
          <w:noProof/>
          <w:rtl/>
        </w:rPr>
        <w:t>140</w:t>
      </w:r>
      <w:r>
        <w:fldChar w:fldCharType="end"/>
      </w:r>
    </w:p>
    <w:p w14:paraId="29D7CC9C" w14:textId="76F365EF" w:rsidR="00454428" w:rsidRDefault="00000000" w:rsidP="00C72BA8">
      <w:pPr>
        <w:pStyle w:val="TOC2"/>
        <w:spacing w:line="360" w:lineRule="auto"/>
      </w:pPr>
      <w:r>
        <w:rPr>
          <w:rFonts w:ascii="Arial Unicode MS" w:eastAsia="Arial Unicode MS" w:hAnsi="Arial Unicode MS" w:hint="cs"/>
          <w:rtl/>
          <w:lang w:val="ar-SA"/>
        </w:rPr>
        <w:t>الحماية المدنية للمصنفات الرقمية</w:t>
      </w:r>
      <w:r>
        <w:rPr>
          <w:rFonts w:ascii="Arial Unicode MS" w:eastAsia="Arial Unicode MS" w:hAnsi="Arial Unicode MS" w:hint="cs"/>
          <w:rtl/>
          <w:lang w:val="ar-SA"/>
        </w:rPr>
        <w:tab/>
      </w:r>
      <w:r>
        <w:fldChar w:fldCharType="begin"/>
      </w:r>
      <w:r>
        <w:instrText xml:space="preserve"> PAGEREF _Toc79 \h </w:instrText>
      </w:r>
      <w:r>
        <w:fldChar w:fldCharType="separate"/>
      </w:r>
      <w:r w:rsidR="00113335">
        <w:rPr>
          <w:noProof/>
          <w:rtl/>
        </w:rPr>
        <w:t>140</w:t>
      </w:r>
      <w:r>
        <w:fldChar w:fldCharType="end"/>
      </w:r>
    </w:p>
    <w:p w14:paraId="56D134B8" w14:textId="29677BBA"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_Toc80 \h </w:instrText>
      </w:r>
      <w:r>
        <w:fldChar w:fldCharType="separate"/>
      </w:r>
      <w:r w:rsidR="00113335">
        <w:rPr>
          <w:noProof/>
          <w:rtl/>
        </w:rPr>
        <w:t>141</w:t>
      </w:r>
      <w:r>
        <w:fldChar w:fldCharType="end"/>
      </w:r>
    </w:p>
    <w:p w14:paraId="32E04B97" w14:textId="2F27AFF1" w:rsidR="00454428" w:rsidRDefault="00000000" w:rsidP="00C72BA8">
      <w:pPr>
        <w:pStyle w:val="TOC2"/>
        <w:spacing w:line="360" w:lineRule="auto"/>
      </w:pPr>
      <w:r>
        <w:rPr>
          <w:rFonts w:ascii="Arial Unicode MS" w:eastAsia="Arial Unicode MS" w:hAnsi="Arial Unicode MS" w:hint="cs"/>
          <w:rtl/>
          <w:lang w:val="ar-SA"/>
        </w:rPr>
        <w:t>التعويض عن الاعتداء على حقوق الملكية الفكرية في البيئة الرقمية في النظام السعودي</w:t>
      </w:r>
      <w:r>
        <w:rPr>
          <w:rFonts w:ascii="Arial Unicode MS" w:eastAsia="Arial Unicode MS" w:hAnsi="Arial Unicode MS" w:hint="cs"/>
          <w:rtl/>
          <w:lang w:val="ar-SA"/>
        </w:rPr>
        <w:tab/>
      </w:r>
      <w:r>
        <w:fldChar w:fldCharType="begin"/>
      </w:r>
      <w:r>
        <w:instrText xml:space="preserve"> PAGEREF _Toc81 \h </w:instrText>
      </w:r>
      <w:r>
        <w:fldChar w:fldCharType="separate"/>
      </w:r>
      <w:r w:rsidR="00113335">
        <w:rPr>
          <w:noProof/>
          <w:rtl/>
        </w:rPr>
        <w:t>141</w:t>
      </w:r>
      <w:r>
        <w:fldChar w:fldCharType="end"/>
      </w:r>
    </w:p>
    <w:p w14:paraId="61C0A40A" w14:textId="221F1BB2"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_Toc82 \h </w:instrText>
      </w:r>
      <w:r>
        <w:fldChar w:fldCharType="separate"/>
      </w:r>
      <w:r w:rsidR="00113335">
        <w:rPr>
          <w:noProof/>
          <w:rtl/>
        </w:rPr>
        <w:t>153</w:t>
      </w:r>
      <w:r>
        <w:fldChar w:fldCharType="end"/>
      </w:r>
    </w:p>
    <w:p w14:paraId="3661F8B6" w14:textId="3C61EB8B" w:rsidR="00454428" w:rsidRDefault="00000000" w:rsidP="00C72BA8">
      <w:pPr>
        <w:pStyle w:val="TOC2"/>
        <w:spacing w:line="360" w:lineRule="auto"/>
      </w:pPr>
      <w:r>
        <w:rPr>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r>
        <w:rPr>
          <w:rFonts w:ascii="Arial Unicode MS" w:eastAsia="Arial Unicode MS" w:hAnsi="Arial Unicode MS" w:hint="cs"/>
          <w:rtl/>
          <w:lang w:val="ar-SA"/>
        </w:rPr>
        <w:tab/>
      </w:r>
      <w:r>
        <w:fldChar w:fldCharType="begin"/>
      </w:r>
      <w:r>
        <w:instrText xml:space="preserve"> PAGEREF _Toc83 \h </w:instrText>
      </w:r>
      <w:r>
        <w:fldChar w:fldCharType="separate"/>
      </w:r>
      <w:r w:rsidR="00113335">
        <w:rPr>
          <w:noProof/>
          <w:rtl/>
        </w:rPr>
        <w:t>153</w:t>
      </w:r>
      <w:r>
        <w:fldChar w:fldCharType="end"/>
      </w:r>
    </w:p>
    <w:p w14:paraId="678F393A" w14:textId="005EF8D7" w:rsidR="00454428" w:rsidRDefault="00000000" w:rsidP="00C72BA8">
      <w:pPr>
        <w:pStyle w:val="TOC2"/>
        <w:spacing w:line="360" w:lineRule="auto"/>
      </w:pPr>
      <w:r>
        <w:rPr>
          <w:rFonts w:ascii="Arial Unicode MS" w:eastAsia="Arial Unicode MS" w:hAnsi="Arial Unicode MS" w:hint="cs"/>
          <w:rtl/>
          <w:lang w:val="ar-SA"/>
        </w:rPr>
        <w:t>المبحث الثاني</w:t>
      </w:r>
      <w:r>
        <w:rPr>
          <w:rFonts w:ascii="Arial Unicode MS" w:eastAsia="Arial Unicode MS" w:hAnsi="Arial Unicode MS" w:hint="cs"/>
          <w:rtl/>
          <w:lang w:val="ar-SA"/>
        </w:rPr>
        <w:tab/>
      </w:r>
      <w:r>
        <w:fldChar w:fldCharType="begin"/>
      </w:r>
      <w:r>
        <w:instrText xml:space="preserve"> PAGEREF _Toc84 \h </w:instrText>
      </w:r>
      <w:r>
        <w:fldChar w:fldCharType="separate"/>
      </w:r>
      <w:r w:rsidR="00113335">
        <w:rPr>
          <w:noProof/>
          <w:rtl/>
        </w:rPr>
        <w:t>164</w:t>
      </w:r>
      <w:r>
        <w:fldChar w:fldCharType="end"/>
      </w:r>
    </w:p>
    <w:p w14:paraId="7C936179" w14:textId="11FFBF56" w:rsidR="00454428" w:rsidRDefault="00000000" w:rsidP="00C72BA8">
      <w:pPr>
        <w:pStyle w:val="TOC2"/>
        <w:spacing w:line="360" w:lineRule="auto"/>
      </w:pPr>
      <w:r>
        <w:rPr>
          <w:rFonts w:ascii="Arial Unicode MS" w:eastAsia="Arial Unicode MS" w:hAnsi="Arial Unicode MS" w:hint="cs"/>
          <w:rtl/>
          <w:lang w:val="ar-SA"/>
        </w:rPr>
        <w:t>الحماية الجنائية والتجريم الرقمي</w:t>
      </w:r>
      <w:r>
        <w:rPr>
          <w:rFonts w:ascii="Arial Unicode MS" w:eastAsia="Arial Unicode MS" w:hAnsi="Arial Unicode MS" w:hint="cs"/>
          <w:rtl/>
          <w:lang w:val="ar-SA"/>
        </w:rPr>
        <w:tab/>
      </w:r>
      <w:r>
        <w:fldChar w:fldCharType="begin"/>
      </w:r>
      <w:r>
        <w:instrText xml:space="preserve"> PAGEREF _Toc85 \h </w:instrText>
      </w:r>
      <w:r>
        <w:fldChar w:fldCharType="separate"/>
      </w:r>
      <w:r w:rsidR="00113335">
        <w:rPr>
          <w:noProof/>
          <w:rtl/>
        </w:rPr>
        <w:t>164</w:t>
      </w:r>
      <w:r>
        <w:fldChar w:fldCharType="end"/>
      </w:r>
    </w:p>
    <w:p w14:paraId="3D0F6561" w14:textId="32C9F68B" w:rsidR="00454428" w:rsidRDefault="00000000" w:rsidP="00C72BA8">
      <w:pPr>
        <w:pStyle w:val="TOC2"/>
        <w:spacing w:line="360" w:lineRule="auto"/>
      </w:pPr>
      <w:r>
        <w:rPr>
          <w:rFonts w:ascii="Arial Unicode MS" w:eastAsia="Arial Unicode MS" w:hAnsi="Arial Unicode MS" w:hint="cs"/>
          <w:rtl/>
          <w:lang w:val="ar-SA"/>
        </w:rPr>
        <w:t>المطلب الأول</w:t>
      </w:r>
      <w:r>
        <w:rPr>
          <w:rFonts w:ascii="Arial Unicode MS" w:eastAsia="Arial Unicode MS" w:hAnsi="Arial Unicode MS" w:hint="cs"/>
          <w:rtl/>
          <w:lang w:val="ar-SA"/>
        </w:rPr>
        <w:tab/>
      </w:r>
      <w:r>
        <w:fldChar w:fldCharType="begin"/>
      </w:r>
      <w:r>
        <w:instrText xml:space="preserve"> PAGEREF _Toc86 \h </w:instrText>
      </w:r>
      <w:r>
        <w:fldChar w:fldCharType="separate"/>
      </w:r>
      <w:r w:rsidR="00113335">
        <w:rPr>
          <w:noProof/>
          <w:rtl/>
        </w:rPr>
        <w:t>165</w:t>
      </w:r>
      <w:r>
        <w:fldChar w:fldCharType="end"/>
      </w:r>
    </w:p>
    <w:p w14:paraId="12B10ED6" w14:textId="789410DB" w:rsidR="00454428" w:rsidRDefault="00000000" w:rsidP="00C72BA8">
      <w:pPr>
        <w:pStyle w:val="TOC2"/>
        <w:spacing w:line="360" w:lineRule="auto"/>
      </w:pPr>
      <w:r>
        <w:rPr>
          <w:rFonts w:ascii="Arial Unicode MS" w:eastAsia="Arial Unicode MS" w:hAnsi="Arial Unicode MS" w:hint="cs"/>
          <w:rtl/>
          <w:lang w:val="ar-SA"/>
        </w:rPr>
        <w:t>الحماية الجنائية للملكية الفكرية في البيئة الرقمية في النظام السعودي</w:t>
      </w:r>
      <w:r>
        <w:rPr>
          <w:rFonts w:ascii="Arial Unicode MS" w:eastAsia="Arial Unicode MS" w:hAnsi="Arial Unicode MS" w:hint="cs"/>
          <w:rtl/>
          <w:lang w:val="ar-SA"/>
        </w:rPr>
        <w:tab/>
      </w:r>
      <w:r>
        <w:fldChar w:fldCharType="begin"/>
      </w:r>
      <w:r>
        <w:instrText xml:space="preserve"> PAGEREF _Toc87 \h </w:instrText>
      </w:r>
      <w:r>
        <w:fldChar w:fldCharType="separate"/>
      </w:r>
      <w:r w:rsidR="00113335">
        <w:rPr>
          <w:noProof/>
          <w:rtl/>
        </w:rPr>
        <w:t>165</w:t>
      </w:r>
      <w:r>
        <w:fldChar w:fldCharType="end"/>
      </w:r>
    </w:p>
    <w:p w14:paraId="2D92DDFE" w14:textId="31254733" w:rsidR="00454428" w:rsidRDefault="00000000" w:rsidP="00C72BA8">
      <w:pPr>
        <w:pStyle w:val="TOC2"/>
        <w:spacing w:line="360" w:lineRule="auto"/>
      </w:pPr>
      <w:r>
        <w:rPr>
          <w:rFonts w:ascii="Arial Unicode MS" w:eastAsia="Arial Unicode MS" w:hAnsi="Arial Unicode MS" w:hint="cs"/>
          <w:rtl/>
          <w:lang w:val="ar-SA"/>
        </w:rPr>
        <w:t>المطلب الثاني</w:t>
      </w:r>
      <w:r>
        <w:rPr>
          <w:rFonts w:ascii="Arial Unicode MS" w:eastAsia="Arial Unicode MS" w:hAnsi="Arial Unicode MS" w:hint="cs"/>
          <w:rtl/>
          <w:lang w:val="ar-SA"/>
        </w:rPr>
        <w:tab/>
      </w:r>
      <w:r>
        <w:fldChar w:fldCharType="begin"/>
      </w:r>
      <w:r>
        <w:instrText xml:space="preserve"> PAGEREF _Toc88 \h </w:instrText>
      </w:r>
      <w:r>
        <w:fldChar w:fldCharType="separate"/>
      </w:r>
      <w:r w:rsidR="00113335">
        <w:rPr>
          <w:noProof/>
          <w:rtl/>
        </w:rPr>
        <w:t>174</w:t>
      </w:r>
      <w:r>
        <w:fldChar w:fldCharType="end"/>
      </w:r>
    </w:p>
    <w:p w14:paraId="765B203A" w14:textId="0CF3FABC" w:rsidR="00454428" w:rsidRDefault="00000000" w:rsidP="00C72BA8">
      <w:pPr>
        <w:pStyle w:val="TOC2"/>
        <w:spacing w:line="360" w:lineRule="auto"/>
      </w:pPr>
      <w:r>
        <w:rPr>
          <w:rFonts w:ascii="Arial Unicode MS" w:eastAsia="Arial Unicode MS" w:hAnsi="Arial Unicode MS" w:hint="cs"/>
          <w:rtl/>
          <w:lang w:val="ar-SA"/>
        </w:rPr>
        <w:t>الحماية الجنائية للملكية الفكرية في البيئة الرقمية في النظامين الفَرنسي والأمريكي</w:t>
      </w:r>
      <w:r>
        <w:rPr>
          <w:rFonts w:ascii="Arial Unicode MS" w:eastAsia="Arial Unicode MS" w:hAnsi="Arial Unicode MS" w:hint="cs"/>
          <w:rtl/>
          <w:lang w:val="ar-SA"/>
        </w:rPr>
        <w:tab/>
      </w:r>
      <w:r>
        <w:fldChar w:fldCharType="begin"/>
      </w:r>
      <w:r>
        <w:instrText xml:space="preserve"> PAGEREF _Toc89 \h </w:instrText>
      </w:r>
      <w:r>
        <w:fldChar w:fldCharType="separate"/>
      </w:r>
      <w:r w:rsidR="00113335">
        <w:rPr>
          <w:noProof/>
          <w:rtl/>
        </w:rPr>
        <w:t>174</w:t>
      </w:r>
      <w:r>
        <w:fldChar w:fldCharType="end"/>
      </w:r>
    </w:p>
    <w:p w14:paraId="20F051CD" w14:textId="5BF6C253" w:rsidR="00454428" w:rsidRDefault="00000000" w:rsidP="00C72BA8">
      <w:pPr>
        <w:pStyle w:val="TOC2"/>
        <w:spacing w:line="360" w:lineRule="auto"/>
      </w:pPr>
      <w:r>
        <w:rPr>
          <w:rFonts w:ascii="Arial Unicode MS" w:eastAsia="Arial Unicode MS" w:hAnsi="Arial Unicode MS" w:hint="cs"/>
          <w:rtl/>
          <w:lang w:val="ar-SA"/>
        </w:rPr>
        <w:t>قائمة المراجع</w:t>
      </w:r>
      <w:r>
        <w:rPr>
          <w:rFonts w:ascii="Arial Unicode MS" w:eastAsia="Arial Unicode MS" w:hAnsi="Arial Unicode MS" w:hint="cs"/>
          <w:rtl/>
          <w:lang w:val="ar-SA"/>
        </w:rPr>
        <w:tab/>
      </w:r>
      <w:r>
        <w:fldChar w:fldCharType="begin"/>
      </w:r>
      <w:r>
        <w:instrText xml:space="preserve"> PAGEREF _Toc90 \h </w:instrText>
      </w:r>
      <w:r>
        <w:fldChar w:fldCharType="separate"/>
      </w:r>
      <w:r w:rsidR="00113335">
        <w:rPr>
          <w:noProof/>
          <w:rtl/>
        </w:rPr>
        <w:t>238</w:t>
      </w:r>
      <w:r>
        <w:fldChar w:fldCharType="end"/>
      </w:r>
    </w:p>
    <w:p w14:paraId="3E7EDB32" w14:textId="54D77172" w:rsidR="00454428" w:rsidRDefault="00000000" w:rsidP="00C72BA8">
      <w:pPr>
        <w:pStyle w:val="TOC2"/>
        <w:spacing w:line="360" w:lineRule="auto"/>
      </w:pPr>
      <w:r>
        <w:rPr>
          <w:rFonts w:ascii="Arial Unicode MS" w:eastAsia="Arial Unicode MS" w:hAnsi="Arial Unicode MS" w:hint="cs"/>
          <w:rtl/>
          <w:lang w:val="ar-SA"/>
        </w:rPr>
        <w:t>أولًا: المراجع العربية.</w:t>
      </w:r>
      <w:r>
        <w:rPr>
          <w:rFonts w:ascii="Arial Unicode MS" w:eastAsia="Arial Unicode MS" w:hAnsi="Arial Unicode MS" w:hint="cs"/>
          <w:rtl/>
          <w:lang w:val="ar-SA"/>
        </w:rPr>
        <w:tab/>
      </w:r>
      <w:r>
        <w:fldChar w:fldCharType="begin"/>
      </w:r>
      <w:r>
        <w:instrText xml:space="preserve"> PAGEREF _Toc91 \h </w:instrText>
      </w:r>
      <w:r>
        <w:fldChar w:fldCharType="separate"/>
      </w:r>
      <w:r w:rsidR="00113335">
        <w:rPr>
          <w:noProof/>
          <w:rtl/>
        </w:rPr>
        <w:t>238</w:t>
      </w:r>
      <w:r>
        <w:fldChar w:fldCharType="end"/>
      </w:r>
    </w:p>
    <w:p w14:paraId="23ABF012" w14:textId="5FA0AB52" w:rsidR="00454428" w:rsidRDefault="00000000" w:rsidP="00C72BA8">
      <w:pPr>
        <w:pStyle w:val="TOC2"/>
        <w:spacing w:line="360" w:lineRule="auto"/>
      </w:pPr>
      <w:r>
        <w:rPr>
          <w:rFonts w:ascii="Arial Unicode MS" w:eastAsia="Arial Unicode MS" w:hAnsi="Arial Unicode MS" w:hint="cs"/>
          <w:rtl/>
          <w:lang w:val="ar-SA"/>
        </w:rPr>
        <w:t>ثانيًا: المراجع الأجنبية.</w:t>
      </w:r>
      <w:r>
        <w:rPr>
          <w:rFonts w:ascii="Arial Unicode MS" w:eastAsia="Arial Unicode MS" w:hAnsi="Arial Unicode MS" w:hint="cs"/>
          <w:rtl/>
          <w:lang w:val="ar-SA"/>
        </w:rPr>
        <w:tab/>
      </w:r>
      <w:r>
        <w:fldChar w:fldCharType="begin"/>
      </w:r>
      <w:r>
        <w:instrText xml:space="preserve"> PAGEREF _Toc92 \h </w:instrText>
      </w:r>
      <w:r>
        <w:fldChar w:fldCharType="separate"/>
      </w:r>
      <w:r w:rsidR="00113335">
        <w:rPr>
          <w:noProof/>
          <w:rtl/>
        </w:rPr>
        <w:t>254</w:t>
      </w:r>
      <w:r>
        <w:fldChar w:fldCharType="end"/>
      </w:r>
    </w:p>
    <w:p w14:paraId="1625B364" w14:textId="78A417B9" w:rsidR="00454428" w:rsidRDefault="00000000" w:rsidP="00C72BA8">
      <w:pPr>
        <w:pStyle w:val="TOC2"/>
        <w:spacing w:line="360" w:lineRule="auto"/>
      </w:pPr>
      <w:r>
        <w:rPr>
          <w:rFonts w:ascii="Arial Unicode MS" w:eastAsia="Arial Unicode MS" w:hAnsi="Arial Unicode MS" w:hint="cs"/>
          <w:rtl/>
          <w:lang w:val="ar-SA"/>
        </w:rPr>
        <w:t>ثالثًا: القوانين.</w:t>
      </w:r>
      <w:r>
        <w:rPr>
          <w:rFonts w:ascii="Arial Unicode MS" w:eastAsia="Arial Unicode MS" w:hAnsi="Arial Unicode MS" w:hint="cs"/>
          <w:rtl/>
          <w:lang w:val="ar-SA"/>
        </w:rPr>
        <w:tab/>
      </w:r>
      <w:r>
        <w:fldChar w:fldCharType="begin"/>
      </w:r>
      <w:r>
        <w:instrText xml:space="preserve"> PAGEREF _Toc93 \h </w:instrText>
      </w:r>
      <w:r>
        <w:fldChar w:fldCharType="separate"/>
      </w:r>
      <w:r w:rsidR="00113335">
        <w:rPr>
          <w:noProof/>
          <w:rtl/>
        </w:rPr>
        <w:t>264</w:t>
      </w:r>
      <w:r>
        <w:fldChar w:fldCharType="end"/>
      </w:r>
    </w:p>
    <w:p w14:paraId="3F5FB66E" w14:textId="0B45D0DC" w:rsidR="00454428" w:rsidRDefault="00000000" w:rsidP="00C72BA8">
      <w:pPr>
        <w:pStyle w:val="TOC2"/>
        <w:spacing w:line="360" w:lineRule="auto"/>
      </w:pPr>
      <w:r>
        <w:rPr>
          <w:rFonts w:ascii="Arial Unicode MS" w:eastAsia="Arial Unicode MS" w:hAnsi="Arial Unicode MS" w:hint="cs"/>
          <w:rtl/>
          <w:lang w:val="ar-SA"/>
        </w:rPr>
        <w:t>رابعًا: المواقع الإلكترونية.</w:t>
      </w:r>
      <w:r>
        <w:rPr>
          <w:rFonts w:ascii="Arial Unicode MS" w:eastAsia="Arial Unicode MS" w:hAnsi="Arial Unicode MS" w:hint="cs"/>
          <w:rtl/>
          <w:lang w:val="ar-SA"/>
        </w:rPr>
        <w:tab/>
      </w:r>
      <w:r>
        <w:fldChar w:fldCharType="begin"/>
      </w:r>
      <w:r>
        <w:instrText xml:space="preserve"> PAGEREF _Toc94 \h </w:instrText>
      </w:r>
      <w:r>
        <w:fldChar w:fldCharType="separate"/>
      </w:r>
      <w:r w:rsidR="00113335">
        <w:rPr>
          <w:noProof/>
          <w:rtl/>
        </w:rPr>
        <w:t>265</w:t>
      </w:r>
      <w:r>
        <w:fldChar w:fldCharType="end"/>
      </w:r>
    </w:p>
    <w:p w14:paraId="55E66F27" w14:textId="77777777" w:rsidR="00454428" w:rsidRDefault="00000000" w:rsidP="00C72BA8">
      <w:pPr>
        <w:spacing w:before="120" w:after="120" w:line="360" w:lineRule="auto"/>
        <w:jc w:val="both"/>
        <w:rPr>
          <w:rFonts w:eastAsia="Times New Roman"/>
          <w:b/>
          <w:bCs/>
          <w:sz w:val="32"/>
          <w:szCs w:val="32"/>
        </w:rPr>
      </w:pPr>
      <w:r>
        <w:rPr>
          <w:rFonts w:eastAsia="Times New Roman"/>
          <w:lang w:val="ar-SA"/>
        </w:rPr>
        <w:fldChar w:fldCharType="end"/>
      </w:r>
    </w:p>
    <w:p w14:paraId="0443192B" w14:textId="77777777" w:rsidR="00454428" w:rsidRDefault="00454428" w:rsidP="00C72BA8">
      <w:pPr>
        <w:pStyle w:val="Body"/>
        <w:spacing w:before="120" w:line="360" w:lineRule="auto"/>
        <w:sectPr w:rsidR="00454428">
          <w:headerReference w:type="default" r:id="rId13"/>
          <w:pgSz w:w="11900" w:h="16840"/>
          <w:pgMar w:top="1418" w:right="1985" w:bottom="1418" w:left="1418" w:header="709" w:footer="709" w:gutter="0"/>
          <w:pgNumType w:start="2"/>
          <w:cols w:space="720"/>
          <w:bidi/>
        </w:sectPr>
      </w:pPr>
    </w:p>
    <w:p w14:paraId="1D292C9D" w14:textId="77777777" w:rsidR="00454428" w:rsidRDefault="00000000" w:rsidP="00C72BA8">
      <w:pPr>
        <w:pStyle w:val="a"/>
        <w:rPr>
          <w:lang w:val="ar-SA"/>
        </w:rPr>
      </w:pPr>
      <w:bookmarkStart w:id="5" w:name="_Toc3"/>
      <w:r>
        <w:rPr>
          <w:rFonts w:ascii="Arial Unicode MS" w:eastAsia="Arial Unicode MS" w:hAnsi="Arial Unicode MS" w:hint="cs"/>
          <w:rtl/>
          <w:lang w:val="ar-SA"/>
        </w:rPr>
        <w:lastRenderedPageBreak/>
        <w:t>المقدمة</w:t>
      </w:r>
      <w:bookmarkEnd w:id="5"/>
    </w:p>
    <w:p w14:paraId="4FA13A08"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يعيش العالم ثورةً في عالم التكنولوجيا والاتصالات وهي مستمرة بشكل دائم ومتطوِّرة، وأهم ما أفرزته هذه الثورة هو الكمبيوتر وشبكة الإنترنت، وما لهما من تأثيرات شملت معظم مجالات الحياة،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فرضت نفسها على حقوق الملكية الفكرية، ولا شك أنَّ معظم ما تتضمنه هذه الشبكة من خلال المواقع الإلكترونية هو عبارة عن ملكية فكرية، سواء كانت براءةَ اختراعٍ، أو علاماتٍ تجاريةً، أو حقوقَ المؤلفين والحقوق المجاورة لها؛ حيث إنَّ ما ينشر في البيئة الرقمية أو الفضاء الإلكتروني هي حقوق لصاحبها ولا يجوز استغلالها بأي شكل من الأشكال إلا بإذن وموافقة مالكها</w:t>
      </w:r>
      <w:r>
        <w:rPr>
          <w:rFonts w:ascii="Times New Roman" w:hAnsi="Times New Roman"/>
          <w:sz w:val="24"/>
          <w:szCs w:val="24"/>
          <w:rtl/>
          <w:lang w:val="ar-SA"/>
        </w:rPr>
        <w:t>.</w:t>
      </w:r>
    </w:p>
    <w:p w14:paraId="773C2B2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تُعَدُّ الحماية القانونية للملكية الفكرية ضروريةً؛ لحماية حقوق المبتكرين والمبدعين في مجالات متنوعة،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الأدب، والفنون، والإعلام، والاختراعات، والعلوم، تهدف هذه الحماية إلى تعزيز الابتكار والإبداع، من خلال منح حقوق قانونية محددة لأصحاب الأعمال الفكرية، تشمل هذه الحقوق الحق في الاستخدام الحصري للعمل الفكري، بالإضافة إلى القدرة على منع الآخرين من نسخ أو استخدام العمل دون الحصول على إذن</w:t>
      </w:r>
      <w:r>
        <w:rPr>
          <w:rFonts w:ascii="Times New Roman" w:hAnsi="Times New Roman"/>
          <w:sz w:val="24"/>
          <w:szCs w:val="24"/>
          <w:rtl/>
          <w:lang w:val="ar-SA"/>
        </w:rPr>
        <w:t>.</w:t>
      </w:r>
    </w:p>
    <w:p w14:paraId="5A518197"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تختلف آليات الحماية من دولة لأخرى بِناءً على نوع الملكية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النشر وبراءات الاختراع، تُعتبر البراءات حقوقًا حصريةً تمنح مقابل اختراع معين؛ حيث تتيح لصاحب البراءة التحكم في كيفية استخدام الآخرين للاختراع، وفي المقابل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يُلزَم مالك البراءة بتوفير المعلومات التقنية المتعلقة بالاختراع في وثيقة البراءة المنشورة، أما العلامات التجارية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فهي تشير إلى تمييز منتجات أو خدمات شركة معينة عن تلك الخاصة بشركات أخرى</w:t>
      </w:r>
      <w:r>
        <w:rPr>
          <w:rFonts w:ascii="Times New Roman" w:hAnsi="Times New Roman"/>
          <w:sz w:val="24"/>
          <w:szCs w:val="24"/>
          <w:rtl/>
          <w:lang w:val="ar-SA"/>
        </w:rPr>
        <w:t xml:space="preserve">. </w:t>
      </w:r>
    </w:p>
    <w:p w14:paraId="03E55DB1"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بالإضافة إلى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تشمل حقوق المؤلف مجموعةً واسعةً من الأعمال، بَدءًا من النشر الإعلامي والكتب والموسيقى، وصولًا إلى اللوحات الزيتية، والمنحوتات، والأفلام، وكذلك البرامج الحاسوبية، وقواعد البيانات، والإعلانات، والخرائط، والرسوم التقنية</w:t>
      </w:r>
      <w:r>
        <w:rPr>
          <w:rFonts w:ascii="Times New Roman" w:hAnsi="Times New Roman"/>
          <w:sz w:val="24"/>
          <w:szCs w:val="24"/>
          <w:rtl/>
          <w:lang w:val="ar-SA"/>
        </w:rPr>
        <w:t>.</w:t>
      </w:r>
    </w:p>
    <w:p w14:paraId="11480EF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يعمل القانون على حماية الملكية الفكرية التجارية والمالية لأصحاب الأعمال في المملكة، وفي القوانين المقارنة؛ ممَّا يسهم في تعزيز الاستثمار في مجالات البحث والابتكار، كما أنَّ حقوق الملكية الفكرية تعزّز المنافسة العادلة، وتقلل من الانتهاكات والقرصنة الفكرية</w:t>
      </w:r>
      <w:r>
        <w:rPr>
          <w:rFonts w:ascii="Times New Roman" w:hAnsi="Times New Roman"/>
          <w:sz w:val="24"/>
          <w:szCs w:val="24"/>
          <w:rtl/>
          <w:lang w:val="ar-SA"/>
        </w:rPr>
        <w:t>.</w:t>
      </w:r>
    </w:p>
    <w:p w14:paraId="1473E8E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ونتيجة للتطور التكنولوجي تغيرت النظرة إلى مفهوم الملكية الفكرية حيث اتسع المفهوم ليشمل العديد من أشكال الملكية الفكرية وهي الأعمال الإبداعية التي يتم إنتاجها في البيئة الرقمية</w:t>
      </w:r>
      <w:r>
        <w:rPr>
          <w:rFonts w:ascii="Times New Roman" w:hAnsi="Times New Roman"/>
          <w:sz w:val="24"/>
          <w:szCs w:val="24"/>
          <w:rtl/>
          <w:lang w:val="ar-SA"/>
        </w:rPr>
        <w:t xml:space="preserve">. </w:t>
      </w:r>
    </w:p>
    <w:p w14:paraId="3DBA124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فقد ساهمت الثورة الصناعية من خلال التقدم التقني وانتشار الحاسبات الآلية لبزوغ الثورة الجديدة في مجال الاتصالات ونقل المعلومات عبر وسائل متعددة مبتدئة بالتلغراف فالهاتف فالأقمار الصناعية والانترنت وغيرها، وأحدثها شبكة الانترنت وهذا ما ساعد على تسهيل طرق نشر حقوق الملكية الفكرية بجميع أنواعها شبكات الاتصالات أو عبر أجهزة الحاسب الآلي وغيرها من الوسائل الأخرى للنشر الإلكتروني</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
      </w:r>
      <w:r>
        <w:rPr>
          <w:rFonts w:ascii="Times New Roman" w:hAnsi="Times New Roman"/>
          <w:sz w:val="24"/>
          <w:szCs w:val="24"/>
          <w:vertAlign w:val="superscript"/>
          <w:rtl/>
          <w:lang w:val="ar-SA"/>
        </w:rPr>
        <w:t>)</w:t>
      </w:r>
    </w:p>
    <w:p w14:paraId="265CD28A"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lastRenderedPageBreak/>
        <w:t>فلا شك أن التطور التكنولوجي في مختلف جوانب الحياة ساهم بشكل كبير في ظهور حقوق جديدة لم تكن مألوفة في الماضي، وتشمل هذه الحقوق</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الصوت أو الرسم أو الحركة أو الشكل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5205C54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يتضح من ذلك أن التطور التكنولوجي أثر في فكرة حقوق الملكية من زاويتين الزاوية الأولى ظهور حقوق جديدة تتعلق بالبيئة الرقمية أما الزاوية الأخرى فهي المتطلبات القانونية اللازمة لحماية حقوق الملكية الفكرية في البيئة الرقمية</w:t>
      </w:r>
      <w:r>
        <w:rPr>
          <w:rFonts w:ascii="Times New Roman" w:hAnsi="Times New Roman"/>
          <w:sz w:val="24"/>
          <w:szCs w:val="24"/>
          <w:rtl/>
          <w:lang w:val="ar-SA"/>
        </w:rPr>
        <w:t xml:space="preserve">. </w:t>
      </w:r>
    </w:p>
    <w:p w14:paraId="426F44F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تعتبر حماية الحقوق القانونية للملكية الفكرية في الفضاء الرقمي من أبرز التحديات التي تواجه المجتمعات المعاصرة، وذلك في ظل التطوُّر التكنولوجي السريع وانتشار البيئة الرقمية، وتهدف حقوق الملكية الفكرية إلى حماية الابتكارات والإبداعات الفكرية، وتشجيع الابتكار والإبداع، وذلك من خلال توفير الحماية القانونية للمخترعين، والمؤلفين، والمبدعين، أما كلمة ملكية فإنَّها تنطبق على الأشياء المادية من عقارات ومنقولات، وإذا كانت ملكية الأشياء تبدو طبيعيةً ومألوفةً؛ فإنَّ التساؤل يثور حول حيازة الإنتاج الفكري</w:t>
      </w:r>
      <w:r>
        <w:rPr>
          <w:rFonts w:ascii="Times New Roman" w:hAnsi="Times New Roman"/>
          <w:sz w:val="24"/>
          <w:szCs w:val="24"/>
          <w:rtl/>
          <w:lang w:val="ar-SA"/>
        </w:rPr>
        <w:t>.</w:t>
      </w:r>
      <w:bookmarkStart w:id="6" w:name="_Hlk175666718"/>
      <w:r>
        <w:rPr>
          <w:rFonts w:ascii="Times New Roman" w:hAnsi="Times New Roman"/>
          <w:sz w:val="24"/>
          <w:szCs w:val="24"/>
          <w:rtl/>
          <w:lang w:val="ar-SA"/>
        </w:rPr>
        <w:t xml:space="preserve"> </w:t>
      </w:r>
      <w:bookmarkEnd w:id="6"/>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
      </w:r>
      <w:r>
        <w:rPr>
          <w:rFonts w:ascii="Times New Roman" w:hAnsi="Times New Roman"/>
          <w:sz w:val="24"/>
          <w:szCs w:val="24"/>
          <w:vertAlign w:val="superscript"/>
          <w:rtl/>
          <w:lang w:val="ar-SA"/>
        </w:rPr>
        <w:t>)</w:t>
      </w:r>
    </w:p>
    <w:p w14:paraId="41B656DB"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حيث تكمن الصعوبة في مدى اعتبار حقوق الملكية الفكرية بشكل عام، وحقوق المؤلفين، والحقوق المجاورة لها بمنأى عن الاعتداءات التي قد تتعرض لها، في حقيقة الأمر</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فإنَّ السهولة المفرطة في النسخ والتوزيع وقلة تكاليفها وتزايد عدد المستخدمين يجعل هذه البيئة غير آمنة،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ظهرت مشاكل كبيرة في هذا المجال، ومن هنا كان لا بُدَّ من البحث في حماية حقوق المؤلف والحقوق المرتبطة بها في الفضاء الرقمي، وكذلك النشر الإلكتروني</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
      </w:r>
      <w:r>
        <w:rPr>
          <w:rFonts w:ascii="Times New Roman" w:hAnsi="Times New Roman"/>
          <w:sz w:val="24"/>
          <w:szCs w:val="24"/>
          <w:vertAlign w:val="superscript"/>
          <w:rtl/>
          <w:lang w:val="ar-SA"/>
        </w:rPr>
        <w:t>)</w:t>
      </w:r>
    </w:p>
    <w:p w14:paraId="0B2EEB3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نتيجةً لذلك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تسارعت الجهود الدولية ومنظمات العالم لتوحيد المساعي نحو إيجاد أساليب متطوِّرة تهدف إلى توفير حماية أفضل للحقوق الفكرية في البيئة الرقمية، وقد كانت من أبرز هذه الجهود على المستوى التجاري الدولي إنشاء منظمة التجارة العالمية </w:t>
      </w:r>
      <w:r>
        <w:rPr>
          <w:rFonts w:ascii="Times New Roman" w:hAnsi="Times New Roman"/>
          <w:sz w:val="24"/>
          <w:szCs w:val="24"/>
          <w:rtl/>
          <w:lang w:val="ar-SA"/>
        </w:rPr>
        <w:t>(</w:t>
      </w:r>
      <w:r>
        <w:rPr>
          <w:rFonts w:ascii="Times New Roman" w:hAnsi="Times New Roman"/>
          <w:sz w:val="24"/>
          <w:szCs w:val="24"/>
          <w:lang w:val="de-DE"/>
        </w:rPr>
        <w:t>W.T.O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w:t>
      </w:r>
      <w:r>
        <w:rPr>
          <w:rFonts w:ascii="Times New Roman" w:hAnsi="Times New Roman"/>
          <w:sz w:val="24"/>
          <w:szCs w:val="24"/>
          <w:rtl/>
          <w:lang w:val="ar-SA"/>
        </w:rPr>
        <w:t xml:space="preserve">15 </w:t>
      </w:r>
      <w:r>
        <w:rPr>
          <w:rFonts w:ascii="Arial Unicode MS" w:hAnsi="Arial Unicode MS" w:cs="Times New Roman" w:hint="cs"/>
          <w:sz w:val="24"/>
          <w:szCs w:val="24"/>
          <w:rtl/>
          <w:lang w:val="ar-SA"/>
        </w:rPr>
        <w:t xml:space="preserve">أبريل </w:t>
      </w:r>
      <w:r>
        <w:rPr>
          <w:rFonts w:ascii="Times New Roman" w:hAnsi="Times New Roman"/>
          <w:sz w:val="24"/>
          <w:szCs w:val="24"/>
          <w:rtl/>
          <w:lang w:val="ar-SA"/>
        </w:rPr>
        <w:t>1994</w:t>
      </w:r>
      <w:r>
        <w:rPr>
          <w:rFonts w:ascii="Arial Unicode MS" w:hAnsi="Arial Unicode MS" w:cs="Times New Roman" w:hint="cs"/>
          <w:sz w:val="24"/>
          <w:szCs w:val="24"/>
          <w:rtl/>
          <w:lang w:val="ar-SA"/>
        </w:rPr>
        <w:t>؛ حيث أسفرت جهودها عن إبرام اتفاقية تريبس التي تعمل تحت مظلة المنظمة، أما على صعيد الحقوق الأدبية والفنية الدولية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فقد أُسست المنظمة العالمية للملكية الفكرية </w:t>
      </w:r>
      <w:r>
        <w:rPr>
          <w:rFonts w:ascii="Times New Roman" w:hAnsi="Times New Roman"/>
          <w:sz w:val="24"/>
          <w:szCs w:val="24"/>
          <w:rtl/>
          <w:lang w:val="ar-SA"/>
        </w:rPr>
        <w:t>(</w:t>
      </w:r>
      <w:r>
        <w:rPr>
          <w:rFonts w:ascii="Times New Roman" w:hAnsi="Times New Roman"/>
          <w:sz w:val="24"/>
          <w:szCs w:val="24"/>
          <w:lang w:val="en-US"/>
        </w:rPr>
        <w:t>WIPO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عام </w:t>
      </w:r>
      <w:r>
        <w:rPr>
          <w:rFonts w:ascii="Times New Roman" w:hAnsi="Times New Roman"/>
          <w:sz w:val="24"/>
          <w:szCs w:val="24"/>
          <w:rtl/>
          <w:lang w:val="ar-SA"/>
        </w:rPr>
        <w:t>1974</w:t>
      </w:r>
      <w:r>
        <w:rPr>
          <w:rFonts w:ascii="Arial Unicode MS" w:hAnsi="Arial Unicode MS" w:cs="Times New Roman" w:hint="cs"/>
          <w:sz w:val="24"/>
          <w:szCs w:val="24"/>
          <w:rtl/>
          <w:lang w:val="ar-SA"/>
        </w:rPr>
        <w:t xml:space="preserve">، ونجحت في إبرام العديد من الاتفاقيات، من أبرزها اتفاقية </w:t>
      </w:r>
      <w:r>
        <w:rPr>
          <w:rFonts w:ascii="Times New Roman" w:hAnsi="Times New Roman"/>
          <w:sz w:val="24"/>
          <w:szCs w:val="24"/>
          <w:lang w:val="en-US"/>
        </w:rPr>
        <w:t>WIPO</w:t>
      </w:r>
      <w:r>
        <w:rPr>
          <w:rFonts w:ascii="Arial Unicode MS" w:hAnsi="Arial Unicode MS" w:cs="Times New Roman" w:hint="cs"/>
          <w:sz w:val="24"/>
          <w:szCs w:val="24"/>
          <w:rtl/>
          <w:lang w:val="ar-SA"/>
        </w:rPr>
        <w:t xml:space="preserve"> لحماية حقوق التأليف في عام </w:t>
      </w:r>
      <w:r>
        <w:rPr>
          <w:rFonts w:ascii="Times New Roman" w:hAnsi="Times New Roman"/>
          <w:sz w:val="24"/>
          <w:szCs w:val="24"/>
          <w:rtl/>
          <w:lang w:val="ar-SA"/>
        </w:rPr>
        <w:t>1996</w:t>
      </w:r>
      <w:r>
        <w:rPr>
          <w:rFonts w:ascii="Arial Unicode MS" w:hAnsi="Arial Unicode MS" w:cs="Times New Roman" w:hint="cs"/>
          <w:sz w:val="24"/>
          <w:szCs w:val="24"/>
          <w:rtl/>
          <w:lang w:val="ar-SA"/>
        </w:rPr>
        <w:t xml:space="preserve">، واتفاقية </w:t>
      </w:r>
      <w:r>
        <w:rPr>
          <w:rFonts w:ascii="Times New Roman" w:hAnsi="Times New Roman"/>
          <w:sz w:val="24"/>
          <w:szCs w:val="24"/>
          <w:lang w:val="en-US"/>
        </w:rPr>
        <w:t>WIPO</w:t>
      </w:r>
      <w:r>
        <w:rPr>
          <w:rFonts w:ascii="Arial Unicode MS" w:hAnsi="Arial Unicode MS" w:cs="Times New Roman" w:hint="cs"/>
          <w:sz w:val="24"/>
          <w:szCs w:val="24"/>
          <w:rtl/>
          <w:lang w:val="ar-SA"/>
        </w:rPr>
        <w:t xml:space="preserve"> لحماية حقوق المؤدين ومنتجي التسجيلات الصوتية في نفس العام</w:t>
      </w:r>
      <w:r>
        <w:rPr>
          <w:rFonts w:ascii="Times New Roman" w:hAnsi="Times New Roman"/>
          <w:sz w:val="24"/>
          <w:szCs w:val="24"/>
          <w:rtl/>
          <w:lang w:val="ar-SA"/>
        </w:rPr>
        <w:t>.</w:t>
      </w:r>
    </w:p>
    <w:p w14:paraId="2201BCA0"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نظرًا للأهمية الكبيرة التي تتمتع بها الحقوق الفكرية ودورها الحيوي في تعزيز البحث العلمي والإبداع والابتكار؛ ممَّا يساهم بشكل إيجابي في التقدم الصناعي والتكنولوجي، كان من الطبيعي أنْ تسعى التشريعات والمنظمات </w:t>
      </w:r>
      <w:r>
        <w:rPr>
          <w:rFonts w:ascii="Arial Unicode MS" w:hAnsi="Arial Unicode MS" w:cs="Times New Roman" w:hint="cs"/>
          <w:sz w:val="24"/>
          <w:szCs w:val="24"/>
          <w:rtl/>
          <w:lang w:val="ar-SA"/>
        </w:rPr>
        <w:lastRenderedPageBreak/>
        <w:t>الدولية إلى توفير الحماية اللازمة والمناسبة لهذه الحقوق، وخاصةً الحقوق الرقمية، فالمجهود الفكري يرتبط بشكل وثيق بشخص صاحبه، أكثر من ارتباطه بالجهد البدني الذي تحميه جميع القوانين</w:t>
      </w:r>
      <w:r>
        <w:rPr>
          <w:rFonts w:ascii="Times New Roman" w:hAnsi="Times New Roman"/>
          <w:sz w:val="24"/>
          <w:szCs w:val="24"/>
          <w:rtl/>
          <w:lang w:val="ar-SA"/>
        </w:rPr>
        <w:t xml:space="preserve">. </w:t>
      </w:r>
    </w:p>
    <w:p w14:paraId="37AE095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وبسبب تعدد أنواع الحقوق الفكرية؛ تختلف وسائل حمايتها أيضًا، عمومًا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يمكن تقسيم وسائل حماية الحقوق الفكرية الرقمية إلى قسمين</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قانونية وتقنية، تشير الوسائل التقنية إلى مجموعة من الأدوات التي تهدف إلى ضمان أمن وموثوقية البيانات والمعلومات المتداولة عبر الإنترنت أو في بيئة الحاسوب، بالإضافة إلى مشروعية الاستخدام والتداول في الفضاء الرقمي، ومن الأمثلة على هذه الوسائل التشفير، والخصوصية، والجدران النارية</w:t>
      </w:r>
      <w:r>
        <w:rPr>
          <w:rFonts w:ascii="Times New Roman" w:hAnsi="Times New Roman"/>
          <w:sz w:val="24"/>
          <w:szCs w:val="24"/>
          <w:rtl/>
          <w:lang w:val="ar-SA"/>
        </w:rPr>
        <w:t xml:space="preserve">. </w:t>
      </w:r>
    </w:p>
    <w:p w14:paraId="2AA8FF7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ومع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ستركز دراستنا على الحماية القانونية، والتي تتولَّى مسئوليتها التشريعات الوطنية والاتفاقيات الدولية المتعلقة بحماية الحقوق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 حماية حق المؤلف، وقانون براءات الاختراع، وقانون حماية العلامات التجارية، بالإضافة إلى القواعد العامة،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القانون المدني</w:t>
      </w:r>
      <w:r>
        <w:rPr>
          <w:rFonts w:ascii="Times New Roman" w:hAnsi="Times New Roman"/>
          <w:sz w:val="24"/>
          <w:szCs w:val="24"/>
          <w:rtl/>
          <w:lang w:val="ar-SA"/>
        </w:rPr>
        <w:t>.</w:t>
      </w:r>
    </w:p>
    <w:p w14:paraId="305D15D4"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تهدف هذه </w:t>
      </w:r>
      <w:bookmarkStart w:id="7" w:name="_Hlk183281366"/>
      <w:r>
        <w:rPr>
          <w:rFonts w:ascii="Arial Unicode MS" w:hAnsi="Arial Unicode MS" w:cs="Times New Roman" w:hint="cs"/>
          <w:sz w:val="24"/>
          <w:szCs w:val="24"/>
          <w:rtl/>
          <w:lang w:val="ar-SA"/>
        </w:rPr>
        <w:t xml:space="preserve">الدراسة </w:t>
      </w:r>
      <w:bookmarkEnd w:id="7"/>
      <w:r>
        <w:rPr>
          <w:rFonts w:ascii="Arial Unicode MS" w:hAnsi="Arial Unicode MS" w:cs="Times New Roman" w:hint="cs"/>
          <w:sz w:val="24"/>
          <w:szCs w:val="24"/>
          <w:rtl/>
          <w:lang w:val="ar-SA"/>
        </w:rPr>
        <w:t>إلى تقديم دراسة شاملة ومقارنة حول الحماية القانونية لحقوق الملكية الفكرية في البيئة الرقمية، مع التركيز على التحديات والفرص التي تتيحها التطوُّرات التكنولوجية الحديثة، من خلال استعراض القوانين والتشريعات الوطنية والدولية، تسعى الرسالة إلى تقديم توصيات فعَّالة؛ لتعزيز حماية حقوق الملكية الفكرية في العصر الرقمي، بما يسهم في دعم الابتكار، والإبداع، وتحقيق التنمية المستدامة</w:t>
      </w:r>
      <w:r>
        <w:rPr>
          <w:rFonts w:ascii="Times New Roman" w:hAnsi="Times New Roman"/>
          <w:sz w:val="24"/>
          <w:szCs w:val="24"/>
          <w:rtl/>
          <w:lang w:val="ar-SA"/>
        </w:rPr>
        <w:t>.</w:t>
      </w:r>
    </w:p>
    <w:p w14:paraId="7E1B362F" w14:textId="77777777" w:rsidR="00454428" w:rsidRDefault="00000000" w:rsidP="00C72BA8">
      <w:pPr>
        <w:pStyle w:val="a0"/>
        <w:rPr>
          <w:lang w:val="ar-SA"/>
        </w:rPr>
      </w:pPr>
      <w:bookmarkStart w:id="8" w:name="_Toc4"/>
      <w:r>
        <w:rPr>
          <w:rFonts w:ascii="Arial Unicode MS" w:eastAsia="Arial Unicode MS" w:hAnsi="Arial Unicode MS" w:hint="cs"/>
          <w:rtl/>
          <w:lang w:val="ar-SA"/>
        </w:rPr>
        <w:t>أولًا</w:t>
      </w:r>
      <w:r>
        <w:rPr>
          <w:rtl/>
          <w:lang w:val="ar-SA"/>
        </w:rPr>
        <w:t xml:space="preserve">: </w:t>
      </w:r>
      <w:r>
        <w:rPr>
          <w:rFonts w:ascii="Arial Unicode MS" w:eastAsia="Arial Unicode MS" w:hAnsi="Arial Unicode MS" w:hint="cs"/>
          <w:rtl/>
          <w:lang w:val="ar-SA"/>
        </w:rPr>
        <w:t>أهمية الدراسة</w:t>
      </w:r>
      <w:r>
        <w:rPr>
          <w:rtl/>
          <w:lang w:val="ar-SA"/>
        </w:rPr>
        <w:t>:</w:t>
      </w:r>
      <w:bookmarkEnd w:id="8"/>
    </w:p>
    <w:p w14:paraId="74FAB6E9"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يعتبر كل ما ينتج عن الفكر والعقل البشري من ابتكارات وإبداعات من الأمور التي تستحق الحماية والمحافظة عليها؛ حيث تعتبر هذه الحقوق مرتبطةً ارتباطًا وثيقًا بالفرد، فهي نتاج جهوده الفكرية، ويُعَدُّ الابتكار والإبداع من أبرز سماته، وغالبًا ما ترتبط هذه الإبداعات بالجوانب الإنتاجية والاقتصادية؛ ممَّا يعود بالنفع على صاحبها والمجتمع بشكل عام</w:t>
      </w:r>
      <w:r>
        <w:rPr>
          <w:rFonts w:ascii="Times New Roman" w:hAnsi="Times New Roman"/>
          <w:sz w:val="24"/>
          <w:szCs w:val="24"/>
          <w:rtl/>
          <w:lang w:val="ar-SA"/>
        </w:rPr>
        <w:t>.</w:t>
      </w:r>
    </w:p>
    <w:p w14:paraId="51480300"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تتجلَّى أهمية الملكية الفكرية من خلال ضرورة حمايتها، خاصةً مع ظهور الإبداعات والاختراعات، واستمرار الثورة الصناعية؛ ممَّا أدى إلى نتائج خطيرة على الأصعدة الاقتصادية، والاجتماعية، والصحية، وقد أثر ذلك بشكل إيجابي على عملية الإنتاج وزيادة حركة التبادل الدولي؛ ممَّا استدعى تنظيم العلاقات التجارية ضمن إطار النظام التجاري الدولي</w:t>
      </w:r>
      <w:r>
        <w:rPr>
          <w:rFonts w:ascii="Times New Roman" w:hAnsi="Times New Roman"/>
          <w:sz w:val="24"/>
          <w:szCs w:val="24"/>
          <w:rtl/>
          <w:lang w:val="ar-SA"/>
        </w:rPr>
        <w:t>.</w:t>
      </w:r>
    </w:p>
    <w:p w14:paraId="52A808AA"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تشكل الحماية القانونية لحقوق الملكية الفكرية في البيئة الرقمية مسألةً ذاتَ أهميةٍ بالغةٍ، تُعَدُّ هذه الحقوق أساسيةً لتعزيز الابتكار والإبداع، وتشجيع الاستثمار في الأبحاث والتطوير بفضل التقدم التكنولوجي، أصبح بإمكان الأفراد والمؤسسات نسخ وتوزيع المحتوى الرقمي بسرعة وسهولة عبر منصات متعددة؛ ممَّا يضاعف التحديات المتعلقة بحقوق الملكية الفكرية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6"/>
      </w:r>
      <w:r>
        <w:rPr>
          <w:rFonts w:ascii="Times New Roman" w:hAnsi="Times New Roman"/>
          <w:sz w:val="24"/>
          <w:szCs w:val="24"/>
          <w:vertAlign w:val="superscript"/>
          <w:rtl/>
          <w:lang w:val="ar-SA"/>
        </w:rPr>
        <w:t>)</w:t>
      </w:r>
    </w:p>
    <w:p w14:paraId="559D8847" w14:textId="0870A342" w:rsidR="00454428" w:rsidRPr="00C72BA8" w:rsidRDefault="00000000" w:rsidP="00C72BA8">
      <w:pPr>
        <w:pStyle w:val="ListParagraph"/>
        <w:numPr>
          <w:ilvl w:val="0"/>
          <w:numId w:val="9"/>
        </w:numPr>
        <w:spacing w:before="120" w:after="120" w:line="360" w:lineRule="auto"/>
        <w:jc w:val="both"/>
        <w:rPr>
          <w:rFonts w:cs="Times New Roman"/>
          <w:sz w:val="24"/>
          <w:szCs w:val="24"/>
          <w:lang w:val="ar-SA"/>
        </w:rPr>
      </w:pPr>
      <w:r>
        <w:rPr>
          <w:rFonts w:cs="Times New Roman"/>
          <w:sz w:val="24"/>
          <w:szCs w:val="24"/>
          <w:rtl/>
          <w:lang w:val="ar-SA"/>
        </w:rPr>
        <w:lastRenderedPageBreak/>
        <w:t>تساهم حماية حقوق الملكية الفكرية في توفير بيئةٍ آمنةٍ للاستثمار في التكنولوجيا والمحتوى الرقمي؛ ممَّا يعزّز من نمو الاقتصاد الرقمي</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7"/>
      </w:r>
      <w:r>
        <w:rPr>
          <w:rFonts w:ascii="Times New Roman" w:hAnsi="Times New Roman"/>
          <w:sz w:val="24"/>
          <w:szCs w:val="24"/>
          <w:vertAlign w:val="superscript"/>
          <w:rtl/>
          <w:lang w:val="ar-SA"/>
        </w:rPr>
        <w:t>)</w:t>
      </w:r>
    </w:p>
    <w:p w14:paraId="1781F692" w14:textId="77777777" w:rsidR="00454428" w:rsidRDefault="00000000" w:rsidP="00C72BA8">
      <w:pPr>
        <w:pStyle w:val="a0"/>
        <w:rPr>
          <w:lang w:val="ar-SA"/>
        </w:rPr>
      </w:pPr>
      <w:bookmarkStart w:id="9" w:name="_Toc5"/>
      <w:r>
        <w:rPr>
          <w:rFonts w:ascii="Arial Unicode MS" w:eastAsia="Arial Unicode MS" w:hAnsi="Arial Unicode MS" w:hint="cs"/>
          <w:rtl/>
          <w:lang w:val="ar-SA"/>
        </w:rPr>
        <w:t>ثانيًا</w:t>
      </w:r>
      <w:r>
        <w:rPr>
          <w:rtl/>
          <w:lang w:val="ar-SA"/>
        </w:rPr>
        <w:t xml:space="preserve">: </w:t>
      </w:r>
      <w:r>
        <w:rPr>
          <w:rFonts w:ascii="Arial Unicode MS" w:eastAsia="Arial Unicode MS" w:hAnsi="Arial Unicode MS" w:hint="cs"/>
          <w:rtl/>
          <w:lang w:val="ar-SA"/>
        </w:rPr>
        <w:t>أهداف الدراسة</w:t>
      </w:r>
      <w:r>
        <w:rPr>
          <w:rtl/>
          <w:lang w:val="ar-SA"/>
        </w:rPr>
        <w:t>:</w:t>
      </w:r>
      <w:bookmarkEnd w:id="9"/>
    </w:p>
    <w:p w14:paraId="6FDCEC4B"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تحديد أنواع حقوق الملكية الفكرية</w:t>
      </w:r>
      <w:r>
        <w:rPr>
          <w:rFonts w:ascii="Times New Roman" w:hAnsi="Times New Roman"/>
          <w:sz w:val="24"/>
          <w:szCs w:val="24"/>
          <w:rtl/>
          <w:lang w:val="ar-SA"/>
        </w:rPr>
        <w:t>.</w:t>
      </w:r>
    </w:p>
    <w:p w14:paraId="0961EE5D" w14:textId="77777777" w:rsidR="00454428" w:rsidRDefault="00000000" w:rsidP="00C72BA8">
      <w:pPr>
        <w:pStyle w:val="ListParagraph"/>
        <w:numPr>
          <w:ilvl w:val="0"/>
          <w:numId w:val="9"/>
        </w:numPr>
        <w:spacing w:before="120" w:after="120" w:line="360" w:lineRule="auto"/>
        <w:jc w:val="both"/>
        <w:rPr>
          <w:rFonts w:ascii="Times New Roman" w:eastAsia="Times New Roman" w:hAnsi="Times New Roman" w:cs="Times New Roman" w:hint="default"/>
          <w:sz w:val="24"/>
          <w:szCs w:val="24"/>
          <w:rtl/>
          <w:lang w:val="ar-SA"/>
        </w:rPr>
      </w:pPr>
      <w:bookmarkStart w:id="10" w:name="_Hlk184236920"/>
      <w:r>
        <w:rPr>
          <w:rFonts w:cs="Times New Roman"/>
          <w:sz w:val="24"/>
          <w:szCs w:val="24"/>
          <w:rtl/>
          <w:lang w:val="ar-SA"/>
        </w:rPr>
        <w:t xml:space="preserve">تهدف الدراسة إلى </w:t>
      </w:r>
      <w:bookmarkEnd w:id="10"/>
      <w:r>
        <w:rPr>
          <w:rFonts w:cs="Times New Roman"/>
          <w:sz w:val="24"/>
          <w:szCs w:val="24"/>
          <w:rtl/>
          <w:lang w:val="ar-SA"/>
        </w:rPr>
        <w:t>توضيح التحديات التقنية والقانونية، وتحليل الفروق الثقافية والتشريعية في حماية حقوق الملكية الفكرية في البيئة الرقمية؛ بسبب التأثيرات المتنوعة</w:t>
      </w:r>
      <w:bookmarkStart w:id="11" w:name="_Hlk175674867"/>
      <w:r>
        <w:rPr>
          <w:rFonts w:ascii="Times New Roman" w:hAnsi="Times New Roman"/>
          <w:sz w:val="24"/>
          <w:szCs w:val="24"/>
          <w:rtl/>
          <w:lang w:val="ar-SA"/>
        </w:rPr>
        <w:t xml:space="preserve"> </w:t>
      </w:r>
      <w:bookmarkStart w:id="12" w:name="_Hlk180453620"/>
      <w:bookmarkEnd w:id="11"/>
      <w:r>
        <w:rPr>
          <w:rFonts w:cs="Times New Roman"/>
          <w:sz w:val="24"/>
          <w:szCs w:val="24"/>
          <w:rtl/>
          <w:lang w:val="ar-SA"/>
        </w:rPr>
        <w:t>في البيئة الرقمية</w:t>
      </w:r>
      <w:r>
        <w:rPr>
          <w:rFonts w:ascii="Times New Roman" w:hAnsi="Times New Roman"/>
          <w:sz w:val="24"/>
          <w:szCs w:val="24"/>
          <w:rtl/>
          <w:lang w:val="ar-SA"/>
        </w:rPr>
        <w:t>.</w:t>
      </w:r>
    </w:p>
    <w:p w14:paraId="0D0215AB"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التعرُّف على الحماية التكنولوجية والقانونية للملكية الفكرية في البيئة الرقمية</w:t>
      </w:r>
      <w:r>
        <w:rPr>
          <w:rFonts w:ascii="Times New Roman" w:hAnsi="Times New Roman"/>
          <w:sz w:val="24"/>
          <w:szCs w:val="24"/>
          <w:rtl/>
          <w:lang w:val="ar-SA"/>
        </w:rPr>
        <w:t>.</w:t>
      </w:r>
    </w:p>
    <w:p w14:paraId="2405F739" w14:textId="77777777" w:rsidR="00454428" w:rsidRDefault="00000000" w:rsidP="00C72BA8">
      <w:pPr>
        <w:pStyle w:val="ListParagraph"/>
        <w:numPr>
          <w:ilvl w:val="0"/>
          <w:numId w:val="9"/>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رؤية شاملة للقضايا المرتبطة بالابتكار، والإبداع، والملكية الفكرية في العصر الرقمي؛ ممَّا يساعد في صياغة سياسات وإجراءات تشريعية أكثر فاعليةً وملاءمةً لمواجهة التحديات الحالية والمستقبلية</w:t>
      </w:r>
      <w:bookmarkEnd w:id="12"/>
      <w:r>
        <w:rPr>
          <w:rFonts w:ascii="Times New Roman" w:hAnsi="Times New Roman"/>
          <w:sz w:val="24"/>
          <w:szCs w:val="24"/>
          <w:rtl/>
          <w:lang w:val="ar-SA"/>
        </w:rPr>
        <w:t>.</w:t>
      </w:r>
    </w:p>
    <w:p w14:paraId="13E9FEBB" w14:textId="77777777" w:rsidR="00454428" w:rsidRDefault="00000000" w:rsidP="00C72BA8">
      <w:pPr>
        <w:pStyle w:val="ListParagraph"/>
        <w:numPr>
          <w:ilvl w:val="0"/>
          <w:numId w:val="10"/>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توصياتٍ عملية ومبنية على أدلة؛ لتعزيز الحماية، وتحسين التشريعات المعنية، وبيان طبيعة التحديات التقنية والقانونية، وتحليل الفروق الثقافية والتشريعية بين الدول المختلفة</w:t>
      </w:r>
      <w:r>
        <w:rPr>
          <w:rFonts w:ascii="Times New Roman" w:hAnsi="Times New Roman"/>
          <w:sz w:val="24"/>
          <w:szCs w:val="24"/>
          <w:rtl/>
          <w:lang w:val="ar-SA"/>
        </w:rPr>
        <w:t>.</w:t>
      </w:r>
    </w:p>
    <w:p w14:paraId="12DE082E" w14:textId="77777777" w:rsidR="00454428" w:rsidRDefault="00000000" w:rsidP="00C72BA8">
      <w:pPr>
        <w:pStyle w:val="a0"/>
        <w:rPr>
          <w:lang w:val="ar-SA"/>
        </w:rPr>
      </w:pPr>
      <w:bookmarkStart w:id="13" w:name="_Toc6"/>
      <w:r>
        <w:rPr>
          <w:rFonts w:ascii="Arial Unicode MS" w:eastAsia="Arial Unicode MS" w:hAnsi="Arial Unicode MS" w:hint="cs"/>
          <w:rtl/>
          <w:lang w:val="ar-SA"/>
        </w:rPr>
        <w:t>ثالثًا</w:t>
      </w:r>
      <w:r>
        <w:rPr>
          <w:rtl/>
          <w:lang w:val="ar-SA"/>
        </w:rPr>
        <w:t xml:space="preserve">: </w:t>
      </w:r>
      <w:r>
        <w:rPr>
          <w:rFonts w:ascii="Arial Unicode MS" w:eastAsia="Arial Unicode MS" w:hAnsi="Arial Unicode MS" w:hint="cs"/>
          <w:rtl/>
          <w:lang w:val="ar-SA"/>
        </w:rPr>
        <w:t xml:space="preserve">مشكلة </w:t>
      </w:r>
      <w:bookmarkStart w:id="14" w:name="_Hlk183281579"/>
      <w:r>
        <w:rPr>
          <w:rFonts w:ascii="Arial Unicode MS" w:eastAsia="Arial Unicode MS" w:hAnsi="Arial Unicode MS" w:hint="cs"/>
          <w:rtl/>
          <w:lang w:val="ar-SA"/>
        </w:rPr>
        <w:t>الدراسة</w:t>
      </w:r>
      <w:bookmarkEnd w:id="14"/>
      <w:r>
        <w:rPr>
          <w:rtl/>
          <w:lang w:val="ar-SA"/>
        </w:rPr>
        <w:t>:</w:t>
      </w:r>
      <w:bookmarkEnd w:id="13"/>
    </w:p>
    <w:p w14:paraId="6AEC81AF" w14:textId="77777777" w:rsidR="00454428" w:rsidRDefault="00000000" w:rsidP="00C72BA8">
      <w:pPr>
        <w:pStyle w:val="Body"/>
        <w:spacing w:before="120" w:after="120" w:line="360" w:lineRule="auto"/>
        <w:ind w:firstLine="720"/>
        <w:rPr>
          <w:rFonts w:ascii="Times New Roman" w:eastAsia="Times New Roman" w:hAnsi="Times New Roman" w:cs="Times New Roman"/>
          <w:sz w:val="24"/>
          <w:szCs w:val="24"/>
        </w:rPr>
      </w:pPr>
      <w:r>
        <w:rPr>
          <w:rFonts w:ascii="Arial Unicode MS" w:hAnsi="Arial Unicode MS" w:cs="Times New Roman" w:hint="cs"/>
          <w:sz w:val="24"/>
          <w:szCs w:val="24"/>
          <w:rtl/>
          <w:lang w:val="ar-SA"/>
        </w:rPr>
        <w:t>يظهر من خلال الواقع العملي أن القواعد القانونية التقليدية لم تعد كافية لمواجهة الانتهاكات التي تقع على المصنفات الرقمية، في ظل التحول المتسارع نحو البيئة الرقمية، والتي تتسم بسهولة نسخ المحتوى وإعادة نشره، فضلاً عن الطابع العابر للحدود لهذه الانتهاكات</w:t>
      </w:r>
      <w:r>
        <w:rPr>
          <w:rFonts w:ascii="Times New Roman" w:hAnsi="Times New Roman"/>
          <w:sz w:val="24"/>
          <w:szCs w:val="24"/>
          <w:rtl/>
          <w:lang w:val="ar-SA"/>
        </w:rPr>
        <w:t>.</w:t>
      </w:r>
    </w:p>
    <w:p w14:paraId="0E380087" w14:textId="77777777" w:rsidR="00454428" w:rsidRDefault="00000000" w:rsidP="00C72BA8">
      <w:pPr>
        <w:pStyle w:val="Body"/>
        <w:spacing w:before="120" w:after="120" w:line="360" w:lineRule="auto"/>
        <w:ind w:firstLine="720"/>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يتضح أن الإشكالية لا تقتصر على طبيعة المصنف الرقمي فحسب، بل تمتد لتشمل غياب تنظيم قانوني واضح لمسؤولية الأطراف الوسيطة، وعلى وجه الخصوص مزودي خدمات الإنترنت والمنصات الرقمية، عن المحتوى المخالف الذي يتم تداوله عبرها، إضافة إلى عدم وضوح الآليات القانونية المتعلقة بإزالة هذا المحتوى</w:t>
      </w:r>
      <w:r>
        <w:rPr>
          <w:rFonts w:ascii="Times New Roman" w:hAnsi="Times New Roman"/>
          <w:sz w:val="24"/>
          <w:szCs w:val="24"/>
          <w:rtl/>
          <w:lang w:val="ar-SA"/>
        </w:rPr>
        <w:t>.</w:t>
      </w:r>
    </w:p>
    <w:p w14:paraId="1578E861" w14:textId="77777777" w:rsidR="00454428" w:rsidRDefault="00000000" w:rsidP="00C72BA8">
      <w:pPr>
        <w:pStyle w:val="Body"/>
        <w:spacing w:before="120" w:after="120" w:line="360" w:lineRule="auto"/>
        <w:ind w:firstLine="720"/>
        <w:rPr>
          <w:rFonts w:ascii="Times New Roman" w:eastAsia="Times New Roman" w:hAnsi="Times New Roman" w:cs="Times New Roman"/>
          <w:sz w:val="24"/>
          <w:szCs w:val="24"/>
        </w:rPr>
      </w:pPr>
      <w:r>
        <w:rPr>
          <w:rFonts w:ascii="Arial Unicode MS" w:hAnsi="Arial Unicode MS" w:cs="Times New Roman" w:hint="cs"/>
          <w:sz w:val="24"/>
          <w:szCs w:val="24"/>
          <w:rtl/>
          <w:lang w:val="ar-SA"/>
        </w:rPr>
        <w:t>ويزداد الأمر تعقيداً بالنظر إلى الطبيعة الدولية للبيئة الرقمية، حيث يثور التساؤل حول الجهة القضائية المختصة والقانون الواجب التطبيق في حال تعدد أطراف العلاقة وتوزعهم جغرافياً</w:t>
      </w:r>
      <w:r>
        <w:rPr>
          <w:rFonts w:ascii="Times New Roman" w:hAnsi="Times New Roman"/>
          <w:sz w:val="24"/>
          <w:szCs w:val="24"/>
          <w:rtl/>
          <w:lang w:val="ar-SA"/>
        </w:rPr>
        <w:t>.</w:t>
      </w:r>
    </w:p>
    <w:p w14:paraId="5A778097" w14:textId="77777777" w:rsidR="00454428" w:rsidRDefault="00000000" w:rsidP="00C72BA8">
      <w:pPr>
        <w:pStyle w:val="Body"/>
        <w:spacing w:before="120" w:after="120" w:line="360" w:lineRule="auto"/>
        <w:ind w:firstLine="720"/>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ومن ناحية أخرى، أفرزت التطورات التقنية الحديثة، وعلى رأسها تقنيات الذكاء الاصطناعي، إشكالات قانونية جديدة تتعلق بتحديد صفة المؤلف، ومدى خضوع المصنفات الناتجة عنها للحماية القانونية</w:t>
      </w:r>
      <w:r>
        <w:rPr>
          <w:rFonts w:ascii="Times New Roman" w:hAnsi="Times New Roman"/>
          <w:sz w:val="24"/>
          <w:szCs w:val="24"/>
          <w:rtl/>
          <w:lang w:val="ar-SA"/>
        </w:rPr>
        <w:t>.</w:t>
      </w:r>
    </w:p>
    <w:p w14:paraId="358D1944"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shd w:val="clear" w:color="auto" w:fill="FFFF00"/>
        </w:rPr>
      </w:pPr>
      <w:r>
        <w:rPr>
          <w:rFonts w:ascii="Arial Unicode MS" w:hAnsi="Arial Unicode MS" w:cs="Times New Roman" w:hint="cs"/>
          <w:sz w:val="24"/>
          <w:szCs w:val="24"/>
          <w:rtl/>
          <w:lang w:val="ar-SA"/>
        </w:rPr>
        <w:t>وبناءً على ما سبق، تتمحور هذه الدراسة حول تقييم مدى كفاية الإطار القانوني القائم في توفير حماية فعالة لحقوق الملكية الفكرية في البيئة الرقمية، وبيان أوجه القصور فيه، واقتراح الحلول المناسبة لمعالجته</w:t>
      </w:r>
      <w:r>
        <w:rPr>
          <w:rFonts w:ascii="Times New Roman" w:hAnsi="Times New Roman"/>
          <w:sz w:val="24"/>
          <w:szCs w:val="24"/>
          <w:rtl/>
          <w:lang w:val="ar-SA"/>
        </w:rPr>
        <w:t>.</w:t>
      </w:r>
      <w:r>
        <w:rPr>
          <w:rFonts w:ascii="Times New Roman" w:hAnsi="Times New Roman"/>
          <w:sz w:val="24"/>
          <w:szCs w:val="24"/>
          <w:shd w:val="clear" w:color="auto" w:fill="FFFF00"/>
          <w:rtl/>
          <w:lang w:val="ar-SA"/>
        </w:rPr>
        <w:t xml:space="preserve"> </w:t>
      </w:r>
    </w:p>
    <w:p w14:paraId="74A931D5" w14:textId="145CE945" w:rsidR="00454428" w:rsidRPr="00C72BA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lastRenderedPageBreak/>
        <w:t>وبناء على ما سبق تتضح إشكالية الدراسة في السؤال الرئيسي 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إلى أي مدى يمكن للقواعد القانونية الحالية، سواء على المستوى الوطني أو الدولي، أن توفر حماية فعالة لحقوق الملكية الفكرية في البيئة الرقمية، لاسيما فيما يتعلق بمسؤولية المنصات الرقمية، وتنازع الاختصاص القضائي، والتحديات الناشئة عن التقنيات الحديثة؟</w:t>
      </w:r>
    </w:p>
    <w:p w14:paraId="19E9ABEC" w14:textId="77777777" w:rsidR="00454428" w:rsidRDefault="00000000" w:rsidP="00C72BA8">
      <w:pPr>
        <w:pStyle w:val="a0"/>
        <w:rPr>
          <w:lang w:val="ar-SA"/>
        </w:rPr>
      </w:pPr>
      <w:bookmarkStart w:id="15" w:name="_Toc7"/>
      <w:r>
        <w:rPr>
          <w:rFonts w:ascii="Arial Unicode MS" w:eastAsia="Arial Unicode MS" w:hAnsi="Arial Unicode MS" w:hint="cs"/>
          <w:rtl/>
          <w:lang w:val="ar-SA"/>
        </w:rPr>
        <w:t>رابعًا</w:t>
      </w:r>
      <w:r>
        <w:rPr>
          <w:rtl/>
          <w:lang w:val="ar-SA"/>
        </w:rPr>
        <w:t xml:space="preserve">: </w:t>
      </w:r>
      <w:r>
        <w:rPr>
          <w:rFonts w:ascii="Arial Unicode MS" w:eastAsia="Arial Unicode MS" w:hAnsi="Arial Unicode MS" w:hint="cs"/>
          <w:rtl/>
          <w:lang w:val="ar-SA"/>
        </w:rPr>
        <w:t xml:space="preserve">تساؤلات </w:t>
      </w:r>
      <w:bookmarkStart w:id="16" w:name="_Hlk179307107"/>
      <w:r>
        <w:rPr>
          <w:rFonts w:ascii="Arial Unicode MS" w:eastAsia="Arial Unicode MS" w:hAnsi="Arial Unicode MS" w:hint="cs"/>
          <w:rtl/>
          <w:lang w:val="ar-SA"/>
        </w:rPr>
        <w:t>الدراسة</w:t>
      </w:r>
      <w:r>
        <w:rPr>
          <w:rtl/>
          <w:lang w:val="ar-SA"/>
        </w:rPr>
        <w:t>:</w:t>
      </w:r>
      <w:bookmarkEnd w:id="15"/>
      <w:bookmarkEnd w:id="16"/>
    </w:p>
    <w:p w14:paraId="34753F32" w14:textId="77777777" w:rsidR="00454428" w:rsidRDefault="00000000" w:rsidP="00C72BA8">
      <w:pPr>
        <w:pStyle w:val="a0"/>
        <w:numPr>
          <w:ilvl w:val="0"/>
          <w:numId w:val="12"/>
        </w:numPr>
        <w:rPr>
          <w:b w:val="0"/>
          <w:bCs w:val="0"/>
          <w:sz w:val="24"/>
          <w:szCs w:val="24"/>
          <w:rtl/>
          <w:lang w:val="ar-SA"/>
        </w:rPr>
      </w:pPr>
      <w:bookmarkStart w:id="17" w:name="_Toc8"/>
      <w:r>
        <w:rPr>
          <w:rFonts w:ascii="Arial Unicode MS" w:eastAsia="Arial Unicode MS" w:hAnsi="Arial Unicode MS" w:hint="cs"/>
          <w:b w:val="0"/>
          <w:bCs w:val="0"/>
          <w:sz w:val="24"/>
          <w:szCs w:val="24"/>
          <w:rtl/>
          <w:lang w:val="ar-SA"/>
        </w:rPr>
        <w:t>ما الخصائص القانونية التي تميز المصنفات الرقمية عن المصنفات التقليدية؟</w:t>
      </w:r>
      <w:bookmarkEnd w:id="17"/>
    </w:p>
    <w:p w14:paraId="11063F6D" w14:textId="77777777" w:rsidR="00454428" w:rsidRDefault="00000000" w:rsidP="00C72BA8">
      <w:pPr>
        <w:pStyle w:val="a0"/>
        <w:numPr>
          <w:ilvl w:val="0"/>
          <w:numId w:val="12"/>
        </w:numPr>
        <w:rPr>
          <w:b w:val="0"/>
          <w:bCs w:val="0"/>
          <w:sz w:val="24"/>
          <w:szCs w:val="24"/>
          <w:rtl/>
          <w:lang w:val="ar-SA"/>
        </w:rPr>
      </w:pPr>
      <w:bookmarkStart w:id="18" w:name="_Toc9"/>
      <w:r>
        <w:rPr>
          <w:rFonts w:ascii="Arial Unicode MS" w:eastAsia="Arial Unicode MS" w:hAnsi="Arial Unicode MS" w:hint="cs"/>
          <w:b w:val="0"/>
          <w:bCs w:val="0"/>
          <w:sz w:val="24"/>
          <w:szCs w:val="24"/>
          <w:rtl/>
          <w:lang w:val="ar-SA"/>
        </w:rPr>
        <w:t>إلى أي مدى توفر الاتفاقيات الدولية حماية كافية لحقوق الملكية الفكرية في البيئة الرقمية؟</w:t>
      </w:r>
      <w:bookmarkEnd w:id="18"/>
    </w:p>
    <w:p w14:paraId="37BBFF68" w14:textId="77777777" w:rsidR="00454428" w:rsidRDefault="00000000" w:rsidP="00C72BA8">
      <w:pPr>
        <w:pStyle w:val="a0"/>
        <w:numPr>
          <w:ilvl w:val="0"/>
          <w:numId w:val="12"/>
        </w:numPr>
        <w:rPr>
          <w:b w:val="0"/>
          <w:bCs w:val="0"/>
          <w:sz w:val="24"/>
          <w:szCs w:val="24"/>
          <w:rtl/>
          <w:lang w:val="ar-SA"/>
        </w:rPr>
      </w:pPr>
      <w:bookmarkStart w:id="19" w:name="_Toc10"/>
      <w:r>
        <w:rPr>
          <w:rFonts w:ascii="Arial Unicode MS" w:eastAsia="Arial Unicode MS" w:hAnsi="Arial Unicode MS" w:hint="cs"/>
          <w:b w:val="0"/>
          <w:bCs w:val="0"/>
          <w:sz w:val="24"/>
          <w:szCs w:val="24"/>
          <w:rtl/>
          <w:lang w:val="ar-SA"/>
        </w:rPr>
        <w:t>ما نطاق المسؤولية القانونية لمزودي خدمات الإنترنت والمنصات الرقمية عن الانتهاكات التي تقع عبرها؟</w:t>
      </w:r>
      <w:bookmarkEnd w:id="19"/>
    </w:p>
    <w:p w14:paraId="42420535" w14:textId="77777777" w:rsidR="00454428" w:rsidRDefault="00000000" w:rsidP="00C72BA8">
      <w:pPr>
        <w:pStyle w:val="a0"/>
        <w:numPr>
          <w:ilvl w:val="0"/>
          <w:numId w:val="12"/>
        </w:numPr>
        <w:rPr>
          <w:b w:val="0"/>
          <w:bCs w:val="0"/>
          <w:sz w:val="24"/>
          <w:szCs w:val="24"/>
          <w:rtl/>
          <w:lang w:val="ar-SA"/>
        </w:rPr>
      </w:pPr>
      <w:bookmarkStart w:id="20" w:name="_Toc11"/>
      <w:r>
        <w:rPr>
          <w:rFonts w:ascii="Arial Unicode MS" w:eastAsia="Arial Unicode MS" w:hAnsi="Arial Unicode MS" w:hint="cs"/>
          <w:b w:val="0"/>
          <w:bCs w:val="0"/>
          <w:sz w:val="24"/>
          <w:szCs w:val="24"/>
          <w:rtl/>
          <w:lang w:val="ar-SA"/>
        </w:rPr>
        <w:t>إلى أي مدى يواكب النظام السعودي التطورات المرتبطة بالملكية الفكرية الرقمية مقارنة بالتشريعات الأجنبية؟</w:t>
      </w:r>
      <w:bookmarkEnd w:id="20"/>
    </w:p>
    <w:p w14:paraId="79CEA694" w14:textId="77777777" w:rsidR="00454428" w:rsidRDefault="00000000" w:rsidP="00C72BA8">
      <w:pPr>
        <w:pStyle w:val="a0"/>
        <w:numPr>
          <w:ilvl w:val="0"/>
          <w:numId w:val="12"/>
        </w:numPr>
        <w:rPr>
          <w:b w:val="0"/>
          <w:bCs w:val="0"/>
          <w:sz w:val="24"/>
          <w:szCs w:val="24"/>
          <w:rtl/>
          <w:lang w:val="ar-SA"/>
        </w:rPr>
      </w:pPr>
      <w:bookmarkStart w:id="21" w:name="_Toc12"/>
      <w:r>
        <w:rPr>
          <w:rFonts w:ascii="Arial Unicode MS" w:eastAsia="Arial Unicode MS" w:hAnsi="Arial Unicode MS" w:hint="cs"/>
          <w:b w:val="0"/>
          <w:bCs w:val="0"/>
          <w:sz w:val="24"/>
          <w:szCs w:val="24"/>
          <w:rtl/>
          <w:lang w:val="ar-SA"/>
        </w:rPr>
        <w:t>ما أبرز الإشكالات المتعلقة بتحديد الاختصاص القضائي والقانون الواجب التطبيق في النزاعات الرقمية؟</w:t>
      </w:r>
      <w:bookmarkEnd w:id="21"/>
    </w:p>
    <w:p w14:paraId="07D9844A" w14:textId="77777777" w:rsidR="00454428" w:rsidRDefault="00000000" w:rsidP="00C72BA8">
      <w:pPr>
        <w:pStyle w:val="a0"/>
        <w:numPr>
          <w:ilvl w:val="0"/>
          <w:numId w:val="12"/>
        </w:numPr>
        <w:rPr>
          <w:b w:val="0"/>
          <w:bCs w:val="0"/>
          <w:sz w:val="24"/>
          <w:szCs w:val="24"/>
          <w:rtl/>
          <w:lang w:val="ar-SA"/>
        </w:rPr>
      </w:pPr>
      <w:bookmarkStart w:id="22" w:name="_Toc13"/>
      <w:r>
        <w:rPr>
          <w:rFonts w:ascii="Arial Unicode MS" w:eastAsia="Arial Unicode MS" w:hAnsi="Arial Unicode MS" w:hint="cs"/>
          <w:b w:val="0"/>
          <w:bCs w:val="0"/>
          <w:sz w:val="24"/>
          <w:szCs w:val="24"/>
          <w:rtl/>
          <w:lang w:val="ar-SA"/>
        </w:rPr>
        <w:t>ما الوضع القانوني للمصنفات الناتجة عن تقنيات الذكاء الاصطناعي؟</w:t>
      </w:r>
      <w:bookmarkEnd w:id="22"/>
    </w:p>
    <w:p w14:paraId="36ACE475" w14:textId="2789D097" w:rsidR="00454428" w:rsidRPr="00C72BA8" w:rsidRDefault="00000000" w:rsidP="00C72BA8">
      <w:pPr>
        <w:pStyle w:val="a0"/>
        <w:numPr>
          <w:ilvl w:val="0"/>
          <w:numId w:val="12"/>
        </w:numPr>
        <w:rPr>
          <w:b w:val="0"/>
          <w:bCs w:val="0"/>
          <w:sz w:val="24"/>
          <w:szCs w:val="24"/>
          <w:lang w:val="ar-SA"/>
        </w:rPr>
      </w:pPr>
      <w:bookmarkStart w:id="23" w:name="_Toc14"/>
      <w:r>
        <w:rPr>
          <w:rFonts w:ascii="Arial Unicode MS" w:eastAsia="Arial Unicode MS" w:hAnsi="Arial Unicode MS" w:hint="cs"/>
          <w:b w:val="0"/>
          <w:bCs w:val="0"/>
          <w:sz w:val="24"/>
          <w:szCs w:val="24"/>
          <w:rtl/>
          <w:lang w:val="ar-SA"/>
        </w:rPr>
        <w:t>ما مدى فعالية آليات إزالة المحتوى المخالف في البيئة الرقمية؟</w:t>
      </w:r>
      <w:bookmarkEnd w:id="23"/>
    </w:p>
    <w:p w14:paraId="21C52DF4" w14:textId="77777777" w:rsidR="00454428" w:rsidRDefault="00000000" w:rsidP="00C72BA8">
      <w:pPr>
        <w:pStyle w:val="a0"/>
        <w:rPr>
          <w:lang w:val="ar-SA"/>
        </w:rPr>
      </w:pPr>
      <w:bookmarkStart w:id="24" w:name="_Toc15"/>
      <w:r>
        <w:rPr>
          <w:rFonts w:ascii="Arial Unicode MS" w:eastAsia="Arial Unicode MS" w:hAnsi="Arial Unicode MS" w:hint="cs"/>
          <w:rtl/>
          <w:lang w:val="ar-SA"/>
        </w:rPr>
        <w:t>خامسًا</w:t>
      </w:r>
      <w:r>
        <w:rPr>
          <w:rtl/>
          <w:lang w:val="ar-SA"/>
        </w:rPr>
        <w:t xml:space="preserve">: </w:t>
      </w:r>
      <w:r>
        <w:rPr>
          <w:rFonts w:ascii="Arial Unicode MS" w:eastAsia="Arial Unicode MS" w:hAnsi="Arial Unicode MS" w:hint="cs"/>
          <w:rtl/>
          <w:lang w:val="ar-SA"/>
        </w:rPr>
        <w:t>منهجية الدراسة</w:t>
      </w:r>
      <w:r>
        <w:rPr>
          <w:rtl/>
          <w:lang w:val="ar-SA"/>
        </w:rPr>
        <w:t>:</w:t>
      </w:r>
      <w:bookmarkEnd w:id="24"/>
    </w:p>
    <w:p w14:paraId="2480AE21"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سوف اعتمد على المنهج التحليلي لدراسة الظاهرة من جوانبها المختلفة، وتفسير الظروف والأوضاع، وتحليلها، وعرضها بشكل نقدي منهجي، بالإضافة إلى المنهج المقارن، الذي يعتمد بشكل أساسي على المقارنة في دراسة الظاهرة؛ إذْ يبرز أوجه الشبه والاختلاف فيما بين ظاهرتين أو أكثر، بالإضافة إلى المنهج الوصفي لدراسة الظواهر أو المشكلات العلمية، من خلال القيام بالوصف بطريقة علمية، ومِنْ ثَمَّ الوصول إلى تفسيرات منطقية لها دلائل وبراهين لوضع أطر محددة للمشكلة؛ ممَّا يمكنني من اقتراح حلول قانونية أكثر فاعليةً</w:t>
      </w:r>
      <w:r>
        <w:rPr>
          <w:rFonts w:ascii="Times New Roman" w:hAnsi="Times New Roman"/>
          <w:sz w:val="24"/>
          <w:szCs w:val="24"/>
          <w:rtl/>
          <w:lang w:val="ar-SA"/>
        </w:rPr>
        <w:t>.</w:t>
      </w:r>
    </w:p>
    <w:p w14:paraId="77A4DC36" w14:textId="77777777" w:rsidR="00454428" w:rsidRDefault="00000000" w:rsidP="00C72BA8">
      <w:pPr>
        <w:pStyle w:val="a0"/>
        <w:rPr>
          <w:lang w:val="ar-SA"/>
        </w:rPr>
      </w:pPr>
      <w:bookmarkStart w:id="25" w:name="_Toc16"/>
      <w:r>
        <w:rPr>
          <w:rFonts w:ascii="Arial Unicode MS" w:eastAsia="Arial Unicode MS" w:hAnsi="Arial Unicode MS" w:hint="cs"/>
          <w:rtl/>
          <w:lang w:val="ar-SA"/>
        </w:rPr>
        <w:t>سادسًا</w:t>
      </w:r>
      <w:r>
        <w:rPr>
          <w:rtl/>
          <w:lang w:val="ar-SA"/>
        </w:rPr>
        <w:t xml:space="preserve">: </w:t>
      </w:r>
      <w:r>
        <w:rPr>
          <w:rFonts w:ascii="Arial Unicode MS" w:eastAsia="Arial Unicode MS" w:hAnsi="Arial Unicode MS" w:hint="cs"/>
          <w:rtl/>
          <w:lang w:val="ar-SA"/>
        </w:rPr>
        <w:t>الدراسات السابقة</w:t>
      </w:r>
      <w:r>
        <w:rPr>
          <w:rtl/>
          <w:lang w:val="ar-SA"/>
        </w:rPr>
        <w:t>:</w:t>
      </w:r>
      <w:bookmarkEnd w:id="25"/>
    </w:p>
    <w:p w14:paraId="0AA0F49D" w14:textId="77777777" w:rsidR="00454428" w:rsidRDefault="00000000" w:rsidP="00C72BA8">
      <w:pPr>
        <w:pStyle w:val="ListParagraph"/>
        <w:numPr>
          <w:ilvl w:val="0"/>
          <w:numId w:val="14"/>
        </w:numPr>
        <w:spacing w:before="120" w:after="120" w:line="360" w:lineRule="auto"/>
        <w:jc w:val="both"/>
        <w:rPr>
          <w:rFonts w:cs="Times New Roman" w:hint="default"/>
          <w:b/>
          <w:bCs/>
          <w:sz w:val="24"/>
          <w:szCs w:val="24"/>
          <w:rtl/>
          <w:lang w:val="ar-SA"/>
        </w:rPr>
      </w:pPr>
      <w:r>
        <w:rPr>
          <w:rFonts w:cs="Times New Roman"/>
          <w:b/>
          <w:bCs/>
          <w:sz w:val="24"/>
          <w:szCs w:val="24"/>
          <w:rtl/>
          <w:lang w:val="ar-SA"/>
        </w:rPr>
        <w:t>دراسة</w:t>
      </w:r>
      <w:r>
        <w:rPr>
          <w:rFonts w:ascii="Times New Roman" w:hAnsi="Times New Roman"/>
          <w:b/>
          <w:bCs/>
          <w:sz w:val="24"/>
          <w:szCs w:val="24"/>
          <w:rtl/>
          <w:lang w:val="ar-SA"/>
        </w:rPr>
        <w:t xml:space="preserve">: </w:t>
      </w:r>
      <w:bookmarkStart w:id="26" w:name="_Hlk179313632"/>
      <w:r>
        <w:rPr>
          <w:rFonts w:cs="Times New Roman"/>
          <w:b/>
          <w:bCs/>
          <w:sz w:val="24"/>
          <w:szCs w:val="24"/>
          <w:rtl/>
          <w:lang w:val="ar-SA"/>
        </w:rPr>
        <w:t>د</w:t>
      </w:r>
      <w:r>
        <w:rPr>
          <w:rFonts w:ascii="Times New Roman" w:hAnsi="Times New Roman"/>
          <w:b/>
          <w:bCs/>
          <w:sz w:val="24"/>
          <w:szCs w:val="24"/>
          <w:rtl/>
          <w:lang w:val="ar-SA"/>
        </w:rPr>
        <w:t xml:space="preserve">. </w:t>
      </w:r>
      <w:r>
        <w:rPr>
          <w:rFonts w:cs="Times New Roman"/>
          <w:b/>
          <w:bCs/>
          <w:sz w:val="24"/>
          <w:szCs w:val="24"/>
          <w:rtl/>
          <w:lang w:val="ar-SA"/>
        </w:rPr>
        <w:t xml:space="preserve">حمزة، عادل إسماعيل، عبد الله عوض الكريم حاج أحمد، مظفر أنور عبد الرحيم، </w:t>
      </w:r>
      <w:r>
        <w:rPr>
          <w:rFonts w:ascii="Times New Roman" w:hAnsi="Times New Roman"/>
          <w:b/>
          <w:bCs/>
          <w:sz w:val="24"/>
          <w:szCs w:val="24"/>
          <w:rtl/>
          <w:lang w:val="ar-SA"/>
        </w:rPr>
        <w:t>"</w:t>
      </w:r>
      <w:r>
        <w:rPr>
          <w:rFonts w:cs="Times New Roman"/>
          <w:b/>
          <w:bCs/>
          <w:sz w:val="24"/>
          <w:szCs w:val="24"/>
          <w:rtl/>
          <w:lang w:val="ar-SA"/>
        </w:rPr>
        <w:t>واقع</w:t>
      </w:r>
      <w:bookmarkEnd w:id="26"/>
      <w:r>
        <w:rPr>
          <w:rFonts w:ascii="Times New Roman" w:hAnsi="Times New Roman"/>
          <w:b/>
          <w:bCs/>
          <w:sz w:val="24"/>
          <w:szCs w:val="24"/>
          <w:rtl/>
          <w:lang w:val="ar-SA"/>
        </w:rPr>
        <w:t xml:space="preserve"> </w:t>
      </w:r>
      <w:bookmarkStart w:id="27" w:name="_Hlk179315874"/>
      <w:r>
        <w:rPr>
          <w:rFonts w:cs="Times New Roman"/>
          <w:b/>
          <w:bCs/>
          <w:sz w:val="24"/>
          <w:szCs w:val="24"/>
          <w:rtl/>
          <w:lang w:val="ar-SA"/>
        </w:rPr>
        <w:t>حماية الملكية الفكرية في المستودعات الرقمية للجامعات السعودية</w:t>
      </w:r>
      <w:bookmarkEnd w:id="27"/>
      <w:r>
        <w:rPr>
          <w:rFonts w:cs="Times New Roman"/>
          <w:b/>
          <w:bCs/>
          <w:sz w:val="24"/>
          <w:szCs w:val="24"/>
          <w:rtl/>
          <w:lang w:val="ar-SA"/>
        </w:rPr>
        <w:t>،</w:t>
      </w:r>
      <w:r>
        <w:rPr>
          <w:rFonts w:ascii="Times New Roman" w:hAnsi="Times New Roman"/>
          <w:sz w:val="24"/>
          <w:szCs w:val="24"/>
          <w:rtl/>
          <w:lang w:val="ar-SA"/>
        </w:rPr>
        <w:t xml:space="preserve"> </w:t>
      </w:r>
      <w:r>
        <w:rPr>
          <w:rFonts w:cs="Times New Roman"/>
          <w:b/>
          <w:bCs/>
          <w:sz w:val="24"/>
          <w:szCs w:val="24"/>
          <w:rtl/>
          <w:lang w:val="ar-SA"/>
        </w:rPr>
        <w:t xml:space="preserve">جامعة الإمام عبد الرحمن بن فيصل، </w:t>
      </w:r>
      <w:r>
        <w:rPr>
          <w:rFonts w:ascii="Times New Roman" w:hAnsi="Times New Roman"/>
          <w:b/>
          <w:bCs/>
          <w:sz w:val="24"/>
          <w:szCs w:val="24"/>
          <w:rtl/>
          <w:lang w:val="ar-SA"/>
        </w:rPr>
        <w:t>2020"</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8"/>
      </w:r>
      <w:r>
        <w:rPr>
          <w:rFonts w:ascii="Times New Roman" w:hAnsi="Times New Roman"/>
          <w:sz w:val="24"/>
          <w:szCs w:val="24"/>
          <w:vertAlign w:val="superscript"/>
          <w:rtl/>
          <w:lang w:val="ar-SA"/>
        </w:rPr>
        <w:t>)</w:t>
      </w:r>
    </w:p>
    <w:p w14:paraId="5BD4DB3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توضيح مفهوم الملكية الفكرية وآليات حمايتها في الفضاء الرقمي، مع التركيز على المستودعات الرقمية في الجامعات السعودية، وأوصت باستخدام برمجيات، مثل</w:t>
      </w:r>
      <w:r>
        <w:rPr>
          <w:rFonts w:ascii="Times New Roman" w:hAnsi="Times New Roman"/>
          <w:sz w:val="24"/>
          <w:szCs w:val="24"/>
          <w:rtl/>
          <w:lang w:val="ar-SA"/>
        </w:rPr>
        <w:t xml:space="preserve">: </w:t>
      </w:r>
      <w:r>
        <w:rPr>
          <w:rFonts w:ascii="Times New Roman" w:hAnsi="Times New Roman"/>
          <w:sz w:val="24"/>
          <w:szCs w:val="24"/>
          <w:lang w:val="en-US"/>
        </w:rPr>
        <w:t>D-space</w:t>
      </w:r>
      <w:r>
        <w:rPr>
          <w:rFonts w:ascii="Arial Unicode MS" w:hAnsi="Arial Unicode MS" w:cs="Times New Roman" w:hint="cs"/>
          <w:sz w:val="24"/>
          <w:szCs w:val="24"/>
          <w:rtl/>
          <w:lang w:val="ar-SA"/>
        </w:rPr>
        <w:t>، وتراخيص المشاعات الإبداعية؛ لتعزيز حماية الحقوق</w:t>
      </w:r>
      <w:r>
        <w:rPr>
          <w:rFonts w:ascii="Times New Roman" w:hAnsi="Times New Roman"/>
          <w:sz w:val="24"/>
          <w:szCs w:val="24"/>
          <w:rtl/>
          <w:lang w:val="ar-SA"/>
        </w:rPr>
        <w:t>.</w:t>
      </w:r>
    </w:p>
    <w:p w14:paraId="6807233C" w14:textId="6D13EC32" w:rsidR="00454428" w:rsidRPr="00C72BA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فيما يتعلق بموقف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اعتمد الباحثون في الدراسة السابقة على المنهج التاريخي والوصفي بجانب التحليلي، بينما تستخدم دراستنا المنهج المقارن، كما أنَّ الدراسة السابقة اقتصرت على بحث </w:t>
      </w:r>
      <w:r>
        <w:rPr>
          <w:rFonts w:ascii="Arial Unicode MS" w:hAnsi="Arial Unicode MS" w:cs="Times New Roman" w:hint="cs"/>
          <w:sz w:val="24"/>
          <w:szCs w:val="24"/>
          <w:rtl/>
          <w:lang w:val="ar-SA"/>
        </w:rPr>
        <w:lastRenderedPageBreak/>
        <w:t xml:space="preserve">حماية الملكية الفكرية في المستودعات الرقمية للجامعات السعودية، </w:t>
      </w:r>
      <w:r>
        <w:rPr>
          <w:rFonts w:ascii="Arial Unicode MS" w:hAnsi="Arial Unicode MS" w:cs="Times New Roman" w:hint="cs"/>
          <w:b/>
          <w:bCs/>
          <w:sz w:val="24"/>
          <w:szCs w:val="24"/>
          <w:rtl/>
          <w:lang w:val="ar-SA"/>
        </w:rPr>
        <w:t>بينما ما يميز دراستنا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هو مقارنة التشريعات والقوانين المختلفة؛ لتسليط الضوء على الموضوع، واستنتاج النتائج والتوصيات الحديثة في مجال الدراسات القانونية</w:t>
      </w:r>
      <w:r>
        <w:rPr>
          <w:rFonts w:ascii="Times New Roman" w:hAnsi="Times New Roman"/>
          <w:sz w:val="24"/>
          <w:szCs w:val="24"/>
          <w:rtl/>
          <w:lang w:val="ar-SA"/>
        </w:rPr>
        <w:t>.</w:t>
      </w:r>
    </w:p>
    <w:p w14:paraId="74DFA869" w14:textId="77777777" w:rsidR="00454428" w:rsidRDefault="00000000" w:rsidP="00C72BA8">
      <w:pPr>
        <w:pStyle w:val="ListParagraph"/>
        <w:numPr>
          <w:ilvl w:val="0"/>
          <w:numId w:val="14"/>
        </w:numPr>
        <w:spacing w:before="120" w:after="120" w:line="360" w:lineRule="auto"/>
        <w:jc w:val="both"/>
        <w:rPr>
          <w:rFonts w:cs="Times New Roman" w:hint="default"/>
          <w:sz w:val="24"/>
          <w:szCs w:val="24"/>
          <w:rtl/>
          <w:lang w:val="ar-SA"/>
        </w:rPr>
      </w:pPr>
      <w:r>
        <w:rPr>
          <w:rFonts w:cs="Times New Roman"/>
          <w:b/>
          <w:bCs/>
          <w:sz w:val="24"/>
          <w:szCs w:val="24"/>
          <w:rtl/>
          <w:lang w:val="ar-SA"/>
        </w:rPr>
        <w:t>دراسة</w:t>
      </w:r>
      <w:r>
        <w:rPr>
          <w:rFonts w:ascii="Times New Roman" w:hAnsi="Times New Roman"/>
          <w:b/>
          <w:bCs/>
          <w:sz w:val="24"/>
          <w:szCs w:val="24"/>
          <w:rtl/>
          <w:lang w:val="ar-SA"/>
        </w:rPr>
        <w:t xml:space="preserve">: </w:t>
      </w:r>
      <w:bookmarkStart w:id="28" w:name="_Hlk179318307"/>
      <w:r>
        <w:rPr>
          <w:rFonts w:cs="Times New Roman"/>
          <w:b/>
          <w:bCs/>
          <w:sz w:val="24"/>
          <w:szCs w:val="24"/>
          <w:rtl/>
          <w:lang w:val="ar-SA"/>
        </w:rPr>
        <w:t xml:space="preserve">نور الدين، وابن عيشة، وابن بتيش خليل </w:t>
      </w:r>
      <w:r>
        <w:rPr>
          <w:rFonts w:ascii="Times New Roman" w:hAnsi="Times New Roman"/>
          <w:b/>
          <w:bCs/>
          <w:sz w:val="24"/>
          <w:szCs w:val="24"/>
          <w:rtl/>
          <w:lang w:val="ar-SA"/>
        </w:rPr>
        <w:t>"</w:t>
      </w:r>
      <w:r>
        <w:rPr>
          <w:rFonts w:cs="Times New Roman"/>
          <w:b/>
          <w:bCs/>
          <w:sz w:val="24"/>
          <w:szCs w:val="24"/>
          <w:rtl/>
          <w:lang w:val="ar-SA"/>
        </w:rPr>
        <w:t>حماية الملكية الفكرية في الفضاء الإلكتروني</w:t>
      </w:r>
      <w:r>
        <w:rPr>
          <w:rFonts w:ascii="Times New Roman" w:hAnsi="Times New Roman"/>
          <w:b/>
          <w:bCs/>
          <w:sz w:val="24"/>
          <w:szCs w:val="24"/>
          <w:rtl/>
          <w:lang w:val="ar-SA"/>
        </w:rPr>
        <w:t>"</w:t>
      </w:r>
      <w:r>
        <w:rPr>
          <w:rFonts w:cs="Times New Roman"/>
          <w:b/>
          <w:bCs/>
          <w:sz w:val="24"/>
          <w:szCs w:val="24"/>
          <w:rtl/>
          <w:lang w:val="ar-SA"/>
        </w:rPr>
        <w:t>، مذكرة ماستر مهني في الحقوق، كلية الحقوق والعلوم السياسية جامعة محمد البشير السنة الجامعية</w:t>
      </w:r>
      <w:r>
        <w:rPr>
          <w:rFonts w:ascii="Times New Roman" w:hAnsi="Times New Roman"/>
          <w:b/>
          <w:bCs/>
          <w:sz w:val="24"/>
          <w:szCs w:val="24"/>
          <w:rtl/>
          <w:lang w:val="ar-SA"/>
        </w:rPr>
        <w:t>: 2022/</w:t>
      </w:r>
      <w:r>
        <w:rPr>
          <w:rFonts w:ascii="Times New Roman" w:hAnsi="Times New Roman"/>
          <w:sz w:val="24"/>
          <w:szCs w:val="24"/>
          <w:rtl/>
          <w:lang w:val="ar-SA"/>
        </w:rPr>
        <w:t xml:space="preserve"> </w:t>
      </w:r>
      <w:r>
        <w:rPr>
          <w:rFonts w:ascii="Times New Roman" w:hAnsi="Times New Roman"/>
          <w:b/>
          <w:bCs/>
          <w:sz w:val="24"/>
          <w:szCs w:val="24"/>
          <w:rtl/>
          <w:lang w:val="ar-SA"/>
        </w:rPr>
        <w:t>2023.</w:t>
      </w:r>
      <w:bookmarkEnd w:id="28"/>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9"/>
      </w:r>
      <w:r>
        <w:rPr>
          <w:rFonts w:ascii="Times New Roman" w:hAnsi="Times New Roman"/>
          <w:sz w:val="24"/>
          <w:szCs w:val="24"/>
          <w:vertAlign w:val="superscript"/>
          <w:rtl/>
          <w:lang w:val="ar-SA"/>
        </w:rPr>
        <w:t>)</w:t>
      </w:r>
    </w:p>
    <w:p w14:paraId="434CA86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تسليط الضوء على حماية الملكية الفكرية في الفضاء السيبراني، مع التركيز على حقوق المؤلف والحقوق المجاورة، وتطوير أنظمة،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التشفير الرقمي، والتوقيع الإلكتروني</w:t>
      </w:r>
      <w:r>
        <w:rPr>
          <w:rFonts w:ascii="Times New Roman" w:hAnsi="Times New Roman"/>
          <w:sz w:val="24"/>
          <w:szCs w:val="24"/>
          <w:rtl/>
          <w:lang w:val="ar-SA"/>
        </w:rPr>
        <w:t>.</w:t>
      </w:r>
    </w:p>
    <w:p w14:paraId="6EE52C3D"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29" w:name="_Hlk179717963"/>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29"/>
      <w:r>
        <w:rPr>
          <w:rFonts w:ascii="Arial Unicode MS" w:hAnsi="Arial Unicode MS" w:cs="Times New Roman" w:hint="cs"/>
          <w:sz w:val="24"/>
          <w:szCs w:val="24"/>
          <w:rtl/>
          <w:lang w:val="ar-SA"/>
        </w:rPr>
        <w:t xml:space="preserve">استخدم الباحثون في الدراسة السابقة المنهج الوصفي والتحليلي؛ لوصف الحالة وتحليلها، بينما سوف أستخدمُ المنهجَ المقارن بين التشريعات المختلفة، وأيضا اقتصر الباحثون إلى التطرُّق للتشريع الجزائري وبعض المواثيق الدولية، أما </w:t>
      </w:r>
      <w:r>
        <w:rPr>
          <w:rFonts w:ascii="Arial Unicode MS" w:hAnsi="Arial Unicode MS" w:cs="Times New Roman" w:hint="cs"/>
          <w:b/>
          <w:bCs/>
          <w:sz w:val="24"/>
          <w:szCs w:val="24"/>
          <w:rtl/>
          <w:lang w:val="ar-SA"/>
        </w:rPr>
        <w:t>ما يميز دراستنا الحالية</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فهو</w:t>
      </w:r>
      <w:r>
        <w:rPr>
          <w:rFonts w:ascii="Arial Unicode MS" w:hAnsi="Arial Unicode MS" w:cs="Times New Roman" w:hint="cs"/>
          <w:sz w:val="24"/>
          <w:szCs w:val="24"/>
          <w:rtl/>
          <w:lang w:val="ar-SA"/>
        </w:rPr>
        <w:t xml:space="preserve"> التطرق لباقي التشريعات العربية، والمقارنة، والتشريع السعودي، والتشريعات الدولية الأخرى التي سوف نلقي الضوء عليها، واستخدام الأسلوب المقارن</w:t>
      </w:r>
      <w:r>
        <w:rPr>
          <w:rFonts w:ascii="Times New Roman" w:hAnsi="Times New Roman"/>
          <w:sz w:val="24"/>
          <w:szCs w:val="24"/>
          <w:rtl/>
          <w:lang w:val="ar-SA"/>
        </w:rPr>
        <w:t>.</w:t>
      </w:r>
    </w:p>
    <w:p w14:paraId="68DF2289" w14:textId="77777777" w:rsidR="00454428" w:rsidRDefault="00000000" w:rsidP="00C72BA8">
      <w:pPr>
        <w:pStyle w:val="ListParagraph"/>
        <w:numPr>
          <w:ilvl w:val="0"/>
          <w:numId w:val="14"/>
        </w:numPr>
        <w:spacing w:before="120" w:after="120" w:line="360" w:lineRule="auto"/>
        <w:jc w:val="both"/>
        <w:rPr>
          <w:rFonts w:cs="Times New Roman" w:hint="default"/>
          <w:sz w:val="24"/>
          <w:szCs w:val="24"/>
          <w:rtl/>
          <w:lang w:val="ar-SA"/>
        </w:rPr>
      </w:pPr>
      <w:r>
        <w:rPr>
          <w:rFonts w:cs="Times New Roman"/>
          <w:b/>
          <w:bCs/>
          <w:sz w:val="24"/>
          <w:szCs w:val="24"/>
          <w:rtl/>
          <w:lang w:val="ar-SA"/>
        </w:rPr>
        <w:t>دراسة مروة زين العابدين</w:t>
      </w:r>
      <w:r>
        <w:rPr>
          <w:rFonts w:ascii="Times New Roman" w:hAnsi="Times New Roman"/>
          <w:sz w:val="24"/>
          <w:szCs w:val="24"/>
          <w:rtl/>
          <w:lang w:val="ar-SA"/>
        </w:rPr>
        <w:t xml:space="preserve"> </w:t>
      </w:r>
      <w:r>
        <w:rPr>
          <w:rFonts w:cs="Times New Roman"/>
          <w:b/>
          <w:bCs/>
          <w:sz w:val="24"/>
          <w:szCs w:val="24"/>
          <w:rtl/>
          <w:lang w:val="ar-SA"/>
        </w:rPr>
        <w:t xml:space="preserve">سعد </w:t>
      </w:r>
      <w:r>
        <w:rPr>
          <w:rFonts w:ascii="Times New Roman" w:hAnsi="Times New Roman"/>
          <w:b/>
          <w:bCs/>
          <w:sz w:val="24"/>
          <w:szCs w:val="24"/>
          <w:rtl/>
          <w:lang w:val="ar-SA"/>
        </w:rPr>
        <w:t>"</w:t>
      </w:r>
      <w:r>
        <w:rPr>
          <w:rFonts w:cs="Times New Roman"/>
          <w:b/>
          <w:bCs/>
          <w:sz w:val="24"/>
          <w:szCs w:val="24"/>
          <w:rtl/>
          <w:lang w:val="ar-SA"/>
        </w:rPr>
        <w:t>التحكيم في منازعات الملكية الفكرية ما بين النظام العام ومبدأ سلطان الإرادة</w:t>
      </w:r>
      <w:r>
        <w:rPr>
          <w:rFonts w:ascii="Times New Roman" w:hAnsi="Times New Roman"/>
          <w:b/>
          <w:bCs/>
          <w:sz w:val="24"/>
          <w:szCs w:val="24"/>
          <w:rtl/>
          <w:lang w:val="ar-SA"/>
        </w:rPr>
        <w:t>"</w:t>
      </w:r>
      <w:r>
        <w:rPr>
          <w:rFonts w:cs="Times New Roman"/>
          <w:b/>
          <w:bCs/>
          <w:sz w:val="24"/>
          <w:szCs w:val="24"/>
          <w:rtl/>
          <w:lang w:val="ar-SA"/>
        </w:rPr>
        <w:t xml:space="preserve">، كلية الحقوق جامعة عين شمس، </w:t>
      </w:r>
      <w:r>
        <w:rPr>
          <w:rFonts w:ascii="Times New Roman" w:hAnsi="Times New Roman"/>
          <w:b/>
          <w:bCs/>
          <w:sz w:val="24"/>
          <w:szCs w:val="24"/>
          <w:rtl/>
          <w:lang w:val="ar-SA"/>
        </w:rPr>
        <w:t>2024</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0"/>
      </w:r>
      <w:r>
        <w:rPr>
          <w:rFonts w:ascii="Times New Roman" w:hAnsi="Times New Roman"/>
          <w:sz w:val="24"/>
          <w:szCs w:val="24"/>
          <w:vertAlign w:val="superscript"/>
          <w:rtl/>
          <w:lang w:val="ar-SA"/>
        </w:rPr>
        <w:t>)</w:t>
      </w:r>
    </w:p>
    <w:p w14:paraId="533CBDB5"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30" w:name="_Hlk183282722"/>
      <w:r>
        <w:rPr>
          <w:rFonts w:ascii="Arial Unicode MS" w:hAnsi="Arial Unicode MS" w:cs="Times New Roman" w:hint="cs"/>
          <w:b/>
          <w:bCs/>
          <w:sz w:val="24"/>
          <w:szCs w:val="24"/>
          <w:rtl/>
          <w:lang w:val="ar-SA"/>
        </w:rPr>
        <w:t>ملخص الدراسة</w:t>
      </w:r>
      <w:r>
        <w:rPr>
          <w:rFonts w:ascii="Times New Roman" w:hAnsi="Times New Roman"/>
          <w:b/>
          <w:bCs/>
          <w:sz w:val="24"/>
          <w:szCs w:val="24"/>
          <w:rtl/>
          <w:lang w:val="ar-SA"/>
        </w:rPr>
        <w:t>:</w:t>
      </w:r>
      <w:r>
        <w:rPr>
          <w:rFonts w:ascii="Times New Roman" w:hAnsi="Times New Roman"/>
          <w:sz w:val="24"/>
          <w:szCs w:val="24"/>
          <w:rtl/>
          <w:lang w:val="ar-SA"/>
        </w:rPr>
        <w:t xml:space="preserve"> </w:t>
      </w:r>
      <w:bookmarkEnd w:id="30"/>
      <w:r>
        <w:rPr>
          <w:rFonts w:ascii="Arial Unicode MS" w:hAnsi="Arial Unicode MS" w:cs="Times New Roman" w:hint="cs"/>
          <w:sz w:val="24"/>
          <w:szCs w:val="24"/>
          <w:rtl/>
          <w:lang w:val="ar-SA"/>
        </w:rPr>
        <w:t>نظرًا لأهمية حقوق الملكية الفكرية وتأثيرها الاقتصادي، أصبحت النزاعات شائعةً؛ ممَّا دفع الأطراف نحو التحكيم كوسيلة بديلة، وأوصى الباحثون بتحديث التشريعات؛ لمواكبة التطوُّرات التكنولوجية، وتعزيز الأنظمة القانونية</w:t>
      </w:r>
      <w:r>
        <w:rPr>
          <w:rFonts w:ascii="Times New Roman" w:hAnsi="Times New Roman"/>
          <w:sz w:val="24"/>
          <w:szCs w:val="24"/>
          <w:rtl/>
          <w:lang w:val="ar-SA"/>
        </w:rPr>
        <w:t>.</w:t>
      </w:r>
      <w:bookmarkStart w:id="31" w:name="_Hlk182080183"/>
    </w:p>
    <w:p w14:paraId="5C469DB9"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31"/>
      <w:r>
        <w:rPr>
          <w:rFonts w:ascii="Arial Unicode MS" w:hAnsi="Arial Unicode MS" w:cs="Times New Roman" w:hint="cs"/>
          <w:sz w:val="24"/>
          <w:szCs w:val="24"/>
          <w:rtl/>
          <w:lang w:val="ar-SA"/>
        </w:rPr>
        <w:t xml:space="preserve">اعتمد الباحث في الدراسة السابقة على المنهج التحليلي، على عكس الدراسة الحالية المعتمدة على المنهج المقارن، وأيضًا اختلفت في تناول التشريعات؛ حيث اقتصرت على القانون المصري بشكل عام، واقتصر التركيز على عقود الاستغلال والتراخيص وموقفها التشريعي من التقاضي في </w:t>
      </w:r>
      <w:r>
        <w:rPr>
          <w:rFonts w:ascii="Arial Unicode MS" w:hAnsi="Arial Unicode MS" w:cs="Times New Roman" w:hint="cs"/>
          <w:b/>
          <w:bCs/>
          <w:sz w:val="24"/>
          <w:szCs w:val="24"/>
          <w:rtl/>
          <w:lang w:val="ar-SA"/>
        </w:rPr>
        <w:t>حين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بالتطرق إلى كل جوانب</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الملكية الفكرية واستخدام الأسلوب المقارن بين التشريعات المختلفة</w:t>
      </w:r>
      <w:r>
        <w:rPr>
          <w:rFonts w:ascii="Times New Roman" w:hAnsi="Times New Roman"/>
          <w:sz w:val="24"/>
          <w:szCs w:val="24"/>
          <w:rtl/>
          <w:lang w:val="ar-SA"/>
        </w:rPr>
        <w:t>.</w:t>
      </w:r>
    </w:p>
    <w:p w14:paraId="1C1D9B4D" w14:textId="77777777" w:rsidR="00454428" w:rsidRDefault="00000000" w:rsidP="00C72BA8">
      <w:pPr>
        <w:pStyle w:val="ListParagraph"/>
        <w:numPr>
          <w:ilvl w:val="0"/>
          <w:numId w:val="15"/>
        </w:numPr>
        <w:bidi w:val="0"/>
        <w:spacing w:before="120" w:after="120" w:line="360" w:lineRule="auto"/>
        <w:ind w:right="720"/>
        <w:jc w:val="both"/>
        <w:rPr>
          <w:rFonts w:ascii="Times New Roman" w:eastAsia="Times New Roman" w:hAnsi="Times New Roman" w:cs="Times New Roman" w:hint="default"/>
          <w:b/>
          <w:bCs/>
          <w:sz w:val="24"/>
          <w:szCs w:val="24"/>
        </w:rPr>
      </w:pPr>
      <w:bookmarkStart w:id="32" w:name="_Hlk179329941"/>
      <w:r>
        <w:rPr>
          <w:rFonts w:ascii="Times New Roman" w:hAnsi="Times New Roman"/>
          <w:b/>
          <w:bCs/>
          <w:sz w:val="24"/>
          <w:szCs w:val="24"/>
        </w:rPr>
        <w:lastRenderedPageBreak/>
        <w:t>Jeremy de Beer, Edward Richard Gold, International Trade, Intellectual Property, and Innovation Policy: Lessons from a Pandemic, January 2020</w:t>
      </w:r>
      <w:bookmarkEnd w:id="32"/>
      <w:r>
        <w:rPr>
          <w:rFonts w:ascii="Times New Roman" w:hAnsi="Times New Roman"/>
          <w:b/>
          <w:bCs/>
          <w:sz w:val="24"/>
          <w:szCs w:val="24"/>
        </w:rPr>
        <w:t xml:space="preserve">. </w:t>
      </w:r>
      <w:r>
        <w:rPr>
          <w:rFonts w:ascii="Times New Roman" w:hAnsi="Times New Roman"/>
          <w:b/>
          <w:bCs/>
          <w:sz w:val="24"/>
          <w:szCs w:val="24"/>
          <w:vertAlign w:val="superscript"/>
          <w:rtl/>
          <w:lang w:val="ar-SA"/>
        </w:rPr>
        <w:t>(</w:t>
      </w:r>
      <w:r>
        <w:rPr>
          <w:rFonts w:ascii="Times New Roman" w:eastAsia="Times New Roman" w:hAnsi="Times New Roman" w:cs="Times New Roman"/>
          <w:sz w:val="24"/>
          <w:szCs w:val="24"/>
          <w:vertAlign w:val="superscript"/>
          <w:rtl/>
          <w:lang w:val="ar-SA"/>
        </w:rPr>
        <w:footnoteReference w:id="11"/>
      </w:r>
    </w:p>
    <w:p w14:paraId="36DB8B5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تناولت الدراسة تأثير المشاكل البنيوية في نظام الابتكار في كندا على استعدادها للأوبئة، وأوصت بمواءمة التدابير السياسية لتعزيز مساهمات كندا من خلال العلم المفتوح، مستعرضةً الدروس المستفادة من الوباء على سياسات الابتكار الوطنية</w:t>
      </w:r>
      <w:r>
        <w:rPr>
          <w:rFonts w:ascii="Times New Roman" w:hAnsi="Times New Roman"/>
          <w:sz w:val="24"/>
          <w:szCs w:val="24"/>
          <w:rtl/>
          <w:lang w:val="ar-SA"/>
        </w:rPr>
        <w:t>.</w:t>
      </w:r>
    </w:p>
    <w:p w14:paraId="1F7CCB64" w14:textId="77777777" w:rsidR="00454428" w:rsidRDefault="00454428" w:rsidP="00C72BA8">
      <w:pPr>
        <w:pStyle w:val="Body"/>
        <w:spacing w:before="120" w:after="120" w:line="360" w:lineRule="auto"/>
        <w:ind w:firstLine="720"/>
        <w:jc w:val="both"/>
        <w:rPr>
          <w:rFonts w:ascii="Times New Roman" w:eastAsia="Times New Roman" w:hAnsi="Times New Roman" w:cs="Times New Roman"/>
          <w:b/>
          <w:bCs/>
          <w:sz w:val="24"/>
          <w:szCs w:val="24"/>
        </w:rPr>
      </w:pPr>
    </w:p>
    <w:p w14:paraId="119385C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الدراسة السابقة تركز على العلاقة بين قانون التجارة الدولية، وحقوق الملكية الفكرية، وسياسات الابتكار في سياق الأوبئة، الدراسة السابقة تبحث في تأثير المشاكل البنيوية في نظام الابتكار الكندي على الاستعداد للأوبئة، وتقترح مواءمة التدابير السياسية المحلية والدولية؛ لتسريع مساهمات كندا من خلال العلم المفتوح، </w:t>
      </w:r>
      <w:r>
        <w:rPr>
          <w:rFonts w:ascii="Arial Unicode MS" w:hAnsi="Arial Unicode MS" w:cs="Times New Roman" w:hint="cs"/>
          <w:b/>
          <w:bCs/>
          <w:sz w:val="24"/>
          <w:szCs w:val="24"/>
          <w:rtl/>
          <w:lang w:val="ar-SA"/>
        </w:rPr>
        <w:t>بينما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بالتركيز على الحلول التقنية لحماية الملكية الفكرية</w:t>
      </w:r>
      <w:r>
        <w:rPr>
          <w:rFonts w:ascii="Times New Roman" w:hAnsi="Times New Roman"/>
          <w:sz w:val="24"/>
          <w:szCs w:val="24"/>
          <w:rtl/>
          <w:lang w:val="ar-SA"/>
        </w:rPr>
        <w:t>.</w:t>
      </w:r>
    </w:p>
    <w:p w14:paraId="63811ECE" w14:textId="77777777" w:rsidR="00454428" w:rsidRDefault="00000000" w:rsidP="00C72BA8">
      <w:pPr>
        <w:pStyle w:val="a0"/>
        <w:rPr>
          <w:lang w:val="ar-SA"/>
        </w:rPr>
      </w:pPr>
      <w:bookmarkStart w:id="33" w:name="_Toc17"/>
      <w:r>
        <w:rPr>
          <w:rFonts w:ascii="Arial Unicode MS" w:eastAsia="Arial Unicode MS" w:hAnsi="Arial Unicode MS" w:hint="cs"/>
          <w:rtl/>
          <w:lang w:val="ar-SA"/>
        </w:rPr>
        <w:t>سابعًا</w:t>
      </w:r>
      <w:r>
        <w:rPr>
          <w:rtl/>
          <w:lang w:val="ar-SA"/>
        </w:rPr>
        <w:t xml:space="preserve">: </w:t>
      </w:r>
      <w:r>
        <w:rPr>
          <w:rFonts w:ascii="Arial Unicode MS" w:eastAsia="Arial Unicode MS" w:hAnsi="Arial Unicode MS" w:hint="cs"/>
          <w:rtl/>
          <w:lang w:val="ar-SA"/>
        </w:rPr>
        <w:t>مخطط البحث</w:t>
      </w:r>
      <w:r>
        <w:rPr>
          <w:rtl/>
          <w:lang w:val="ar-SA"/>
        </w:rPr>
        <w:t>:</w:t>
      </w:r>
      <w:bookmarkEnd w:id="33"/>
    </w:p>
    <w:p w14:paraId="6B879F0C"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bookmarkStart w:id="34" w:name="_Hlk225612313"/>
      <w:r>
        <w:rPr>
          <w:rFonts w:ascii="Arial Unicode MS" w:hAnsi="Arial Unicode MS" w:cs="Times New Roman" w:hint="cs"/>
          <w:b/>
          <w:bCs/>
          <w:sz w:val="24"/>
          <w:szCs w:val="24"/>
          <w:rtl/>
          <w:lang w:val="ar-SA"/>
        </w:rPr>
        <w:t>الفصـــــل التمهيدي</w:t>
      </w:r>
    </w:p>
    <w:p w14:paraId="4CED83D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 الإطار العام لأساسيات حماية حقوق الملكية الفكرية</w:t>
      </w:r>
    </w:p>
    <w:p w14:paraId="4EE8ED3C"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4"/>
          <w:szCs w:val="24"/>
          <w:lang w:val="ar-SA"/>
        </w:rPr>
      </w:pPr>
      <w:r>
        <w:rPr>
          <w:rFonts w:cs="Times New Roman"/>
          <w:b/>
          <w:bCs/>
          <w:sz w:val="24"/>
          <w:szCs w:val="24"/>
          <w:rtl/>
          <w:lang w:val="ar-SA"/>
        </w:rPr>
        <w:t>المبحث الأول</w:t>
      </w:r>
      <w:r>
        <w:rPr>
          <w:rFonts w:ascii="Times New Roman" w:hAnsi="Times New Roman"/>
          <w:b/>
          <w:bCs/>
          <w:sz w:val="24"/>
          <w:szCs w:val="24"/>
          <w:rtl/>
          <w:lang w:val="ar-SA"/>
        </w:rPr>
        <w:t xml:space="preserve">: </w:t>
      </w:r>
      <w:r>
        <w:rPr>
          <w:rFonts w:cs="Times New Roman"/>
          <w:b/>
          <w:bCs/>
          <w:sz w:val="24"/>
          <w:szCs w:val="24"/>
          <w:rtl/>
          <w:lang w:val="ar-SA"/>
        </w:rPr>
        <w:t>ماهية حقوق الملكية الفكرية</w:t>
      </w:r>
      <w:r>
        <w:rPr>
          <w:rFonts w:ascii="Times New Roman" w:hAnsi="Times New Roman"/>
          <w:b/>
          <w:bCs/>
          <w:sz w:val="24"/>
          <w:szCs w:val="24"/>
          <w:rtl/>
          <w:lang w:val="ar-SA"/>
        </w:rPr>
        <w:t>.</w:t>
      </w:r>
    </w:p>
    <w:p w14:paraId="58E1EDDD" w14:textId="77777777" w:rsidR="00454428" w:rsidRDefault="00000000" w:rsidP="00C72BA8">
      <w:pPr>
        <w:pStyle w:val="BodyA"/>
        <w:numPr>
          <w:ilvl w:val="0"/>
          <w:numId w:val="17"/>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6E6F13AB" w14:textId="77777777" w:rsidR="00454428" w:rsidRDefault="00000000" w:rsidP="00C72BA8">
      <w:pPr>
        <w:pStyle w:val="BodyA"/>
        <w:numPr>
          <w:ilvl w:val="0"/>
          <w:numId w:val="17"/>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p>
    <w:p w14:paraId="365285E7"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4"/>
          <w:szCs w:val="24"/>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r>
        <w:rPr>
          <w:rFonts w:ascii="Times New Roman" w:hAnsi="Times New Roman"/>
          <w:sz w:val="24"/>
          <w:szCs w:val="24"/>
          <w:rtl/>
          <w:lang w:val="ar-SA"/>
        </w:rPr>
        <w:t>.</w:t>
      </w:r>
    </w:p>
    <w:p w14:paraId="16E7AF49" w14:textId="77777777" w:rsidR="00454428" w:rsidRDefault="00000000" w:rsidP="00C72BA8">
      <w:pPr>
        <w:pStyle w:val="BodyA"/>
        <w:numPr>
          <w:ilvl w:val="0"/>
          <w:numId w:val="19"/>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نُبذة تاريخية عن نشأة حقوق الملكية الفكرية</w:t>
      </w:r>
      <w:r>
        <w:rPr>
          <w:rFonts w:ascii="Times New Roman" w:hAnsi="Times New Roman"/>
          <w:sz w:val="24"/>
          <w:szCs w:val="24"/>
          <w:rtl/>
          <w:lang w:val="ar-SA"/>
        </w:rPr>
        <w:t>.</w:t>
      </w:r>
    </w:p>
    <w:p w14:paraId="513C381E" w14:textId="77777777" w:rsidR="00454428" w:rsidRDefault="00000000" w:rsidP="00C72BA8">
      <w:pPr>
        <w:pStyle w:val="BodyA"/>
        <w:numPr>
          <w:ilvl w:val="0"/>
          <w:numId w:val="19"/>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تطوُّر الأطر القانونية والمؤسسية لحماية حقوق الملكية الفكرية</w:t>
      </w:r>
      <w:r>
        <w:rPr>
          <w:rFonts w:ascii="Times New Roman" w:hAnsi="Times New Roman"/>
          <w:sz w:val="24"/>
          <w:szCs w:val="24"/>
          <w:rtl/>
          <w:lang w:val="ar-SA"/>
        </w:rPr>
        <w:t>.</w:t>
      </w:r>
    </w:p>
    <w:p w14:paraId="0E41C45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الأول</w:t>
      </w:r>
    </w:p>
    <w:p w14:paraId="0C173274"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التعريف بالبيئة الرقمية وخصائصها</w:t>
      </w:r>
    </w:p>
    <w:p w14:paraId="70F7399F"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البيئة الرقمية ومكوناتها</w:t>
      </w:r>
      <w:r>
        <w:rPr>
          <w:rFonts w:ascii="Times New Roman" w:hAnsi="Times New Roman"/>
          <w:b/>
          <w:bCs/>
          <w:sz w:val="24"/>
          <w:szCs w:val="24"/>
          <w:rtl/>
          <w:lang w:val="ar-SA"/>
        </w:rPr>
        <w:t>.</w:t>
      </w:r>
    </w:p>
    <w:p w14:paraId="576A6C6A" w14:textId="77777777" w:rsidR="00454428" w:rsidRDefault="00000000" w:rsidP="00C72BA8">
      <w:pPr>
        <w:pStyle w:val="ListParagraph"/>
        <w:numPr>
          <w:ilvl w:val="0"/>
          <w:numId w:val="21"/>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مفهوم البيئة الرقمية وأبرز خصائصها</w:t>
      </w:r>
      <w:r>
        <w:rPr>
          <w:rFonts w:ascii="Times New Roman" w:hAnsi="Times New Roman"/>
          <w:sz w:val="24"/>
          <w:szCs w:val="24"/>
          <w:rtl/>
          <w:lang w:val="ar-SA"/>
        </w:rPr>
        <w:t>.</w:t>
      </w:r>
    </w:p>
    <w:p w14:paraId="28CE0EAD" w14:textId="77777777" w:rsidR="00454428" w:rsidRDefault="00000000" w:rsidP="00C72BA8">
      <w:pPr>
        <w:pStyle w:val="ListParagraph"/>
        <w:numPr>
          <w:ilvl w:val="0"/>
          <w:numId w:val="21"/>
        </w:numPr>
        <w:spacing w:before="120" w:after="120" w:line="360" w:lineRule="auto"/>
        <w:rPr>
          <w:rFonts w:cs="Times New Roman" w:hint="default"/>
          <w:sz w:val="24"/>
          <w:szCs w:val="24"/>
          <w:rtl/>
          <w:lang w:val="ar-SA"/>
        </w:rPr>
      </w:pPr>
      <w:r>
        <w:rPr>
          <w:rFonts w:cs="Times New Roman"/>
          <w:b/>
          <w:bCs/>
          <w:sz w:val="24"/>
          <w:szCs w:val="24"/>
          <w:rtl/>
          <w:lang w:val="ar-SA"/>
        </w:rPr>
        <w:lastRenderedPageBreak/>
        <w:t>المطلب الثاني</w:t>
      </w:r>
      <w:r>
        <w:rPr>
          <w:rFonts w:ascii="Times New Roman" w:hAnsi="Times New Roman"/>
          <w:b/>
          <w:bCs/>
          <w:sz w:val="24"/>
          <w:szCs w:val="24"/>
          <w:rtl/>
          <w:lang w:val="ar-SA"/>
        </w:rPr>
        <w:t>:</w:t>
      </w:r>
      <w:r>
        <w:rPr>
          <w:rFonts w:cs="Times New Roman"/>
          <w:sz w:val="24"/>
          <w:szCs w:val="24"/>
          <w:rtl/>
          <w:lang w:val="ar-SA"/>
        </w:rPr>
        <w:t xml:space="preserve"> أثر البيئة الرقمية على تطوُّر الملكية الفكرية</w:t>
      </w:r>
      <w:r>
        <w:rPr>
          <w:rFonts w:ascii="Times New Roman" w:hAnsi="Times New Roman"/>
          <w:sz w:val="24"/>
          <w:szCs w:val="24"/>
          <w:rtl/>
          <w:lang w:val="ar-SA"/>
        </w:rPr>
        <w:t xml:space="preserve">. </w:t>
      </w:r>
    </w:p>
    <w:p w14:paraId="0415D978"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إشكاليات حماية حقوق الملكية الفكرية في البيئة الرقمية</w:t>
      </w:r>
      <w:r>
        <w:rPr>
          <w:rFonts w:ascii="Times New Roman" w:hAnsi="Times New Roman"/>
          <w:b/>
          <w:bCs/>
          <w:sz w:val="24"/>
          <w:szCs w:val="24"/>
          <w:rtl/>
          <w:lang w:val="ar-SA"/>
        </w:rPr>
        <w:t>.</w:t>
      </w:r>
    </w:p>
    <w:p w14:paraId="5544832B" w14:textId="77777777" w:rsidR="00454428" w:rsidRDefault="00000000" w:rsidP="00C72BA8">
      <w:pPr>
        <w:pStyle w:val="ListParagraph"/>
        <w:numPr>
          <w:ilvl w:val="0"/>
          <w:numId w:val="23"/>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أدوات تداول الإنتاج الفكري الرقمي وتحدياتها التقنية</w:t>
      </w:r>
      <w:r>
        <w:rPr>
          <w:rFonts w:ascii="Times New Roman" w:hAnsi="Times New Roman"/>
          <w:sz w:val="24"/>
          <w:szCs w:val="24"/>
          <w:rtl/>
          <w:lang w:val="ar-SA"/>
        </w:rPr>
        <w:t xml:space="preserve">. </w:t>
      </w:r>
    </w:p>
    <w:p w14:paraId="4068F9C3" w14:textId="77777777" w:rsidR="00454428" w:rsidRDefault="00000000" w:rsidP="00C72BA8">
      <w:pPr>
        <w:pStyle w:val="ListParagraph"/>
        <w:numPr>
          <w:ilvl w:val="0"/>
          <w:numId w:val="23"/>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خصائص الإنتاج الفكري الرقمي وحدود الحماية القانونية</w:t>
      </w:r>
      <w:r>
        <w:rPr>
          <w:rFonts w:ascii="Times New Roman" w:hAnsi="Times New Roman"/>
          <w:sz w:val="24"/>
          <w:szCs w:val="24"/>
          <w:rtl/>
          <w:lang w:val="ar-SA"/>
        </w:rPr>
        <w:t xml:space="preserve">. </w:t>
      </w:r>
    </w:p>
    <w:p w14:paraId="16429252"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الثاني</w:t>
      </w:r>
    </w:p>
    <w:p w14:paraId="12F41D86"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الإطار القانوني لحماية الملكية الفكرية في الاتفاقيات الدولية والقوانين الوطنية</w:t>
      </w:r>
    </w:p>
    <w:p w14:paraId="3A1D46F7"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الدولية والتعاون العابر للحدود</w:t>
      </w:r>
      <w:r>
        <w:rPr>
          <w:rFonts w:ascii="Times New Roman" w:hAnsi="Times New Roman"/>
          <w:b/>
          <w:bCs/>
          <w:sz w:val="24"/>
          <w:szCs w:val="24"/>
          <w:rtl/>
          <w:lang w:val="ar-SA"/>
        </w:rPr>
        <w:t>.</w:t>
      </w:r>
    </w:p>
    <w:p w14:paraId="10384ECB" w14:textId="77777777" w:rsidR="00454428" w:rsidRDefault="00000000" w:rsidP="00C72BA8">
      <w:pPr>
        <w:pStyle w:val="ListParagraph"/>
        <w:numPr>
          <w:ilvl w:val="0"/>
          <w:numId w:val="25"/>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اتفاقية بيرن وتريبس والاتفاقيات الأخرى</w:t>
      </w:r>
      <w:r>
        <w:rPr>
          <w:rFonts w:ascii="Times New Roman" w:hAnsi="Times New Roman"/>
          <w:sz w:val="24"/>
          <w:szCs w:val="24"/>
          <w:rtl/>
          <w:lang w:val="ar-SA"/>
        </w:rPr>
        <w:t>.</w:t>
      </w:r>
    </w:p>
    <w:p w14:paraId="5B338C26" w14:textId="77777777" w:rsidR="00454428" w:rsidRDefault="00000000" w:rsidP="00C72BA8">
      <w:pPr>
        <w:pStyle w:val="ListParagraph"/>
        <w:numPr>
          <w:ilvl w:val="0"/>
          <w:numId w:val="25"/>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التحديات الدولية في تنفيذ الحماية الرقمية</w:t>
      </w:r>
      <w:r>
        <w:rPr>
          <w:rFonts w:ascii="Times New Roman" w:hAnsi="Times New Roman"/>
          <w:sz w:val="24"/>
          <w:szCs w:val="24"/>
          <w:rtl/>
          <w:lang w:val="ar-SA"/>
        </w:rPr>
        <w:t>.</w:t>
      </w:r>
    </w:p>
    <w:p w14:paraId="639475C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النظام القانونية للمصنف الرقمي</w:t>
      </w:r>
      <w:r>
        <w:rPr>
          <w:rFonts w:ascii="Times New Roman" w:hAnsi="Times New Roman"/>
          <w:b/>
          <w:bCs/>
          <w:sz w:val="24"/>
          <w:szCs w:val="24"/>
          <w:rtl/>
          <w:lang w:val="ar-SA"/>
        </w:rPr>
        <w:t>.</w:t>
      </w:r>
    </w:p>
    <w:p w14:paraId="51783E2B" w14:textId="77777777" w:rsidR="00454428" w:rsidRDefault="00000000" w:rsidP="00C72BA8">
      <w:pPr>
        <w:pStyle w:val="ListParagraph"/>
        <w:numPr>
          <w:ilvl w:val="0"/>
          <w:numId w:val="27"/>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نطاق الحماية القانونية في النظام السعودي</w:t>
      </w:r>
      <w:r>
        <w:rPr>
          <w:rFonts w:ascii="Times New Roman" w:hAnsi="Times New Roman"/>
          <w:sz w:val="24"/>
          <w:szCs w:val="24"/>
          <w:rtl/>
          <w:lang w:val="ar-SA"/>
        </w:rPr>
        <w:t>.</w:t>
      </w:r>
    </w:p>
    <w:p w14:paraId="0CF5EBC3" w14:textId="77777777" w:rsidR="00454428" w:rsidRDefault="00000000" w:rsidP="00C72BA8">
      <w:pPr>
        <w:pStyle w:val="ListParagraph"/>
        <w:numPr>
          <w:ilvl w:val="0"/>
          <w:numId w:val="27"/>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نطاق الحماية في التشريعين الفرنسي والأمريكي</w:t>
      </w:r>
      <w:r>
        <w:rPr>
          <w:rFonts w:ascii="Times New Roman" w:hAnsi="Times New Roman"/>
          <w:sz w:val="24"/>
          <w:szCs w:val="24"/>
          <w:rtl/>
          <w:lang w:val="ar-SA"/>
        </w:rPr>
        <w:t>.</w:t>
      </w:r>
    </w:p>
    <w:p w14:paraId="51626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الثالث</w:t>
      </w:r>
    </w:p>
    <w:p w14:paraId="460F5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صور الحماية القانونية للملكية الفكرية في البيئة الرقمية</w:t>
      </w:r>
    </w:p>
    <w:p w14:paraId="54827A13"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المدنية للمصنفات الرقمية</w:t>
      </w:r>
      <w:r>
        <w:rPr>
          <w:rFonts w:ascii="Times New Roman" w:hAnsi="Times New Roman"/>
          <w:b/>
          <w:bCs/>
          <w:sz w:val="24"/>
          <w:szCs w:val="24"/>
          <w:rtl/>
          <w:lang w:val="ar-SA"/>
        </w:rPr>
        <w:t>.</w:t>
      </w:r>
    </w:p>
    <w:p w14:paraId="2C92148E" w14:textId="77777777" w:rsidR="00454428" w:rsidRDefault="00000000" w:rsidP="00C72BA8">
      <w:pPr>
        <w:pStyle w:val="ListParagraph"/>
        <w:numPr>
          <w:ilvl w:val="0"/>
          <w:numId w:val="29"/>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النظام السعودي</w:t>
      </w:r>
      <w:r>
        <w:rPr>
          <w:rFonts w:ascii="Times New Roman" w:hAnsi="Times New Roman"/>
          <w:sz w:val="24"/>
          <w:szCs w:val="24"/>
          <w:rtl/>
          <w:lang w:val="ar-SA"/>
        </w:rPr>
        <w:t>.</w:t>
      </w:r>
    </w:p>
    <w:p w14:paraId="7B2B4367" w14:textId="77777777" w:rsidR="00454428" w:rsidRDefault="00000000" w:rsidP="00C72BA8">
      <w:pPr>
        <w:pStyle w:val="ListParagraph"/>
        <w:numPr>
          <w:ilvl w:val="0"/>
          <w:numId w:val="29"/>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القانون الأمريكي والفَرنسي</w:t>
      </w:r>
      <w:r>
        <w:rPr>
          <w:rFonts w:ascii="Times New Roman" w:hAnsi="Times New Roman"/>
          <w:sz w:val="24"/>
          <w:szCs w:val="24"/>
          <w:rtl/>
          <w:lang w:val="ar-SA"/>
        </w:rPr>
        <w:t xml:space="preserve">. </w:t>
      </w:r>
    </w:p>
    <w:p w14:paraId="45C5D2FC"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الجنائية والتجريم الرقمي</w:t>
      </w:r>
      <w:r>
        <w:rPr>
          <w:rFonts w:ascii="Times New Roman" w:hAnsi="Times New Roman"/>
          <w:b/>
          <w:bCs/>
          <w:sz w:val="24"/>
          <w:szCs w:val="24"/>
          <w:rtl/>
          <w:lang w:val="ar-SA"/>
        </w:rPr>
        <w:t>.</w:t>
      </w:r>
    </w:p>
    <w:p w14:paraId="513BDE18" w14:textId="77777777" w:rsidR="00454428" w:rsidRDefault="00000000" w:rsidP="00C72BA8">
      <w:pPr>
        <w:pStyle w:val="ListParagraph"/>
        <w:numPr>
          <w:ilvl w:val="0"/>
          <w:numId w:val="31"/>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 السعودي</w:t>
      </w:r>
      <w:r>
        <w:rPr>
          <w:rFonts w:ascii="Times New Roman" w:hAnsi="Times New Roman"/>
          <w:sz w:val="24"/>
          <w:szCs w:val="24"/>
          <w:rtl/>
          <w:lang w:val="ar-SA"/>
        </w:rPr>
        <w:t xml:space="preserve">. </w:t>
      </w:r>
    </w:p>
    <w:p w14:paraId="00C422AD" w14:textId="77777777" w:rsidR="00454428" w:rsidRDefault="00000000" w:rsidP="00C72BA8">
      <w:pPr>
        <w:pStyle w:val="ListParagraph"/>
        <w:numPr>
          <w:ilvl w:val="0"/>
          <w:numId w:val="31"/>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النظامين الفرنسي والأمريكي</w:t>
      </w:r>
      <w:r>
        <w:rPr>
          <w:rFonts w:ascii="Times New Roman" w:hAnsi="Times New Roman"/>
          <w:sz w:val="24"/>
          <w:szCs w:val="24"/>
          <w:rtl/>
          <w:lang w:val="ar-SA"/>
        </w:rPr>
        <w:t>.</w:t>
      </w:r>
    </w:p>
    <w:p w14:paraId="7F730629"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الرابع</w:t>
      </w:r>
    </w:p>
    <w:p w14:paraId="7AC03F63"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الحماية الإجرائية للملكية الفكرية في البيئة الرقمية</w:t>
      </w:r>
    </w:p>
    <w:p w14:paraId="3C4CC54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القانونية لحماية الملكية الفكرية في البيئة الرقمية</w:t>
      </w:r>
      <w:r>
        <w:rPr>
          <w:rFonts w:ascii="Times New Roman" w:hAnsi="Times New Roman"/>
          <w:b/>
          <w:bCs/>
          <w:sz w:val="24"/>
          <w:szCs w:val="24"/>
          <w:rtl/>
          <w:lang w:val="ar-SA"/>
        </w:rPr>
        <w:t>.</w:t>
      </w:r>
    </w:p>
    <w:p w14:paraId="683A236A" w14:textId="77777777" w:rsidR="00454428" w:rsidRDefault="00000000" w:rsidP="00C72BA8">
      <w:pPr>
        <w:pStyle w:val="ListParagraph"/>
        <w:numPr>
          <w:ilvl w:val="0"/>
          <w:numId w:val="33"/>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الترخيص الإجباري</w:t>
      </w:r>
      <w:r>
        <w:rPr>
          <w:rFonts w:ascii="Times New Roman" w:hAnsi="Times New Roman"/>
          <w:sz w:val="24"/>
          <w:szCs w:val="24"/>
          <w:rtl/>
          <w:lang w:val="ar-SA"/>
        </w:rPr>
        <w:t>.</w:t>
      </w:r>
    </w:p>
    <w:p w14:paraId="196D90CC" w14:textId="77777777" w:rsidR="00454428" w:rsidRDefault="00000000" w:rsidP="00C72BA8">
      <w:pPr>
        <w:pStyle w:val="ListParagraph"/>
        <w:numPr>
          <w:ilvl w:val="0"/>
          <w:numId w:val="33"/>
        </w:numPr>
        <w:spacing w:before="120" w:after="120" w:line="360" w:lineRule="auto"/>
        <w:rPr>
          <w:rFonts w:cs="Times New Roman" w:hint="default"/>
          <w:sz w:val="24"/>
          <w:szCs w:val="24"/>
          <w:rtl/>
          <w:lang w:val="ar-SA"/>
        </w:rPr>
      </w:pPr>
      <w:r>
        <w:rPr>
          <w:rFonts w:cs="Times New Roman"/>
          <w:b/>
          <w:bCs/>
          <w:sz w:val="24"/>
          <w:szCs w:val="24"/>
          <w:rtl/>
          <w:lang w:val="ar-SA"/>
        </w:rPr>
        <w:lastRenderedPageBreak/>
        <w:t>المطلب الثاني</w:t>
      </w:r>
      <w:r>
        <w:rPr>
          <w:rFonts w:ascii="Times New Roman" w:hAnsi="Times New Roman"/>
          <w:b/>
          <w:bCs/>
          <w:sz w:val="24"/>
          <w:szCs w:val="24"/>
          <w:rtl/>
          <w:lang w:val="ar-SA"/>
        </w:rPr>
        <w:t>:</w:t>
      </w:r>
      <w:r>
        <w:rPr>
          <w:rFonts w:cs="Times New Roman"/>
          <w:sz w:val="24"/>
          <w:szCs w:val="24"/>
          <w:rtl/>
          <w:lang w:val="ar-SA"/>
        </w:rPr>
        <w:t xml:space="preserve"> الإثبات والتحقيق والضبط الفني في البيئة الرقمية</w:t>
      </w:r>
      <w:r>
        <w:rPr>
          <w:rFonts w:ascii="Times New Roman" w:hAnsi="Times New Roman"/>
          <w:sz w:val="24"/>
          <w:szCs w:val="24"/>
          <w:rtl/>
          <w:lang w:val="ar-SA"/>
        </w:rPr>
        <w:t>.</w:t>
      </w:r>
    </w:p>
    <w:p w14:paraId="1B589C2E" w14:textId="77777777" w:rsidR="00454428" w:rsidRDefault="00454428" w:rsidP="00C72BA8">
      <w:pPr>
        <w:pStyle w:val="Body"/>
        <w:spacing w:before="120" w:after="120" w:line="360" w:lineRule="auto"/>
        <w:rPr>
          <w:rFonts w:ascii="Times New Roman" w:eastAsia="Times New Roman" w:hAnsi="Times New Roman" w:cs="Times New Roman"/>
          <w:b/>
          <w:bCs/>
          <w:sz w:val="24"/>
          <w:szCs w:val="24"/>
          <w:lang w:val="ar-SA"/>
        </w:rPr>
      </w:pPr>
    </w:p>
    <w:p w14:paraId="316C61C9"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التقنية لحماية الملكية الفكرية في البيئة الرقمية</w:t>
      </w:r>
      <w:r>
        <w:rPr>
          <w:rFonts w:ascii="Times New Roman" w:hAnsi="Times New Roman"/>
          <w:b/>
          <w:bCs/>
          <w:sz w:val="24"/>
          <w:szCs w:val="24"/>
          <w:rtl/>
          <w:lang w:val="ar-SA"/>
        </w:rPr>
        <w:t>.</w:t>
      </w:r>
    </w:p>
    <w:p w14:paraId="25F02407" w14:textId="77777777" w:rsidR="00454428" w:rsidRDefault="00000000" w:rsidP="00C72BA8">
      <w:pPr>
        <w:pStyle w:val="ListParagraph"/>
        <w:numPr>
          <w:ilvl w:val="0"/>
          <w:numId w:val="35"/>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الرقابة على المواقع الإلكترونية</w:t>
      </w:r>
      <w:r>
        <w:rPr>
          <w:rFonts w:ascii="Times New Roman" w:hAnsi="Times New Roman"/>
          <w:sz w:val="24"/>
          <w:szCs w:val="24"/>
          <w:rtl/>
          <w:lang w:val="ar-SA"/>
        </w:rPr>
        <w:t>.</w:t>
      </w:r>
    </w:p>
    <w:p w14:paraId="08A2E961" w14:textId="77777777" w:rsidR="00454428" w:rsidRDefault="00000000" w:rsidP="00C72BA8">
      <w:pPr>
        <w:pStyle w:val="ListParagraph"/>
        <w:numPr>
          <w:ilvl w:val="0"/>
          <w:numId w:val="35"/>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التكنولوجية للمنتجات الفكرية في البيئة الرقمية</w:t>
      </w:r>
      <w:r>
        <w:rPr>
          <w:rFonts w:ascii="Times New Roman" w:hAnsi="Times New Roman"/>
          <w:sz w:val="24"/>
          <w:szCs w:val="24"/>
          <w:rtl/>
          <w:lang w:val="ar-SA"/>
        </w:rPr>
        <w:t xml:space="preserve">. </w:t>
      </w:r>
      <w:bookmarkEnd w:id="34"/>
    </w:p>
    <w:p w14:paraId="6CDFD0A1" w14:textId="77777777" w:rsidR="00454428" w:rsidRDefault="00454428" w:rsidP="00C72BA8">
      <w:pPr>
        <w:pStyle w:val="Body"/>
        <w:spacing w:before="120" w:after="120" w:line="360" w:lineRule="auto"/>
        <w:jc w:val="both"/>
        <w:rPr>
          <w:rFonts w:ascii="Times New Roman" w:eastAsia="Times New Roman" w:hAnsi="Times New Roman" w:cs="Times New Roman"/>
          <w:b/>
          <w:bCs/>
          <w:sz w:val="28"/>
          <w:szCs w:val="28"/>
          <w:u w:val="single"/>
          <w:lang w:val="ar-SA"/>
        </w:rPr>
      </w:pPr>
    </w:p>
    <w:p w14:paraId="615398A3" w14:textId="77777777" w:rsidR="00454428" w:rsidRDefault="00454428" w:rsidP="00C72BA8">
      <w:pPr>
        <w:pStyle w:val="Body"/>
        <w:spacing w:before="120" w:after="120" w:line="360" w:lineRule="auto"/>
        <w:jc w:val="both"/>
        <w:rPr>
          <w:rFonts w:ascii="Times New Roman" w:eastAsia="Times New Roman" w:hAnsi="Times New Roman" w:cs="Times New Roman"/>
          <w:b/>
          <w:bCs/>
          <w:sz w:val="28"/>
          <w:szCs w:val="28"/>
          <w:u w:val="single"/>
          <w:lang w:val="ar-SA"/>
        </w:rPr>
      </w:pPr>
    </w:p>
    <w:p w14:paraId="5F13917C" w14:textId="77777777" w:rsidR="00454428" w:rsidRDefault="00454428" w:rsidP="00C72BA8">
      <w:pPr>
        <w:pStyle w:val="Body"/>
        <w:spacing w:before="120" w:after="120" w:line="360" w:lineRule="auto"/>
        <w:jc w:val="both"/>
        <w:rPr>
          <w:rFonts w:ascii="Times New Roman" w:eastAsia="Times New Roman" w:hAnsi="Times New Roman" w:cs="Times New Roman"/>
          <w:b/>
          <w:bCs/>
          <w:sz w:val="28"/>
          <w:szCs w:val="28"/>
          <w:u w:val="single"/>
          <w:lang w:val="ar-SA"/>
        </w:rPr>
      </w:pPr>
    </w:p>
    <w:p w14:paraId="0CC12DF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6A0C65F8"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78B0B8C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2EAC9FE7"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2F7F2807"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3C2F567B"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69520334"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01CEAABB"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5A960C22"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9638F1A"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1F13677"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5B395D36"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6D3DE920"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65B12ED5"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7F15808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76F09EB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080502D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u w:val="single"/>
          <w:lang w:val="ar-SA"/>
        </w:rPr>
      </w:pPr>
    </w:p>
    <w:p w14:paraId="434A7C12" w14:textId="77777777" w:rsidR="00454428" w:rsidRDefault="00000000" w:rsidP="00C72BA8">
      <w:pPr>
        <w:pStyle w:val="BodyA"/>
        <w:spacing w:before="120" w:after="120" w:line="360" w:lineRule="auto"/>
        <w:jc w:val="center"/>
        <w:rPr>
          <w:rFonts w:ascii="Times New Roman" w:eastAsia="Times New Roman" w:hAnsi="Times New Roman" w:cs="Times New Roman" w:hint="default"/>
          <w:b/>
          <w:bCs/>
          <w:sz w:val="32"/>
          <w:szCs w:val="32"/>
          <w:lang w:val="ar-SA"/>
        </w:rPr>
      </w:pPr>
      <w:bookmarkStart w:id="35" w:name="_Hlk196259428"/>
      <w:r>
        <w:rPr>
          <w:rFonts w:cs="Times New Roman"/>
          <w:b/>
          <w:bCs/>
          <w:sz w:val="32"/>
          <w:szCs w:val="32"/>
          <w:rtl/>
          <w:lang w:val="ar-SA"/>
        </w:rPr>
        <w:lastRenderedPageBreak/>
        <w:t>ا</w:t>
      </w:r>
      <w:bookmarkStart w:id="36" w:name="_Hlk202174992"/>
      <w:bookmarkEnd w:id="35"/>
      <w:r>
        <w:rPr>
          <w:rFonts w:cs="Times New Roman"/>
          <w:b/>
          <w:bCs/>
          <w:sz w:val="32"/>
          <w:szCs w:val="32"/>
          <w:rtl/>
          <w:lang w:val="ar-SA"/>
        </w:rPr>
        <w:t>ل</w:t>
      </w:r>
      <w:bookmarkStart w:id="37" w:name="_Hlk183283431"/>
      <w:bookmarkEnd w:id="36"/>
      <w:r>
        <w:rPr>
          <w:rFonts w:cs="Times New Roman"/>
          <w:b/>
          <w:bCs/>
          <w:sz w:val="32"/>
          <w:szCs w:val="32"/>
          <w:rtl/>
          <w:lang w:val="ar-SA"/>
        </w:rPr>
        <w:t>فصـــــل التمهيدي</w:t>
      </w:r>
    </w:p>
    <w:p w14:paraId="1B869E73" w14:textId="77777777" w:rsidR="00454428" w:rsidRDefault="00000000" w:rsidP="00C72BA8">
      <w:pPr>
        <w:pStyle w:val="BodyA"/>
        <w:spacing w:before="120" w:after="120" w:line="360" w:lineRule="auto"/>
        <w:jc w:val="center"/>
        <w:rPr>
          <w:rFonts w:ascii="Times New Roman" w:eastAsia="Times New Roman" w:hAnsi="Times New Roman" w:cs="Times New Roman" w:hint="default"/>
          <w:b/>
          <w:bCs/>
          <w:sz w:val="32"/>
          <w:szCs w:val="32"/>
          <w:lang w:val="ar-SA"/>
        </w:rPr>
      </w:pPr>
      <w:r>
        <w:rPr>
          <w:rFonts w:cs="Times New Roman"/>
          <w:b/>
          <w:bCs/>
          <w:sz w:val="32"/>
          <w:szCs w:val="32"/>
          <w:rtl/>
          <w:lang w:val="ar-SA"/>
        </w:rPr>
        <w:t xml:space="preserve"> الإطـــار العـــام لأسـاسيـــات حماية حقــوق الملكيــة الفــكريـ</w:t>
      </w:r>
      <w:bookmarkEnd w:id="37"/>
      <w:r>
        <w:rPr>
          <w:rFonts w:cs="Times New Roman"/>
          <w:b/>
          <w:bCs/>
          <w:sz w:val="32"/>
          <w:szCs w:val="32"/>
          <w:rtl/>
          <w:lang w:val="ar-SA"/>
        </w:rPr>
        <w:t>ة</w:t>
      </w:r>
    </w:p>
    <w:p w14:paraId="47E704D7" w14:textId="77777777" w:rsidR="00454428" w:rsidRDefault="00454428" w:rsidP="00C72BA8">
      <w:pPr>
        <w:pStyle w:val="a"/>
        <w:rPr>
          <w:lang w:val="ar-SA"/>
        </w:rPr>
      </w:pPr>
    </w:p>
    <w:p w14:paraId="04B17D8E" w14:textId="77777777" w:rsidR="00454428" w:rsidRDefault="00000000" w:rsidP="00C72BA8">
      <w:pPr>
        <w:pStyle w:val="a"/>
        <w:rPr>
          <w:lang w:val="ar-SA"/>
        </w:rPr>
      </w:pPr>
      <w:bookmarkStart w:id="38" w:name="_Toc18"/>
      <w:r>
        <w:rPr>
          <w:rFonts w:ascii="Arial Unicode MS" w:eastAsia="Arial Unicode MS" w:hAnsi="Arial Unicode MS" w:hint="cs"/>
          <w:rtl/>
          <w:lang w:val="ar-SA"/>
        </w:rPr>
        <w:t>الفصــل التمهيدي</w:t>
      </w:r>
      <w:bookmarkEnd w:id="38"/>
    </w:p>
    <w:p w14:paraId="282A7512" w14:textId="77777777" w:rsidR="00454428" w:rsidRDefault="00000000" w:rsidP="00C72BA8">
      <w:pPr>
        <w:pStyle w:val="a"/>
        <w:rPr>
          <w:lang w:val="ar-SA"/>
        </w:rPr>
      </w:pPr>
      <w:bookmarkStart w:id="39" w:name="_Toc19"/>
      <w:r>
        <w:rPr>
          <w:rFonts w:ascii="Arial Unicode MS" w:eastAsia="Arial Unicode MS" w:hAnsi="Arial Unicode MS" w:hint="cs"/>
          <w:rtl/>
          <w:lang w:val="ar-SA"/>
        </w:rPr>
        <w:t xml:space="preserve"> الإطار العام لأساسيات حماية حقوق الملكية الفكرية</w:t>
      </w:r>
      <w:bookmarkEnd w:id="39"/>
    </w:p>
    <w:p w14:paraId="7FDA0E2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6B5CD29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تشكل حقوق الملكية الفكرية أحد أبرز دعائم النظام القانوني المعاصر؛ حيث جاءت كاستجابة طبيعية للتطوُّرات العلمية، والتقنية، والثقافية التي شهدها العالم، والتي جعلت من الإبداع والابتكار ركيزتين أساسيتين للتنمية والنهضة في شتى المجتمعات، وتنبع أهمية حماية حقوق الملكية الفكرية من دورها في تعزيز الابتكار والإبداع، وحثّ الأفراد والمؤسسات على الاستثمار في مجالات البحث والتطوير، وضمان استفادة صاحب الحق من ثمار جهوده الفكرية، وتتعدد أشكال هذه الحقوق لتشمل الحقوق الأدبية والفنية</w:t>
      </w:r>
      <w:r>
        <w:rPr>
          <w:rFonts w:ascii="Times New Roman" w:hAnsi="Times New Roman"/>
          <w:sz w:val="24"/>
          <w:szCs w:val="24"/>
          <w:rtl/>
          <w:lang w:val="ar-SA"/>
        </w:rPr>
        <w:t>: (</w:t>
      </w:r>
      <w:r>
        <w:rPr>
          <w:rFonts w:cs="Times New Roman"/>
          <w:sz w:val="24"/>
          <w:szCs w:val="24"/>
          <w:rtl/>
          <w:lang w:val="ar-SA"/>
        </w:rPr>
        <w:t>كحقوق المؤلف</w:t>
      </w:r>
      <w:r>
        <w:rPr>
          <w:rFonts w:ascii="Times New Roman" w:hAnsi="Times New Roman"/>
          <w:sz w:val="24"/>
          <w:szCs w:val="24"/>
          <w:rtl/>
          <w:lang w:val="ar-SA"/>
        </w:rPr>
        <w:t>)</w:t>
      </w:r>
      <w:r>
        <w:rPr>
          <w:rFonts w:cs="Times New Roman"/>
          <w:sz w:val="24"/>
          <w:szCs w:val="24"/>
          <w:rtl/>
          <w:lang w:val="ar-SA"/>
        </w:rPr>
        <w:t xml:space="preserve">، والحقوق الصناعية، </w:t>
      </w:r>
      <w:r>
        <w:rPr>
          <w:rFonts w:ascii="Times New Roman" w:hAnsi="Times New Roman"/>
          <w:sz w:val="24"/>
          <w:szCs w:val="24"/>
          <w:rtl/>
          <w:lang w:val="ar-SA"/>
        </w:rPr>
        <w:t>(</w:t>
      </w:r>
      <w:r>
        <w:rPr>
          <w:rFonts w:cs="Times New Roman"/>
          <w:sz w:val="24"/>
          <w:szCs w:val="24"/>
          <w:rtl/>
          <w:lang w:val="ar-SA"/>
        </w:rPr>
        <w:t>كبراءات الاختراع، والعلامات التجارية، والنماذج الصناعية</w:t>
      </w:r>
      <w:r>
        <w:rPr>
          <w:rFonts w:ascii="Times New Roman" w:hAnsi="Times New Roman"/>
          <w:sz w:val="24"/>
          <w:szCs w:val="24"/>
          <w:rtl/>
          <w:lang w:val="ar-SA"/>
        </w:rPr>
        <w:t>)</w:t>
      </w:r>
      <w:r>
        <w:rPr>
          <w:rFonts w:cs="Times New Roman"/>
          <w:sz w:val="24"/>
          <w:szCs w:val="24"/>
          <w:rtl/>
          <w:lang w:val="ar-SA"/>
        </w:rPr>
        <w:t>؛ لتغطي بذلك مختلف مناحي النشاط الإبداعي والاقتصادي</w:t>
      </w:r>
      <w:r>
        <w:rPr>
          <w:rFonts w:ascii="Times New Roman" w:hAnsi="Times New Roman"/>
          <w:sz w:val="24"/>
          <w:szCs w:val="24"/>
          <w:rtl/>
          <w:lang w:val="ar-SA"/>
        </w:rPr>
        <w:t>.</w:t>
      </w:r>
    </w:p>
    <w:p w14:paraId="6308CDF0" w14:textId="77777777" w:rsidR="00454428" w:rsidRDefault="00000000" w:rsidP="00C72BA8">
      <w:pPr>
        <w:pStyle w:val="BodyA"/>
        <w:spacing w:before="120" w:after="120" w:line="360" w:lineRule="auto"/>
        <w:ind w:firstLine="720"/>
        <w:rPr>
          <w:rFonts w:ascii="Times New Roman" w:eastAsia="Times New Roman" w:hAnsi="Times New Roman" w:cs="Times New Roman" w:hint="default"/>
          <w:sz w:val="24"/>
          <w:szCs w:val="24"/>
          <w:lang w:val="ar-SA"/>
        </w:rPr>
      </w:pPr>
      <w:r>
        <w:rPr>
          <w:rFonts w:cs="Times New Roman"/>
          <w:sz w:val="24"/>
          <w:szCs w:val="24"/>
          <w:rtl/>
          <w:lang w:val="ar-SA"/>
        </w:rPr>
        <w:t>من هذا المنظور</w:t>
      </w:r>
      <w:r>
        <w:rPr>
          <w:rFonts w:ascii="Times New Roman" w:hAnsi="Times New Roman"/>
          <w:sz w:val="24"/>
          <w:szCs w:val="24"/>
          <w:rtl/>
          <w:lang w:val="ar-SA"/>
        </w:rPr>
        <w:t>:</w:t>
      </w:r>
    </w:p>
    <w:p w14:paraId="63D16898" w14:textId="77777777" w:rsidR="00454428" w:rsidRDefault="00000000" w:rsidP="00C72BA8">
      <w:pPr>
        <w:pStyle w:val="BodyA"/>
        <w:spacing w:before="120" w:after="120" w:line="360" w:lineRule="auto"/>
        <w:ind w:firstLine="720"/>
        <w:rPr>
          <w:rFonts w:ascii="Times New Roman" w:eastAsia="Times New Roman" w:hAnsi="Times New Roman" w:cs="Times New Roman" w:hint="default"/>
          <w:sz w:val="24"/>
          <w:szCs w:val="24"/>
          <w:lang w:val="ar-SA"/>
        </w:rPr>
      </w:pPr>
      <w:r>
        <w:rPr>
          <w:rFonts w:cs="Times New Roman"/>
          <w:sz w:val="24"/>
          <w:szCs w:val="24"/>
          <w:rtl/>
          <w:lang w:val="ar-SA"/>
        </w:rPr>
        <w:t>يقتصر هذا الفصل على عرض المفاهيم الأساسية المرتبطة بحقوق الملكية الفكرية في إطارها الحديث، مع التركيز على ما يتصل بالبيئة الرقمية وخصائصها، دون التوسع في الجوانب التاريخية أو التعريفات التقليدية التي لا ترتبط بشكل مباشر بموضوع الدراسة، وذلك بهدف توجيه التحليل نحو الإشكالات القانونية المعاصرة</w:t>
      </w:r>
      <w:r>
        <w:rPr>
          <w:rFonts w:ascii="Times New Roman" w:hAnsi="Times New Roman"/>
          <w:sz w:val="24"/>
          <w:szCs w:val="24"/>
          <w:rtl/>
          <w:lang w:val="ar-SA"/>
        </w:rPr>
        <w:t xml:space="preserve">. </w:t>
      </w:r>
      <w:r>
        <w:rPr>
          <w:rFonts w:cs="Times New Roman"/>
          <w:sz w:val="24"/>
          <w:szCs w:val="24"/>
          <w:rtl/>
          <w:lang w:val="ar-SA"/>
        </w:rPr>
        <w:t>ومن ناحية أخرى، أفرزت التطورات التقنية الحديثة عدداً من الإشكالات القانونية المستجدة، من أبرزها ما يتعلق بالمصنفات الناتجة عن تقنيات الذكاء الاصطناعي، والتي تثير تساؤلات حول صفة المؤلف، ومدى استحقاق هذه المصنفات للحماية القانونية</w:t>
      </w:r>
      <w:r>
        <w:rPr>
          <w:rFonts w:ascii="Times New Roman" w:hAnsi="Times New Roman"/>
          <w:sz w:val="24"/>
          <w:szCs w:val="24"/>
          <w:rtl/>
          <w:lang w:val="ar-SA"/>
        </w:rPr>
        <w:t xml:space="preserve">. </w:t>
      </w:r>
      <w:r>
        <w:rPr>
          <w:rFonts w:cs="Times New Roman"/>
          <w:sz w:val="24"/>
          <w:szCs w:val="24"/>
          <w:rtl/>
          <w:lang w:val="ar-SA"/>
        </w:rPr>
        <w:t>كما برزت المنصات الرقمية ومزودو خدمات الإنترنت كوسطاء رئيسيين في تداول المحتوى، وهو ما يثير إشكالية قانونية تتعلق بمدى مسؤوليتهم عن الانتهاكات التي تقع عبر هذه الوسائط، خاصة في ظل غياب تنظيم قانوني واضح في بعض التشريعات</w:t>
      </w:r>
      <w:r>
        <w:rPr>
          <w:rFonts w:ascii="Times New Roman" w:hAnsi="Times New Roman"/>
          <w:sz w:val="24"/>
          <w:szCs w:val="24"/>
          <w:rtl/>
          <w:lang w:val="ar-SA"/>
        </w:rPr>
        <w:t xml:space="preserve">. </w:t>
      </w:r>
      <w:r>
        <w:rPr>
          <w:rFonts w:cs="Times New Roman"/>
          <w:sz w:val="24"/>
          <w:szCs w:val="24"/>
          <w:rtl/>
          <w:lang w:val="ar-SA"/>
        </w:rPr>
        <w:t>وتتجلَّى أهمية إلقاء الضوء على المبادئ الأساسية لحقوق الملكية الفكرية، واستيعاب طبيعتها، وأهدافها، وتصنيفاتها، مع استعراض مسيرتها التاريخية، والآليات التي تطوَّرت بها أدوات الحماية القانونية لمواكبة التحوُّلات التكنولوجية، بما يحقق التوازن بين صون حقوق المبدعين وضمان مصلحة الجمهور في الانتفاع بالمعرفة والإبداع؛ حيث يتناول ما يلي</w:t>
      </w:r>
      <w:r>
        <w:rPr>
          <w:rFonts w:ascii="Times New Roman" w:hAnsi="Times New Roman"/>
          <w:sz w:val="24"/>
          <w:szCs w:val="24"/>
          <w:rtl/>
          <w:lang w:val="ar-SA"/>
        </w:rPr>
        <w:t>:</w:t>
      </w:r>
    </w:p>
    <w:p w14:paraId="73A68B72" w14:textId="77777777" w:rsidR="00454428" w:rsidRDefault="00000000" w:rsidP="00C72BA8">
      <w:pPr>
        <w:pStyle w:val="BodyA"/>
        <w:numPr>
          <w:ilvl w:val="0"/>
          <w:numId w:val="37"/>
        </w:numPr>
        <w:spacing w:before="120" w:after="120" w:line="360" w:lineRule="auto"/>
        <w:jc w:val="both"/>
        <w:rPr>
          <w:rFonts w:ascii="Times New Roman" w:eastAsia="Times New Roman" w:hAnsi="Times New Roman" w:cs="Times New Roman" w:hint="default"/>
          <w:sz w:val="24"/>
          <w:szCs w:val="24"/>
          <w:rtl/>
          <w:lang w:val="ar-SA"/>
        </w:rPr>
      </w:pPr>
      <w:bookmarkStart w:id="40" w:name="_Hlk195996279"/>
      <w:r>
        <w:rPr>
          <w:rFonts w:cs="Times New Roman"/>
          <w:b/>
          <w:bCs/>
          <w:sz w:val="24"/>
          <w:szCs w:val="24"/>
          <w:rtl/>
          <w:lang w:val="ar-SA"/>
        </w:rPr>
        <w:t>ا</w:t>
      </w:r>
      <w:bookmarkStart w:id="41" w:name="_Hlk202175013"/>
      <w:bookmarkEnd w:id="40"/>
      <w:r>
        <w:rPr>
          <w:rFonts w:cs="Times New Roman"/>
          <w:b/>
          <w:bCs/>
          <w:sz w:val="24"/>
          <w:szCs w:val="24"/>
          <w:rtl/>
          <w:lang w:val="ar-SA"/>
        </w:rPr>
        <w:t>لمبحث الأول</w:t>
      </w:r>
      <w:r>
        <w:rPr>
          <w:rFonts w:ascii="Times New Roman" w:hAnsi="Times New Roman"/>
          <w:b/>
          <w:bCs/>
          <w:sz w:val="24"/>
          <w:szCs w:val="24"/>
          <w:rtl/>
          <w:lang w:val="ar-SA"/>
        </w:rPr>
        <w:t xml:space="preserve">: </w:t>
      </w:r>
      <w:r>
        <w:rPr>
          <w:rFonts w:cs="Times New Roman"/>
          <w:sz w:val="24"/>
          <w:szCs w:val="24"/>
          <w:rtl/>
          <w:lang w:val="ar-SA"/>
        </w:rPr>
        <w:t>ماهية حقوق الملكية الفكرية</w:t>
      </w:r>
      <w:r>
        <w:rPr>
          <w:rFonts w:ascii="Times New Roman" w:hAnsi="Times New Roman"/>
          <w:sz w:val="24"/>
          <w:szCs w:val="24"/>
          <w:rtl/>
          <w:lang w:val="ar-SA"/>
        </w:rPr>
        <w:t>.</w:t>
      </w:r>
    </w:p>
    <w:p w14:paraId="57409AC2" w14:textId="77777777" w:rsidR="00454428" w:rsidRDefault="00000000" w:rsidP="00C72BA8">
      <w:pPr>
        <w:pStyle w:val="BodyA"/>
        <w:numPr>
          <w:ilvl w:val="0"/>
          <w:numId w:val="37"/>
        </w:numPr>
        <w:spacing w:before="120" w:after="120" w:line="360" w:lineRule="auto"/>
        <w:jc w:val="both"/>
        <w:rPr>
          <w:rFonts w:cs="Times New Roman" w:hint="default"/>
          <w:sz w:val="24"/>
          <w:szCs w:val="24"/>
          <w:rtl/>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bookmarkEnd w:id="41"/>
      <w:r>
        <w:rPr>
          <w:rFonts w:ascii="Times New Roman" w:hAnsi="Times New Roman"/>
          <w:sz w:val="24"/>
          <w:szCs w:val="24"/>
          <w:rtl/>
          <w:lang w:val="ar-SA"/>
        </w:rPr>
        <w:t>.</w:t>
      </w:r>
    </w:p>
    <w:p w14:paraId="647DF88A"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4FB4ADD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57266C78"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81C23F0" w14:textId="77777777" w:rsidR="00454428" w:rsidRDefault="00000000" w:rsidP="00C72BA8">
      <w:pPr>
        <w:pStyle w:val="a"/>
        <w:rPr>
          <w:lang w:val="ar-SA"/>
        </w:rPr>
      </w:pPr>
      <w:bookmarkStart w:id="42" w:name="_Toc20"/>
      <w:r>
        <w:rPr>
          <w:rFonts w:ascii="Arial Unicode MS" w:eastAsia="Arial Unicode MS" w:hAnsi="Arial Unicode MS" w:hint="cs"/>
          <w:rtl/>
          <w:lang w:val="ar-SA"/>
        </w:rPr>
        <w:t>المبحث الأول</w:t>
      </w:r>
      <w:bookmarkEnd w:id="42"/>
    </w:p>
    <w:p w14:paraId="6A9BA10D" w14:textId="77777777" w:rsidR="00454428" w:rsidRDefault="00000000" w:rsidP="00C72BA8">
      <w:pPr>
        <w:pStyle w:val="a"/>
        <w:rPr>
          <w:lang w:val="ar-SA"/>
        </w:rPr>
      </w:pPr>
      <w:bookmarkStart w:id="43" w:name="_Toc21"/>
      <w:r>
        <w:rPr>
          <w:rFonts w:ascii="Arial Unicode MS" w:eastAsia="Arial Unicode MS" w:hAnsi="Arial Unicode MS" w:hint="cs"/>
          <w:rtl/>
          <w:lang w:val="ar-SA"/>
        </w:rPr>
        <w:t>ماهية حقوق الملكية الفكرية</w:t>
      </w:r>
      <w:bookmarkEnd w:id="43"/>
    </w:p>
    <w:p w14:paraId="6F7E5B18"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5D798CB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أصبحت الملكية الفكرية تُعَدُّ من أبرز الأصول غير المادية التي تُعنى بحماية نتاج الفكر البشري، وتتضمن هذه الحقوق مجموعةً من الامتيازات القانونية التي تُمنح للأفراد الطبيعيين أو الكيانات الاعتبارية؛ بهدف صون إبداعاتهم الفكرية، سواء كانت أدبيةً، أو فنية، أو صناعية، أو تجارية، ويتمثل جوهر هذه الحقوق في كونها أداةً قانونيةً لتنظيم العلاقة بين المبدع والمجتمع، بما يكفل تحقيق التوازن بين المصلحة العامة وحقوق الأفراد في الانتفاع بثمار إبداعاتهم</w:t>
      </w:r>
      <w:r>
        <w:rPr>
          <w:rFonts w:ascii="Times New Roman" w:hAnsi="Times New Roman"/>
          <w:sz w:val="24"/>
          <w:szCs w:val="24"/>
          <w:rtl/>
          <w:lang w:val="ar-SA"/>
        </w:rPr>
        <w:t>.</w:t>
      </w:r>
    </w:p>
    <w:p w14:paraId="1B18695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تبرز أهمية حقوق الملكية الفكرية في الدور الجوهري الذي تضطلع به في تعزيز التنمية الاقتصادية، والاجتماعية، والثقافية؛ حيث تحفِّز الاستثمار في المجالات العلمية والإبداعية، وتفتح آفاقًا جديدةً للعمل والنمو، من خلال تحويل الأفكار إلى مشروعات ملموسة، كما تساهم في تعزيز القدرة التنافسية بين الدول والمؤسسات، وفي ذات الوقت تكفل نقل التكنولوجيا والمعرفة بأسلوب منظم وعادل، بِناءً على ذلك</w:t>
      </w:r>
      <w:r>
        <w:rPr>
          <w:rFonts w:ascii="Times New Roman" w:hAnsi="Times New Roman"/>
          <w:sz w:val="24"/>
          <w:szCs w:val="24"/>
          <w:rtl/>
          <w:lang w:val="ar-SA"/>
        </w:rPr>
        <w:t xml:space="preserve">: </w:t>
      </w:r>
      <w:r>
        <w:rPr>
          <w:rFonts w:cs="Times New Roman"/>
          <w:sz w:val="24"/>
          <w:szCs w:val="24"/>
          <w:rtl/>
          <w:lang w:val="ar-SA"/>
        </w:rPr>
        <w:t>سنستعرض في هذا المبحث ما يلي</w:t>
      </w:r>
      <w:r>
        <w:rPr>
          <w:rFonts w:ascii="Times New Roman" w:hAnsi="Times New Roman"/>
          <w:sz w:val="24"/>
          <w:szCs w:val="24"/>
          <w:rtl/>
          <w:lang w:val="ar-SA"/>
        </w:rPr>
        <w:t>:</w:t>
      </w:r>
    </w:p>
    <w:p w14:paraId="128E7ADD" w14:textId="77777777" w:rsidR="00454428" w:rsidRDefault="00000000" w:rsidP="00C72BA8">
      <w:pPr>
        <w:pStyle w:val="BodyA"/>
        <w:numPr>
          <w:ilvl w:val="0"/>
          <w:numId w:val="17"/>
        </w:numPr>
        <w:spacing w:before="120" w:after="120" w:line="360" w:lineRule="auto"/>
        <w:rPr>
          <w:rFonts w:ascii="Times New Roman" w:eastAsia="Times New Roman" w:hAnsi="Times New Roman" w:cs="Times New Roman" w:hint="default"/>
          <w:sz w:val="24"/>
          <w:szCs w:val="24"/>
          <w:rtl/>
          <w:lang w:val="ar-SA"/>
        </w:rPr>
      </w:pPr>
      <w:bookmarkStart w:id="44" w:name="_Hlk202175027"/>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7F0C299A" w14:textId="77777777" w:rsidR="00454428" w:rsidRDefault="00000000" w:rsidP="00C72BA8">
      <w:pPr>
        <w:pStyle w:val="BodyA"/>
        <w:numPr>
          <w:ilvl w:val="0"/>
          <w:numId w:val="17"/>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bookmarkEnd w:id="44"/>
    </w:p>
    <w:p w14:paraId="10A4F76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3B4DB7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C53B63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28294A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68EA74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9B562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E85634B"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E3F1E7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681B75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96370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6D44E6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9D1E67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48363E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9BAA3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1DE0D5F" w14:textId="77777777" w:rsidR="00454428" w:rsidRDefault="00000000" w:rsidP="00C72BA8">
      <w:pPr>
        <w:pStyle w:val="a"/>
        <w:rPr>
          <w:lang w:val="ar-SA"/>
        </w:rPr>
      </w:pPr>
      <w:bookmarkStart w:id="45" w:name="_Toc22"/>
      <w:r>
        <w:rPr>
          <w:rFonts w:ascii="Arial Unicode MS" w:eastAsia="Arial Unicode MS" w:hAnsi="Arial Unicode MS" w:hint="cs"/>
          <w:rtl/>
          <w:lang w:val="ar-SA"/>
        </w:rPr>
        <w:t>المطلب الأول</w:t>
      </w:r>
      <w:bookmarkStart w:id="46" w:name="_Hlk184218954"/>
      <w:bookmarkEnd w:id="45"/>
    </w:p>
    <w:p w14:paraId="7EB3C60E" w14:textId="77777777" w:rsidR="00454428" w:rsidRDefault="00000000" w:rsidP="00C72BA8">
      <w:pPr>
        <w:pStyle w:val="a"/>
        <w:rPr>
          <w:lang w:val="ar-SA"/>
        </w:rPr>
      </w:pPr>
      <w:bookmarkStart w:id="47" w:name="_Toc23"/>
      <w:r>
        <w:rPr>
          <w:rFonts w:ascii="Arial Unicode MS" w:eastAsia="Arial Unicode MS" w:hAnsi="Arial Unicode MS" w:hint="cs"/>
          <w:rtl/>
          <w:lang w:val="ar-SA"/>
        </w:rPr>
        <w:t>تعريف حقوق</w:t>
      </w:r>
      <w:r>
        <w:rPr>
          <w:rtl/>
          <w:lang w:val="ar-SA"/>
        </w:rPr>
        <w:t xml:space="preserve"> </w:t>
      </w:r>
      <w:bookmarkStart w:id="48" w:name="_Hlk193407459"/>
      <w:r>
        <w:rPr>
          <w:rFonts w:ascii="Arial Unicode MS" w:eastAsia="Arial Unicode MS" w:hAnsi="Arial Unicode MS" w:hint="cs"/>
          <w:rtl/>
          <w:lang w:val="ar-SA"/>
        </w:rPr>
        <w:t>الملكية الفكرية</w:t>
      </w:r>
      <w:bookmarkEnd w:id="47"/>
      <w:bookmarkEnd w:id="48"/>
    </w:p>
    <w:bookmarkEnd w:id="46"/>
    <w:p w14:paraId="51C21167"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1D228219"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يُعَدُّ الإنتاج الفكري عمليةً عقليةً تأخذ الكثير من الوقت والجهد والتركيب بين الاجتهادات، والأفكار، والافتراضات، والقوانين؛ حتى يصل ذلك الإنتاج إلى الواقع، ويتضمن الإنتاج الفكري فيما ينتجه الفرد من أعمال أدبية، وتجارية، وصناعية؛ ومِنْ ثَمَّ يكون هذا الإنتاج جديرًا بالحماية من أية اختراقات أو انتهاكات فكرية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2"/>
      </w:r>
      <w:r>
        <w:rPr>
          <w:rFonts w:ascii="Times New Roman" w:hAnsi="Times New Roman"/>
          <w:sz w:val="24"/>
          <w:szCs w:val="24"/>
          <w:vertAlign w:val="superscript"/>
          <w:rtl/>
          <w:lang w:val="ar-SA"/>
        </w:rPr>
        <w:t>)</w:t>
      </w:r>
      <w:r>
        <w:rPr>
          <w:rFonts w:cs="Times New Roman"/>
          <w:sz w:val="24"/>
          <w:szCs w:val="24"/>
          <w:rtl/>
          <w:lang w:val="ar-SA"/>
        </w:rPr>
        <w:t>؛ فتُعَدُّ الملكية الفكرية نوعًا من أنواع الملكية التي ظهرت في العصور المتأخرة؛ نتيجةً للتطوُّر العلمي وظهور الطباعة والتقدم الصناعي والتجاري الذي يشهده العالم</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3"/>
      </w:r>
      <w:r>
        <w:rPr>
          <w:rFonts w:ascii="Times New Roman" w:hAnsi="Times New Roman"/>
          <w:sz w:val="24"/>
          <w:szCs w:val="24"/>
          <w:vertAlign w:val="superscript"/>
          <w:rtl/>
          <w:lang w:val="ar-SA"/>
        </w:rPr>
        <w:t>)</w:t>
      </w:r>
    </w:p>
    <w:p w14:paraId="4FE5BF3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مفهوم الملكية الفكرية فيما يلي</w:t>
      </w:r>
      <w:r>
        <w:rPr>
          <w:rFonts w:ascii="Times New Roman" w:hAnsi="Times New Roman"/>
          <w:sz w:val="24"/>
          <w:szCs w:val="24"/>
          <w:rtl/>
          <w:lang w:val="ar-SA"/>
        </w:rPr>
        <w:t>:</w:t>
      </w:r>
    </w:p>
    <w:p w14:paraId="3BE57B6B" w14:textId="77777777" w:rsidR="00454428" w:rsidRDefault="00000000" w:rsidP="00C72BA8">
      <w:pPr>
        <w:pStyle w:val="BodyA"/>
        <w:numPr>
          <w:ilvl w:val="0"/>
          <w:numId w:val="39"/>
        </w:numPr>
        <w:spacing w:before="120" w:after="120" w:line="360" w:lineRule="auto"/>
        <w:rPr>
          <w:rFonts w:ascii="Times New Roman" w:eastAsia="Times New Roman" w:hAnsi="Times New Roman" w:cs="Times New Roman" w:hint="default"/>
          <w:sz w:val="24"/>
          <w:szCs w:val="24"/>
          <w:rtl/>
          <w:lang w:val="ar-SA"/>
        </w:rPr>
      </w:pPr>
      <w:bookmarkStart w:id="49" w:name="_Hlk195996459"/>
      <w:r>
        <w:rPr>
          <w:rFonts w:cs="Times New Roman"/>
          <w:b/>
          <w:bCs/>
          <w:sz w:val="24"/>
          <w:szCs w:val="24"/>
          <w:rtl/>
          <w:lang w:val="ar-SA"/>
        </w:rPr>
        <w:t xml:space="preserve">الفرع </w:t>
      </w:r>
      <w:bookmarkEnd w:id="49"/>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50" w:name="_Hlk193407760"/>
      <w:r>
        <w:rPr>
          <w:rFonts w:cs="Times New Roman"/>
          <w:sz w:val="24"/>
          <w:szCs w:val="24"/>
          <w:rtl/>
          <w:lang w:val="ar-SA"/>
        </w:rPr>
        <w:t>المفهوم التقليدي للملكية الفكرية</w:t>
      </w:r>
      <w:bookmarkEnd w:id="50"/>
      <w:r>
        <w:rPr>
          <w:rFonts w:ascii="Times New Roman" w:hAnsi="Times New Roman"/>
          <w:sz w:val="24"/>
          <w:szCs w:val="24"/>
          <w:rtl/>
          <w:lang w:val="ar-SA"/>
        </w:rPr>
        <w:t>.</w:t>
      </w:r>
    </w:p>
    <w:p w14:paraId="6DBC9AED" w14:textId="77777777" w:rsidR="00454428" w:rsidRDefault="00000000" w:rsidP="00C72BA8">
      <w:pPr>
        <w:pStyle w:val="BodyA"/>
        <w:numPr>
          <w:ilvl w:val="0"/>
          <w:numId w:val="39"/>
        </w:numPr>
        <w:spacing w:before="120" w:after="120" w:line="360" w:lineRule="auto"/>
        <w:jc w:val="both"/>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مفهوم الملكية الفكرية الإلكترونية</w:t>
      </w:r>
      <w:r>
        <w:rPr>
          <w:rFonts w:ascii="Times New Roman" w:hAnsi="Times New Roman"/>
          <w:sz w:val="24"/>
          <w:szCs w:val="24"/>
          <w:rtl/>
          <w:lang w:val="ar-SA"/>
        </w:rPr>
        <w:t>.</w:t>
      </w:r>
    </w:p>
    <w:p w14:paraId="779054E1" w14:textId="77777777" w:rsidR="00454428" w:rsidRDefault="00000000" w:rsidP="00C72BA8">
      <w:pPr>
        <w:pStyle w:val="Body"/>
        <w:spacing w:before="120" w:after="120" w:line="360" w:lineRule="auto"/>
      </w:pPr>
      <w:r>
        <w:rPr>
          <w:rFonts w:ascii="Arial Unicode MS" w:hAnsi="Arial Unicode MS"/>
          <w:sz w:val="28"/>
          <w:szCs w:val="28"/>
          <w:lang w:val="ar-SA"/>
        </w:rPr>
        <w:br w:type="page"/>
      </w:r>
    </w:p>
    <w:p w14:paraId="77153365" w14:textId="77777777" w:rsidR="00454428" w:rsidRDefault="00000000" w:rsidP="00C72BA8">
      <w:pPr>
        <w:pStyle w:val="a"/>
        <w:rPr>
          <w:lang w:val="ar-SA"/>
        </w:rPr>
      </w:pPr>
      <w:bookmarkStart w:id="51" w:name="_Toc24"/>
      <w:r>
        <w:rPr>
          <w:rFonts w:ascii="Arial Unicode MS" w:eastAsia="Arial Unicode MS" w:hAnsi="Arial Unicode MS" w:hint="cs"/>
          <w:rtl/>
          <w:lang w:val="ar-SA"/>
        </w:rPr>
        <w:lastRenderedPageBreak/>
        <w:t>الفرع الأول</w:t>
      </w:r>
      <w:bookmarkEnd w:id="51"/>
    </w:p>
    <w:p w14:paraId="0361AD0B" w14:textId="77777777" w:rsidR="00454428" w:rsidRDefault="00000000" w:rsidP="00C72BA8">
      <w:pPr>
        <w:pStyle w:val="a"/>
        <w:rPr>
          <w:lang w:val="ar-SA"/>
        </w:rPr>
      </w:pPr>
      <w:bookmarkStart w:id="52" w:name="_Toc25"/>
      <w:r>
        <w:rPr>
          <w:rFonts w:ascii="Arial Unicode MS" w:eastAsia="Arial Unicode MS" w:hAnsi="Arial Unicode MS" w:hint="cs"/>
          <w:rtl/>
          <w:lang w:val="ar-SA"/>
        </w:rPr>
        <w:t>المفهوم التقليدي للملكية الفكرية</w:t>
      </w:r>
      <w:bookmarkEnd w:id="52"/>
    </w:p>
    <w:p w14:paraId="55384281"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يشير مصطلح الملكية الفكرية إلى عملية نسبة حق الأفكار إلى صاحبها، وأنْ يكون له الحق في إطلاع الغير عليها، بالإضافة إلى التعديل أو الإضافة على أفكاره، كما أنَّ له الحق في منع نسخها وتصويرها والتصرف بها، فإنَّ حقوق الملكية الفكرية تعطي صاحبها الحق في استغلال إبداعاته بصورة مادية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4"/>
      </w:r>
      <w:r>
        <w:rPr>
          <w:rFonts w:ascii="Times New Roman" w:hAnsi="Times New Roman"/>
          <w:sz w:val="24"/>
          <w:szCs w:val="24"/>
          <w:vertAlign w:val="superscript"/>
          <w:rtl/>
          <w:lang w:val="ar-SA"/>
        </w:rPr>
        <w:t>)</w:t>
      </w:r>
    </w:p>
    <w:p w14:paraId="6A5C41F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يعرف الفكر في اللغة</w:t>
      </w:r>
      <w:r>
        <w:rPr>
          <w:rFonts w:ascii="Times New Roman" w:hAnsi="Times New Roman"/>
          <w:sz w:val="24"/>
          <w:szCs w:val="24"/>
          <w:rtl/>
          <w:lang w:val="ar-SA"/>
        </w:rPr>
        <w:t xml:space="preserve">: </w:t>
      </w:r>
      <w:r>
        <w:rPr>
          <w:rFonts w:cs="Times New Roman"/>
          <w:sz w:val="24"/>
          <w:szCs w:val="24"/>
          <w:rtl/>
          <w:lang w:val="ar-SA"/>
        </w:rPr>
        <w:t xml:space="preserve">هو استخدام العقل أو التأمل في شيء ما، ويشير المعجم الوسيط إلى أنَّ </w:t>
      </w:r>
      <w:r>
        <w:rPr>
          <w:rFonts w:ascii="Times New Roman" w:hAnsi="Times New Roman"/>
          <w:sz w:val="24"/>
          <w:szCs w:val="24"/>
          <w:rtl/>
          <w:lang w:val="ar-SA"/>
        </w:rPr>
        <w:t>"</w:t>
      </w:r>
      <w:r>
        <w:rPr>
          <w:rFonts w:cs="Times New Roman"/>
          <w:sz w:val="24"/>
          <w:szCs w:val="24"/>
          <w:rtl/>
          <w:lang w:val="ar-SA"/>
        </w:rPr>
        <w:t>الفكر</w:t>
      </w:r>
      <w:r>
        <w:rPr>
          <w:rFonts w:ascii="Times New Roman" w:hAnsi="Times New Roman"/>
          <w:sz w:val="24"/>
          <w:szCs w:val="24"/>
          <w:rtl/>
          <w:lang w:val="ar-SA"/>
        </w:rPr>
        <w:t xml:space="preserve">" </w:t>
      </w:r>
      <w:r>
        <w:rPr>
          <w:rFonts w:cs="Times New Roman"/>
          <w:sz w:val="24"/>
          <w:szCs w:val="24"/>
          <w:rtl/>
          <w:lang w:val="ar-SA"/>
        </w:rPr>
        <w:t>يعني توظيف العقل في موضوع معين وتنظيم بعض المعلومات للوصول إلى ما هو غير معروف</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5"/>
      </w:r>
      <w:r>
        <w:rPr>
          <w:rFonts w:ascii="Times New Roman" w:hAnsi="Times New Roman"/>
          <w:sz w:val="20"/>
          <w:szCs w:val="20"/>
          <w:rtl/>
          <w:lang w:val="ar-SA"/>
        </w:rPr>
        <w:t>)</w:t>
      </w:r>
      <w:r>
        <w:rPr>
          <w:rFonts w:cs="Times New Roman"/>
          <w:sz w:val="24"/>
          <w:szCs w:val="24"/>
          <w:rtl/>
          <w:lang w:val="ar-SA"/>
        </w:rPr>
        <w:t>، والفكر</w:t>
      </w:r>
      <w:r>
        <w:rPr>
          <w:rFonts w:ascii="Times New Roman" w:hAnsi="Times New Roman"/>
          <w:sz w:val="24"/>
          <w:szCs w:val="24"/>
          <w:rtl/>
          <w:lang w:val="ar-SA"/>
        </w:rPr>
        <w:t xml:space="preserve">: </w:t>
      </w:r>
      <w:r>
        <w:rPr>
          <w:rFonts w:cs="Times New Roman"/>
          <w:sz w:val="24"/>
          <w:szCs w:val="24"/>
          <w:rtl/>
          <w:lang w:val="ar-SA"/>
        </w:rPr>
        <w:t>إعمال العقل في المعلوم للوصول إلى معرفة مجهول</w:t>
      </w:r>
      <w:r>
        <w:rPr>
          <w:rFonts w:ascii="Times New Roman" w:hAnsi="Times New Roman"/>
          <w:sz w:val="24"/>
          <w:szCs w:val="24"/>
          <w:rtl/>
          <w:lang w:val="ar-SA"/>
        </w:rPr>
        <w:t>.</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6"/>
      </w:r>
      <w:r>
        <w:rPr>
          <w:rFonts w:ascii="Times New Roman" w:hAnsi="Times New Roman"/>
          <w:sz w:val="20"/>
          <w:szCs w:val="20"/>
          <w:rtl/>
          <w:lang w:val="ar-SA"/>
        </w:rPr>
        <w:t>)</w:t>
      </w:r>
    </w:p>
    <w:p w14:paraId="705B07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فإنَّ عبارة الملكية تعني نوعًا خاصًا من الملكية؛ إذ إنَّ من أهم خصائص الملكية أنَّه يجوز للمالك أنْ يستعمل ما يملكه كيفما يشاء، وأنَّه لا يمكن لغيره قانونًا أنْ يستعمل دون تصريح منه</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7"/>
      </w:r>
      <w:r>
        <w:rPr>
          <w:rFonts w:ascii="Times New Roman" w:hAnsi="Times New Roman"/>
          <w:sz w:val="24"/>
          <w:szCs w:val="24"/>
          <w:vertAlign w:val="superscript"/>
          <w:rtl/>
          <w:lang w:val="ar-SA"/>
        </w:rPr>
        <w:t>)</w:t>
      </w:r>
    </w:p>
    <w:p w14:paraId="6F3ACB5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فمصطلح الملكية الفكرية يشير إلى نوع من أنواع الملكية بمفهومها الواسع والشامل، والتي حظيت بحماية جميع التشريعات السماوية والوضعية عبر العصور، تعتبر الملكية الفكرية أحد الأركان الأساسية التي يقوم عليها النظام الاجتماعي، والاقتصادي، والحضاري للدول والمجتمعات، يتعين على الدولة الالتزام بحماية ملكية الأفراد، كما يفترض بالأفراد حماية ملكية الدولة، إنَّ حماية الملكية بجميع أشكالها وأنواعها تُعَدُّ الضمانة الأساسية لاستقرار الدول، وتحفيز الأفراد على العمل؛ ممَّا يسهم في دفع عجلة النمو الاقتصادي، والاجتماعي، والحضاري</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8"/>
      </w:r>
      <w:r>
        <w:rPr>
          <w:rFonts w:ascii="Times New Roman" w:hAnsi="Times New Roman"/>
          <w:sz w:val="20"/>
          <w:szCs w:val="20"/>
          <w:rtl/>
          <w:lang w:val="ar-SA"/>
        </w:rPr>
        <w:t>)</w:t>
      </w:r>
    </w:p>
    <w:p w14:paraId="3D983B7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مفهوم الملكية الفكرية ليس وليد اليوم، فقد يُعتقد أنَّ جذور نظام الملكية الفكرية تعود إلى شمال إيطاليا في عصر النهضة، ففي عام ١٤٧٤ أصدرت مدينة البندقية تشريعًا ينظم حماية الابتكارات، ويمنح المخترعين حقوقًا حصرية، أما نظام حقوق المؤلف</w:t>
      </w:r>
      <w:r>
        <w:rPr>
          <w:rFonts w:ascii="Times New Roman" w:hAnsi="Times New Roman"/>
          <w:sz w:val="24"/>
          <w:szCs w:val="24"/>
          <w:rtl/>
          <w:lang w:val="ar-SA"/>
        </w:rPr>
        <w:t xml:space="preserve">: </w:t>
      </w:r>
      <w:r>
        <w:rPr>
          <w:rFonts w:cs="Times New Roman"/>
          <w:sz w:val="24"/>
          <w:szCs w:val="24"/>
          <w:rtl/>
          <w:lang w:val="ar-SA"/>
        </w:rPr>
        <w:t>فقد نشأ نتيجة اختراع الحروف المطبعية وآلة الطباعة على يد يوهانس غوتنبرغ عام ١٤٤٠، وبحلول نهاية القرن التاسع عشر أدركت العديد من الدول ضرورة سنّ قوانين لتنظيم الملكية الفكرية، ويُعَدُّ حق الملكية من أبرز الحقوق العينية التي تكفلها القوانين والتشريعات لكل فرد في المجتمع، ويتعين على السلطة الرسمية في الدولة حماية هذا الحق وتفعيله وفقًا للأنظمة القانونية المعمول بها</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9"/>
      </w:r>
      <w:r>
        <w:rPr>
          <w:rFonts w:ascii="Times New Roman" w:hAnsi="Times New Roman"/>
          <w:sz w:val="20"/>
          <w:szCs w:val="20"/>
          <w:rtl/>
          <w:lang w:val="ar-SA"/>
        </w:rPr>
        <w:t>)</w:t>
      </w:r>
    </w:p>
    <w:p w14:paraId="142D7915"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يقصد بالملكية الفكرية مجموعة من القوانين التي تنظم حقوق المؤلف المتعلقة بالأعمال الأدبية والفنية وما يشابهها، بالإضافة إلى حقوق الملكية الفكرية الصناعية التي تشمل براءات الاختراع والعلامات التجارية، تهدف هذه القوانين إلى ضمان احتفاظ صاحب الحق أو الإبداع بجميع الحقوق المتعلقة باستغلال الآخرين لهذا الإبداع</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0"/>
      </w:r>
      <w:r>
        <w:rPr>
          <w:rFonts w:ascii="Times New Roman" w:hAnsi="Times New Roman"/>
          <w:sz w:val="20"/>
          <w:szCs w:val="20"/>
          <w:rtl/>
          <w:lang w:val="ar-SA"/>
        </w:rPr>
        <w:t>)</w:t>
      </w:r>
    </w:p>
    <w:p w14:paraId="2F8AC6F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يتمثل الفرق بين الملكية الفكرية وملكية الأموال المادية في طبيعة الحق؛ حيث إنَّ الملكية الفكرية لا تتعلق بأموال مادية، سواء كانت عقاريةً أو منقولة، بل تتعلق بشيء غير ملموس، وهو مال معنوي يحمل قيمةً ماليةً، كما أنَّ حقوق الملكية الفكرية تختلف عن الحقوق الشخصية؛ حيث تمثل الحقوق الشخصية علاقةً قانونيةً بين دائن ومدين، وهذه العلاقة غير موجودة في مختلف أشكال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1"/>
      </w:r>
      <w:r>
        <w:rPr>
          <w:rFonts w:ascii="Times New Roman" w:hAnsi="Times New Roman"/>
          <w:sz w:val="20"/>
          <w:szCs w:val="20"/>
          <w:rtl/>
          <w:lang w:val="ar-SA"/>
        </w:rPr>
        <w:t>)</w:t>
      </w:r>
    </w:p>
    <w:p w14:paraId="7A009FC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ومن خلال ما تقدم</w:t>
      </w:r>
      <w:r>
        <w:rPr>
          <w:rFonts w:ascii="Times New Roman" w:hAnsi="Times New Roman"/>
          <w:sz w:val="24"/>
          <w:szCs w:val="24"/>
          <w:rtl/>
          <w:lang w:val="ar-SA"/>
        </w:rPr>
        <w:t xml:space="preserve">: </w:t>
      </w:r>
      <w:r>
        <w:rPr>
          <w:rFonts w:cs="Times New Roman"/>
          <w:sz w:val="24"/>
          <w:szCs w:val="24"/>
          <w:rtl/>
          <w:lang w:val="ar-SA"/>
        </w:rPr>
        <w:t>يمكنني تقديم تعريف للملكية الفكرية بأنَّها</w:t>
      </w:r>
      <w:r>
        <w:rPr>
          <w:rFonts w:ascii="Times New Roman" w:hAnsi="Times New Roman"/>
          <w:sz w:val="24"/>
          <w:szCs w:val="24"/>
          <w:rtl/>
          <w:lang w:val="ar-SA"/>
        </w:rPr>
        <w:t>: "</w:t>
      </w:r>
      <w:r>
        <w:rPr>
          <w:rFonts w:cs="Times New Roman"/>
          <w:sz w:val="24"/>
          <w:szCs w:val="24"/>
          <w:rtl/>
          <w:lang w:val="ar-SA"/>
        </w:rPr>
        <w:t>مجموعة من الحقوق القانونية التي تمنح للأفراد أو المؤسسات لحماية إبداعاتهم الفكرية والابتكارات التقنية، وتشمل هذه الحقوق الأعمال الأدبية والفنية، والاختراعات، والعلامات التجارية، والتصاميم الصناعية</w:t>
      </w:r>
      <w:r>
        <w:rPr>
          <w:rFonts w:ascii="Times New Roman" w:hAnsi="Times New Roman"/>
          <w:sz w:val="24"/>
          <w:szCs w:val="24"/>
          <w:rtl/>
          <w:lang w:val="ar-SA"/>
        </w:rPr>
        <w:t>".</w:t>
      </w:r>
    </w:p>
    <w:p w14:paraId="04FE037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تنقسم حقوق الملكية إلى قسمين رئيسيين</w:t>
      </w:r>
      <w:r>
        <w:rPr>
          <w:rFonts w:ascii="Times New Roman" w:hAnsi="Times New Roman"/>
          <w:sz w:val="24"/>
          <w:szCs w:val="24"/>
          <w:rtl/>
          <w:lang w:val="ar-SA"/>
        </w:rPr>
        <w:t xml:space="preserve">: </w:t>
      </w:r>
      <w:r>
        <w:rPr>
          <w:rFonts w:cs="Times New Roman"/>
          <w:sz w:val="24"/>
          <w:szCs w:val="24"/>
          <w:rtl/>
          <w:lang w:val="ar-SA"/>
        </w:rPr>
        <w:t>الأول</w:t>
      </w:r>
      <w:r>
        <w:rPr>
          <w:rFonts w:ascii="Times New Roman" w:hAnsi="Times New Roman"/>
          <w:sz w:val="24"/>
          <w:szCs w:val="24"/>
          <w:rtl/>
          <w:lang w:val="ar-SA"/>
        </w:rPr>
        <w:t xml:space="preserve">: </w:t>
      </w:r>
      <w:r>
        <w:rPr>
          <w:rFonts w:cs="Times New Roman"/>
          <w:sz w:val="24"/>
          <w:szCs w:val="24"/>
          <w:rtl/>
          <w:lang w:val="ar-SA"/>
        </w:rPr>
        <w:t>هو الحقوق العينية، وهي السلطة المباشرة التي يكفلها القانون لشخص معين على شيء محدد، سواء كان عقارًا أو منقولًا؛ بحيث يمكنه التصرف فيه أو الانتفاع به دون واسطة، والثاني</w:t>
      </w:r>
      <w:r>
        <w:rPr>
          <w:rFonts w:ascii="Times New Roman" w:hAnsi="Times New Roman"/>
          <w:sz w:val="24"/>
          <w:szCs w:val="24"/>
          <w:rtl/>
          <w:lang w:val="ar-SA"/>
        </w:rPr>
        <w:t xml:space="preserve">: </w:t>
      </w:r>
      <w:r>
        <w:rPr>
          <w:rFonts w:cs="Times New Roman"/>
          <w:sz w:val="24"/>
          <w:szCs w:val="24"/>
          <w:rtl/>
          <w:lang w:val="ar-SA"/>
        </w:rPr>
        <w:t xml:space="preserve">هو الحقوق الشخصية، وهي العلاقة القانونية التي تربط بين الدائن والمدين، والتي يترتب عليها التزام المدين تجاه الدائن بأداء عمل معين، أو الامتناع عن فعل، أو نقل حق عيني إليه وفي الغالب تتعلق هذه الحقوق بأشياء مادية ملموسة، غير أنَّ هناك حقوقًا أخرى تتعلق بأمور معنوية، ترتبط ارتباطًا وثيقًا بما ينتجه العقل البشري من إبداعات، وتُعرف هذه الحقوق بـ </w:t>
      </w:r>
      <w:r>
        <w:rPr>
          <w:rFonts w:ascii="Times New Roman" w:hAnsi="Times New Roman"/>
          <w:sz w:val="24"/>
          <w:szCs w:val="24"/>
          <w:rtl/>
          <w:lang w:val="ar-SA"/>
        </w:rPr>
        <w:t>"</w:t>
      </w:r>
      <w:r>
        <w:rPr>
          <w:rFonts w:cs="Times New Roman"/>
          <w:sz w:val="24"/>
          <w:szCs w:val="24"/>
          <w:rtl/>
          <w:lang w:val="ar-SA"/>
        </w:rPr>
        <w:t>حقوق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2"/>
      </w:r>
      <w:r>
        <w:rPr>
          <w:rFonts w:ascii="Times New Roman" w:hAnsi="Times New Roman"/>
          <w:sz w:val="20"/>
          <w:szCs w:val="20"/>
          <w:rtl/>
          <w:lang w:val="ar-SA"/>
        </w:rPr>
        <w:t>)</w:t>
      </w:r>
    </w:p>
    <w:p w14:paraId="1FD796D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الملكية الفكرية ثمرةَ الإبداع البشري ونتاج العقل الإنساني، وقد ازداد الاهتمام بصونها؛ نتيجةَ تزايد الوعي بأهميتها كعنصر أساسي في تعزيز التنمية والتقدم، ويتم تحقيق ذلك من خلال تحويل المعارف والمعلومات إلى ابتكارات، ثم توظيف هذه الابتكارات لتتحول إلى منتجات قابلة للإنتاج والتطوير؛ ممَّا يعزّز من قيمتها الاقتصادية، ويرسخ مكانتها ضمن المجتمع، وتشمل حقوق الملكية الفكرية جميع أشكال الإنتاج الفكري الإبداعي، بما في ذلك</w:t>
      </w:r>
      <w:r>
        <w:rPr>
          <w:rFonts w:ascii="Times New Roman" w:hAnsi="Times New Roman"/>
          <w:sz w:val="24"/>
          <w:szCs w:val="24"/>
          <w:rtl/>
          <w:lang w:val="ar-SA"/>
        </w:rPr>
        <w:t xml:space="preserve">: </w:t>
      </w:r>
      <w:r>
        <w:rPr>
          <w:rFonts w:cs="Times New Roman"/>
          <w:sz w:val="24"/>
          <w:szCs w:val="24"/>
          <w:rtl/>
          <w:lang w:val="ar-SA"/>
        </w:rPr>
        <w:t>الاختراعات، والرسوم، والنماذج الصناعية، والرموز، والعلامات المميزة، إلى جانب المصنفات الأدبية والفنية</w:t>
      </w:r>
      <w:r>
        <w:rPr>
          <w:rFonts w:ascii="Times New Roman" w:hAnsi="Times New Roman"/>
          <w:sz w:val="24"/>
          <w:szCs w:val="24"/>
          <w:rtl/>
          <w:lang w:val="ar-SA"/>
        </w:rPr>
        <w:t xml:space="preserve">: </w:t>
      </w:r>
      <w:r>
        <w:rPr>
          <w:rFonts w:cs="Times New Roman"/>
          <w:sz w:val="24"/>
          <w:szCs w:val="24"/>
          <w:rtl/>
          <w:lang w:val="ar-SA"/>
        </w:rPr>
        <w:t>كالقصائد، واللوحات، والروايات، والتماثيل، وغيرها من الأعمال التي تبرز عبقرية الإنسان وإبداعه</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3"/>
      </w:r>
      <w:r>
        <w:rPr>
          <w:rFonts w:ascii="Times New Roman" w:hAnsi="Times New Roman"/>
          <w:sz w:val="20"/>
          <w:szCs w:val="20"/>
          <w:rtl/>
          <w:lang w:val="ar-SA"/>
        </w:rPr>
        <w:t>)</w:t>
      </w:r>
    </w:p>
    <w:p w14:paraId="2CC383B0"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يوجد اختلاف طفيف بين حق الملكية على الأشياء المادية سواء المنقولة أو العقارية، وحق الملكية على الأشياء المعنوية، ومع ذلك</w:t>
      </w:r>
      <w:r>
        <w:rPr>
          <w:rFonts w:ascii="Times New Roman" w:hAnsi="Times New Roman"/>
          <w:sz w:val="24"/>
          <w:szCs w:val="24"/>
          <w:rtl/>
          <w:lang w:val="ar-SA"/>
        </w:rPr>
        <w:t xml:space="preserve">: </w:t>
      </w:r>
      <w:r>
        <w:rPr>
          <w:rFonts w:cs="Times New Roman"/>
          <w:sz w:val="24"/>
          <w:szCs w:val="24"/>
          <w:rtl/>
          <w:lang w:val="ar-SA"/>
        </w:rPr>
        <w:t xml:space="preserve">فإنَّ هذا الاختلاف ليست له أهمية كبيرة؛ حيث إنَّ الآثار المترتبة على حق الملكية تنطبق في كلتا الحالتين، تعتبر الملكية الفكرية جزءًا من الملكية المعنوية؛ لأنَّها تتعلق دائمًا بإنتاج العقل والإبداع، ولا شك في أهمية </w:t>
      </w:r>
      <w:r>
        <w:rPr>
          <w:rFonts w:cs="Times New Roman"/>
          <w:sz w:val="24"/>
          <w:szCs w:val="24"/>
          <w:rtl/>
          <w:lang w:val="ar-SA"/>
        </w:rPr>
        <w:lastRenderedPageBreak/>
        <w:t>حماية ما ينتجه الفكر البشري، لا يمكن أنْ تكون هناك حماية للملكية المادية دون أنْ تشمل الملكية المعنوية، التي قد تتجاوز قيمتها في بعض الأحيان قيمة الذهب، والمجوهرات، والعقارات، وغيرها من الممتلكات المادية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4"/>
      </w:r>
      <w:r>
        <w:rPr>
          <w:rFonts w:ascii="Times New Roman" w:hAnsi="Times New Roman"/>
          <w:sz w:val="20"/>
          <w:szCs w:val="20"/>
          <w:rtl/>
          <w:lang w:val="ar-SA"/>
        </w:rPr>
        <w:t>)</w:t>
      </w:r>
    </w:p>
    <w:p w14:paraId="639FC3E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تعود أصول الملكية الفكرية إلى عصور موغلة في القدم؛ حيث نشأت مع وجود الإنسان نفسه، ومع ذلك لم يتضح مفهومها ومصطلحها بشكل جلي في تلك الحقب، بل تطوَّرت تدريجيًا عبر السياقات التاريخية المختلفة، حتى تفرعت إلى عدة فروع تعتمد عليها المجتمعات المتحضرة في إطار من التعاون المشترك، واحترام حقوق الأفراد والجماعات على حد سواء، وتكتسب هذه الحقوق أهميةً بالغةً؛ إذْ تُعَدُّ بمثابة وسيلة أساسية تمكن الأفراد من العيش وممارسة أنشطتهم المتنوعة، فضلًا عن كونها أداةً قانونيةً محوريةً لتنظيم العلاقات داخل المجتمع، وتنقسم هذه الحقوق إلى قسمين رئيسيين</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5"/>
      </w:r>
      <w:r>
        <w:rPr>
          <w:rFonts w:ascii="Times New Roman" w:hAnsi="Times New Roman"/>
          <w:sz w:val="20"/>
          <w:szCs w:val="20"/>
          <w:rtl/>
          <w:lang w:val="ar-SA"/>
        </w:rPr>
        <w:t>)</w:t>
      </w:r>
    </w:p>
    <w:p w14:paraId="032ACA37" w14:textId="77777777" w:rsidR="00454428" w:rsidRDefault="00000000" w:rsidP="00C72BA8">
      <w:pPr>
        <w:pStyle w:val="ListParagraph"/>
        <w:numPr>
          <w:ilvl w:val="0"/>
          <w:numId w:val="41"/>
        </w:numPr>
        <w:spacing w:before="120" w:after="120" w:line="360" w:lineRule="auto"/>
        <w:jc w:val="both"/>
        <w:rPr>
          <w:rFonts w:cs="Times New Roman" w:hint="default"/>
          <w:sz w:val="24"/>
          <w:szCs w:val="24"/>
          <w:rtl/>
          <w:lang w:val="ar-SA"/>
        </w:rPr>
      </w:pPr>
      <w:r>
        <w:rPr>
          <w:rFonts w:cs="Times New Roman"/>
          <w:b/>
          <w:bCs/>
          <w:sz w:val="24"/>
          <w:szCs w:val="24"/>
          <w:rtl/>
          <w:lang w:val="ar-SA"/>
        </w:rPr>
        <w:t>حقوق عامة</w:t>
      </w:r>
      <w:r>
        <w:rPr>
          <w:rFonts w:ascii="Times New Roman" w:hAnsi="Times New Roman"/>
          <w:b/>
          <w:bCs/>
          <w:sz w:val="24"/>
          <w:szCs w:val="24"/>
          <w:rtl/>
          <w:lang w:val="ar-SA"/>
        </w:rPr>
        <w:t>:</w:t>
      </w:r>
      <w:r>
        <w:rPr>
          <w:rFonts w:cs="Times New Roman"/>
          <w:sz w:val="24"/>
          <w:szCs w:val="24"/>
          <w:rtl/>
          <w:lang w:val="ar-SA"/>
        </w:rPr>
        <w:t xml:space="preserve"> تشمل جميع أفراد المجتمع، مثل</w:t>
      </w:r>
      <w:r>
        <w:rPr>
          <w:rFonts w:ascii="Times New Roman" w:hAnsi="Times New Roman"/>
          <w:sz w:val="24"/>
          <w:szCs w:val="24"/>
          <w:rtl/>
          <w:lang w:val="ar-SA"/>
        </w:rPr>
        <w:t xml:space="preserve">: </w:t>
      </w:r>
      <w:r>
        <w:rPr>
          <w:rFonts w:cs="Times New Roman"/>
          <w:sz w:val="24"/>
          <w:szCs w:val="24"/>
          <w:rtl/>
          <w:lang w:val="ar-SA"/>
        </w:rPr>
        <w:t>الحقوق السياسية، والاجتماعية</w:t>
      </w:r>
      <w:r>
        <w:rPr>
          <w:rFonts w:ascii="Times New Roman" w:hAnsi="Times New Roman"/>
          <w:sz w:val="24"/>
          <w:szCs w:val="24"/>
          <w:rtl/>
          <w:lang w:val="ar-SA"/>
        </w:rPr>
        <w:t xml:space="preserve">. </w:t>
      </w:r>
    </w:p>
    <w:p w14:paraId="1B9C3EEE" w14:textId="77777777" w:rsidR="00454428" w:rsidRDefault="00000000" w:rsidP="00C72BA8">
      <w:pPr>
        <w:pStyle w:val="ListParagraph"/>
        <w:numPr>
          <w:ilvl w:val="0"/>
          <w:numId w:val="41"/>
        </w:numPr>
        <w:spacing w:before="120" w:after="120" w:line="360" w:lineRule="auto"/>
        <w:jc w:val="both"/>
        <w:rPr>
          <w:rFonts w:cs="Times New Roman" w:hint="default"/>
          <w:sz w:val="24"/>
          <w:szCs w:val="24"/>
          <w:rtl/>
          <w:lang w:val="ar-SA"/>
        </w:rPr>
      </w:pPr>
      <w:r>
        <w:rPr>
          <w:rFonts w:cs="Times New Roman"/>
          <w:b/>
          <w:bCs/>
          <w:sz w:val="24"/>
          <w:szCs w:val="24"/>
          <w:rtl/>
          <w:lang w:val="ar-SA"/>
        </w:rPr>
        <w:t>حقوق خاصة</w:t>
      </w:r>
      <w:r>
        <w:rPr>
          <w:rFonts w:ascii="Times New Roman" w:hAnsi="Times New Roman"/>
          <w:b/>
          <w:bCs/>
          <w:sz w:val="24"/>
          <w:szCs w:val="24"/>
          <w:rtl/>
          <w:lang w:val="ar-SA"/>
        </w:rPr>
        <w:t>:</w:t>
      </w:r>
      <w:r>
        <w:rPr>
          <w:rFonts w:cs="Times New Roman"/>
          <w:sz w:val="24"/>
          <w:szCs w:val="24"/>
          <w:rtl/>
          <w:lang w:val="ar-SA"/>
        </w:rPr>
        <w:t xml:space="preserve"> تكتسب من قبل أفراد محددين، مثل</w:t>
      </w:r>
      <w:r>
        <w:rPr>
          <w:rFonts w:ascii="Times New Roman" w:hAnsi="Times New Roman"/>
          <w:sz w:val="24"/>
          <w:szCs w:val="24"/>
          <w:rtl/>
          <w:lang w:val="ar-SA"/>
        </w:rPr>
        <w:t xml:space="preserve">: </w:t>
      </w:r>
      <w:r>
        <w:rPr>
          <w:rFonts w:cs="Times New Roman"/>
          <w:sz w:val="24"/>
          <w:szCs w:val="24"/>
          <w:rtl/>
          <w:lang w:val="ar-SA"/>
        </w:rPr>
        <w:t>حقوق الأسرة والحقوق المالية، التي تنقسم بدورها إلى ثلاث فئاتٍ، تشمل هذه الفئات الحقوق المعنوية، أو الذهنية، أو الأدبية، وهي سلطات يمتلكها الشخص على شيء غير مادي، يمثل ثمرة أفكاره، أو خياله، أو جهوده، من أمثلة ذلك حق المؤلف في مؤلفاته العلمية، وحق الفنان في إبداعاته الفنية، وحق المخترع في ابتكاراته الصناعية، وحق التاجر في اسمه التجاري وعلامته التجارية وثقة العملاء</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26"/>
      </w:r>
      <w:r>
        <w:rPr>
          <w:rFonts w:ascii="Times New Roman" w:hAnsi="Times New Roman"/>
          <w:sz w:val="24"/>
          <w:szCs w:val="24"/>
          <w:vertAlign w:val="superscript"/>
          <w:rtl/>
          <w:lang w:val="ar-SA"/>
        </w:rPr>
        <w:t>)</w:t>
      </w:r>
    </w:p>
    <w:p w14:paraId="5426E49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بعد أنْ استعرضنا الأسس التاريخية والمفاهيم التقليدية للملكية الفكرية، نتوجه الآن لاستكشاف التحوُّلات التي فرضها العصر الرقمي على هذا المفهوم؛ ليكشف الفرع الثاني مفهوم الملكية الفكرية الإلكترونية عن رؤى متجددة تعيد صياغة معايير الحماية والإبداع</w:t>
      </w:r>
      <w:r>
        <w:rPr>
          <w:rFonts w:ascii="Times New Roman" w:hAnsi="Times New Roman"/>
          <w:sz w:val="24"/>
          <w:szCs w:val="24"/>
          <w:rtl/>
          <w:lang w:val="ar-SA"/>
        </w:rPr>
        <w:t>.</w:t>
      </w:r>
    </w:p>
    <w:p w14:paraId="731D35B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42A1E5A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7F2FD9F"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FF89614"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EA2448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22B988D"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6D884B3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00F8A53C"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DE79C34" w14:textId="77777777" w:rsidR="00454428" w:rsidRDefault="00000000" w:rsidP="00C72BA8">
      <w:pPr>
        <w:pStyle w:val="a"/>
        <w:rPr>
          <w:lang w:val="ar-SA"/>
        </w:rPr>
      </w:pPr>
      <w:bookmarkStart w:id="53" w:name="_Toc26"/>
      <w:r>
        <w:rPr>
          <w:rFonts w:ascii="Arial Unicode MS" w:eastAsia="Arial Unicode MS" w:hAnsi="Arial Unicode MS" w:hint="cs"/>
          <w:rtl/>
          <w:lang w:val="ar-SA"/>
        </w:rPr>
        <w:lastRenderedPageBreak/>
        <w:t>الفرع الثاني</w:t>
      </w:r>
      <w:bookmarkStart w:id="54" w:name="_Hlk193407937"/>
      <w:bookmarkEnd w:id="53"/>
    </w:p>
    <w:p w14:paraId="19605395" w14:textId="77777777" w:rsidR="00454428" w:rsidRDefault="00000000" w:rsidP="00C72BA8">
      <w:pPr>
        <w:pStyle w:val="a"/>
        <w:rPr>
          <w:lang w:val="ar-SA"/>
        </w:rPr>
      </w:pPr>
      <w:bookmarkStart w:id="55" w:name="_Toc27"/>
      <w:r>
        <w:rPr>
          <w:rFonts w:ascii="Arial Unicode MS" w:eastAsia="Arial Unicode MS" w:hAnsi="Arial Unicode MS" w:hint="cs"/>
          <w:rtl/>
          <w:lang w:val="ar-SA"/>
        </w:rPr>
        <w:t>مفهوم الملكية الفكرية الإلكترونية</w:t>
      </w:r>
      <w:bookmarkEnd w:id="55"/>
    </w:p>
    <w:bookmarkEnd w:id="54"/>
    <w:p w14:paraId="1F732E2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يعتبر اختراع الحاسوب وتحويله إلى منتج تجاري خطوةً جوهريةً في تاريخ التكنولوجيا القانونية والإدارية؛ لما أتاحه من قدرات فائقة في جمع المعطيات القانونية، وتخزينها بصورة منهجية، ومعالجتها، وتحليلها بسرعة استثنائية، مقارنةً بالأساليب التقليدية، وقد أدى انتشار الحاسوب في الأسواق إلى إحداث نقلة نوعية في التعامل مع الكم المعلوماتي الهائل، خصوصًا في مجالات الأحوال الشخصية، والتسجيل العقاري، والوثائق الرسمية؛ حيث باتت الأنظمة الرقمية تدعم مبدأ الأمن القانوني، وتسهيل الوصول إلى المصادر مع الحفاظ على سريتها، كما أسهمت الابتكارات المصاحبة لهذه الثورة، مثل</w:t>
      </w:r>
      <w:r>
        <w:rPr>
          <w:rFonts w:ascii="Times New Roman" w:hAnsi="Times New Roman"/>
          <w:sz w:val="24"/>
          <w:szCs w:val="24"/>
          <w:rtl/>
          <w:lang w:val="ar-SA"/>
        </w:rPr>
        <w:t xml:space="preserve">: </w:t>
      </w:r>
      <w:r>
        <w:rPr>
          <w:rFonts w:cs="Times New Roman"/>
          <w:sz w:val="24"/>
          <w:szCs w:val="24"/>
          <w:rtl/>
          <w:lang w:val="ar-SA"/>
        </w:rPr>
        <w:t>الأجهزة اللوحية، والهواتف الذكية، وأنظمة التخزين الخارجي، والحوسبة السحابية في رسم معالم الوسائط المتعددة، التي دمجت الصوت، والنص، والصورة، والرسوم البيانية داخل إطار واحد؛ ممَّا فتح آفاقًا لاعتمادها في العروض القضائية الإلكترونية والتعليم القانوني عن بُعد</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7"/>
      </w:r>
      <w:r>
        <w:rPr>
          <w:rFonts w:ascii="Times New Roman" w:hAnsi="Times New Roman"/>
          <w:sz w:val="24"/>
          <w:szCs w:val="24"/>
          <w:vertAlign w:val="superscript"/>
          <w:rtl/>
          <w:lang w:val="ar-SA"/>
        </w:rPr>
        <w:t>)</w:t>
      </w:r>
    </w:p>
    <w:p w14:paraId="20BE82C2"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تحولت هذه الاختراعات إلى قاعدة اقتصادية منتجة للاقتصاد المعرفي؛ حيث شكلت صناعة البرمجيات والمنصات الرقمية قطاعًا حيويًا؛ لجذب الاستثمارات العالمية، واستقطاب الكفاءات المهنية المتخصصة في مجال الاستشارات القانونية التقنية، ثم برز الإنترنت أو شبكة المعلومات العالمية باعتباره الطريق السريع الدولي لنقل البيانات بعدما جمع بين الحواسيب، والهواتف الذكية، والأقمار الصناعية، وكابلات الألياف الضوئية ضمن بنية تحتية متكاملة؛ لتبادل البيانات عبر بروتوكولات موحدة مكنت الحكومات، والمؤسسات، والشركات القانونية من تبادل المستندات الرسمية والأبحاث القضائية بصورة إلكترونية فورية، وتوفر هذه الشبكة طيفًا واسعًا من الخدمات الإلكترونية التي تشمل بوابات المحاكم الرقمية، ومنصات التوقيع الإلكتروني، والمحاكم الافتراضية، ومحركات البحث المتخصصة في الاجتهادات القضائية والقوانين المقارنة؛ ممَّا يتيح للقضاة، والمحامين، والباحثين الاطلاع على الآراء الفقهية والمعايير التشريعية عالميًا</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8"/>
      </w:r>
      <w:r>
        <w:rPr>
          <w:rFonts w:ascii="Times New Roman" w:hAnsi="Times New Roman"/>
          <w:sz w:val="24"/>
          <w:szCs w:val="24"/>
          <w:vertAlign w:val="superscript"/>
          <w:rtl/>
          <w:lang w:val="ar-SA"/>
        </w:rPr>
        <w:t>)</w:t>
      </w:r>
    </w:p>
    <w:p w14:paraId="47AB183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لا شك أنَّ التطوُّر التكنولوجي في وسائل الاتصالات وتقنيات الإرسال وانفتاح الحدود الدولية ساهم بصورة كبيرة في سهولة بث، ونقل، ونسخ المعلومات للأشخاص؛ حيث إنَّ الأفكار كلما زادت قيمتها التجارية أصبحت عرضةً لعمليات القرصنة والسرقة الأدبية؛ لذا يلزم على كافة التشريعات الوطنية والدولية حمايتها من أي اعتداءات، أو انتهاكات، أو تعديات على الملكية الفكرية، كما يشكل البث عبر الإنترنت خطورةً على حق المؤلف من ناحية إمكانية تحوير العمل وتحويله كما يمكن نسخة بسهولة، وقد حاول أصحاب الحقوق حماية حقوقهم المبثوثة عبر الإنترنت عن طريق تشفير الأوامر داخل البرنامج المحدد حتى لا يمكن نسخة، إلا أنَّ هذه الوسائل لم تؤدِّ إلى الحماية الكاملة، خاصةً أنَّ أعمال </w:t>
      </w:r>
      <w:r>
        <w:rPr>
          <w:rFonts w:cs="Times New Roman"/>
          <w:sz w:val="24"/>
          <w:szCs w:val="24"/>
          <w:rtl/>
          <w:lang w:val="ar-SA"/>
        </w:rPr>
        <w:lastRenderedPageBreak/>
        <w:t>القرصنة أوجدت لها سوقًا لفك الشفرات إزاء هذه الاعتداءات المتكررة، كما ثارت العديد من النزاعات في مجال حق المؤلف</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29"/>
      </w:r>
      <w:r>
        <w:rPr>
          <w:rFonts w:ascii="Times New Roman" w:hAnsi="Times New Roman"/>
          <w:sz w:val="20"/>
          <w:szCs w:val="20"/>
          <w:vertAlign w:val="superscript"/>
          <w:rtl/>
          <w:lang w:val="ar-SA"/>
        </w:rPr>
        <w:t>)</w:t>
      </w:r>
    </w:p>
    <w:p w14:paraId="09CD5B6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رغم التنوع الواسع للخدمات الإلكترونية التي توفرها شبكة المعلومات العالمية ومحتواها المتجدد باستمرار يتعرض هذا المجال إلى مشكلات قانونية جوهرية تتعلق بضمان سرية المعلومات وحمايتها من الاختراق والتلاعب، وتجلت أهمية معالجة هذه التحديات في سعي الدول المتقدمة إلى استحداث إطار تشريعي منظم يعزّز من حماية المحتوى الرقمي، ويكفل حفظ الحقوق الفكرية للمبدعين والمؤلفين، وقد عبّرت قوانين الملكية الفكرية الدولية والإقليمية عن هذا التوجه عبر وضع تعريفات دقيقة للحقوق، والمحظورات، واشتراطات الترخيص، كما تهدف هذه الاجراءات إلى ردع الاعتداءات على المصنفات الرقمية، مثل</w:t>
      </w:r>
      <w:r>
        <w:rPr>
          <w:rFonts w:ascii="Times New Roman" w:hAnsi="Times New Roman"/>
          <w:sz w:val="24"/>
          <w:szCs w:val="24"/>
          <w:rtl/>
          <w:lang w:val="ar-SA"/>
        </w:rPr>
        <w:t xml:space="preserve">: </w:t>
      </w:r>
      <w:r>
        <w:rPr>
          <w:rFonts w:cs="Times New Roman"/>
          <w:sz w:val="24"/>
          <w:szCs w:val="24"/>
          <w:rtl/>
          <w:lang w:val="ar-SA"/>
        </w:rPr>
        <w:t>القرصنة، والاقتباس غير المشروع، والتقليد غير المصرّح به، ويأخذ إطار الحماية في الاعتبار جملةً من الانتهاكات المحتملة التي قد تمس المصالح المعنوية والمادية للأصحاب الأصليين للأعمال، ولتحقيق ذلك ظهرت مواد متخصصة تتناول الجزاءات المدنية والجنائية، والعقوبات الزجرية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0"/>
      </w:r>
      <w:r>
        <w:rPr>
          <w:rFonts w:ascii="Times New Roman" w:hAnsi="Times New Roman"/>
          <w:sz w:val="24"/>
          <w:szCs w:val="24"/>
          <w:vertAlign w:val="superscript"/>
          <w:rtl/>
          <w:lang w:val="ar-SA"/>
        </w:rPr>
        <w:t>)</w:t>
      </w:r>
    </w:p>
    <w:p w14:paraId="2638AC0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 xml:space="preserve"> ومن الناحية التنظيمية</w:t>
      </w:r>
      <w:r>
        <w:rPr>
          <w:rFonts w:ascii="Times New Roman" w:hAnsi="Times New Roman"/>
          <w:sz w:val="24"/>
          <w:szCs w:val="24"/>
          <w:rtl/>
          <w:lang w:val="ar-SA"/>
        </w:rPr>
        <w:t xml:space="preserve">: </w:t>
      </w:r>
      <w:r>
        <w:rPr>
          <w:rFonts w:cs="Times New Roman"/>
          <w:sz w:val="24"/>
          <w:szCs w:val="24"/>
          <w:rtl/>
          <w:lang w:val="ar-SA"/>
        </w:rPr>
        <w:t>أدى هذا التحول إلى رفع مستوى الشفافية، وتسهيل الاطلاع على المعلومات التشريعية والقضائية، وتقليص الإجراءات البيروقراطية في المحاكم وسجلات الأحوال؛ ممَّا ساهم في تحسين كفاءة الإدارة القضائية، وتعزيز ثقة الأفراد في المنظومة القانونية الرقمية، وقد استوجبت هذه البيئة المعلوماتية رسم استراتيجيات وطنية للأمن السيبراني، تتضمن تطوير أطرًا قانونيةً لمحاربة الجرائم الإلكترونية، والتحقيق في الجرائم المالية عبر الشبكات الرقمية، واعتماد معاهد وطنية للخبرة القانونية التقنية، وأخيرًا يستمر هذا التطوُّر في تحفيز التنسيق الدولي لتوحيد المعايير التقنية والقانونية وضمان حق الدول في إدارة مواردها الرقمية، وحماية بيانات مواطنيها، ضمن مبدأ التعاون والتكامل؛ لتأسيس نظام رقمي عالمي يستند إلى قواعد القانون الدولي والسيادة الرقمية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31"/>
      </w:r>
      <w:r>
        <w:rPr>
          <w:rFonts w:ascii="Times New Roman" w:hAnsi="Times New Roman"/>
          <w:sz w:val="24"/>
          <w:szCs w:val="24"/>
          <w:vertAlign w:val="superscript"/>
          <w:rtl/>
          <w:lang w:val="ar-SA"/>
        </w:rPr>
        <w:t>)</w:t>
      </w:r>
    </w:p>
    <w:p w14:paraId="672C5D0F"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علاوةً على تنظيم اختصاصات الجهات الرقابية والمحاكم الإلكترونية لتسوية المنازعات بكفاءة واقتدار، ومع توسع شبكة الإنترنت؛ بات من الممكن إصدار التراخيص الإلكترونية، واستغلال المنتجات الفكرية عبر المنصات الرقمية بتكاليف مخفضة، ونطاق جغرافي واسع يشمل معظم مناطق العالم، وتساهم هذه الإمكانية في تنمية اقتصاد المعرفة، ودعم الصناعات الإبداعية من خلال تسويق الكتب، والمقالات، والبرمجيات، والأعمال الفنية عبر قنوات رقمية مهيكلة، غير أنَّ ذلك يضع المسئولية على عاتق المشرع بمواصلة تطوير الآليات القانونية لمكافحة الانتهاكات الإلكترونية، وضبط عمليات التحميل والنسخ غير المشروع، وبينما توفّر بروتوكولات الحماية الرقمية إجراءات تقنية لمنع التلاعب؛ تبرز الحاجة أيضًا إلى معاهدات دولية توحّد المعايير، وتشدد إجراءات النفاذ عبر الحدود، وتجدر الإشارة إلى دور الجمعيات والمؤسسات الدولية في نشر الوعي بحقوق الملكية الفكرية، وتنظيم ورش العمل، والتدريب على الإجراءات القانونية والتقنية، وأخيرًا يبقى التحدي الماثل أمام المشرعات الوطنية والإقليمية هو تحقيق التوازن بين تشجيع الإبداع ونشر المعرفة وبين حماية حقوق المبدعين؛ لضمان استدامة المنظومة الرقمية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2"/>
      </w:r>
      <w:r>
        <w:rPr>
          <w:rFonts w:ascii="Times New Roman" w:hAnsi="Times New Roman"/>
          <w:sz w:val="24"/>
          <w:szCs w:val="24"/>
          <w:vertAlign w:val="superscript"/>
          <w:rtl/>
          <w:lang w:val="ar-SA"/>
        </w:rPr>
        <w:t>)</w:t>
      </w:r>
    </w:p>
    <w:p w14:paraId="2BFB0475"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vertAlign w:val="superscript"/>
          <w:lang w:val="ar-SA"/>
        </w:rPr>
      </w:pPr>
      <w:r>
        <w:rPr>
          <w:rFonts w:cs="Times New Roman"/>
          <w:sz w:val="24"/>
          <w:szCs w:val="24"/>
          <w:rtl/>
          <w:lang w:val="ar-SA"/>
        </w:rPr>
        <w:lastRenderedPageBreak/>
        <w:t>يمكن تعريف الملكية الفكرية الإلكترونية بأنَّها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المنشأة للإبداع الأدبي، أو الفني، أو العلمي، والإبداع الفكري مدمجة بشكل في فضاء مادي أو إلكتروني، باستخدام وسائل إلكترونية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3"/>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57E6C795"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كما يمكن تعريف الملكية الفكرية الإلكترونية على 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الممنوحة للابتكار والإبداع الذهني في المجالات الأدبية، أو الفنية، أو العلمية، والتي تتجسد في أشكال رقمية تستخدم الوسائل الإلكترونية في الإنتاج والنشر</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4"/>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4B83791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ولا شك أنَّ حماية الملكية الفكرية الإلكترونية تتطلب تقسيم الملكية بين مادية خبرتها متمثلة في الإنسان، وبين الملكية المستخدمة في الواقع الرقمي، ويتطلب التطوُّر التكنولوجي في مجال الحوسبة الرقمية الكشف عن أهمية نظم الملكية الفكرية عامة، والبحث في إمكانية تطبيق التشريعات القائمة على الملكية الفكرية الإلكترونية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5"/>
      </w:r>
      <w:r>
        <w:rPr>
          <w:rFonts w:ascii="Times New Roman" w:hAnsi="Times New Roman"/>
          <w:sz w:val="20"/>
          <w:szCs w:val="20"/>
          <w:vertAlign w:val="superscript"/>
          <w:rtl/>
          <w:lang w:val="ar-SA"/>
        </w:rPr>
        <w:t>)</w:t>
      </w:r>
    </w:p>
    <w:p w14:paraId="0DCA538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والفرق الجوهري بين الملكية الفكرية التقليدية، والملكية الفكرية الإلكترونية، من حيث وسيط العرض وأسلوب الحماية، فبينما كانت الأولى ترتكز على أشكال مادية</w:t>
      </w:r>
      <w:r>
        <w:rPr>
          <w:rFonts w:ascii="Times New Roman" w:hAnsi="Times New Roman"/>
          <w:sz w:val="24"/>
          <w:szCs w:val="24"/>
          <w:rtl/>
          <w:lang w:val="ar-SA"/>
        </w:rPr>
        <w:t xml:space="preserve">: </w:t>
      </w:r>
      <w:r>
        <w:rPr>
          <w:rFonts w:cs="Times New Roman"/>
          <w:sz w:val="24"/>
          <w:szCs w:val="24"/>
          <w:rtl/>
          <w:lang w:val="ar-SA"/>
        </w:rPr>
        <w:t>كالكتب، والأشرطة، والرسوم؛ فإنَّ الثانية تضم البرمجيات، وقواعد البيانات والتصاميم الرقمية، والمحتوى السمعي والبصري الموزع على الشبكات الرقمية، ويتيح هذا التوسع الرقمي ظهور حقوق جديدة تفرض ضوابط تتعلق بعمليات النسخ، والتوزيع، والاطلاع الإلكتروني، وقد استوجب ذلك تطوير نظم تراخيص إلكترونية مرنة تحدد شروط الاستخدام، وإعادة الإنتاج في بيئات الحوسبة السحابية والمنصات الرقمية، كما يتطلب إعلان الإصدار الرقمي، والتوثيق الإلكتروني؛ لضمان إثبات الأولوية، والحيازة، وتقليص أخطار التزوير، ويستقل إطار الحماية الإلكترونية عن التصنيف التقليدي بفروعه الخمسة؛ ليواكب خصوصية المحتوى الرقمي ومتطلبات تشفيره، وإخفائه، وإعادة عرضه، ويستلزم هذا التوجه استحداث نصوص قانونية متخصصة تعالج تجاوزات القرصنة الرقمية والاختراق غير المشروع والتلاعب بالبيانات، ويسهم التنسيق الدولي في تبني معايير مشتركة لحماية الحقوق الإلكترونية عبر الحدود، وعلاوةً على ذلك</w:t>
      </w:r>
      <w:r>
        <w:rPr>
          <w:rFonts w:ascii="Times New Roman" w:hAnsi="Times New Roman"/>
          <w:sz w:val="24"/>
          <w:szCs w:val="24"/>
          <w:rtl/>
          <w:lang w:val="ar-SA"/>
        </w:rPr>
        <w:t xml:space="preserve">: </w:t>
      </w:r>
      <w:r>
        <w:rPr>
          <w:rFonts w:cs="Times New Roman"/>
          <w:sz w:val="24"/>
          <w:szCs w:val="24"/>
          <w:rtl/>
          <w:lang w:val="ar-SA"/>
        </w:rPr>
        <w:t>يوفر ترخيص المحتوى الإلكتروني فرصًا تجاريةً واسعةً بأقل التكاليف، وأقصى انتشار جغرافي ممَّا يعزّز اقتصاد المعرفة ويحفز الابتكار في العصر الرقمي، وبذلك يعكس مفهوم الملكية الفكرية الإلكترونية تطوُّر التشريع لتلبية تحديات الوسائط الحديثة وضمان توازن بين تشجيع الإبداع وحماية حقوق المبدعين</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6"/>
      </w:r>
      <w:r>
        <w:rPr>
          <w:rFonts w:ascii="Times New Roman" w:hAnsi="Times New Roman"/>
          <w:sz w:val="24"/>
          <w:szCs w:val="24"/>
          <w:vertAlign w:val="superscript"/>
          <w:rtl/>
          <w:lang w:val="ar-SA"/>
        </w:rPr>
        <w:t>)</w:t>
      </w:r>
    </w:p>
    <w:p w14:paraId="25F27360"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w:t>
      </w:r>
      <w:r>
        <w:rPr>
          <w:rFonts w:ascii="Times New Roman" w:hAnsi="Times New Roman"/>
          <w:sz w:val="24"/>
          <w:szCs w:val="24"/>
          <w:rtl/>
          <w:lang w:val="ar-SA"/>
        </w:rPr>
        <w:t>(</w:t>
      </w:r>
      <w:r>
        <w:rPr>
          <w:rFonts w:cs="Times New Roman"/>
          <w:sz w:val="24"/>
          <w:szCs w:val="24"/>
          <w:rtl/>
          <w:lang w:val="ar-SA"/>
        </w:rPr>
        <w:t>المحتوى</w:t>
      </w:r>
      <w:r>
        <w:rPr>
          <w:rFonts w:ascii="Times New Roman" w:hAnsi="Times New Roman"/>
          <w:sz w:val="24"/>
          <w:szCs w:val="24"/>
          <w:rtl/>
          <w:lang w:val="ar-SA"/>
        </w:rPr>
        <w:t>)</w:t>
      </w:r>
      <w:r>
        <w:rPr>
          <w:rFonts w:cs="Times New Roman"/>
          <w:sz w:val="24"/>
          <w:szCs w:val="24"/>
          <w:rtl/>
          <w:lang w:val="ar-SA"/>
        </w:rPr>
        <w:t xml:space="preserve">،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w:t>
      </w:r>
      <w:r>
        <w:rPr>
          <w:rFonts w:cs="Times New Roman"/>
          <w:sz w:val="24"/>
          <w:szCs w:val="24"/>
          <w:rtl/>
          <w:lang w:val="ar-SA"/>
        </w:rPr>
        <w:lastRenderedPageBreak/>
        <w:t>القرصنة والتقليد، أو النسخ غير المشروع والتزوير، أو غيرها من الاعتداءات التي تضر بمصالحهم الشخصية والمادية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7"/>
      </w:r>
      <w:r>
        <w:rPr>
          <w:rFonts w:ascii="Times New Roman" w:hAnsi="Times New Roman"/>
          <w:sz w:val="20"/>
          <w:szCs w:val="20"/>
          <w:vertAlign w:val="superscript"/>
          <w:rtl/>
          <w:lang w:val="ar-SA"/>
        </w:rPr>
        <w:t>)</w:t>
      </w:r>
    </w:p>
    <w:p w14:paraId="6140F8D9"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rPr>
      </w:pPr>
      <w:r>
        <w:rPr>
          <w:rFonts w:cs="Times New Roman"/>
          <w:sz w:val="24"/>
          <w:szCs w:val="24"/>
          <w:rtl/>
          <w:lang w:val="ar-SA"/>
        </w:rPr>
        <w:t>وتُعَدُّ حماية الملكية الفكرية في العصر الإلكتروني من الأمور بالغة الأهمية؛ حيث سهل العصر الإلكتروني عمليات نسخ الكتب باستخدام آلات نسخ ضوئية سريعة الاستخدام، والجدير بالذكر</w:t>
      </w:r>
      <w:r>
        <w:rPr>
          <w:rFonts w:ascii="Times New Roman" w:hAnsi="Times New Roman"/>
          <w:sz w:val="24"/>
          <w:szCs w:val="24"/>
          <w:rtl/>
          <w:lang w:val="ar-SA"/>
        </w:rPr>
        <w:t xml:space="preserve">: </w:t>
      </w:r>
      <w:r>
        <w:rPr>
          <w:rFonts w:cs="Times New Roman"/>
          <w:sz w:val="24"/>
          <w:szCs w:val="24"/>
          <w:rtl/>
          <w:lang w:val="ar-SA"/>
        </w:rPr>
        <w:t>أنَّ الناس عادة ما يفضلون شراء الكتب، في حين أنَّ نسخ برامج الكمبيوتر على قرص مرن يمكن أنْ يتم في ثوان معدودة، ويهدد التحول إلى استخدام الأجهزة البرمجية أو الإلكترونية بتعقيد المشكلة، وعلى سبيل المثال</w:t>
      </w:r>
      <w:r>
        <w:rPr>
          <w:rFonts w:ascii="Times New Roman" w:hAnsi="Times New Roman"/>
          <w:sz w:val="24"/>
          <w:szCs w:val="24"/>
        </w:rPr>
        <w:t>:</w:t>
      </w:r>
      <w:r>
        <w:rPr>
          <w:rFonts w:cs="Times New Roman"/>
          <w:sz w:val="24"/>
          <w:szCs w:val="24"/>
          <w:rtl/>
          <w:lang w:val="ar-SA"/>
        </w:rPr>
        <w:t xml:space="preserve"> فإنَّ القوانين الحالية لحق النشر والتأليف في معظم البلدان لا تحمي حق النشر والتأليف للمادة الموجودة على خدمة الكمبيوتر مباشر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8"/>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149787E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لذلك من الضروري الوقوف على حقوق المؤلف لمعرفة ما تحويه من دلالات ومفاهيم، وأثر التكنولوجيا الحديثة على تلك الحقوق؛ حيث تنوع المصادر وطرق الوصول للمعلومات، كذلك تنوع وسائل النشر المختلفة فلم تقتصر على المواد المطبوعة بالطرق التقليدية </w:t>
      </w:r>
      <w:r>
        <w:rPr>
          <w:rFonts w:ascii="Times New Roman" w:hAnsi="Times New Roman"/>
          <w:sz w:val="24"/>
          <w:szCs w:val="24"/>
          <w:rtl/>
          <w:lang w:val="ar-SA"/>
        </w:rPr>
        <w:t>(</w:t>
      </w:r>
      <w:r>
        <w:rPr>
          <w:rFonts w:cs="Times New Roman"/>
          <w:sz w:val="24"/>
          <w:szCs w:val="24"/>
          <w:rtl/>
          <w:lang w:val="ar-SA"/>
        </w:rPr>
        <w:t>الورقية</w:t>
      </w:r>
      <w:r>
        <w:rPr>
          <w:rFonts w:ascii="Times New Roman" w:hAnsi="Times New Roman"/>
          <w:sz w:val="24"/>
          <w:szCs w:val="24"/>
          <w:rtl/>
          <w:lang w:val="ar-SA"/>
        </w:rPr>
        <w:t>)</w:t>
      </w:r>
      <w:r>
        <w:rPr>
          <w:rFonts w:cs="Times New Roman"/>
          <w:sz w:val="24"/>
          <w:szCs w:val="24"/>
          <w:rtl/>
          <w:lang w:val="ar-SA"/>
        </w:rPr>
        <w:t xml:space="preserve">، بل تخطى هذا وأصبح هناك ما يعرف بالنشر الإلكتروني حتى وصلت إلى النشر على الإنترنت في العصر الحالي، أو ما يعرف بالملكية الفكرية الرقمية، أو الملكية الفكرية للمصنفات الرقمية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9"/>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1445986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توضح الاجتهادات القانونية أنَّ الحقوق الفكرية تندرج ضمن الحقوق العينية التي تنشأ عن الإبداع الفكري والابتكار، ولا تشمل الحقوق الشخصية المتصلة باسم الفرد أو بسلامته الجسدية أو بحريته في التعبير؛ إذ يخطئ بعض الفقه في تصنيف الحقوق الفكرية ضمن الحقوق الشخصية، ويؤكد القانون أنَّ الحقوق الشخصية لا تُعَدُّ حقوقًا ذات طابع مالي، ومِنْ ثَمَّ فهي غير قابلة للتداول، أو التنازل، أو الحجز، أو الانتقال بالوراثة، بينما تتسم الحقوق الفكرية بإمكانية التنازل عنها، أو منح تراخيص استغلالها لأطراف ثالثة بمقابل مادي أو غير مادي، وتتمتع هذه الحقوق بقابلية الانتقال بالوراثة وفق الشروط المقررة في التشريعات الوطنية والدولية، ويستقل إطار الحماية الفكرية عن التصنيف التقليدي بفروعه الخمسة؛ ليعكس خصوصية المصنفات الرقمية والتكنولوجية ومتطلبات تشفيرها وإدارتها، وتفرض القوانين الدولية والإقليمية تعريفاتٍ دقيقةً للحقوق والمحظورات واشتراطات التسجيل أو الإعلان الإلكتروني للمصنف؛ لضمان إثبات الأولوية والحيازة، كما تضمّن التشريع ردع الاعتداءات على المصنفات الفكرية، مثل</w:t>
      </w:r>
      <w:r>
        <w:rPr>
          <w:rFonts w:ascii="Times New Roman" w:hAnsi="Times New Roman"/>
          <w:sz w:val="24"/>
          <w:szCs w:val="24"/>
          <w:rtl/>
          <w:lang w:val="ar-SA"/>
        </w:rPr>
        <w:t xml:space="preserve">: </w:t>
      </w:r>
      <w:r>
        <w:rPr>
          <w:rFonts w:cs="Times New Roman"/>
          <w:sz w:val="24"/>
          <w:szCs w:val="24"/>
          <w:rtl/>
          <w:lang w:val="ar-SA"/>
        </w:rPr>
        <w:t xml:space="preserve">القرصنة، والتقليد غير المصرّح به، ويسهم الفصل بين الحقوق الشخصية والفكرية في توفير حماية مزدوجة تراعى كرامة الفرد واستقلالية الملكية الفكرية، ويعتمد تفعيل هذه الحماية على تنسيق الجهود بين الجهات الرقابية ومزوِّدي خدمات الإنترنت والمحاكم المتخصصة في المنازعات الرقمية، واستحداث نظم تراخيص إلكترونية مرنة وآليات مراقبة الانتهاكات عبر الحدود الرقمية، ويؤكد القضاء المختص على أهمية وضوح التعريفات والمفاهيم لكل فئة من الحقوق؛ لضمان تحقيق التوازن بين حماية الحقوق الإنسانية وتشجيع الابتكار في الفضاء الرقمي، وتظل المتابعة التشريعية مستمرةً لمواكبة التطوُّرات </w:t>
      </w:r>
      <w:r>
        <w:rPr>
          <w:rFonts w:cs="Times New Roman"/>
          <w:sz w:val="24"/>
          <w:szCs w:val="24"/>
          <w:rtl/>
          <w:lang w:val="ar-SA"/>
        </w:rPr>
        <w:lastRenderedPageBreak/>
        <w:t>التقنية وتطوير الأطر القانونية المتخصصة في الملكية الفكرية الإلكترونية، وبذلك يعكس النظام القانوني التكاملي تطوُّر الفكر التشريعي؛ لتلبية تحديات العصر الرقمي وضمان استدامة المنظومة الفكرية والإبداعية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0"/>
      </w:r>
      <w:r>
        <w:rPr>
          <w:rFonts w:ascii="Times New Roman" w:hAnsi="Times New Roman"/>
          <w:sz w:val="24"/>
          <w:szCs w:val="24"/>
          <w:vertAlign w:val="superscript"/>
          <w:rtl/>
          <w:lang w:val="ar-SA"/>
        </w:rPr>
        <w:t>)</w:t>
      </w:r>
    </w:p>
    <w:p w14:paraId="4CF4D8C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تهدف الملكية الفكرية إلى تشجيع الابتكار والإبداع من خلال توفير حماية قانونية للمبدعين؛ ممَّا يتيح لهم الاستفادة من أعمالهم واختراعاتهم بشكل حصري لفترة زمنية محددة، وبالتالي</w:t>
      </w:r>
      <w:r>
        <w:rPr>
          <w:rFonts w:ascii="Times New Roman" w:hAnsi="Times New Roman"/>
          <w:sz w:val="24"/>
          <w:szCs w:val="24"/>
          <w:rtl/>
          <w:lang w:val="ar-SA"/>
        </w:rPr>
        <w:t xml:space="preserve">: </w:t>
      </w:r>
      <w:r>
        <w:rPr>
          <w:rFonts w:cs="Times New Roman"/>
          <w:sz w:val="24"/>
          <w:szCs w:val="24"/>
          <w:rtl/>
          <w:lang w:val="ar-SA"/>
        </w:rPr>
        <w:t>تحفيز المزيد من التطوُّر والتقدم في مختلف المجالات</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1"/>
      </w:r>
      <w:r>
        <w:rPr>
          <w:rFonts w:ascii="Times New Roman" w:hAnsi="Times New Roman"/>
          <w:sz w:val="24"/>
          <w:szCs w:val="24"/>
          <w:vertAlign w:val="superscript"/>
          <w:rtl/>
          <w:lang w:val="ar-SA"/>
        </w:rPr>
        <w:t>)</w:t>
      </w:r>
    </w:p>
    <w:p w14:paraId="682CFB9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بعدما استعرضنا مفهوم الملكية الفكرية الإلكترونية وما يستتبعها من تحولات وتوجهات رقمية متجددة، نتوجه لاستقصاء أهمية، وأنواع، وأهداف الملكية الفكرية في المطلب الثاني في ظل تحديات العصر الحديث، على سبيل المثال، وسوف نوضح ذلك من خلال بيان أنواع حقوق المؤلف</w:t>
      </w:r>
      <w:r>
        <w:rPr>
          <w:rFonts w:ascii="Times New Roman" w:hAnsi="Times New Roman"/>
          <w:sz w:val="24"/>
          <w:szCs w:val="24"/>
          <w:rtl/>
          <w:lang w:val="ar-SA"/>
        </w:rPr>
        <w:t>:</w:t>
      </w:r>
    </w:p>
    <w:p w14:paraId="20BCE3FE" w14:textId="77777777" w:rsidR="00454428" w:rsidRDefault="00000000" w:rsidP="00C72BA8">
      <w:pPr>
        <w:pStyle w:val="BodyA"/>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 المالي والحق الأدبي للمؤلف</w:t>
      </w:r>
      <w:r>
        <w:rPr>
          <w:rFonts w:ascii="Times New Roman" w:hAnsi="Times New Roman"/>
          <w:sz w:val="24"/>
          <w:szCs w:val="24"/>
          <w:rtl/>
          <w:lang w:val="ar-SA"/>
        </w:rPr>
        <w:t>.</w:t>
      </w:r>
    </w:p>
    <w:p w14:paraId="09833EB9" w14:textId="77777777" w:rsidR="00454428" w:rsidRDefault="00000000" w:rsidP="00C72BA8">
      <w:pPr>
        <w:pStyle w:val="BodyA"/>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المعنوية للمؤلف</w:t>
      </w:r>
      <w:r>
        <w:rPr>
          <w:rFonts w:ascii="Times New Roman" w:hAnsi="Times New Roman"/>
          <w:sz w:val="24"/>
          <w:szCs w:val="24"/>
          <w:rtl/>
          <w:lang w:val="ar-SA"/>
        </w:rPr>
        <w:t>.</w:t>
      </w:r>
    </w:p>
    <w:p w14:paraId="0B0A0292"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1A1159D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26AFFC19"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48671C01"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36AA32CC"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3A6B8D2F"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4B140C14"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5B204A7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00D559A0"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13DC10EA"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C81A6EA"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14ED5669"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018AB8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D79020D"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2650ACC7"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2C74C3C3"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1686DBAC" w14:textId="77777777" w:rsidR="00454428" w:rsidRDefault="00000000" w:rsidP="00C72BA8">
      <w:pPr>
        <w:pStyle w:val="a"/>
        <w:rPr>
          <w:b w:val="0"/>
          <w:bCs w:val="0"/>
          <w:lang w:val="ar-SA"/>
        </w:rPr>
      </w:pPr>
      <w:bookmarkStart w:id="56" w:name="_Toc28"/>
      <w:r>
        <w:rPr>
          <w:rFonts w:ascii="Arial Unicode MS" w:eastAsia="Arial Unicode MS" w:hAnsi="Arial Unicode MS" w:hint="cs"/>
          <w:rtl/>
          <w:lang w:val="ar-SA"/>
        </w:rPr>
        <w:t>المطلب الثاني</w:t>
      </w:r>
      <w:bookmarkStart w:id="57" w:name="_Hlk179396102"/>
      <w:bookmarkEnd w:id="56"/>
    </w:p>
    <w:p w14:paraId="4EA60211" w14:textId="77777777" w:rsidR="00454428" w:rsidRDefault="00000000" w:rsidP="00C72BA8">
      <w:pPr>
        <w:pStyle w:val="a"/>
        <w:rPr>
          <w:b w:val="0"/>
          <w:bCs w:val="0"/>
          <w:lang w:val="ar-SA"/>
        </w:rPr>
      </w:pPr>
      <w:bookmarkStart w:id="58" w:name="_Toc29"/>
      <w:r>
        <w:rPr>
          <w:rFonts w:ascii="Arial Unicode MS" w:eastAsia="Arial Unicode MS" w:hAnsi="Arial Unicode MS" w:hint="cs"/>
          <w:rtl/>
          <w:lang w:val="ar-SA"/>
        </w:rPr>
        <w:t>أ</w:t>
      </w:r>
      <w:bookmarkStart w:id="59" w:name="_Hlk193408756"/>
      <w:r>
        <w:rPr>
          <w:rFonts w:ascii="Arial Unicode MS" w:eastAsia="Arial Unicode MS" w:hAnsi="Arial Unicode MS" w:hint="cs"/>
          <w:rtl/>
          <w:lang w:val="ar-SA"/>
        </w:rPr>
        <w:t xml:space="preserve">همية </w:t>
      </w:r>
      <w:bookmarkEnd w:id="59"/>
      <w:r>
        <w:rPr>
          <w:rFonts w:ascii="Arial Unicode MS" w:eastAsia="Arial Unicode MS" w:hAnsi="Arial Unicode MS" w:hint="cs"/>
          <w:rtl/>
          <w:lang w:val="ar-SA"/>
        </w:rPr>
        <w:t xml:space="preserve">أهداف وحقوق وأنواع </w:t>
      </w:r>
      <w:bookmarkStart w:id="60" w:name="_Hlk179396111"/>
      <w:r>
        <w:rPr>
          <w:rFonts w:ascii="Arial Unicode MS" w:eastAsia="Arial Unicode MS" w:hAnsi="Arial Unicode MS" w:hint="cs"/>
          <w:rtl/>
          <w:lang w:val="ar-SA"/>
        </w:rPr>
        <w:t>الملكية الفكرية</w:t>
      </w:r>
      <w:bookmarkEnd w:id="58"/>
      <w:bookmarkEnd w:id="60"/>
    </w:p>
    <w:bookmarkEnd w:id="57"/>
    <w:p w14:paraId="51AA22F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070B261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تُعَدُّ الملكية الفكرية من الركائز القانونية المهمة، التي تهدف إلى حماية الحقوق الناتجة عن الابتكار والإبداع، فهي تمنح أصحاب الحقوق أدوات قانونية لضمان الاستفادة الحصرية من نتاجهم الفكري، وتوفّر إطارًا ينظّم استخدام هذه الحقوق بما يحقق التوازن بين المصلحة الفردية والمصلحة العامة، ويستعرض هذا الفصل الأهداف القانونية للملكية الفكرية، وأنواع الحقوق التي تنشأ عنها، إضافةً إلى تصنيفها القانوني وفقًا للأنظمة المعتمدة</w:t>
      </w:r>
      <w:r>
        <w:rPr>
          <w:rFonts w:ascii="Times New Roman" w:hAnsi="Times New Roman"/>
          <w:sz w:val="24"/>
          <w:szCs w:val="24"/>
          <w:rtl/>
          <w:lang w:val="ar-SA"/>
        </w:rPr>
        <w:t>.</w:t>
      </w:r>
    </w:p>
    <w:p w14:paraId="51C0C5C0"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ما يلي</w:t>
      </w:r>
      <w:r>
        <w:rPr>
          <w:rFonts w:ascii="Times New Roman" w:hAnsi="Times New Roman"/>
          <w:sz w:val="24"/>
          <w:szCs w:val="24"/>
          <w:rtl/>
          <w:lang w:val="ar-SA"/>
        </w:rPr>
        <w:t>:</w:t>
      </w:r>
    </w:p>
    <w:p w14:paraId="6B6F3395" w14:textId="77777777" w:rsidR="00454428" w:rsidRDefault="00000000" w:rsidP="00C72BA8">
      <w:pPr>
        <w:pStyle w:val="BodyA"/>
        <w:numPr>
          <w:ilvl w:val="0"/>
          <w:numId w:val="44"/>
        </w:numPr>
        <w:spacing w:before="120" w:after="120" w:line="360" w:lineRule="auto"/>
        <w:rPr>
          <w:rFonts w:ascii="Times New Roman" w:eastAsia="Times New Roman" w:hAnsi="Times New Roman" w:cs="Times New Roman" w:hint="default"/>
          <w:sz w:val="24"/>
          <w:szCs w:val="24"/>
          <w:rtl/>
          <w:lang w:val="ar-SA"/>
        </w:rPr>
      </w:pPr>
      <w:bookmarkStart w:id="61" w:name="_Hlk195996544"/>
      <w:r>
        <w:rPr>
          <w:rFonts w:cs="Times New Roman"/>
          <w:b/>
          <w:bCs/>
          <w:sz w:val="24"/>
          <w:szCs w:val="24"/>
          <w:rtl/>
          <w:lang w:val="ar-SA"/>
        </w:rPr>
        <w:t xml:space="preserve">الفرع </w:t>
      </w:r>
      <w:bookmarkEnd w:id="61"/>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62" w:name="_Hlk193569938"/>
      <w:r>
        <w:rPr>
          <w:rFonts w:cs="Times New Roman"/>
          <w:sz w:val="24"/>
          <w:szCs w:val="24"/>
          <w:rtl/>
          <w:lang w:val="ar-SA"/>
        </w:rPr>
        <w:t>أهمية وأهداف حقوق الملكية الفكرية</w:t>
      </w:r>
      <w:bookmarkEnd w:id="62"/>
      <w:r>
        <w:rPr>
          <w:rFonts w:ascii="Times New Roman" w:hAnsi="Times New Roman"/>
          <w:sz w:val="24"/>
          <w:szCs w:val="24"/>
          <w:rtl/>
          <w:lang w:val="ar-SA"/>
        </w:rPr>
        <w:t>.</w:t>
      </w:r>
    </w:p>
    <w:p w14:paraId="241ADD5B" w14:textId="77777777" w:rsidR="00454428" w:rsidRDefault="00000000" w:rsidP="00C72BA8">
      <w:pPr>
        <w:pStyle w:val="BodyA"/>
        <w:numPr>
          <w:ilvl w:val="0"/>
          <w:numId w:val="44"/>
        </w:numPr>
        <w:spacing w:before="120" w:after="120" w:line="360" w:lineRule="auto"/>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أنواع حقوق الملكية الفكرية</w:t>
      </w:r>
      <w:r>
        <w:rPr>
          <w:rFonts w:ascii="Times New Roman" w:hAnsi="Times New Roman"/>
          <w:sz w:val="24"/>
          <w:szCs w:val="24"/>
          <w:rtl/>
          <w:lang w:val="ar-SA"/>
        </w:rPr>
        <w:t>.</w:t>
      </w:r>
    </w:p>
    <w:p w14:paraId="35AABA0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1B0AEA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22961B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8974922"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EDD5D0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1D47319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F46F38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F880C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B71B8E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4D01305"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D76861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7045543"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C47CAE0"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93EBD8E"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6FAC3A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D31D4E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BC1BB4D" w14:textId="77777777" w:rsidR="00454428" w:rsidRDefault="00000000" w:rsidP="00C72BA8">
      <w:pPr>
        <w:pStyle w:val="a"/>
        <w:rPr>
          <w:b w:val="0"/>
          <w:bCs w:val="0"/>
          <w:lang w:val="ar-SA"/>
        </w:rPr>
      </w:pPr>
      <w:bookmarkStart w:id="63" w:name="_Toc30"/>
      <w:bookmarkStart w:id="64" w:name="_Hlk185710277"/>
      <w:r>
        <w:rPr>
          <w:rFonts w:ascii="Arial Unicode MS" w:eastAsia="Arial Unicode MS" w:hAnsi="Arial Unicode MS" w:hint="cs"/>
          <w:rtl/>
          <w:lang w:val="ar-SA"/>
        </w:rPr>
        <w:t>الفرع الأول</w:t>
      </w:r>
      <w:bookmarkEnd w:id="63"/>
    </w:p>
    <w:p w14:paraId="223B257B" w14:textId="77777777" w:rsidR="00454428" w:rsidRDefault="00000000" w:rsidP="00C72BA8">
      <w:pPr>
        <w:pStyle w:val="a"/>
        <w:rPr>
          <w:b w:val="0"/>
          <w:bCs w:val="0"/>
          <w:lang w:val="ar-SA"/>
        </w:rPr>
      </w:pPr>
      <w:bookmarkStart w:id="65" w:name="_Toc31"/>
      <w:r>
        <w:rPr>
          <w:rFonts w:ascii="Arial Unicode MS" w:eastAsia="Arial Unicode MS" w:hAnsi="Arial Unicode MS" w:hint="cs"/>
          <w:rtl/>
          <w:lang w:val="ar-SA"/>
        </w:rPr>
        <w:t>أهمية وأهداف حقوق الملكية الفكرية</w:t>
      </w:r>
      <w:bookmarkEnd w:id="65"/>
    </w:p>
    <w:p w14:paraId="5219B5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حماية الملكية الفكرية ذات أهمية قصوى؛ لأنَّها تشجع على المنافسة المشروعية، وأيضًا تعمل على منع الصور المختلفة من الغش وتحارب التزوير والتقليد؛ لأنَّها تشجع على الابتكار الفردي، وبوجود حماية الملكية الفكرية تتمكن الدول من الوصول إلى التقنيات المختلفة للتكنولوجيا، والتي من خلالها تستطيع التقدم واللحاق بركب الدول المتقدمة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2"/>
      </w:r>
      <w:r>
        <w:rPr>
          <w:rFonts w:ascii="Times New Roman" w:hAnsi="Times New Roman"/>
          <w:sz w:val="20"/>
          <w:szCs w:val="20"/>
          <w:vertAlign w:val="superscript"/>
          <w:rtl/>
          <w:lang w:val="ar-SA"/>
        </w:rPr>
        <w:t>)</w:t>
      </w:r>
    </w:p>
    <w:p w14:paraId="3F53E25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حماية الملكية الفكرية لها دورٌ مهمٌ في تشجيع الابتكار والإبداع، كما يتم ضمان حقوق الملكية الفكرية للأفراد؛ لأنَّهم يشعرون بالثقة في استثمار وقتهم وجهودهم في البحث والتطوير؛ لإنتاج منتجات وخدمات جديدة ومبتكرة، ويعمل هذا التطوير على النمو الاقتصادي في البلاد، كما توجد تشريعات تحمي الملكية الفكرية في القوانين والاتفاقيات الدولية</w:t>
      </w:r>
      <w:r>
        <w:rPr>
          <w:rFonts w:ascii="Times New Roman" w:hAnsi="Times New Roman"/>
          <w:sz w:val="24"/>
          <w:szCs w:val="24"/>
          <w:rtl/>
          <w:lang w:val="ar-SA"/>
        </w:rPr>
        <w:t xml:space="preserve">. </w:t>
      </w:r>
    </w:p>
    <w:p w14:paraId="101ECEFE"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8"/>
          <w:szCs w:val="28"/>
          <w:lang w:val="ar-SA"/>
        </w:rPr>
      </w:pPr>
      <w:r>
        <w:rPr>
          <w:rFonts w:cs="Times New Roman"/>
          <w:b/>
          <w:bCs/>
          <w:sz w:val="28"/>
          <w:szCs w:val="28"/>
          <w:rtl/>
          <w:lang w:val="ar-SA"/>
        </w:rPr>
        <w:t>أولًا</w:t>
      </w:r>
      <w:r>
        <w:rPr>
          <w:rFonts w:ascii="Times New Roman" w:hAnsi="Times New Roman"/>
          <w:b/>
          <w:bCs/>
          <w:sz w:val="28"/>
          <w:szCs w:val="28"/>
          <w:rtl/>
          <w:lang w:val="ar-SA"/>
        </w:rPr>
        <w:t xml:space="preserve">: </w:t>
      </w:r>
      <w:r>
        <w:rPr>
          <w:rFonts w:cs="Times New Roman"/>
          <w:b/>
          <w:bCs/>
          <w:sz w:val="28"/>
          <w:szCs w:val="28"/>
          <w:rtl/>
          <w:lang w:val="ar-SA"/>
        </w:rPr>
        <w:t>أهمية</w:t>
      </w:r>
      <w:r>
        <w:rPr>
          <w:rFonts w:ascii="Times New Roman" w:hAnsi="Times New Roman"/>
          <w:sz w:val="28"/>
          <w:szCs w:val="28"/>
          <w:rtl/>
          <w:lang w:val="ar-SA"/>
        </w:rPr>
        <w:t xml:space="preserve"> </w:t>
      </w:r>
      <w:r>
        <w:rPr>
          <w:rFonts w:cs="Times New Roman"/>
          <w:b/>
          <w:bCs/>
          <w:sz w:val="28"/>
          <w:szCs w:val="28"/>
          <w:rtl/>
          <w:lang w:val="ar-SA"/>
        </w:rPr>
        <w:t>حقوق الملكية الفكرية</w:t>
      </w:r>
      <w:bookmarkEnd w:id="64"/>
      <w:r>
        <w:rPr>
          <w:rFonts w:ascii="Times New Roman" w:hAnsi="Times New Roman"/>
          <w:b/>
          <w:bCs/>
          <w:sz w:val="28"/>
          <w:szCs w:val="28"/>
          <w:rtl/>
          <w:lang w:val="ar-SA"/>
        </w:rPr>
        <w:t>:</w:t>
      </w:r>
    </w:p>
    <w:p w14:paraId="08F7A04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شهدت قوانين الملكية الفكرية في الآونة الأخيرة تزايدًا في الأهمية، وتعمل العديد من الاتفاقيات الدولية على توسيع نطاق تطبيق هذه القوانين، ويرجع ذلك إلى الأهداف الجوهرية التي تسعى الملكية الفكرية لتحقيقها من عدة جوانب</w:t>
      </w:r>
      <w:r>
        <w:rPr>
          <w:rFonts w:ascii="Times New Roman" w:hAnsi="Times New Roman"/>
          <w:sz w:val="24"/>
          <w:szCs w:val="24"/>
          <w:rtl/>
          <w:lang w:val="ar-SA"/>
        </w:rPr>
        <w:t>:</w:t>
      </w:r>
    </w:p>
    <w:p w14:paraId="1ECC412C" w14:textId="77777777" w:rsidR="00454428" w:rsidRDefault="00000000" w:rsidP="00C72BA8">
      <w:pPr>
        <w:pStyle w:val="ListParagraph"/>
        <w:numPr>
          <w:ilvl w:val="0"/>
          <w:numId w:val="46"/>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العلمي والاقتصادي</w:t>
      </w:r>
      <w:r>
        <w:rPr>
          <w:rFonts w:ascii="Times New Roman" w:hAnsi="Times New Roman"/>
          <w:b/>
          <w:bCs/>
          <w:sz w:val="24"/>
          <w:szCs w:val="24"/>
          <w:rtl/>
          <w:lang w:val="ar-SA"/>
        </w:rPr>
        <w:t xml:space="preserve">: </w:t>
      </w:r>
    </w:p>
    <w:p w14:paraId="1CED011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vertAlign w:val="superscript"/>
          <w:lang w:val="ar-SA"/>
        </w:rPr>
      </w:pPr>
      <w:r>
        <w:rPr>
          <w:rFonts w:cs="Times New Roman"/>
          <w:sz w:val="24"/>
          <w:szCs w:val="24"/>
          <w:rtl/>
          <w:lang w:val="ar-SA"/>
        </w:rPr>
        <w:t>تعزّز التشريعات في مجال الملكية الفكرية ولادة الابتكارات لدى الأفراد، وتحفّز استمرارية البحث العلمي، بما يدعم التقدم الحضاري للدول، ويُعَدُّ التطوُّر العلمي مقياسًا رئيسًا للتقدم الاجتماعي، وقد أحدثت ثورة المعلومات نموًّا هائلًا في القطاعات الصناعية، والثقافية، والعلمية، وتقنيات الحوسبة؛ حيث أتاحت هذه الثورة الرقمية آلياتٍ فوريةً للوصول إلى المعارف وتبادل البيانات؛ ممَّا أفاد المسار البحثي، وسرع وتيرة الابتكار، كما ساهم ذلك في تعزيز اقتصاد المعرفة وجذب الاستثمارات التقنية وتنشيط التعاون الدولي، وتوفير بيئة محفزة للاستثمار في المشاريع التكنولوجية والصناعات 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3"/>
      </w:r>
      <w:r>
        <w:rPr>
          <w:rFonts w:ascii="Times New Roman" w:hAnsi="Times New Roman"/>
          <w:sz w:val="24"/>
          <w:szCs w:val="24"/>
          <w:vertAlign w:val="superscript"/>
          <w:rtl/>
          <w:lang w:val="ar-SA"/>
        </w:rPr>
        <w:t>)</w:t>
      </w:r>
    </w:p>
    <w:p w14:paraId="4B507DF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لما كانت حقوق الملكية الفكرية تشكل الدراية العلمية بالإنتاج، والتوزيع، والتسويق، فهي إذن تشكل بحثَ عنصرٍ مهمٍّ في عملية التطوُّر الاقتصادي؛ كونها تقود عجلة التطوُّر، والتقدم، والتغيير، والتحديث المستمر في المجتمعات، وبالتالي</w:t>
      </w:r>
      <w:r>
        <w:rPr>
          <w:rFonts w:ascii="Times New Roman" w:hAnsi="Times New Roman"/>
          <w:sz w:val="24"/>
          <w:szCs w:val="24"/>
          <w:rtl/>
          <w:lang w:val="ar-SA"/>
        </w:rPr>
        <w:t xml:space="preserve">: </w:t>
      </w:r>
      <w:r>
        <w:rPr>
          <w:rFonts w:cs="Times New Roman"/>
          <w:sz w:val="24"/>
          <w:szCs w:val="24"/>
          <w:rtl/>
          <w:lang w:val="ar-SA"/>
        </w:rPr>
        <w:t>استطاع الإنسان بفضلها أنْ يختصر المسافات، ويسلك أقصر الطرق إلى غاياته، واتباع أفضل الوسائل إلى تحقيق رفاهيته وراحته</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4"/>
      </w:r>
      <w:r>
        <w:rPr>
          <w:rFonts w:ascii="Times New Roman" w:hAnsi="Times New Roman"/>
          <w:sz w:val="20"/>
          <w:szCs w:val="20"/>
          <w:vertAlign w:val="superscript"/>
          <w:rtl/>
          <w:lang w:val="ar-SA"/>
        </w:rPr>
        <w:t>)</w:t>
      </w:r>
    </w:p>
    <w:p w14:paraId="69FE458C"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كلما كانت الدولة متقدمة في مجال حماية الملكية الفكرية، فإنَّ ذلك سيشجع الاستثمار في تلك الدولة، وستكون قبلةً للمثقفين، والمخترعين، والمنتجين؛ وذلك لوجود ضمانة حقيقية لهم بحماية ابتكاراتهم وإنتاجهم من السرقة، والتعدي، والتزوير</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5"/>
      </w:r>
      <w:r>
        <w:rPr>
          <w:rFonts w:ascii="Times New Roman" w:hAnsi="Times New Roman"/>
          <w:sz w:val="20"/>
          <w:szCs w:val="20"/>
          <w:vertAlign w:val="superscript"/>
          <w:rtl/>
          <w:lang w:val="ar-SA"/>
        </w:rPr>
        <w:t>)</w:t>
      </w:r>
    </w:p>
    <w:p w14:paraId="5ABF089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تتمثل الأهمية الاقتصادية في حماية الملكية الفكرية في تعزيز الابتكار والاستثمار، وفي البحث والتطوير والإبداع، كما تعمل على تعزيز النمو الاقتصادي في خلق فرص العمل، وتوفير دخل للأفراد، وزيادة الإنتاجية، من خلال الاستثمارات والتطويرات الصناعية</w:t>
      </w:r>
      <w:r>
        <w:rPr>
          <w:rFonts w:ascii="Times New Roman" w:hAnsi="Times New Roman"/>
          <w:sz w:val="24"/>
          <w:szCs w:val="24"/>
          <w:rtl/>
          <w:lang w:val="ar-SA"/>
        </w:rPr>
        <w:t>.</w:t>
      </w:r>
    </w:p>
    <w:p w14:paraId="6DBA596E" w14:textId="77777777" w:rsidR="00454428" w:rsidRDefault="00000000" w:rsidP="00C72BA8">
      <w:pPr>
        <w:pStyle w:val="ListParagraph"/>
        <w:numPr>
          <w:ilvl w:val="0"/>
          <w:numId w:val="46"/>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الدولي</w:t>
      </w:r>
      <w:r>
        <w:rPr>
          <w:rFonts w:ascii="Times New Roman" w:hAnsi="Times New Roman"/>
          <w:b/>
          <w:bCs/>
          <w:sz w:val="24"/>
          <w:szCs w:val="24"/>
          <w:rtl/>
          <w:lang w:val="ar-SA"/>
        </w:rPr>
        <w:t xml:space="preserve">: </w:t>
      </w:r>
    </w:p>
    <w:p w14:paraId="2105CE7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ظهور الملكية الفكرية في المجال الدولي إلى زيادة الصراع والتنافس بين الدول، هذا الصراع أدى إلى انقسام الدول إلى مجموعات متفاوتة من حيث دول متقدمة ودول نامية، وتسعى الدول المتقدمة للاستحواذ على الاختراعات المبتكرة وتحتفظ بها، بينما تعاني الدول النامية من عدم الحصول على التكنولوجيا والابتكارات الحديثة هذا الانقسام يؤثر على السوق الاقتصادية، والثقافية، والسياسية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6"/>
      </w:r>
      <w:r>
        <w:rPr>
          <w:rFonts w:ascii="Times New Roman" w:hAnsi="Times New Roman"/>
          <w:sz w:val="20"/>
          <w:szCs w:val="20"/>
          <w:vertAlign w:val="superscript"/>
          <w:rtl/>
          <w:lang w:val="ar-SA"/>
        </w:rPr>
        <w:t>)</w:t>
      </w:r>
    </w:p>
    <w:p w14:paraId="76CE8EA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فمن أهم المنظمات التي تنظم الأحكام المختلفة للملكية الفكرية على الصعيد الدوي هي اتفاقية الويبو، وهي عبارة عن منظمة دولية حكومية لها دور فعَّال في تشجيع وحماية الملكية الفكرية؛ حيث تعمل على تطوير إطار قانوني دولي متوازن بشأن الملكية الفكرية؛ لتلبية احتياجات المجتمع المتنامية بتوفير خدمات في مجال الأعمال؛ لتمكين الحصول على حقوق الملكية الفكرية في بلدان متعددة، وخدمات لتسوية المنازعات</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7"/>
      </w:r>
      <w:r>
        <w:rPr>
          <w:rFonts w:ascii="Times New Roman" w:hAnsi="Times New Roman"/>
          <w:sz w:val="24"/>
          <w:szCs w:val="24"/>
          <w:vertAlign w:val="superscript"/>
          <w:rtl/>
          <w:lang w:val="ar-SA"/>
        </w:rPr>
        <w:t>)</w:t>
      </w:r>
    </w:p>
    <w:p w14:paraId="6D43C4A8" w14:textId="77777777" w:rsidR="00454428" w:rsidRDefault="00000000" w:rsidP="00C72BA8">
      <w:pPr>
        <w:pStyle w:val="ListParagraph"/>
        <w:numPr>
          <w:ilvl w:val="0"/>
          <w:numId w:val="47"/>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القانوني</w:t>
      </w:r>
      <w:r>
        <w:rPr>
          <w:rFonts w:ascii="Times New Roman" w:hAnsi="Times New Roman"/>
          <w:b/>
          <w:bCs/>
          <w:sz w:val="24"/>
          <w:szCs w:val="24"/>
          <w:rtl/>
          <w:lang w:val="ar-SA"/>
        </w:rPr>
        <w:t xml:space="preserve">: </w:t>
      </w:r>
    </w:p>
    <w:p w14:paraId="5BDC440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تطوُّر الاستثمارات الرقمية الناتجة عن الابتكار الذهني إلى حاجة ملحة لدى الدول لتنظيم هذا القطاع المتسارع، وفرض ظهور العالم الافتراضي، وانتشار مصطلحات وجرائم مستحدثة تحديات قانونية جديدة، الأمر الذي استدعى استحداث حلول تشريعية لضبط البيئة الرقمية، وسعت الدول إلى تطوير أطر قانونية متخصصة لحماية حقوق الملكية الفكرية في الفضاء الإلكتروني، بما يضمن صيانة المصنفات الرقمية من الاعتداءات، ويحفظ الحقوق المالية والمعنوية للمبدعين ضمن نظام قانوني يتماشى مع التحوُّلات التكنولوجية المتلاحقة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8"/>
      </w:r>
      <w:r>
        <w:rPr>
          <w:rFonts w:ascii="Times New Roman" w:hAnsi="Times New Roman"/>
          <w:sz w:val="24"/>
          <w:szCs w:val="24"/>
          <w:vertAlign w:val="superscript"/>
          <w:rtl/>
          <w:lang w:val="ar-SA"/>
        </w:rPr>
        <w:t>)</w:t>
      </w:r>
    </w:p>
    <w:p w14:paraId="2C29FEF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لا شك أنَّ التطوُّرات الإلكترونية وإرهاصات التكنولوجيا العديدة جعلت العالم بأكمله، مثل</w:t>
      </w:r>
      <w:r>
        <w:rPr>
          <w:rFonts w:ascii="Times New Roman" w:hAnsi="Times New Roman"/>
          <w:sz w:val="24"/>
          <w:szCs w:val="24"/>
          <w:rtl/>
          <w:lang w:val="ar-SA"/>
        </w:rPr>
        <w:t xml:space="preserve">: </w:t>
      </w:r>
      <w:r>
        <w:rPr>
          <w:rFonts w:cs="Times New Roman"/>
          <w:sz w:val="24"/>
          <w:szCs w:val="24"/>
          <w:rtl/>
          <w:lang w:val="ar-SA"/>
        </w:rPr>
        <w:t>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Fonts w:ascii="Times New Roman" w:hAnsi="Times New Roman"/>
          <w:sz w:val="24"/>
          <w:szCs w:val="24"/>
          <w:rtl/>
          <w:lang w:val="ar-SA"/>
        </w:rPr>
        <w:t>.</w:t>
      </w:r>
    </w:p>
    <w:p w14:paraId="6227BF7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ويُعَدُّ إقرار حقوق حماية الملكية الفكرية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9"/>
      </w:r>
      <w:r>
        <w:rPr>
          <w:rFonts w:ascii="Times New Roman" w:hAnsi="Times New Roman"/>
          <w:sz w:val="20"/>
          <w:szCs w:val="20"/>
          <w:vertAlign w:val="superscript"/>
          <w:rtl/>
          <w:lang w:val="ar-SA"/>
        </w:rPr>
        <w:t>)</w:t>
      </w:r>
    </w:p>
    <w:p w14:paraId="29EA3C9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lang w:val="ar-SA"/>
        </w:rPr>
      </w:pPr>
      <w:r>
        <w:rPr>
          <w:rFonts w:cs="Times New Roman"/>
          <w:rtl/>
          <w:lang w:val="ar-SA"/>
        </w:rPr>
        <w:t>وذهب بعض الفقهاء إلى أنَّ أهمية الملكية الفكرية تتمثل أيضًا في الحقوق الناشئة عنها، والتي تشمل</w:t>
      </w:r>
      <w:r>
        <w:rPr>
          <w:rFonts w:ascii="Times New Roman" w:hAnsi="Times New Roman"/>
          <w:rtl/>
          <w:lang w:val="ar-SA"/>
        </w:rPr>
        <w:t>:</w:t>
      </w:r>
    </w:p>
    <w:p w14:paraId="1A230AFB" w14:textId="77777777" w:rsidR="00454428" w:rsidRDefault="00000000" w:rsidP="00C72BA8">
      <w:pPr>
        <w:pStyle w:val="ListParagraph"/>
        <w:numPr>
          <w:ilvl w:val="0"/>
          <w:numId w:val="49"/>
        </w:numPr>
        <w:spacing w:before="120" w:after="120" w:line="360" w:lineRule="auto"/>
        <w:jc w:val="both"/>
        <w:rPr>
          <w:rFonts w:cs="Times New Roman" w:hint="default"/>
          <w:sz w:val="24"/>
          <w:szCs w:val="24"/>
          <w:rtl/>
          <w:lang w:val="ar-SA"/>
        </w:rPr>
      </w:pPr>
      <w:r>
        <w:rPr>
          <w:rFonts w:cs="Times New Roman"/>
          <w:sz w:val="24"/>
          <w:szCs w:val="24"/>
          <w:rtl/>
          <w:lang w:val="ar-SA"/>
        </w:rPr>
        <w:t>الحقوق الاقتصادية</w:t>
      </w:r>
      <w:r>
        <w:rPr>
          <w:rFonts w:ascii="Times New Roman" w:hAnsi="Times New Roman"/>
          <w:sz w:val="24"/>
          <w:szCs w:val="24"/>
          <w:rtl/>
          <w:lang w:val="ar-SA"/>
        </w:rPr>
        <w:t xml:space="preserve">: </w:t>
      </w:r>
      <w:r>
        <w:rPr>
          <w:rFonts w:cs="Times New Roman"/>
          <w:sz w:val="24"/>
          <w:szCs w:val="24"/>
          <w:rtl/>
          <w:lang w:val="ar-SA"/>
        </w:rPr>
        <w:t>التي تمكن صاحبها من الحصول على مكافآت مالية؛ نتيجة استخدام الآخرين لعمله</w:t>
      </w:r>
      <w:r>
        <w:rPr>
          <w:rFonts w:ascii="Times New Roman" w:hAnsi="Times New Roman"/>
          <w:sz w:val="24"/>
          <w:szCs w:val="24"/>
          <w:rtl/>
          <w:lang w:val="ar-SA"/>
        </w:rPr>
        <w:t>.</w:t>
      </w:r>
    </w:p>
    <w:p w14:paraId="4D68F368" w14:textId="77777777" w:rsidR="00454428" w:rsidRDefault="00000000" w:rsidP="00C72BA8">
      <w:pPr>
        <w:pStyle w:val="ListParagraph"/>
        <w:numPr>
          <w:ilvl w:val="0"/>
          <w:numId w:val="49"/>
        </w:numPr>
        <w:spacing w:before="120" w:after="120" w:line="360" w:lineRule="auto"/>
        <w:jc w:val="both"/>
        <w:rPr>
          <w:rFonts w:cs="Times New Roman" w:hint="default"/>
          <w:sz w:val="24"/>
          <w:szCs w:val="24"/>
          <w:rtl/>
          <w:lang w:val="ar-SA"/>
        </w:rPr>
      </w:pPr>
      <w:r>
        <w:rPr>
          <w:rFonts w:cs="Times New Roman"/>
          <w:sz w:val="24"/>
          <w:szCs w:val="24"/>
          <w:rtl/>
          <w:lang w:val="ar-SA"/>
        </w:rPr>
        <w:t>الحقوق المعنوية</w:t>
      </w:r>
      <w:r>
        <w:rPr>
          <w:rFonts w:ascii="Times New Roman" w:hAnsi="Times New Roman"/>
          <w:sz w:val="24"/>
          <w:szCs w:val="24"/>
          <w:rtl/>
          <w:lang w:val="ar-SA"/>
        </w:rPr>
        <w:t xml:space="preserve">: </w:t>
      </w:r>
      <w:r>
        <w:rPr>
          <w:rFonts w:cs="Times New Roman"/>
          <w:sz w:val="24"/>
          <w:szCs w:val="24"/>
          <w:rtl/>
          <w:lang w:val="ar-SA"/>
        </w:rPr>
        <w:t>تحمي المصالح غير المالية للمؤلف</w:t>
      </w:r>
      <w:r>
        <w:rPr>
          <w:rFonts w:ascii="Times New Roman" w:hAnsi="Times New Roman"/>
          <w:sz w:val="24"/>
          <w:szCs w:val="24"/>
          <w:rtl/>
          <w:lang w:val="ar-SA"/>
        </w:rPr>
        <w:t>.</w:t>
      </w:r>
      <w:bookmarkStart w:id="66" w:name="_Hlk179416525"/>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0"/>
      </w:r>
      <w:r>
        <w:rPr>
          <w:rStyle w:val="None"/>
          <w:rFonts w:ascii="Times New Roman" w:hAnsi="Times New Roman"/>
          <w:sz w:val="24"/>
          <w:szCs w:val="24"/>
          <w:vertAlign w:val="superscript"/>
          <w:rtl/>
          <w:lang w:val="ar-SA"/>
        </w:rPr>
        <w:t>)</w:t>
      </w:r>
    </w:p>
    <w:p w14:paraId="4E4ECDC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w:t>
      </w:r>
      <w:bookmarkEnd w:id="66"/>
      <w:r>
        <w:rPr>
          <w:rStyle w:val="None"/>
          <w:rFonts w:ascii="Times New Roman" w:hAnsi="Times New Roman"/>
          <w:b/>
          <w:bCs/>
          <w:sz w:val="28"/>
          <w:szCs w:val="28"/>
          <w:rtl/>
          <w:lang w:val="ar-SA"/>
        </w:rPr>
        <w:t xml:space="preserve"> </w:t>
      </w:r>
      <w:bookmarkStart w:id="67" w:name="_Hlk193408061"/>
      <w:r>
        <w:rPr>
          <w:rStyle w:val="None"/>
          <w:rFonts w:cs="Times New Roman"/>
          <w:b/>
          <w:bCs/>
          <w:sz w:val="28"/>
          <w:szCs w:val="28"/>
          <w:rtl/>
          <w:lang w:val="ar-SA"/>
        </w:rPr>
        <w:t>أهداف حماية الملكية الفكرية</w:t>
      </w:r>
      <w:bookmarkEnd w:id="67"/>
      <w:r>
        <w:rPr>
          <w:rStyle w:val="None"/>
          <w:rFonts w:ascii="Times New Roman" w:hAnsi="Times New Roman"/>
          <w:b/>
          <w:bCs/>
          <w:sz w:val="28"/>
          <w:szCs w:val="28"/>
          <w:rtl/>
          <w:lang w:val="ar-SA"/>
        </w:rPr>
        <w:t>:</w:t>
      </w:r>
    </w:p>
    <w:p w14:paraId="4038FB7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تساهم الملكية الفكرية في تحقيق مجموعة من الأهداف الاقتصادية، والاجتماعية، والثقافية، وتتجلَّى هذه الأهداف في النقاط الآتية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1"/>
      </w:r>
      <w:r>
        <w:rPr>
          <w:rStyle w:val="None"/>
          <w:rFonts w:ascii="Times New Roman" w:hAnsi="Times New Roman"/>
          <w:sz w:val="24"/>
          <w:szCs w:val="24"/>
          <w:vertAlign w:val="superscript"/>
          <w:rtl/>
          <w:lang w:val="ar-SA"/>
        </w:rPr>
        <w:t>)</w:t>
      </w:r>
    </w:p>
    <w:p w14:paraId="651422ED"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تحفيز الابتكار والإبداع</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منح حقوق حصرية للمخترعين والمبدعين، تشجع الملكية الفكرية على تطوير أفكار جديدة، وتحسين المنتجات والخدمات، هذا التحفيز يؤدي إلى تقدم التكنولوجيا وزيادة التنوع الثقافي والفني</w:t>
      </w:r>
      <w:r>
        <w:rPr>
          <w:rStyle w:val="None"/>
          <w:rFonts w:ascii="Times New Roman" w:hAnsi="Times New Roman"/>
          <w:sz w:val="24"/>
          <w:szCs w:val="24"/>
          <w:rtl/>
          <w:lang w:val="ar-SA"/>
        </w:rPr>
        <w:t>.</w:t>
      </w:r>
    </w:p>
    <w:p w14:paraId="508CD35C"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حقوق المبدعين</w:t>
      </w:r>
      <w:r>
        <w:rPr>
          <w:rStyle w:val="None"/>
          <w:rFonts w:ascii="Times New Roman" w:hAnsi="Times New Roman"/>
          <w:b/>
          <w:bCs/>
          <w:sz w:val="24"/>
          <w:szCs w:val="24"/>
          <w:rtl/>
          <w:lang w:val="ar-SA"/>
        </w:rPr>
        <w:t>:</w:t>
      </w:r>
      <w:r>
        <w:rPr>
          <w:rStyle w:val="None"/>
          <w:rFonts w:cs="Times New Roman"/>
          <w:sz w:val="24"/>
          <w:szCs w:val="24"/>
          <w:rtl/>
          <w:lang w:val="ar-SA"/>
        </w:rPr>
        <w:t xml:space="preserve"> تضمن الملكية الفكرية أنْ يحصل المبدعون على الاعتراف والمكافأة المناسبة لجهودهم، هذا يشمل حماية حقوق المؤلفين، والفنانين، والمخترعين من الاستغلال غير القانوني لأعمالهم</w:t>
      </w:r>
      <w:r>
        <w:rPr>
          <w:rStyle w:val="None"/>
          <w:rFonts w:ascii="Times New Roman" w:hAnsi="Times New Roman"/>
          <w:sz w:val="24"/>
          <w:szCs w:val="24"/>
          <w:rtl/>
          <w:lang w:val="ar-SA"/>
        </w:rPr>
        <w:t>.</w:t>
      </w:r>
    </w:p>
    <w:p w14:paraId="45955487"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الاقتصاد</w:t>
      </w:r>
      <w:r>
        <w:rPr>
          <w:rStyle w:val="None"/>
          <w:rFonts w:ascii="Times New Roman" w:hAnsi="Times New Roman"/>
          <w:b/>
          <w:bCs/>
          <w:sz w:val="24"/>
          <w:szCs w:val="24"/>
          <w:rtl/>
          <w:lang w:val="ar-SA"/>
        </w:rPr>
        <w:t>:</w:t>
      </w:r>
      <w:r>
        <w:rPr>
          <w:rStyle w:val="None"/>
          <w:rFonts w:cs="Times New Roman"/>
          <w:sz w:val="24"/>
          <w:szCs w:val="24"/>
          <w:rtl/>
          <w:lang w:val="ar-SA"/>
        </w:rPr>
        <w:t xml:space="preserve"> تساهم الملكية الفكرية في تعزيز النمو الاقتصادي عبر تشجيع الاستثمار في البحث والتطوير، فالشركات التي تمتلك حقوق ملكية فكرية قوية تكون أكثر قدرةً على جذب الاستثمارات وتحقيق أرباح أعلى</w:t>
      </w:r>
      <w:r>
        <w:rPr>
          <w:rStyle w:val="None"/>
          <w:rFonts w:ascii="Times New Roman" w:hAnsi="Times New Roman"/>
          <w:sz w:val="24"/>
          <w:szCs w:val="24"/>
          <w:rtl/>
          <w:lang w:val="ar-SA"/>
        </w:rPr>
        <w:t>.</w:t>
      </w:r>
    </w:p>
    <w:p w14:paraId="0CD88C4C"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نقل التكنولوجيا</w:t>
      </w:r>
      <w:r>
        <w:rPr>
          <w:rStyle w:val="None"/>
          <w:rFonts w:ascii="Times New Roman" w:hAnsi="Times New Roman"/>
          <w:b/>
          <w:bCs/>
          <w:sz w:val="24"/>
          <w:szCs w:val="24"/>
          <w:rtl/>
          <w:lang w:val="ar-SA"/>
        </w:rPr>
        <w:t>:</w:t>
      </w:r>
      <w:r>
        <w:rPr>
          <w:rStyle w:val="None"/>
          <w:rFonts w:cs="Times New Roman"/>
          <w:sz w:val="24"/>
          <w:szCs w:val="24"/>
          <w:rtl/>
          <w:lang w:val="ar-SA"/>
        </w:rPr>
        <w:t xml:space="preserve"> تسهل الملكية الفكرية نقل التكنولوجيا والمعرفة بين الدول والشركات، من خلال تراخيص البراءات واتفاقيات التعاون، يمكن للدول النامية الاستفادة من الابتكارات الحديثة وتحسين قدراتها الإنتاجية</w:t>
      </w:r>
      <w:r>
        <w:rPr>
          <w:rStyle w:val="None"/>
          <w:rFonts w:ascii="Times New Roman" w:hAnsi="Times New Roman"/>
          <w:sz w:val="24"/>
          <w:szCs w:val="24"/>
          <w:rtl/>
          <w:lang w:val="ar-SA"/>
        </w:rPr>
        <w:t>.</w:t>
      </w:r>
    </w:p>
    <w:p w14:paraId="6A8AFD7F"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المستهلك</w:t>
      </w:r>
      <w:r>
        <w:rPr>
          <w:rStyle w:val="None"/>
          <w:rFonts w:ascii="Times New Roman" w:hAnsi="Times New Roman"/>
          <w:b/>
          <w:bCs/>
          <w:sz w:val="24"/>
          <w:szCs w:val="24"/>
          <w:rtl/>
          <w:lang w:val="ar-SA"/>
        </w:rPr>
        <w:t>:</w:t>
      </w:r>
      <w:r>
        <w:rPr>
          <w:rStyle w:val="None"/>
          <w:rFonts w:cs="Times New Roman"/>
          <w:sz w:val="24"/>
          <w:szCs w:val="24"/>
          <w:rtl/>
          <w:lang w:val="ar-SA"/>
        </w:rPr>
        <w:t xml:space="preserve"> تضمن حقوق الملكية الفكرية أنَّ المنتجات والخدمات التي يتم تقديمها في السوق هي أصلية وذات جودة عالية، هذا يساعد في حماية المستهلكين من المنتجات المقلدة أو ذات الجودة المنخفضة</w:t>
      </w:r>
      <w:r>
        <w:rPr>
          <w:rStyle w:val="None"/>
          <w:rFonts w:ascii="Times New Roman" w:hAnsi="Times New Roman"/>
          <w:sz w:val="24"/>
          <w:szCs w:val="24"/>
          <w:rtl/>
          <w:lang w:val="ar-SA"/>
        </w:rPr>
        <w:t>.</w:t>
      </w:r>
    </w:p>
    <w:p w14:paraId="712BF2AF"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الوصول إلى توازن بين المصلحة العامة والمصلحة الخاصة</w:t>
      </w:r>
      <w:r>
        <w:rPr>
          <w:rStyle w:val="None"/>
          <w:rFonts w:ascii="Times New Roman" w:hAnsi="Times New Roman"/>
          <w:b/>
          <w:bCs/>
          <w:sz w:val="24"/>
          <w:szCs w:val="24"/>
          <w:rtl/>
          <w:lang w:val="ar-SA"/>
        </w:rPr>
        <w:t>:</w:t>
      </w:r>
      <w:r>
        <w:rPr>
          <w:rStyle w:val="None"/>
          <w:rFonts w:cs="Times New Roman"/>
          <w:sz w:val="24"/>
          <w:szCs w:val="24"/>
          <w:rtl/>
          <w:lang w:val="ar-SA"/>
        </w:rPr>
        <w:t xml:space="preserve"> من الأهداف الأساسية للملكية الفكرية هو إيجاد توازن بين مصلحة المبدع في استثمار إبداعه ومصلحة المجتمع في الاستفادة من هذه الإبداعات من خلال منح </w:t>
      </w:r>
      <w:r>
        <w:rPr>
          <w:rStyle w:val="None"/>
          <w:rFonts w:cs="Times New Roman"/>
          <w:sz w:val="24"/>
          <w:szCs w:val="24"/>
          <w:rtl/>
          <w:lang w:val="ar-SA"/>
        </w:rPr>
        <w:lastRenderedPageBreak/>
        <w:t>حقوق حصرية لفترة معينة، تُتاح للمبدعين فرصة تحقيق الأرباح من أعمالهم، وفي الوقت نفسه يصبح بإمكان الجمهور الوصول إلى هذه الأعمال والاستفادة منها بشكل أوسع بعد انتهاء فترة الحماية</w:t>
      </w:r>
      <w:r>
        <w:rPr>
          <w:rStyle w:val="None"/>
          <w:rFonts w:ascii="Times New Roman" w:hAnsi="Times New Roman"/>
          <w:sz w:val="24"/>
          <w:szCs w:val="24"/>
          <w:rtl/>
          <w:lang w:val="ar-SA"/>
        </w:rPr>
        <w:t>.</w:t>
      </w:r>
    </w:p>
    <w:p w14:paraId="3E0A25F3" w14:textId="77777777" w:rsidR="00454428" w:rsidRDefault="00000000" w:rsidP="00C72BA8">
      <w:pPr>
        <w:pStyle w:val="ListParagraph"/>
        <w:numPr>
          <w:ilvl w:val="0"/>
          <w:numId w:val="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التنافسية</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حماية الابتكارات، تساعد الملكية الفكرية الشركات على التميز في السوق وزيادة قدرتها التنافسية، يساهم ذلك في رفع جودة المنتجات والخدمات المتوفرة للمستهلكين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
      </w:r>
      <w:r>
        <w:rPr>
          <w:rStyle w:val="None"/>
          <w:rFonts w:ascii="Times New Roman" w:hAnsi="Times New Roman"/>
          <w:sz w:val="24"/>
          <w:szCs w:val="24"/>
          <w:vertAlign w:val="superscript"/>
          <w:rtl/>
          <w:lang w:val="ar-SA"/>
        </w:rPr>
        <w:t>)</w:t>
      </w:r>
    </w:p>
    <w:p w14:paraId="265EB7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حيث تنص المادة الثالثة من اتفاقية إنشاء المنظمة العالمية للملكية الفكرية على</w:t>
      </w:r>
      <w:r>
        <w:rPr>
          <w:rStyle w:val="None"/>
          <w:rFonts w:ascii="Times New Roman" w:hAnsi="Times New Roman"/>
          <w:sz w:val="24"/>
          <w:szCs w:val="24"/>
          <w:rtl/>
          <w:lang w:val="ar-SA"/>
        </w:rPr>
        <w:t>:</w:t>
      </w:r>
    </w:p>
    <w:p w14:paraId="1AA78DF4" w14:textId="77777777" w:rsidR="00454428" w:rsidRDefault="00000000" w:rsidP="00C72BA8">
      <w:pPr>
        <w:pStyle w:val="BodyA"/>
        <w:numPr>
          <w:ilvl w:val="3"/>
          <w:numId w:val="51"/>
        </w:numPr>
        <w:spacing w:before="120" w:after="120" w:line="360" w:lineRule="auto"/>
        <w:jc w:val="both"/>
        <w:rPr>
          <w:rFonts w:cs="Times New Roman" w:hint="default"/>
          <w:sz w:val="24"/>
          <w:szCs w:val="24"/>
          <w:rtl/>
          <w:lang w:val="ar-SA"/>
        </w:rPr>
      </w:pPr>
      <w:r>
        <w:rPr>
          <w:rStyle w:val="None"/>
          <w:rFonts w:cs="Times New Roman"/>
          <w:sz w:val="24"/>
          <w:szCs w:val="24"/>
          <w:rtl/>
          <w:lang w:val="ar-SA"/>
        </w:rPr>
        <w:t>دعم حماية الملكية الفكرية في جميع العالم عن طريق التعاون بين الدول، وبالتعاون مع أي منظمة دولية أخرى حيثما كان ملائمًا</w:t>
      </w:r>
      <w:r>
        <w:rPr>
          <w:rStyle w:val="None"/>
          <w:rFonts w:ascii="Times New Roman" w:hAnsi="Times New Roman"/>
          <w:sz w:val="24"/>
          <w:szCs w:val="24"/>
          <w:rtl/>
          <w:lang w:val="ar-SA"/>
        </w:rPr>
        <w:t>.</w:t>
      </w:r>
    </w:p>
    <w:p w14:paraId="28FD7C5E" w14:textId="77777777" w:rsidR="00454428" w:rsidRDefault="00000000" w:rsidP="00C72BA8">
      <w:pPr>
        <w:pStyle w:val="BodyA"/>
        <w:numPr>
          <w:ilvl w:val="3"/>
          <w:numId w:val="51"/>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التعاون الإداري بين الاتحادات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
      </w:r>
      <w:r>
        <w:rPr>
          <w:rStyle w:val="None"/>
          <w:rFonts w:ascii="Times New Roman" w:hAnsi="Times New Roman"/>
          <w:sz w:val="24"/>
          <w:szCs w:val="24"/>
          <w:vertAlign w:val="superscript"/>
          <w:rtl/>
          <w:lang w:val="ar-SA"/>
        </w:rPr>
        <w:t>)</w:t>
      </w:r>
    </w:p>
    <w:p w14:paraId="1F98FADE"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بعدما استعرضنا أهداف حقوق الملكية الفكرية، نتجه الآن لاستقصاء أنواع حقوق الملكية الفكرية في الفرع التالي؛ حيث يكشف تنوُّعها عن أبعاد جديدة تجمع بين حماية الإبداع وتعزيز التطوُّر في هذا المجال</w:t>
      </w:r>
      <w:r>
        <w:rPr>
          <w:rStyle w:val="None"/>
          <w:rFonts w:ascii="Times New Roman" w:hAnsi="Times New Roman"/>
          <w:sz w:val="24"/>
          <w:szCs w:val="24"/>
          <w:rtl/>
          <w:lang w:val="ar-SA"/>
        </w:rPr>
        <w:t>.</w:t>
      </w:r>
    </w:p>
    <w:p w14:paraId="4ADCCC8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139EFB2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5161C8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C5034B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C031E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EBAF1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4D4CA5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2623F9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7E2D9C1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6C9958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6E79B22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DB4942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23A389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3E0148D"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6813F83"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76E59B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1F745BC8" w14:textId="77777777" w:rsidR="00454428" w:rsidRDefault="00000000" w:rsidP="00C72BA8">
      <w:pPr>
        <w:pStyle w:val="a"/>
        <w:rPr>
          <w:rStyle w:val="None"/>
          <w:b w:val="0"/>
          <w:bCs w:val="0"/>
          <w:lang w:val="ar-SA"/>
        </w:rPr>
      </w:pPr>
      <w:bookmarkStart w:id="68" w:name="_Toc32"/>
      <w:r>
        <w:rPr>
          <w:rStyle w:val="None"/>
          <w:rFonts w:ascii="Arial Unicode MS" w:eastAsia="Arial Unicode MS" w:hAnsi="Arial Unicode MS" w:hint="cs"/>
          <w:rtl/>
          <w:lang w:val="ar-SA"/>
        </w:rPr>
        <w:t>الفرع الثاني</w:t>
      </w:r>
      <w:bookmarkEnd w:id="68"/>
    </w:p>
    <w:p w14:paraId="4DF1D821" w14:textId="77777777" w:rsidR="00454428" w:rsidRDefault="00000000" w:rsidP="00C72BA8">
      <w:pPr>
        <w:pStyle w:val="a"/>
        <w:rPr>
          <w:rStyle w:val="NoneA"/>
          <w:lang w:val="ar-SA"/>
        </w:rPr>
      </w:pPr>
      <w:bookmarkStart w:id="69" w:name="_Toc33"/>
      <w:r>
        <w:rPr>
          <w:rStyle w:val="None"/>
          <w:rFonts w:ascii="Arial Unicode MS" w:eastAsia="Arial Unicode MS" w:hAnsi="Arial Unicode MS" w:hint="cs"/>
          <w:rtl/>
          <w:lang w:val="ar-SA"/>
        </w:rPr>
        <w:t>أنواع حقوق الملكية الفكرية</w:t>
      </w:r>
      <w:bookmarkEnd w:id="69"/>
    </w:p>
    <w:p w14:paraId="51FD46F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حقوق الملكية الفكرية وإنْ كانت تستقى من مصدر واحد هو الشخصية الإنسانية إلا أنَّها ليست واحدة إنما متعددة ومتنوعة، بقدر تنوُّع الفكر الإنساني وإبداعه فطرة من الله، فهناك حقوق المؤلف أو الملكية الأدبية، وهناك الحقوق المترتبة على الرسوم والنماذج الصناعية وبراءات الاختراع أو الملكية الصناعية، وأيضًا هناك الحقوق التي ترد على ملكية العلامات الفارقة والرسوم التجارية، والاسم، والعنوان التجاري، أو ما يسمى بالملكية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
      </w:r>
      <w:r>
        <w:rPr>
          <w:rStyle w:val="None"/>
          <w:rFonts w:ascii="Times New Roman" w:hAnsi="Times New Roman"/>
          <w:sz w:val="24"/>
          <w:szCs w:val="24"/>
          <w:vertAlign w:val="superscript"/>
          <w:rtl/>
          <w:lang w:val="ar-SA"/>
        </w:rPr>
        <w:t>)</w:t>
      </w:r>
    </w:p>
    <w:p w14:paraId="7C98A84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وتنقسم الملكية الفكرية إلى عنصرين رئيسيين، العنصر الأول حق المؤلف، والعنصر الثاني الملكية الصناعية، وفيما يلي سنتحدث بالتفصيل عن كل عنصر هذه العناصر</w:t>
      </w:r>
      <w:r>
        <w:rPr>
          <w:rStyle w:val="None"/>
          <w:rFonts w:ascii="Times New Roman" w:hAnsi="Times New Roman"/>
          <w:sz w:val="24"/>
          <w:szCs w:val="24"/>
          <w:rtl/>
          <w:lang w:val="ar-SA"/>
        </w:rPr>
        <w:t>:</w:t>
      </w:r>
    </w:p>
    <w:p w14:paraId="077BB1BD"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أولًا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حقوق المؤلف</w:t>
      </w:r>
      <w:r>
        <w:rPr>
          <w:rStyle w:val="None"/>
          <w:rFonts w:ascii="Times New Roman" w:hAnsi="Times New Roman"/>
          <w:b/>
          <w:bCs/>
          <w:sz w:val="28"/>
          <w:szCs w:val="28"/>
          <w:rtl/>
          <w:lang w:val="ar-SA"/>
        </w:rPr>
        <w:t>:</w:t>
      </w:r>
    </w:p>
    <w:p w14:paraId="2F5E5755"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إنَّ من حقوق المؤلف له سلطة تقديرية في نشر مصنفة من عدمه، وذلك على أساس أنَّ المصنف يعبر عن جانب من جوانب شخصيته ألا وهو الجانب الذهني أو الجانب الفكري، فكان طبيعيًا أنْ يترك له أمر تقدير نشر هذا المصنف أو عدم نشره حسبما يتراءى؛ لأنَّه قد يقدر المؤلف أنَّ في نشر مصنفه مساسًا بسمعته الأدبية، أو الفنية، أو العلمية فيكون له سلطة الامتناع عن النشر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55"/>
      </w:r>
      <w:r>
        <w:rPr>
          <w:rStyle w:val="None"/>
          <w:rFonts w:ascii="Times New Roman" w:hAnsi="Times New Roman"/>
          <w:sz w:val="20"/>
          <w:szCs w:val="20"/>
          <w:vertAlign w:val="superscript"/>
          <w:rtl/>
          <w:lang w:val="ar-SA"/>
        </w:rPr>
        <w:t>)</w:t>
      </w:r>
      <w:r>
        <w:rPr>
          <w:rStyle w:val="None"/>
          <w:rFonts w:cs="Times New Roman"/>
          <w:sz w:val="24"/>
          <w:szCs w:val="24"/>
          <w:rtl/>
          <w:lang w:val="ar-SA"/>
        </w:rPr>
        <w:t>، وتتمثل حقوق المؤلف في الحق الأدبي، والحق المالي</w:t>
      </w:r>
      <w:r>
        <w:rPr>
          <w:rStyle w:val="None"/>
          <w:rFonts w:ascii="Times New Roman" w:hAnsi="Times New Roman"/>
          <w:sz w:val="24"/>
          <w:szCs w:val="24"/>
          <w:rtl/>
          <w:lang w:val="ar-SA"/>
        </w:rPr>
        <w:t>:</w:t>
      </w:r>
    </w:p>
    <w:p w14:paraId="51493025" w14:textId="77777777" w:rsidR="00454428" w:rsidRDefault="00000000" w:rsidP="00C72BA8">
      <w:pPr>
        <w:pStyle w:val="ListParagraph"/>
        <w:numPr>
          <w:ilvl w:val="0"/>
          <w:numId w:val="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المالي والحق الأدبي للمؤلف</w:t>
      </w:r>
      <w:r>
        <w:rPr>
          <w:rStyle w:val="None"/>
          <w:rFonts w:ascii="Times New Roman" w:hAnsi="Times New Roman"/>
          <w:sz w:val="24"/>
          <w:szCs w:val="24"/>
          <w:rtl/>
          <w:lang w:val="ar-SA"/>
        </w:rPr>
        <w:t>:</w:t>
      </w:r>
    </w:p>
    <w:p w14:paraId="7FC8D43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يتعلق حق المؤلف بجوانب أدبية بحتة؛ حيث يمنح المؤلف الحق الحصري في تحديد نشر مصنفه للجمهور ونسبته إليه، بالإضافة إلى حماية عمله من التداول غير المصرح به، يُلزم الآخرون باحترام مصنفه فلا يسمح لهم بإجراء أي تعديلات عليه سواء كانت إضافاتٍ، أو حذفًا، أو تغييرًا، حتى في حالة تنازله عن حقوقه في المصنف يعرف هذا الحق بالحق الأدبي، كما يتضمن حق المؤلف أيضًا جانبًا ماديًا؛ حيث إذا قرر المؤلف نشر عمله فإنَّ هذا الحق يصبح جزءًا من ذمته المالية، ويعرف بالحق المادي؛ لذا يرى البعض أنَّ للمؤلف حقين مستقلين ومنفصلين عن بعضهما وهو ما يعرف بنظرية الازدواج</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
      </w:r>
      <w:r>
        <w:rPr>
          <w:rStyle w:val="None"/>
          <w:rFonts w:ascii="Times New Roman" w:hAnsi="Times New Roman"/>
          <w:sz w:val="24"/>
          <w:szCs w:val="24"/>
          <w:vertAlign w:val="superscript"/>
          <w:rtl/>
          <w:lang w:val="ar-SA"/>
        </w:rPr>
        <w:t>)</w:t>
      </w:r>
    </w:p>
    <w:p w14:paraId="5682BEA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b/>
          <w:bCs/>
          <w:sz w:val="24"/>
          <w:szCs w:val="24"/>
          <w:rtl/>
          <w:lang w:val="ar-SA"/>
        </w:rPr>
        <w:lastRenderedPageBreak/>
        <w:t>فالحق الأدبي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غير مالي يتصل بشخصية المؤلف، ويتكوّن من عناصر أساسية، هي</w:t>
      </w:r>
      <w:r>
        <w:rPr>
          <w:rStyle w:val="None"/>
          <w:rFonts w:ascii="Times New Roman" w:hAnsi="Times New Roman"/>
          <w:sz w:val="24"/>
          <w:szCs w:val="24"/>
          <w:rtl/>
          <w:lang w:val="ar-SA"/>
        </w:rPr>
        <w:t xml:space="preserve">: </w:t>
      </w:r>
      <w:r>
        <w:rPr>
          <w:rStyle w:val="None"/>
          <w:rFonts w:cs="Times New Roman"/>
          <w:sz w:val="24"/>
          <w:szCs w:val="24"/>
          <w:rtl/>
          <w:lang w:val="ar-SA"/>
        </w:rPr>
        <w:t>الحق في إشهار المصنف، والحق في نسبة العمل إلى المؤلف، والحق في احترام المؤلف، والحق في سحب المصنف، وأهم ما تتميز به هذه الحقوق، هو عدم قابليته للصرف وعدم قابلية للحجز، وكذلك أنَّ هذا الحق ينتقل إلى الورثة بعد وفاة المؤلف</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7"/>
      </w:r>
      <w:r>
        <w:rPr>
          <w:rStyle w:val="None"/>
          <w:rFonts w:ascii="Times New Roman" w:hAnsi="Times New Roman"/>
          <w:sz w:val="20"/>
          <w:szCs w:val="20"/>
          <w:vertAlign w:val="superscript"/>
          <w:rtl/>
          <w:lang w:val="ar-SA"/>
        </w:rPr>
        <w:t>)</w:t>
      </w:r>
    </w:p>
    <w:p w14:paraId="70D85FE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0"/>
          <w:szCs w:val="20"/>
          <w:vertAlign w:val="superscript"/>
          <w:lang w:val="ar-SA"/>
        </w:rPr>
      </w:pPr>
      <w:r>
        <w:rPr>
          <w:rStyle w:val="None"/>
          <w:rFonts w:cs="Times New Roman"/>
          <w:b/>
          <w:bCs/>
          <w:sz w:val="24"/>
          <w:szCs w:val="24"/>
          <w:rtl/>
          <w:lang w:val="ar-SA"/>
        </w:rPr>
        <w:t>والحق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من حقوق الذمة المالية، فإسناد الحق المالي للمؤلف يعني إعطائه الحق في الاستفادة ماديًا في مصنفه، وذلك بنشره بأية وسيلة من وسائل النشر، كما يجوز للمؤلف أنْ يتصرف في هذا المصنف عن طريق الحق بالبيع، أو الهبة، أو الإيجار، ولكن يشترط في ذلك الرسمية، وإلا وقع التصرف باطلًا،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على المؤلف أنْ يضمن عدم عرقلة الانتفاع بالمصنف على الطائفة والطريقة المتفق عليها</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8"/>
      </w:r>
      <w:r>
        <w:rPr>
          <w:rStyle w:val="None"/>
          <w:rFonts w:ascii="Times New Roman" w:hAnsi="Times New Roman"/>
          <w:sz w:val="20"/>
          <w:szCs w:val="20"/>
          <w:vertAlign w:val="superscript"/>
          <w:rtl/>
          <w:lang w:val="ar-SA"/>
        </w:rPr>
        <w:t>)</w:t>
      </w:r>
    </w:p>
    <w:p w14:paraId="37E5432B" w14:textId="77777777" w:rsidR="00454428" w:rsidRDefault="00000000" w:rsidP="00C72BA8">
      <w:pPr>
        <w:pStyle w:val="ListParagraph"/>
        <w:numPr>
          <w:ilvl w:val="0"/>
          <w:numId w:val="5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المالية للمؤلف</w:t>
      </w:r>
      <w:r>
        <w:rPr>
          <w:rStyle w:val="None"/>
          <w:rFonts w:ascii="Times New Roman" w:hAnsi="Times New Roman"/>
          <w:sz w:val="24"/>
          <w:szCs w:val="24"/>
          <w:rtl/>
          <w:lang w:val="ar-SA"/>
        </w:rPr>
        <w:t>:</w:t>
      </w:r>
    </w:p>
    <w:p w14:paraId="714E9F4F" w14:textId="77777777" w:rsidR="00454428" w:rsidRDefault="00000000" w:rsidP="00C72BA8">
      <w:pPr>
        <w:pStyle w:val="ListParagraph"/>
        <w:numPr>
          <w:ilvl w:val="0"/>
          <w:numId w:val="5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حقوق النسخ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بالإشارة إلى الأحكام الواردة في معاهدة الويبو بشأن حق المؤلف، ولا سيما الفقرة الرابعة من المادة الأولى، التي تنص على أنَّه يجب على الأطراف المتعاقدة أنْ تراعي </w:t>
      </w:r>
      <w:r>
        <w:rPr>
          <w:rStyle w:val="None"/>
          <w:rFonts w:ascii="Times New Roman" w:hAnsi="Times New Roman"/>
          <w:sz w:val="24"/>
          <w:szCs w:val="24"/>
          <w:rtl/>
          <w:lang w:val="ar-SA"/>
        </w:rPr>
        <w:t>-</w:t>
      </w:r>
      <w:r>
        <w:rPr>
          <w:rStyle w:val="None"/>
          <w:rFonts w:cs="Times New Roman"/>
          <w:sz w:val="24"/>
          <w:szCs w:val="24"/>
          <w:rtl/>
          <w:lang w:val="ar-SA"/>
        </w:rPr>
        <w:t>المواد من</w:t>
      </w:r>
      <w:bookmarkStart w:id="70" w:name="_Hlk179476650"/>
      <w:r>
        <w:rPr>
          <w:rStyle w:val="None"/>
          <w:rFonts w:ascii="Times New Roman" w:hAnsi="Times New Roman"/>
          <w:sz w:val="24"/>
          <w:szCs w:val="24"/>
          <w:rtl/>
          <w:lang w:val="ar-SA"/>
        </w:rPr>
        <w:t xml:space="preserve"> </w:t>
      </w:r>
      <w:bookmarkEnd w:id="70"/>
      <w:r>
        <w:rPr>
          <w:rStyle w:val="None"/>
          <w:rFonts w:ascii="Times New Roman" w:hAnsi="Times New Roman"/>
          <w:sz w:val="24"/>
          <w:szCs w:val="24"/>
          <w:rtl/>
          <w:lang w:val="ar-SA"/>
        </w:rPr>
        <w:t xml:space="preserve">1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21 </w:t>
      </w:r>
      <w:r>
        <w:rPr>
          <w:rStyle w:val="None"/>
          <w:rFonts w:cs="Times New Roman"/>
          <w:sz w:val="24"/>
          <w:szCs w:val="24"/>
          <w:rtl/>
          <w:lang w:val="ar-SA"/>
        </w:rPr>
        <w:t>وملحق اتفاقية برن</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إشارة هذه المواد إلى نص المادة التاسعة من اتفاقية برن، المتعلقة بحق المؤلف؛ حيث قام جدل واسع حول مدى إمكانية تطبيق حكم هذه المادة من اتفاقية برن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فمن الواضح أنَّ تخزين مصنف محمي بصيغة رقمية في وسيلة إلكترونية يعتبر نسخًا وفقًا لما تنص عليه المادة التاسعة المشار إليها، بند </w:t>
      </w:r>
      <w:r>
        <w:rPr>
          <w:rStyle w:val="None"/>
          <w:rFonts w:ascii="Times New Roman" w:hAnsi="Times New Roman"/>
          <w:sz w:val="24"/>
          <w:szCs w:val="24"/>
          <w:rtl/>
          <w:lang w:val="ar-SA"/>
        </w:rPr>
        <w:t>20.</w:t>
      </w:r>
    </w:p>
    <w:p w14:paraId="70429FF8" w14:textId="77777777" w:rsidR="00454428" w:rsidRDefault="00000000" w:rsidP="00C72BA8">
      <w:pPr>
        <w:pStyle w:val="ListParagraph"/>
        <w:numPr>
          <w:ilvl w:val="0"/>
          <w:numId w:val="5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الأداء العلني، وتقديم العمل للجمهور عبر وسائل سلكية أو لاسلكية</w:t>
      </w:r>
      <w:r>
        <w:rPr>
          <w:rStyle w:val="None"/>
          <w:rFonts w:ascii="Times New Roman" w:hAnsi="Times New Roman"/>
          <w:b/>
          <w:bCs/>
          <w:sz w:val="24"/>
          <w:szCs w:val="24"/>
          <w:rtl/>
          <w:lang w:val="ar-SA"/>
        </w:rPr>
        <w:t>:</w:t>
      </w:r>
      <w:r>
        <w:rPr>
          <w:rStyle w:val="None"/>
          <w:rFonts w:cs="Times New Roman"/>
          <w:sz w:val="24"/>
          <w:szCs w:val="24"/>
          <w:rtl/>
          <w:lang w:val="ar-SA"/>
        </w:rPr>
        <w:t xml:space="preserve"> يعرف أداء العمل بتقديمه في مكان يتواجد فيه جمهور حاضر، أو يمكن أنْ يكون موجودًا، ويعتبر الأداء علنيًا عندما يتم تقديم المصنف باستخدام آلات التسجيل، مثل</w:t>
      </w:r>
      <w:r>
        <w:rPr>
          <w:rStyle w:val="None"/>
          <w:rFonts w:ascii="Times New Roman" w:hAnsi="Times New Roman"/>
          <w:sz w:val="24"/>
          <w:szCs w:val="24"/>
          <w:rtl/>
          <w:lang w:val="ar-SA"/>
        </w:rPr>
        <w:t xml:space="preserve">: </w:t>
      </w:r>
      <w:r>
        <w:rPr>
          <w:rStyle w:val="None"/>
          <w:rFonts w:cs="Times New Roman"/>
          <w:sz w:val="24"/>
          <w:szCs w:val="24"/>
          <w:rtl/>
          <w:lang w:val="ar-SA"/>
        </w:rPr>
        <w:t>العروض في القاعات أو أماكن تجمع الجمهور، أما نقل العمل</w:t>
      </w:r>
      <w:r>
        <w:rPr>
          <w:rStyle w:val="None"/>
          <w:rFonts w:ascii="Times New Roman" w:hAnsi="Times New Roman"/>
          <w:sz w:val="24"/>
          <w:szCs w:val="24"/>
          <w:rtl/>
          <w:lang w:val="ar-SA"/>
        </w:rPr>
        <w:t xml:space="preserve">: </w:t>
      </w:r>
      <w:r>
        <w:rPr>
          <w:rStyle w:val="None"/>
          <w:rFonts w:cs="Times New Roman"/>
          <w:sz w:val="24"/>
          <w:szCs w:val="24"/>
          <w:rtl/>
          <w:lang w:val="ar-SA"/>
        </w:rPr>
        <w:t>فيتم بشكل غير مباشر عبر الأقمار الصناعية، أو الكوابل، أو البث اللاسلكي، سواء كان مشفرًا أو غير مشفر، بما في ذلك التلفاز والراديو، أو أي وسيلة أخرى لنقل الصوت والصورة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0"/>
      </w:r>
      <w:r>
        <w:rPr>
          <w:rStyle w:val="None"/>
          <w:rFonts w:ascii="Times New Roman" w:hAnsi="Times New Roman"/>
          <w:sz w:val="24"/>
          <w:szCs w:val="24"/>
          <w:vertAlign w:val="superscript"/>
          <w:rtl/>
          <w:lang w:val="ar-SA"/>
        </w:rPr>
        <w:t>)</w:t>
      </w:r>
    </w:p>
    <w:p w14:paraId="46FFDA1D" w14:textId="77777777" w:rsidR="00454428" w:rsidRDefault="00000000" w:rsidP="00C72BA8">
      <w:pPr>
        <w:pStyle w:val="ListParagraph"/>
        <w:numPr>
          <w:ilvl w:val="0"/>
          <w:numId w:val="5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في تحويل المصنف من نموذج إلى آخر</w:t>
      </w:r>
      <w:r>
        <w:rPr>
          <w:rStyle w:val="None"/>
          <w:rFonts w:ascii="Times New Roman" w:hAnsi="Times New Roman"/>
          <w:b/>
          <w:bCs/>
          <w:sz w:val="24"/>
          <w:szCs w:val="24"/>
          <w:rtl/>
          <w:lang w:val="ar-SA"/>
        </w:rPr>
        <w:t>:</w:t>
      </w:r>
      <w:r>
        <w:rPr>
          <w:rStyle w:val="None"/>
          <w:rFonts w:cs="Times New Roman"/>
          <w:sz w:val="24"/>
          <w:szCs w:val="24"/>
          <w:rtl/>
          <w:lang w:val="ar-SA"/>
        </w:rPr>
        <w:t xml:space="preserve"> هو تحويل نص قصة معينة من كتاب إلى شكل آخر، مثل</w:t>
      </w:r>
      <w:r>
        <w:rPr>
          <w:rStyle w:val="None"/>
          <w:rFonts w:ascii="Times New Roman" w:hAnsi="Times New Roman"/>
          <w:sz w:val="24"/>
          <w:szCs w:val="24"/>
          <w:rtl/>
          <w:lang w:val="ar-SA"/>
        </w:rPr>
        <w:t xml:space="preserve">: </w:t>
      </w:r>
      <w:r>
        <w:rPr>
          <w:rStyle w:val="None"/>
          <w:rFonts w:cs="Times New Roman"/>
          <w:sz w:val="24"/>
          <w:szCs w:val="24"/>
          <w:rtl/>
          <w:lang w:val="ar-SA"/>
        </w:rPr>
        <w:t>اقتباس نص مسرحي من قصة مكتوبة، أو تحويلها إلى فيلم، كما يحق للمؤلف أنْ يمنح الإذن لملحن، أو مُغَنٍّ بتلحين وإنشاد أحد أشعاره، وكذلك أنْ يسمح لناشر بنشره في كتاب بشكل منفصل، 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قصص الكاتب المعروف عباس العقاد ونجيب محفوظ التي بعد نشرها ككتب متداولة للجمهور تتسابق شركات الإنتاج للحصول على إذن المؤلف لتحويل النص إلى نص حواري، ثم تمثيله في شكل أفلام ومسلسلات تلفزيونية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1"/>
      </w:r>
      <w:r>
        <w:rPr>
          <w:rStyle w:val="None"/>
          <w:rFonts w:ascii="Times New Roman" w:hAnsi="Times New Roman"/>
          <w:sz w:val="24"/>
          <w:szCs w:val="24"/>
          <w:vertAlign w:val="superscript"/>
          <w:rtl/>
          <w:lang w:val="ar-SA"/>
        </w:rPr>
        <w:t>)</w:t>
      </w:r>
    </w:p>
    <w:p w14:paraId="605F6F76" w14:textId="77777777" w:rsidR="00454428" w:rsidRDefault="00000000" w:rsidP="00C72BA8">
      <w:pPr>
        <w:pStyle w:val="ListParagraph"/>
        <w:numPr>
          <w:ilvl w:val="0"/>
          <w:numId w:val="5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حق ترجمة المصنف من لغة إلى أخرى</w:t>
      </w:r>
      <w:r>
        <w:rPr>
          <w:rStyle w:val="None"/>
          <w:rFonts w:ascii="Times New Roman" w:hAnsi="Times New Roman"/>
          <w:b/>
          <w:bCs/>
          <w:sz w:val="24"/>
          <w:szCs w:val="24"/>
          <w:rtl/>
          <w:lang w:val="ar-SA"/>
        </w:rPr>
        <w:t>:</w:t>
      </w:r>
      <w:r>
        <w:rPr>
          <w:rStyle w:val="None"/>
          <w:rFonts w:cs="Times New Roman"/>
          <w:sz w:val="24"/>
          <w:szCs w:val="24"/>
          <w:rtl/>
          <w:lang w:val="ar-SA"/>
        </w:rPr>
        <w:t xml:space="preserve"> حق الترجمة باعتباره حق يمنحه المشرع للمؤلف، ويمنح المترجم في المقابل حقًا على ترجمته يدفعه إلى مرتبة المؤلفين، فهو من الحقوق الاستئثارية التي يتمتع بها المؤلف في ترجمة أو التصريح بترجمته لما يبذله المترجم من جهد في نقل المصنف من لغته الأصلية إلى لغة أخرى، الأمر الذي يكسبه حقًا أدبيًا وماليًا على ترجمته؛ لتوافر قدر من الابتكار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2"/>
      </w:r>
      <w:r>
        <w:rPr>
          <w:rStyle w:val="None"/>
          <w:rFonts w:ascii="Times New Roman" w:hAnsi="Times New Roman"/>
          <w:sz w:val="24"/>
          <w:szCs w:val="24"/>
          <w:vertAlign w:val="superscript"/>
          <w:rtl/>
          <w:lang w:val="ar-SA"/>
        </w:rPr>
        <w:t>)</w:t>
      </w:r>
    </w:p>
    <w:p w14:paraId="4843F568" w14:textId="77777777" w:rsidR="00454428" w:rsidRDefault="00000000" w:rsidP="00C72BA8">
      <w:pPr>
        <w:pStyle w:val="ListParagraph"/>
        <w:numPr>
          <w:ilvl w:val="0"/>
          <w:numId w:val="5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w:t>
      </w:r>
      <w:r>
        <w:rPr>
          <w:rStyle w:val="None"/>
          <w:rFonts w:ascii="Times New Roman" w:hAnsi="Times New Roman"/>
          <w:b/>
          <w:bCs/>
          <w:sz w:val="24"/>
          <w:szCs w:val="24"/>
          <w:rtl/>
          <w:lang w:val="ar-SA"/>
        </w:rPr>
        <w:t xml:space="preserve">: </w:t>
      </w:r>
      <w:r>
        <w:rPr>
          <w:rStyle w:val="None"/>
          <w:rFonts w:cs="Times New Roman"/>
          <w:sz w:val="24"/>
          <w:szCs w:val="24"/>
          <w:rtl/>
          <w:lang w:val="ar-SA"/>
        </w:rPr>
        <w:t>لكي تتمتع المصنفات بالحماية القانونية، يجب أنْ تتسم بالطابع الابتكاري، ومع ذلك</w:t>
      </w:r>
      <w:r>
        <w:rPr>
          <w:rStyle w:val="None"/>
          <w:rFonts w:ascii="Times New Roman" w:hAnsi="Times New Roman"/>
          <w:sz w:val="24"/>
          <w:szCs w:val="24"/>
          <w:rtl/>
          <w:lang w:val="ar-SA"/>
        </w:rPr>
        <w:t xml:space="preserve">: </w:t>
      </w:r>
      <w:r>
        <w:rPr>
          <w:rStyle w:val="None"/>
          <w:rFonts w:cs="Times New Roman"/>
          <w:sz w:val="24"/>
          <w:szCs w:val="24"/>
          <w:rtl/>
          <w:lang w:val="ar-SA"/>
        </w:rPr>
        <w:t>فإنَّ معظم عناوين المصنفات في العصور الحديثة تفتقر إلى هذا الطابع؛ إذْ غالبًا ما تكون مجرد ألفاظ شائعة تدل على موضوع المصنف؛ ممَّا يجعلها غير خاضعة للحماية، فعلى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ألف مؤلف مصنفًا عن التاريخ وأطلق عليه عنوان </w:t>
      </w:r>
      <w:r>
        <w:rPr>
          <w:rStyle w:val="None"/>
          <w:rFonts w:ascii="Times New Roman" w:hAnsi="Times New Roman"/>
          <w:sz w:val="24"/>
          <w:szCs w:val="24"/>
          <w:rtl/>
          <w:lang w:val="ar-SA"/>
        </w:rPr>
        <w:t>"</w:t>
      </w:r>
      <w:r>
        <w:rPr>
          <w:rStyle w:val="None"/>
          <w:rFonts w:cs="Times New Roman"/>
          <w:sz w:val="24"/>
          <w:szCs w:val="24"/>
          <w:rtl/>
          <w:lang w:val="ar-SA"/>
        </w:rPr>
        <w:t>تاريخ أوروبا في العصور الوسطى</w:t>
      </w:r>
      <w:r>
        <w:rPr>
          <w:rStyle w:val="None"/>
          <w:rFonts w:ascii="Times New Roman" w:hAnsi="Times New Roman"/>
          <w:sz w:val="24"/>
          <w:szCs w:val="24"/>
          <w:rtl/>
          <w:lang w:val="ar-SA"/>
        </w:rPr>
        <w:t>"</w:t>
      </w:r>
      <w:r>
        <w:rPr>
          <w:rStyle w:val="None"/>
          <w:rFonts w:cs="Times New Roman"/>
          <w:sz w:val="24"/>
          <w:szCs w:val="24"/>
          <w:rtl/>
          <w:lang w:val="ar-SA"/>
        </w:rPr>
        <w:t>؛ فإنَّ هذا العنوان لا يحمل طابعًا ابتكاريًا،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يحق لأي مؤلف آخر أنْ يستخدم العنوان ذاته لمعالجة الموضوع نفسه، وفي هذه الحالة يتم التمييز بين المصنف الجديد والسابق ليس من خلال العنوان، بل من خلال اسم المؤلف، وقد يضاف إلى ذلك اسم الناشر وتاريخ النشر، وأخيرًا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الطابع الابتكاري الذي يضفيه المؤلف في تناوله للموضوعات التي يعالجها المصنف، أما إذا اختار المؤلف عنوانًا مبتكرًا لمصنفه، كـ </w:t>
      </w:r>
      <w:r>
        <w:rPr>
          <w:rStyle w:val="None"/>
          <w:rFonts w:ascii="Times New Roman" w:hAnsi="Times New Roman"/>
          <w:sz w:val="24"/>
          <w:szCs w:val="24"/>
          <w:rtl/>
          <w:lang w:val="ar-SA"/>
        </w:rPr>
        <w:t>"</w:t>
      </w:r>
      <w:r>
        <w:rPr>
          <w:rStyle w:val="None"/>
          <w:rFonts w:cs="Times New Roman"/>
          <w:sz w:val="24"/>
          <w:szCs w:val="24"/>
          <w:rtl/>
          <w:lang w:val="ar-SA"/>
        </w:rPr>
        <w:t>مرشد الحيران</w:t>
      </w:r>
      <w:r>
        <w:rPr>
          <w:rStyle w:val="None"/>
          <w:rFonts w:ascii="Times New Roman" w:hAnsi="Times New Roman"/>
          <w:sz w:val="24"/>
          <w:szCs w:val="24"/>
          <w:rtl/>
          <w:lang w:val="ar-SA"/>
        </w:rPr>
        <w:t>"</w:t>
      </w:r>
      <w:r>
        <w:rPr>
          <w:rStyle w:val="None"/>
          <w:rFonts w:cs="Times New Roman"/>
          <w:sz w:val="24"/>
          <w:szCs w:val="24"/>
          <w:rtl/>
          <w:lang w:val="ar-SA"/>
        </w:rPr>
        <w:t>، أو إذا اختار صاحب مجلة عنوانًا، مثل</w:t>
      </w:r>
      <w:r>
        <w:rPr>
          <w:rStyle w:val="None"/>
          <w:rFonts w:ascii="Times New Roman" w:hAnsi="Times New Roman"/>
          <w:sz w:val="24"/>
          <w:szCs w:val="24"/>
          <w:rtl/>
          <w:lang w:val="ar-SA"/>
        </w:rPr>
        <w:t>: "</w:t>
      </w:r>
      <w:r>
        <w:rPr>
          <w:rStyle w:val="None"/>
          <w:rFonts w:cs="Times New Roman"/>
          <w:sz w:val="24"/>
          <w:szCs w:val="24"/>
          <w:rtl/>
          <w:lang w:val="ar-SA"/>
        </w:rPr>
        <w:t>مجلة القانون والاقتصاد</w:t>
      </w:r>
      <w:r>
        <w:rPr>
          <w:rStyle w:val="None"/>
          <w:rFonts w:ascii="Times New Roman" w:hAnsi="Times New Roman"/>
          <w:sz w:val="24"/>
          <w:szCs w:val="24"/>
          <w:rtl/>
          <w:lang w:val="ar-SA"/>
        </w:rPr>
        <w:t>"</w:t>
      </w:r>
      <w:r>
        <w:rPr>
          <w:rStyle w:val="None"/>
          <w:rFonts w:cs="Times New Roman"/>
          <w:sz w:val="24"/>
          <w:szCs w:val="24"/>
          <w:rtl/>
          <w:lang w:val="ar-SA"/>
        </w:rPr>
        <w:t>، أو إذا كانت أغنية تحمل عنوانًا متفردًا، مثل</w:t>
      </w:r>
      <w:r>
        <w:rPr>
          <w:rStyle w:val="None"/>
          <w:rFonts w:ascii="Times New Roman" w:hAnsi="Times New Roman"/>
          <w:sz w:val="24"/>
          <w:szCs w:val="24"/>
          <w:rtl/>
          <w:lang w:val="ar-SA"/>
        </w:rPr>
        <w:t>: "</w:t>
      </w:r>
      <w:r>
        <w:rPr>
          <w:rStyle w:val="None"/>
          <w:rFonts w:cs="Times New Roman"/>
          <w:sz w:val="24"/>
          <w:szCs w:val="24"/>
          <w:rtl/>
          <w:lang w:val="ar-SA"/>
        </w:rPr>
        <w:t>أنت عمري</w:t>
      </w:r>
      <w:r>
        <w:rPr>
          <w:rStyle w:val="None"/>
          <w:rFonts w:ascii="Times New Roman" w:hAnsi="Times New Roman"/>
          <w:sz w:val="24"/>
          <w:szCs w:val="24"/>
          <w:rtl/>
          <w:lang w:val="ar-SA"/>
        </w:rPr>
        <w:t>"</w:t>
      </w:r>
      <w:r>
        <w:rPr>
          <w:rStyle w:val="None"/>
          <w:rFonts w:cs="Times New Roman"/>
          <w:sz w:val="24"/>
          <w:szCs w:val="24"/>
          <w:rtl/>
          <w:lang w:val="ar-SA"/>
        </w:rPr>
        <w:t>، وحقق المصنف شهرةً واسعةً بهذا العنوان، فإنَّ العنوان المبتكر يصبح جزءًا لا يتجزأ من المصنف ذاته، ويخضع للحماية القانونية التي تشمل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3"/>
      </w:r>
      <w:r>
        <w:rPr>
          <w:rStyle w:val="None"/>
          <w:rFonts w:ascii="Times New Roman" w:hAnsi="Times New Roman"/>
          <w:sz w:val="24"/>
          <w:szCs w:val="24"/>
          <w:vertAlign w:val="superscript"/>
          <w:rtl/>
          <w:lang w:val="ar-SA"/>
        </w:rPr>
        <w:t>)</w:t>
      </w:r>
    </w:p>
    <w:p w14:paraId="722A7410" w14:textId="77777777" w:rsidR="00454428" w:rsidRDefault="00000000" w:rsidP="00C72BA8">
      <w:pPr>
        <w:pStyle w:val="ListParagraph"/>
        <w:numPr>
          <w:ilvl w:val="0"/>
          <w:numId w:val="5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الحقوق المعنوية للمؤلف</w:t>
      </w:r>
      <w:r>
        <w:rPr>
          <w:rStyle w:val="None"/>
          <w:rFonts w:ascii="Times New Roman" w:hAnsi="Times New Roman"/>
          <w:b/>
          <w:bCs/>
          <w:sz w:val="24"/>
          <w:szCs w:val="24"/>
          <w:rtl/>
          <w:lang w:val="ar-SA"/>
        </w:rPr>
        <w:t>:</w:t>
      </w:r>
    </w:p>
    <w:p w14:paraId="61B38F7C" w14:textId="77777777" w:rsidR="00454428" w:rsidRDefault="00000000" w:rsidP="00C72BA8">
      <w:pPr>
        <w:pStyle w:val="ListParagraph"/>
        <w:numPr>
          <w:ilvl w:val="0"/>
          <w:numId w:val="5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المؤلف في نسبة المصنف إليه</w:t>
      </w:r>
      <w:r>
        <w:rPr>
          <w:rStyle w:val="None"/>
          <w:rFonts w:ascii="Times New Roman" w:hAnsi="Times New Roman"/>
          <w:b/>
          <w:bCs/>
          <w:sz w:val="24"/>
          <w:szCs w:val="24"/>
          <w:rtl/>
          <w:lang w:val="ar-SA"/>
        </w:rPr>
        <w:t xml:space="preserve">: </w:t>
      </w:r>
      <w:r>
        <w:rPr>
          <w:rStyle w:val="None"/>
          <w:rFonts w:cs="Times New Roman"/>
          <w:sz w:val="24"/>
          <w:szCs w:val="24"/>
          <w:rtl/>
          <w:lang w:val="ar-SA"/>
        </w:rPr>
        <w:t>الحق المعنوي حق أدبي غير مالي يتصل بشخصية المؤلف، وإنْ كان يتميز عن الحقوق الشخصية البحثة في أنَّه يعتبر عنصرًا في حق المؤلف الذي يرد المصنف ذاته، ويترتب على ذلك أنْ يتحدد خصائصه على ضوء هذه الاعتبارين، فهو بذلك لا يجوز التصرف فيه والتخلي عنه، وهو يتكون من أربعة عناصرَ أساسيةٍ</w:t>
      </w:r>
      <w:r>
        <w:rPr>
          <w:rStyle w:val="None"/>
          <w:rFonts w:ascii="Times New Roman" w:hAnsi="Times New Roman"/>
          <w:sz w:val="24"/>
          <w:szCs w:val="24"/>
          <w:rtl/>
          <w:lang w:val="ar-SA"/>
        </w:rPr>
        <w:t xml:space="preserve">: </w:t>
      </w:r>
      <w:r>
        <w:rPr>
          <w:rStyle w:val="None"/>
          <w:rFonts w:cs="Times New Roman"/>
          <w:sz w:val="24"/>
          <w:szCs w:val="24"/>
          <w:rtl/>
          <w:lang w:val="ar-SA"/>
        </w:rPr>
        <w:t>الحق في شَهْر المصنف، والحق في نسبة العمل إلى المؤلف، والحق في احترام المؤلف، والحق في سحب المصنف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4"/>
      </w:r>
      <w:r>
        <w:rPr>
          <w:rStyle w:val="None"/>
          <w:rFonts w:ascii="Times New Roman" w:hAnsi="Times New Roman"/>
          <w:sz w:val="24"/>
          <w:szCs w:val="24"/>
          <w:vertAlign w:val="superscript"/>
          <w:rtl/>
          <w:lang w:val="ar-SA"/>
        </w:rPr>
        <w:t>)</w:t>
      </w:r>
    </w:p>
    <w:p w14:paraId="409463AF" w14:textId="77777777" w:rsidR="00454428" w:rsidRDefault="00000000" w:rsidP="00C72BA8">
      <w:pPr>
        <w:pStyle w:val="ListParagraph"/>
        <w:numPr>
          <w:ilvl w:val="0"/>
          <w:numId w:val="5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تقدير العمل</w:t>
      </w:r>
      <w:r>
        <w:rPr>
          <w:rStyle w:val="None"/>
          <w:rFonts w:ascii="Times New Roman" w:hAnsi="Times New Roman"/>
          <w:b/>
          <w:bCs/>
          <w:sz w:val="24"/>
          <w:szCs w:val="24"/>
          <w:rtl/>
          <w:lang w:val="ar-SA"/>
        </w:rPr>
        <w:t xml:space="preserve">: </w:t>
      </w:r>
      <w:r>
        <w:rPr>
          <w:rStyle w:val="None"/>
          <w:rFonts w:cs="Times New Roman"/>
          <w:sz w:val="24"/>
          <w:szCs w:val="24"/>
          <w:rtl/>
          <w:lang w:val="ar-SA"/>
        </w:rPr>
        <w:t>تعتبر وحدة الأفكار وترتيبها بشكل متسلسل من أبرز وسائل الإبداع، يمتد حق المؤلف لحماية المصنف من أي حذف قد يؤثر على العمل؛ ممَّا يؤدي إلى تشويهه أو المَسِّ بوحدته،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يؤثر على مضمون القصة ومعناها، كما أنَّ هناك حقًا في حماية المصنف من أي تشويه، أو تحوير قد يفقد العمل تميزه، </w:t>
      </w:r>
      <w:r>
        <w:rPr>
          <w:rStyle w:val="None"/>
          <w:rFonts w:cs="Times New Roman"/>
          <w:sz w:val="24"/>
          <w:szCs w:val="24"/>
          <w:rtl/>
          <w:lang w:val="ar-SA"/>
        </w:rPr>
        <w:lastRenderedPageBreak/>
        <w:t>أو يضر بسمعة المؤلف، بالإضافة إلى ذلك</w:t>
      </w:r>
      <w:r>
        <w:rPr>
          <w:rStyle w:val="None"/>
          <w:rFonts w:ascii="Times New Roman" w:hAnsi="Times New Roman"/>
          <w:sz w:val="24"/>
          <w:szCs w:val="24"/>
          <w:rtl/>
          <w:lang w:val="ar-SA"/>
        </w:rPr>
        <w:t xml:space="preserve">: </w:t>
      </w:r>
      <w:r>
        <w:rPr>
          <w:rStyle w:val="None"/>
          <w:rFonts w:cs="Times New Roman"/>
          <w:sz w:val="24"/>
          <w:szCs w:val="24"/>
          <w:rtl/>
          <w:lang w:val="ar-SA"/>
        </w:rPr>
        <w:t>يحق للمؤلف سحب مؤلفه من الأسواق إذا تغيرت الظروف المحيطة بالأفكار الواردة في المصنف، أو إذا اختلفت قناعاته بشأن الآراء التي طرحها في عمله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5"/>
      </w:r>
      <w:r>
        <w:rPr>
          <w:rStyle w:val="None"/>
          <w:rFonts w:ascii="Times New Roman" w:hAnsi="Times New Roman"/>
          <w:sz w:val="24"/>
          <w:szCs w:val="24"/>
          <w:vertAlign w:val="superscript"/>
          <w:rtl/>
          <w:lang w:val="ar-SA"/>
        </w:rPr>
        <w:t>)</w:t>
      </w:r>
    </w:p>
    <w:p w14:paraId="17C11009"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الملكية الصناعية</w:t>
      </w:r>
      <w:r>
        <w:rPr>
          <w:rStyle w:val="None"/>
          <w:rFonts w:ascii="Times New Roman" w:hAnsi="Times New Roman"/>
          <w:b/>
          <w:bCs/>
          <w:sz w:val="28"/>
          <w:szCs w:val="28"/>
          <w:rtl/>
          <w:lang w:val="ar-SA"/>
        </w:rPr>
        <w:t>:</w:t>
      </w:r>
    </w:p>
    <w:p w14:paraId="6490EC7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برزت أهمية حماية حقوق الملكية الصناعية منذ بزوغ عهد الثورة الصناعية في أوربا منتصف القرن التاسع عشر، وما واكبها من اختراعات أدت إلى استغلالها لكافة الدوافع التي استندت عليها اتفاقية باريس لحماية حقوق الملكية الصناعية؛ بهدف تحفيز المبتكرين على مواصلة إنتاجهم واختراعاتهم؛ ممَّا يخدم تطوُّر الحركة التجارية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6"/>
      </w:r>
      <w:r>
        <w:rPr>
          <w:rStyle w:val="None"/>
          <w:rFonts w:ascii="Times New Roman" w:hAnsi="Times New Roman"/>
          <w:sz w:val="24"/>
          <w:szCs w:val="24"/>
          <w:vertAlign w:val="superscript"/>
          <w:rtl/>
          <w:lang w:val="ar-SA"/>
        </w:rPr>
        <w:t>)</w:t>
      </w:r>
    </w:p>
    <w:p w14:paraId="26CD01E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حيث بدأ العمل الدولي على تنظيم مجالاته المتنوعة من خلال اتفاقية باريس لحماية الملكية الصناعية، التي تم توقيعها في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مارس </w:t>
      </w:r>
      <w:r>
        <w:rPr>
          <w:rStyle w:val="None"/>
          <w:rFonts w:ascii="Times New Roman" w:hAnsi="Times New Roman"/>
          <w:sz w:val="24"/>
          <w:szCs w:val="24"/>
          <w:rtl/>
          <w:lang w:val="ar-SA"/>
        </w:rPr>
        <w:t>1883</w:t>
      </w:r>
      <w:r>
        <w:rPr>
          <w:rStyle w:val="None"/>
          <w:rFonts w:cs="Times New Roman"/>
          <w:sz w:val="24"/>
          <w:szCs w:val="24"/>
          <w:rtl/>
          <w:lang w:val="ar-SA"/>
        </w:rPr>
        <w:t xml:space="preserve">، وقد خضعت هذه الاتفاقية لعدة تعديلات وتنقيحات، بلغ عددها سبع تعديلات ومن أبرزها تعديل </w:t>
      </w:r>
      <w:r>
        <w:rPr>
          <w:rStyle w:val="None"/>
          <w:rFonts w:ascii="Times New Roman" w:hAnsi="Times New Roman"/>
          <w:sz w:val="24"/>
          <w:szCs w:val="24"/>
          <w:rtl/>
          <w:lang w:val="ar-SA"/>
        </w:rPr>
        <w:t>(</w:t>
      </w:r>
      <w:r>
        <w:rPr>
          <w:rStyle w:val="None"/>
          <w:rFonts w:cs="Times New Roman"/>
          <w:sz w:val="24"/>
          <w:szCs w:val="24"/>
          <w:rtl/>
          <w:lang w:val="ar-SA"/>
        </w:rPr>
        <w:t>ستوكهولم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الذي تم في </w:t>
      </w:r>
      <w:r>
        <w:rPr>
          <w:rStyle w:val="None"/>
          <w:rFonts w:ascii="Times New Roman" w:hAnsi="Times New Roman"/>
          <w:sz w:val="24"/>
          <w:szCs w:val="24"/>
          <w:rtl/>
          <w:lang w:val="ar-SA"/>
        </w:rPr>
        <w:t xml:space="preserve">14 </w:t>
      </w:r>
      <w:r>
        <w:rPr>
          <w:rStyle w:val="None"/>
          <w:rFonts w:cs="Times New Roman"/>
          <w:sz w:val="24"/>
          <w:szCs w:val="24"/>
          <w:rtl/>
          <w:lang w:val="ar-SA"/>
        </w:rPr>
        <w:t xml:space="preserve">يوليو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جاء في </w:t>
      </w:r>
      <w:bookmarkStart w:id="71" w:name="_Hlk179575099"/>
      <w:r>
        <w:rPr>
          <w:rStyle w:val="None"/>
          <w:rFonts w:cs="Times New Roman"/>
          <w:sz w:val="24"/>
          <w:szCs w:val="24"/>
          <w:rtl/>
          <w:lang w:val="ar-SA"/>
        </w:rPr>
        <w:t xml:space="preserve">المادة الأولى الفقرة الأولى من اتفاقية باريس </w:t>
      </w:r>
      <w:bookmarkEnd w:id="71"/>
      <w:r>
        <w:rPr>
          <w:rStyle w:val="None"/>
          <w:rFonts w:cs="Times New Roman"/>
          <w:sz w:val="24"/>
          <w:szCs w:val="24"/>
          <w:rtl/>
          <w:lang w:val="ar-SA"/>
        </w:rPr>
        <w:t>تفهم للملكية الصناعية بمعناها الواسع؛ حيث لا تقتصر تطبيقاتها على الصناعة والتجارة بالمعنى الحرفي فحسب، بل تشمل أيضًا الصناعات الزراعية والاستخراجية، بالإضافة إلى جميع المنتجات المصنعة أو الطبيعية، مثل</w:t>
      </w:r>
      <w:r>
        <w:rPr>
          <w:rStyle w:val="None"/>
          <w:rFonts w:ascii="Times New Roman" w:hAnsi="Times New Roman"/>
          <w:sz w:val="24"/>
          <w:szCs w:val="24"/>
          <w:rtl/>
          <w:lang w:val="ar-SA"/>
        </w:rPr>
        <w:t xml:space="preserve">: </w:t>
      </w:r>
      <w:r>
        <w:rPr>
          <w:rStyle w:val="None"/>
          <w:rFonts w:cs="Times New Roman"/>
          <w:sz w:val="24"/>
          <w:szCs w:val="24"/>
          <w:rtl/>
          <w:lang w:val="ar-SA"/>
        </w:rPr>
        <w:t>المشروبات، والحبوب، وأوراق التبغ، والفواكه، والمواشي، والمعادن، والمياه المعدنية، والزهور، والدقيق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7"/>
      </w:r>
      <w:r>
        <w:rPr>
          <w:rStyle w:val="None"/>
          <w:rFonts w:ascii="Times New Roman" w:hAnsi="Times New Roman"/>
          <w:sz w:val="24"/>
          <w:szCs w:val="24"/>
          <w:vertAlign w:val="superscript"/>
          <w:rtl/>
          <w:lang w:val="ar-SA"/>
        </w:rPr>
        <w:t>)</w:t>
      </w:r>
    </w:p>
    <w:p w14:paraId="21CEBEE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تشمل حقوق الملكية الفكرية عدة جوانب مهمة، وهي</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تمنح المخترعين حقوقًا حصريةً لاستخدام وتسويق اختراعاتهم لفترة محددة؛ ممَّا يعزّز الابتكار والتطوير، العلامة التجارية تحمي هُوِيَّة السلع والخدمات عبر منع الاستخدام غير المصرح لعلامات مشابهة، الرسوم والنماذج الصناعية تحمي التصاميم الجمالية للمنتجات، التصاميم الشكلية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8"/>
      </w:r>
      <w:r>
        <w:rPr>
          <w:rStyle w:val="None"/>
          <w:rFonts w:ascii="Times New Roman" w:hAnsi="Times New Roman"/>
          <w:sz w:val="24"/>
          <w:szCs w:val="24"/>
          <w:vertAlign w:val="superscript"/>
          <w:rtl/>
          <w:lang w:val="ar-SA"/>
        </w:rPr>
        <w:t>)</w:t>
      </w:r>
      <w:r>
        <w:rPr>
          <w:rStyle w:val="None"/>
          <w:rFonts w:cs="Times New Roman"/>
          <w:sz w:val="24"/>
          <w:szCs w:val="24"/>
          <w:rtl/>
          <w:lang w:val="ar-SA"/>
        </w:rPr>
        <w:t>، وتعدد أشكال الملكية الصناعية، ومنها ما يلي</w:t>
      </w:r>
      <w:r>
        <w:rPr>
          <w:rStyle w:val="None"/>
          <w:rFonts w:ascii="Times New Roman" w:hAnsi="Times New Roman"/>
          <w:sz w:val="24"/>
          <w:szCs w:val="24"/>
          <w:rtl/>
          <w:lang w:val="ar-SA"/>
        </w:rPr>
        <w:t>:</w:t>
      </w:r>
    </w:p>
    <w:p w14:paraId="137D8DEA" w14:textId="77777777" w:rsidR="00454428" w:rsidRDefault="00000000" w:rsidP="00C72BA8">
      <w:pPr>
        <w:pStyle w:val="BodyA"/>
        <w:numPr>
          <w:ilvl w:val="6"/>
          <w:numId w:val="6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البراءات</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تعمل البراءات على حماية الاختراعات الجديدة؛ حيث تمنح المخترعين حقوقًا حصرية لاستخدام وبيع ابتكاراتهم لفترة زمنية معينة، في السياق الرقمي تشمل البراءات تقنيات الحوسبة البرمجيات وغيرها من الابتكارات التكنولوجية، يتطلب الحفاظ على حماية البراءات في العصر الرقمي تحديثات دورية لمواكبة </w:t>
      </w:r>
      <w:r>
        <w:rPr>
          <w:rStyle w:val="None"/>
          <w:rFonts w:cs="Times New Roman"/>
          <w:sz w:val="24"/>
          <w:szCs w:val="24"/>
          <w:rtl/>
          <w:lang w:val="ar-SA"/>
        </w:rPr>
        <w:lastRenderedPageBreak/>
        <w:t>التطوُّرات السريعة في مجال التكنولوجيا</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9"/>
      </w:r>
      <w:r>
        <w:rPr>
          <w:rStyle w:val="None"/>
          <w:rFonts w:ascii="Times New Roman" w:hAnsi="Times New Roman"/>
          <w:sz w:val="24"/>
          <w:szCs w:val="24"/>
          <w:vertAlign w:val="superscript"/>
          <w:rtl/>
          <w:lang w:val="ar-SA"/>
        </w:rPr>
        <w:t>)</w:t>
      </w:r>
      <w:r>
        <w:rPr>
          <w:rStyle w:val="None"/>
          <w:rFonts w:cs="Times New Roman"/>
          <w:sz w:val="24"/>
          <w:szCs w:val="24"/>
          <w:rtl/>
          <w:lang w:val="ar-SA"/>
        </w:rPr>
        <w:t>، ولا تستحق جميع الاختراعات الحصول على براءة اختراع؛ حيث تتطلب القوانين في التشريعات السعودية والمقارنة أنْ يلتزم الاختراع بمجموعة من الشروط المعروفة بالمقتضيات أو شروط البراءة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0"/>
      </w:r>
      <w:r>
        <w:rPr>
          <w:rStyle w:val="None"/>
          <w:rFonts w:ascii="Times New Roman" w:hAnsi="Times New Roman"/>
          <w:sz w:val="24"/>
          <w:szCs w:val="24"/>
          <w:vertAlign w:val="superscript"/>
          <w:rtl/>
          <w:lang w:val="ar-SA"/>
        </w:rPr>
        <w:t>)</w:t>
      </w:r>
    </w:p>
    <w:p w14:paraId="52BA0B1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تُعرَّف البراءات بأنَّها</w:t>
      </w:r>
      <w:r>
        <w:rPr>
          <w:rStyle w:val="None"/>
          <w:rFonts w:ascii="Times New Roman" w:hAnsi="Times New Roman"/>
          <w:sz w:val="24"/>
          <w:szCs w:val="24"/>
          <w:rtl/>
          <w:lang w:val="ar-SA"/>
        </w:rPr>
        <w:t>: "</w:t>
      </w:r>
      <w:r>
        <w:rPr>
          <w:rStyle w:val="None"/>
          <w:rFonts w:cs="Times New Roman"/>
          <w:sz w:val="24"/>
          <w:szCs w:val="24"/>
          <w:rtl/>
          <w:lang w:val="ar-SA"/>
        </w:rPr>
        <w:t>شهادة تمنحها الجهات المختصة في الدولة للمخترع عن اختراعه يكون له موجبها حق استثمار واستغلال اختراعه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649782E"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lang w:val="ar-SA"/>
        </w:rPr>
      </w:pPr>
      <w:r>
        <w:rPr>
          <w:rStyle w:val="None"/>
          <w:rFonts w:cs="Times New Roman"/>
          <w:rtl/>
          <w:lang w:val="ar-SA"/>
        </w:rPr>
        <w:t>كما عُرِّف الاختراع في النظام السعودي بأنَّه</w:t>
      </w:r>
      <w:r>
        <w:rPr>
          <w:rStyle w:val="None"/>
          <w:rFonts w:ascii="Times New Roman" w:hAnsi="Times New Roman"/>
          <w:rtl/>
          <w:lang w:val="ar-SA"/>
        </w:rPr>
        <w:t>:</w:t>
      </w:r>
      <w:r>
        <w:rPr>
          <w:rStyle w:val="None"/>
          <w:rFonts w:ascii="Times New Roman" w:hAnsi="Times New Roman" w:hint="default"/>
          <w:rtl/>
          <w:lang w:val="ar-SA"/>
        </w:rPr>
        <w:t> </w:t>
      </w:r>
      <w:r>
        <w:rPr>
          <w:rStyle w:val="None"/>
          <w:rFonts w:ascii="Times New Roman" w:hAnsi="Times New Roman"/>
          <w:rtl/>
          <w:lang w:val="ar-SA"/>
        </w:rPr>
        <w:t>"</w:t>
      </w:r>
      <w:r>
        <w:rPr>
          <w:rStyle w:val="None"/>
          <w:rFonts w:cs="Times New Roman"/>
          <w:rtl/>
          <w:lang w:val="ar-SA"/>
        </w:rPr>
        <w:t>فكرة يتوصل إليها المخترع، وينتج عنها حل مشكلة معينة في مجال التقنية</w:t>
      </w:r>
      <w:r>
        <w:rPr>
          <w:rStyle w:val="None"/>
          <w:rFonts w:ascii="Times New Roman" w:hAnsi="Times New Roman"/>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946756" w14:textId="77777777" w:rsidR="00454428" w:rsidRDefault="00000000" w:rsidP="00C72BA8">
      <w:pPr>
        <w:pStyle w:val="BodyA"/>
        <w:numPr>
          <w:ilvl w:val="6"/>
          <w:numId w:val="6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موضوع يستحق البراءة</w:t>
      </w:r>
      <w:r>
        <w:rPr>
          <w:rStyle w:val="None"/>
          <w:rFonts w:ascii="Times New Roman" w:hAnsi="Times New Roman"/>
          <w:b/>
          <w:bCs/>
          <w:sz w:val="24"/>
          <w:szCs w:val="24"/>
          <w:rtl/>
          <w:lang w:val="ar-SA"/>
        </w:rPr>
        <w:t>:</w:t>
      </w:r>
      <w:r>
        <w:rPr>
          <w:rStyle w:val="None"/>
          <w:rFonts w:cs="Times New Roman"/>
          <w:sz w:val="24"/>
          <w:szCs w:val="24"/>
          <w:rtl/>
          <w:lang w:val="ar-SA"/>
        </w:rPr>
        <w:t xml:space="preserve"> بمعنى أنَّه يجب أنْ يكون للاختراع </w:t>
      </w:r>
      <w:r>
        <w:rPr>
          <w:rStyle w:val="None"/>
          <w:rFonts w:ascii="Times New Roman" w:hAnsi="Times New Roman"/>
          <w:sz w:val="24"/>
          <w:szCs w:val="24"/>
          <w:rtl/>
          <w:lang w:val="ar-SA"/>
        </w:rPr>
        <w:t>-</w:t>
      </w:r>
      <w:r>
        <w:rPr>
          <w:rStyle w:val="None"/>
          <w:rFonts w:cs="Times New Roman"/>
          <w:sz w:val="24"/>
          <w:szCs w:val="24"/>
          <w:rtl/>
          <w:lang w:val="ar-SA"/>
        </w:rPr>
        <w:t>المقدم بشأنه الحصول على البراءة من قبل صاحبه</w:t>
      </w:r>
      <w:r>
        <w:rPr>
          <w:rStyle w:val="None"/>
          <w:rFonts w:ascii="Times New Roman" w:hAnsi="Times New Roman"/>
          <w:sz w:val="24"/>
          <w:szCs w:val="24"/>
          <w:rtl/>
          <w:lang w:val="ar-SA"/>
        </w:rPr>
        <w:t xml:space="preserve">- </w:t>
      </w:r>
      <w:r>
        <w:rPr>
          <w:rStyle w:val="None"/>
          <w:rFonts w:cs="Times New Roman"/>
          <w:sz w:val="24"/>
          <w:szCs w:val="24"/>
          <w:rtl/>
          <w:lang w:val="ar-SA"/>
        </w:rPr>
        <w:t>ذاتيته المستقلة التي تميزه عن غيره من الابتكارات أو الاختراعات الأخرى، وأنْ يكون هذا الاختراع قابلًا للتنفيذ أو التطبيق العلمي، وفي الوقع حتى يتوافر هذا الشرط يجب أنْ يكون الاختراع واردًا على أحد الوسائل التي يمكن بواسطتها تحقيق نتائج كان في الماضي يتعذر تحقيقها</w:t>
      </w:r>
      <w:r>
        <w:rPr>
          <w:rStyle w:val="None"/>
          <w:rFonts w:ascii="Times New Roman" w:hAnsi="Times New Roman"/>
          <w:sz w:val="24"/>
          <w:szCs w:val="24"/>
          <w:rtl/>
          <w:lang w:val="ar-SA"/>
        </w:rPr>
        <w:t xml:space="preserve">.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3"/>
      </w:r>
      <w:r>
        <w:rPr>
          <w:rStyle w:val="None"/>
          <w:rFonts w:ascii="Times New Roman" w:hAnsi="Times New Roman"/>
          <w:sz w:val="20"/>
          <w:szCs w:val="20"/>
          <w:vertAlign w:val="superscript"/>
          <w:rtl/>
          <w:lang w:val="ar-SA"/>
        </w:rPr>
        <w:t>)</w:t>
      </w:r>
    </w:p>
    <w:p w14:paraId="574D13ED" w14:textId="77777777" w:rsidR="00454428" w:rsidRDefault="00000000" w:rsidP="00C72BA8">
      <w:pPr>
        <w:pStyle w:val="ListParagraph"/>
        <w:numPr>
          <w:ilvl w:val="6"/>
          <w:numId w:val="6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التصاميم الصناعية</w:t>
      </w:r>
      <w:r>
        <w:rPr>
          <w:rStyle w:val="None"/>
          <w:rFonts w:ascii="Times New Roman" w:hAnsi="Times New Roman"/>
          <w:b/>
          <w:bCs/>
          <w:sz w:val="24"/>
          <w:szCs w:val="24"/>
          <w:rtl/>
          <w:lang w:val="ar-SA"/>
        </w:rPr>
        <w:t xml:space="preserve">: </w:t>
      </w:r>
      <w:r>
        <w:rPr>
          <w:rStyle w:val="None"/>
          <w:rFonts w:cs="Times New Roman"/>
          <w:sz w:val="24"/>
          <w:szCs w:val="24"/>
          <w:rtl/>
          <w:lang w:val="ar-SA"/>
        </w:rPr>
        <w:t>التصميمات الصناعية هي المظهر الزخرفي أو الجمالي لسلعة ما، وهي تطبق على طائفة واسعة من المنتجات الصناعية والحرفية،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تشكيلة الخطوط، والأنماط، والألوان، والأشكال المجسمة، التي تعطي المنتج الصناعي أو الحرفي مظهرًا مختلفًا عن غيره من السلع المشابهة، ولا يشترط أنْ تكون لها قيمة فنية؛ كي تتمتع بالحماية، فالحماية واجبة قانونًا سواء كانت لها قيمة فنية أو لم تكن لها أية قيمة فنية طالما توافرت فيها الشروط المطلوبة قانونًا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4"/>
      </w:r>
      <w:r>
        <w:rPr>
          <w:rStyle w:val="None"/>
          <w:rFonts w:ascii="Times New Roman" w:hAnsi="Times New Roman"/>
          <w:sz w:val="24"/>
          <w:szCs w:val="24"/>
          <w:vertAlign w:val="superscript"/>
          <w:rtl/>
          <w:lang w:val="ar-SA"/>
        </w:rPr>
        <w:t>)</w:t>
      </w:r>
    </w:p>
    <w:p w14:paraId="4302421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كما عُرِّف التصميم في النظام السعودي بأنَّه هو التصميم </w:t>
      </w:r>
      <w:r>
        <w:rPr>
          <w:rStyle w:val="None"/>
          <w:rFonts w:ascii="Times New Roman" w:hAnsi="Times New Roman"/>
          <w:sz w:val="24"/>
          <w:szCs w:val="24"/>
          <w:rtl/>
          <w:lang w:val="ar-SA"/>
        </w:rPr>
        <w:t>"</w:t>
      </w:r>
      <w:r>
        <w:rPr>
          <w:rStyle w:val="None"/>
          <w:rFonts w:cs="Times New Roman"/>
          <w:rtl/>
          <w:lang w:val="ar-SA"/>
        </w:rPr>
        <w:t xml:space="preserve"> الترتيب الثلاثي الأبعاد لعناصر دائرة متكاملة </w:t>
      </w:r>
      <w:r>
        <w:rPr>
          <w:rStyle w:val="None"/>
          <w:rFonts w:ascii="Times New Roman" w:hAnsi="Times New Roman"/>
          <w:rtl/>
          <w:lang w:val="ar-SA"/>
        </w:rPr>
        <w:t>-</w:t>
      </w:r>
      <w:r>
        <w:rPr>
          <w:rStyle w:val="None"/>
          <w:rFonts w:cs="Times New Roman"/>
          <w:rtl/>
          <w:lang w:val="ar-SA"/>
        </w:rPr>
        <w:t>على أنْ يكون أحد تلك العناصر على الأقل نشطًا</w:t>
      </w:r>
      <w:r>
        <w:rPr>
          <w:rStyle w:val="None"/>
          <w:rFonts w:ascii="Times New Roman" w:hAnsi="Times New Roman"/>
          <w:rtl/>
          <w:lang w:val="ar-SA"/>
        </w:rPr>
        <w:t xml:space="preserve">- </w:t>
      </w:r>
      <w:r>
        <w:rPr>
          <w:rStyle w:val="None"/>
          <w:rFonts w:cs="Times New Roman"/>
          <w:rtl/>
          <w:lang w:val="ar-SA"/>
        </w:rPr>
        <w:t>ولجميع الوصلات، أو بعضها، أو الترتيب الثلاثي الأبعاد المعد لدائرة متكاملة بغرض التصنيع</w:t>
      </w:r>
      <w:r>
        <w:rPr>
          <w:rStyle w:val="None"/>
          <w:rFonts w:ascii="Times New Roman" w:hAnsi="Times New Roman"/>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8AE41C6" w14:textId="77777777" w:rsidR="00454428" w:rsidRDefault="00000000" w:rsidP="00C72BA8">
      <w:pPr>
        <w:pStyle w:val="ListParagraph"/>
        <w:numPr>
          <w:ilvl w:val="6"/>
          <w:numId w:val="6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إنَّ العلامة التجارية جزءٌ مهمٌّ في المتجر، ويسعى جميع التجار إلى التمييز في اختيار علامتهم التجارية؛ لتمييز خدماتهم أو منتجاتهم عن باقي الخدمات أو المنتجات؛ لحماية حقوقهم ومصالحهم، </w:t>
      </w:r>
      <w:r>
        <w:rPr>
          <w:rStyle w:val="None"/>
          <w:rFonts w:cs="Times New Roman"/>
          <w:sz w:val="24"/>
          <w:szCs w:val="24"/>
          <w:rtl/>
          <w:lang w:val="ar-SA"/>
        </w:rPr>
        <w:lastRenderedPageBreak/>
        <w:t>ومن هنا كانت بداية الاهتمام الملحوظ بتنظيم موضوع العلامات التجارية من الناحية القانوني في الدول ذات الاقتصاد المتطوِّر، باعتبار أنَّ العلامة التجارية تمثل نوعًا من المنافسة المشروعة بين التجار، وتساعد على ازدهار الناحية الاقتصادية في الدولة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6"/>
      </w:r>
      <w:r>
        <w:rPr>
          <w:rStyle w:val="None"/>
          <w:rFonts w:ascii="Times New Roman" w:hAnsi="Times New Roman"/>
          <w:sz w:val="24"/>
          <w:szCs w:val="24"/>
          <w:vertAlign w:val="superscript"/>
          <w:rtl/>
          <w:lang w:val="ar-SA"/>
        </w:rPr>
        <w:t>)</w:t>
      </w:r>
    </w:p>
    <w:p w14:paraId="601E257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وتُعرَّف العلامات التجارية فهي </w:t>
      </w:r>
      <w:r>
        <w:rPr>
          <w:rStyle w:val="None"/>
          <w:rFonts w:ascii="Times New Roman" w:hAnsi="Times New Roman"/>
          <w:sz w:val="24"/>
          <w:szCs w:val="24"/>
          <w:rtl/>
          <w:lang w:val="ar-SA"/>
        </w:rPr>
        <w:t>"</w:t>
      </w:r>
      <w:r>
        <w:rPr>
          <w:rStyle w:val="None"/>
          <w:rFonts w:cs="Times New Roman"/>
          <w:sz w:val="24"/>
          <w:szCs w:val="24"/>
          <w:rtl/>
          <w:lang w:val="ar-SA"/>
        </w:rPr>
        <w:t>كل إشارة، أو رمز، أو دلالة ذي تكوين خاص بذات التجار، أو الصانع على منتجاته، أو الخدمات التي يقوم بصنعها لغرض بيعها، ويهدف إلى تيسير التعرُّف على مصدر تلك المنتجات أو الخدمات؛ بحيث يسهل تمييزها عن غيرها من السلع والخدمات المشابهة من قبل المستهلكين، أو المتعاملين بها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902C94"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عُرِّفت العلامات التجارية في المادة الأولى من نظام العلامات التجارية السعودي بأنَّه</w:t>
      </w:r>
      <w:r>
        <w:rPr>
          <w:rStyle w:val="None"/>
          <w:rFonts w:ascii="Times New Roman" w:hAnsi="Times New Roman"/>
          <w:sz w:val="24"/>
          <w:szCs w:val="24"/>
          <w:rtl/>
          <w:lang w:val="ar-SA"/>
        </w:rPr>
        <w:t>: "</w:t>
      </w:r>
      <w:r>
        <w:rPr>
          <w:rStyle w:val="None"/>
          <w:rFonts w:cs="Times New Roman"/>
          <w:sz w:val="24"/>
          <w:szCs w:val="24"/>
          <w:rtl/>
          <w:lang w:val="ar-SA"/>
        </w:rPr>
        <w:t>تُعَدُّ علامةً تجاريةً 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8"/>
      </w:r>
      <w:r>
        <w:rPr>
          <w:rStyle w:val="None"/>
          <w:rFonts w:ascii="Times New Roman" w:hAnsi="Times New Roman"/>
          <w:sz w:val="20"/>
          <w:szCs w:val="20"/>
          <w:vertAlign w:val="superscript"/>
          <w:rtl/>
          <w:lang w:val="ar-SA"/>
        </w:rPr>
        <w:t>)</w:t>
      </w:r>
      <w:r>
        <w:rPr>
          <w:rStyle w:val="None"/>
          <w:rFonts w:ascii="Times New Roman" w:hAnsi="Times New Roman"/>
          <w:rtl/>
          <w:lang w:val="ar-SA"/>
        </w:rPr>
        <w:t>.</w:t>
      </w:r>
    </w:p>
    <w:p w14:paraId="590B2E9D"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بعدما استعرضنا أنواع حقوق الملكية الفكرية وما يتجلَّى من معان وإسهامات معاصرة للحماية والابتكار، نتوجه نحو المبحث الثاني الذي يعرض نبذةً تاريخيةً عن نشأة حقوق الملكية الفكرية وتطوُّرها؛ ليكشف بذلك عن الأسس التاريخية التي أرست قواعد هذه المفاهيم في ظل التغيرات القانونية والاجتماعية</w:t>
      </w:r>
      <w:r>
        <w:rPr>
          <w:rStyle w:val="None"/>
          <w:rFonts w:ascii="Times New Roman" w:hAnsi="Times New Roman"/>
          <w:sz w:val="24"/>
          <w:szCs w:val="24"/>
          <w:rtl/>
          <w:lang w:val="ar-SA"/>
        </w:rPr>
        <w:t>.</w:t>
      </w:r>
    </w:p>
    <w:p w14:paraId="1D0818D3"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5AAD1DA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3E58A3E8"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6994D33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0D78FB2C"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75486DF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76AEC82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2A40BDDC"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lang w:val="ar-SA"/>
        </w:rPr>
      </w:pPr>
    </w:p>
    <w:p w14:paraId="10C05DFE"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3EE28E2C"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147510F8"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6A18AB8B"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4F79EF34"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13DA7376"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2F3D2BD5"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b/>
          <w:bCs/>
          <w:sz w:val="24"/>
          <w:szCs w:val="24"/>
        </w:rPr>
      </w:pPr>
    </w:p>
    <w:p w14:paraId="58C75FF2" w14:textId="77777777" w:rsidR="00454428" w:rsidRDefault="00000000" w:rsidP="00C72BA8">
      <w:pPr>
        <w:pStyle w:val="a"/>
        <w:rPr>
          <w:rStyle w:val="None"/>
          <w:b w:val="0"/>
          <w:bCs w:val="0"/>
          <w:lang w:val="ar-SA"/>
        </w:rPr>
      </w:pPr>
      <w:bookmarkStart w:id="72" w:name="_Toc34"/>
      <w:r>
        <w:rPr>
          <w:rStyle w:val="None"/>
          <w:rFonts w:ascii="Arial Unicode MS" w:eastAsia="Arial Unicode MS" w:hAnsi="Arial Unicode MS" w:hint="cs"/>
          <w:rtl/>
          <w:lang w:val="ar-SA"/>
        </w:rPr>
        <w:t>المبحث الثاني</w:t>
      </w:r>
      <w:bookmarkEnd w:id="72"/>
    </w:p>
    <w:p w14:paraId="73B8B162" w14:textId="77777777" w:rsidR="00454428" w:rsidRDefault="00000000" w:rsidP="00C72BA8">
      <w:pPr>
        <w:pStyle w:val="a"/>
        <w:rPr>
          <w:rStyle w:val="NoneA"/>
          <w:lang w:val="ar-SA"/>
        </w:rPr>
      </w:pPr>
      <w:bookmarkStart w:id="73" w:name="_Toc35"/>
      <w:r>
        <w:rPr>
          <w:rStyle w:val="None"/>
          <w:rFonts w:ascii="Arial Unicode MS" w:eastAsia="Arial Unicode MS" w:hAnsi="Arial Unicode MS" w:hint="cs"/>
          <w:rtl/>
          <w:lang w:val="ar-SA"/>
        </w:rPr>
        <w:t>نُبذة تاريخية عن نشأة حقوق الملكية الفكرية</w:t>
      </w:r>
      <w:bookmarkEnd w:id="73"/>
    </w:p>
    <w:p w14:paraId="0F7A0114"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bookmarkStart w:id="74" w:name="_Hlk184935422"/>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5688152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نشأت حقوق الملكية الفكرية في أواخر القرن التاسع عشر لحماية إبداعات الأفراد والشركات، بدأت مع قوانين براءات الاختراع وحقوق التأليف والنشر، وتطوَّرت لتشمل العلامات التجارية والأسرار التجارية، تهدف هذه الحقوق إلى تشجيع الابتكار والإبداع من خلال منح المبدعين حقوقًا حصرية لاستخدام وتوزيع أعمالهم، تشمل أنواعها الرئيسية براءات الاختراع، حقوق التأليف والنشر، العلامات التجارية، والأسرار التجارية</w:t>
      </w:r>
      <w:r>
        <w:rPr>
          <w:rStyle w:val="None"/>
          <w:rFonts w:ascii="Times New Roman" w:hAnsi="Times New Roman"/>
          <w:sz w:val="24"/>
          <w:szCs w:val="24"/>
          <w:rtl/>
          <w:lang w:val="ar-SA"/>
        </w:rPr>
        <w:t>.</w:t>
      </w:r>
    </w:p>
    <w:p w14:paraId="3D9FB462"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سوف نتناول في هذا المبحث الآتي</w:t>
      </w:r>
      <w:r>
        <w:rPr>
          <w:rStyle w:val="None"/>
          <w:rFonts w:ascii="Times New Roman" w:hAnsi="Times New Roman"/>
          <w:sz w:val="24"/>
          <w:szCs w:val="24"/>
          <w:rtl/>
          <w:lang w:val="ar-SA"/>
        </w:rPr>
        <w:t>:</w:t>
      </w:r>
      <w:bookmarkEnd w:id="74"/>
    </w:p>
    <w:p w14:paraId="32D7F72F" w14:textId="77777777" w:rsidR="00454428" w:rsidRDefault="00000000" w:rsidP="00C72BA8">
      <w:pPr>
        <w:pStyle w:val="BodyA"/>
        <w:numPr>
          <w:ilvl w:val="0"/>
          <w:numId w:val="19"/>
        </w:numPr>
        <w:spacing w:before="120" w:after="120" w:line="360" w:lineRule="auto"/>
        <w:rPr>
          <w:rFonts w:ascii="Times New Roman" w:eastAsia="Times New Roman" w:hAnsi="Times New Roman" w:cs="Times New Roman" w:hint="default"/>
          <w:sz w:val="24"/>
          <w:szCs w:val="24"/>
          <w:rtl/>
          <w:lang w:val="ar-SA"/>
        </w:rPr>
      </w:pPr>
      <w:bookmarkStart w:id="75" w:name="_Hlk184225564"/>
      <w:r>
        <w:rPr>
          <w:rStyle w:val="None"/>
          <w:rFonts w:cs="Times New Roman"/>
          <w:b/>
          <w:bCs/>
          <w:sz w:val="24"/>
          <w:szCs w:val="24"/>
          <w:rtl/>
          <w:lang w:val="ar-SA"/>
        </w:rPr>
        <w:t>ا</w:t>
      </w:r>
      <w:bookmarkStart w:id="76" w:name="_Hlk202175058"/>
      <w:bookmarkEnd w:id="75"/>
      <w:r>
        <w:rPr>
          <w:rStyle w:val="None"/>
          <w:rFonts w:cs="Times New Roman"/>
          <w:b/>
          <w:bCs/>
          <w:sz w:val="24"/>
          <w:szCs w:val="24"/>
          <w:rtl/>
          <w:lang w:val="ar-SA"/>
        </w:rPr>
        <w:t>ل</w:t>
      </w:r>
      <w:bookmarkStart w:id="77" w:name="_Hlk184225902"/>
      <w:bookmarkEnd w:id="76"/>
      <w:r>
        <w:rPr>
          <w:rStyle w:val="None"/>
          <w:rFonts w:cs="Times New Roman"/>
          <w:b/>
          <w:bCs/>
          <w:sz w:val="24"/>
          <w:szCs w:val="24"/>
          <w:rtl/>
          <w:lang w:val="ar-SA"/>
        </w:rPr>
        <w:t>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نُبذة تاريخية عن نشأة حقوق الملكية الفكرية</w:t>
      </w:r>
      <w:r>
        <w:rPr>
          <w:rStyle w:val="None"/>
          <w:rFonts w:ascii="Times New Roman" w:hAnsi="Times New Roman"/>
          <w:sz w:val="24"/>
          <w:szCs w:val="24"/>
          <w:rtl/>
          <w:lang w:val="ar-SA"/>
        </w:rPr>
        <w:t>.</w:t>
      </w:r>
    </w:p>
    <w:p w14:paraId="223288EA" w14:textId="77777777" w:rsidR="00454428" w:rsidRDefault="00000000" w:rsidP="00C72BA8">
      <w:pPr>
        <w:pStyle w:val="BodyA"/>
        <w:numPr>
          <w:ilvl w:val="0"/>
          <w:numId w:val="19"/>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القانونية والمؤسسية لحماية حقوق الملكية الفكرية</w:t>
      </w:r>
      <w:r>
        <w:rPr>
          <w:rStyle w:val="None"/>
          <w:rFonts w:ascii="Times New Roman" w:hAnsi="Times New Roman"/>
          <w:sz w:val="24"/>
          <w:szCs w:val="24"/>
          <w:rtl/>
          <w:lang w:val="ar-SA"/>
        </w:rPr>
        <w:t>.</w:t>
      </w:r>
    </w:p>
    <w:p w14:paraId="07BB2D63"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32C8E12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F72FCE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11F1BB0"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2CF3A5E7"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4D5535FA"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5489F745"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1222D48E"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6C5EDFE1"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79B55602"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332065E0"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3175FD8A" w14:textId="77777777" w:rsidR="00454428" w:rsidRDefault="00000000" w:rsidP="00C72BA8">
      <w:pPr>
        <w:pStyle w:val="a"/>
        <w:rPr>
          <w:rStyle w:val="None"/>
          <w:b w:val="0"/>
          <w:bCs w:val="0"/>
          <w:lang w:val="ar-SA"/>
        </w:rPr>
      </w:pPr>
      <w:bookmarkStart w:id="78" w:name="_Toc36"/>
      <w:r>
        <w:rPr>
          <w:rStyle w:val="None"/>
          <w:rFonts w:ascii="Arial Unicode MS" w:eastAsia="Arial Unicode MS" w:hAnsi="Arial Unicode MS" w:hint="cs"/>
          <w:rtl/>
          <w:lang w:val="ar-SA"/>
        </w:rPr>
        <w:lastRenderedPageBreak/>
        <w:t>المطلب الأول</w:t>
      </w:r>
      <w:bookmarkEnd w:id="78"/>
    </w:p>
    <w:p w14:paraId="168C5F5E" w14:textId="77777777" w:rsidR="00454428" w:rsidRDefault="00000000" w:rsidP="00C72BA8">
      <w:pPr>
        <w:pStyle w:val="a"/>
        <w:rPr>
          <w:rStyle w:val="None"/>
          <w:b w:val="0"/>
          <w:bCs w:val="0"/>
          <w:lang w:val="ar-SA"/>
        </w:rPr>
      </w:pPr>
      <w:bookmarkStart w:id="79" w:name="_Toc37"/>
      <w:r>
        <w:rPr>
          <w:rStyle w:val="None"/>
          <w:rFonts w:ascii="Arial Unicode MS" w:eastAsia="Arial Unicode MS" w:hAnsi="Arial Unicode MS" w:hint="cs"/>
          <w:rtl/>
          <w:lang w:val="ar-SA"/>
        </w:rPr>
        <w:t>نُبذة تاريخية عن نشأة حقوق الملكية الفكرية</w:t>
      </w:r>
      <w:bookmarkEnd w:id="79"/>
    </w:p>
    <w:bookmarkEnd w:id="77"/>
    <w:p w14:paraId="2233508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25A4E11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ازداد اهتمام العالم بموضوع الملكية الفكرية التي أصبحت من مفردات هذا العصر، بيد أنَّ جذورها ضاربة في التاريخ، ولم تأتِ من العدم، بل جاءت نتيجة التطوُّرات التاريخية التي عَرِفها الإنسان في حياته منذ الأزل، فهي عصارة مجهوداته وإبداعاته الإنسانية التي تبني الحضارات وترقي الأمم، فيستحق المبدع من مخلفاته كل التقدير والتشجيع؛ لما يقدمه من إسهامات يستفيد منها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9"/>
      </w:r>
      <w:r>
        <w:rPr>
          <w:rStyle w:val="None"/>
          <w:rFonts w:ascii="Times New Roman" w:hAnsi="Times New Roman"/>
          <w:sz w:val="24"/>
          <w:szCs w:val="24"/>
          <w:vertAlign w:val="superscript"/>
          <w:rtl/>
          <w:lang w:val="ar-SA"/>
        </w:rPr>
        <w:t>)</w:t>
      </w:r>
    </w:p>
    <w:p w14:paraId="415B58D0"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لذلك سوف نتناول في هذا المطلب ما يلي</w:t>
      </w:r>
      <w:r>
        <w:rPr>
          <w:rStyle w:val="None"/>
          <w:rFonts w:ascii="Times New Roman" w:hAnsi="Times New Roman"/>
          <w:sz w:val="24"/>
          <w:szCs w:val="24"/>
          <w:rtl/>
          <w:lang w:val="ar-SA"/>
        </w:rPr>
        <w:t xml:space="preserve">: </w:t>
      </w:r>
    </w:p>
    <w:p w14:paraId="686B0544" w14:textId="77777777" w:rsidR="00454428" w:rsidRDefault="00000000" w:rsidP="00C72BA8">
      <w:pPr>
        <w:pStyle w:val="BodyA"/>
        <w:numPr>
          <w:ilvl w:val="0"/>
          <w:numId w:val="64"/>
        </w:numPr>
        <w:spacing w:before="120" w:after="120" w:line="360" w:lineRule="auto"/>
        <w:rPr>
          <w:rFonts w:ascii="Times New Roman" w:eastAsia="Times New Roman" w:hAnsi="Times New Roman" w:cs="Times New Roman" w:hint="default"/>
          <w:sz w:val="24"/>
          <w:szCs w:val="24"/>
          <w:rtl/>
          <w:lang w:val="ar-SA"/>
        </w:rPr>
      </w:pPr>
      <w:bookmarkStart w:id="80" w:name="_Hlk195996791"/>
      <w:r>
        <w:rPr>
          <w:rStyle w:val="None"/>
          <w:rFonts w:cs="Times New Roman"/>
          <w:b/>
          <w:bCs/>
          <w:sz w:val="24"/>
          <w:szCs w:val="24"/>
          <w:rtl/>
          <w:lang w:val="ar-SA"/>
        </w:rPr>
        <w:t xml:space="preserve">الفرع </w:t>
      </w:r>
      <w:bookmarkEnd w:id="80"/>
      <w:r>
        <w:rPr>
          <w:rStyle w:val="None"/>
          <w:rFonts w:cs="Times New Roman"/>
          <w:b/>
          <w:bCs/>
          <w:sz w:val="24"/>
          <w:szCs w:val="24"/>
          <w:rtl/>
          <w:lang w:val="ar-SA"/>
        </w:rPr>
        <w:t>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تاريخ تطوُّر الملكية الفكرية</w:t>
      </w:r>
      <w:r>
        <w:rPr>
          <w:rStyle w:val="None"/>
          <w:rFonts w:ascii="Times New Roman" w:hAnsi="Times New Roman"/>
          <w:sz w:val="24"/>
          <w:szCs w:val="24"/>
          <w:rtl/>
          <w:lang w:val="ar-SA"/>
        </w:rPr>
        <w:t>.</w:t>
      </w:r>
    </w:p>
    <w:p w14:paraId="6CB5FC82" w14:textId="77777777" w:rsidR="00454428" w:rsidRDefault="00000000" w:rsidP="00C72BA8">
      <w:pPr>
        <w:pStyle w:val="BodyA"/>
        <w:numPr>
          <w:ilvl w:val="0"/>
          <w:numId w:val="6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نشأة حقوق المؤلف في الدول العربية</w:t>
      </w:r>
      <w:r>
        <w:rPr>
          <w:rStyle w:val="None"/>
          <w:rFonts w:ascii="Times New Roman" w:hAnsi="Times New Roman"/>
          <w:sz w:val="24"/>
          <w:szCs w:val="24"/>
          <w:rtl/>
          <w:lang w:val="ar-SA"/>
        </w:rPr>
        <w:t>.</w:t>
      </w:r>
    </w:p>
    <w:p w14:paraId="1CA4FC4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06E8BE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BF9F6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F73A28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22F530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C90E8ED"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E44C93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FE743F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627AC3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1B07282E"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C9D30E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569A645"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11C804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2D7119A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66F0EB0F" w14:textId="77777777" w:rsidR="00454428" w:rsidRDefault="00000000" w:rsidP="00C72BA8">
      <w:pPr>
        <w:pStyle w:val="a"/>
        <w:rPr>
          <w:rStyle w:val="None"/>
          <w:b w:val="0"/>
          <w:bCs w:val="0"/>
          <w:lang w:val="ar-SA"/>
        </w:rPr>
      </w:pPr>
      <w:bookmarkStart w:id="81" w:name="_Toc38"/>
      <w:r>
        <w:rPr>
          <w:rStyle w:val="None"/>
          <w:rFonts w:ascii="Arial Unicode MS" w:eastAsia="Arial Unicode MS" w:hAnsi="Arial Unicode MS" w:hint="cs"/>
          <w:rtl/>
          <w:lang w:val="ar-SA"/>
        </w:rPr>
        <w:lastRenderedPageBreak/>
        <w:t>الفرع الأول</w:t>
      </w:r>
      <w:bookmarkEnd w:id="81"/>
    </w:p>
    <w:p w14:paraId="437699C8" w14:textId="77777777" w:rsidR="00454428" w:rsidRDefault="00000000" w:rsidP="00C72BA8">
      <w:pPr>
        <w:pStyle w:val="a"/>
        <w:rPr>
          <w:rStyle w:val="None"/>
          <w:b w:val="0"/>
          <w:bCs w:val="0"/>
          <w:lang w:val="ar-SA"/>
        </w:rPr>
      </w:pPr>
      <w:bookmarkStart w:id="82" w:name="_Toc39"/>
      <w:r>
        <w:rPr>
          <w:rStyle w:val="None"/>
          <w:rFonts w:ascii="Arial Unicode MS" w:eastAsia="Arial Unicode MS" w:hAnsi="Arial Unicode MS" w:hint="cs"/>
          <w:rtl/>
          <w:lang w:val="ar-SA"/>
        </w:rPr>
        <w:t>تاريخ تطوُّر الملكية الفكرية</w:t>
      </w:r>
      <w:bookmarkEnd w:id="82"/>
    </w:p>
    <w:p w14:paraId="37F666B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r>
        <w:rPr>
          <w:rStyle w:val="None"/>
          <w:rFonts w:cs="Times New Roman"/>
          <w:sz w:val="24"/>
          <w:szCs w:val="24"/>
          <w:rtl/>
          <w:lang w:val="ar-SA"/>
        </w:rPr>
        <w:t>مع تطوُّر الكتابة وتعدد وسائل التدوين، سعى الإغريق إلى صون حقوقهم الفكرية من خلال إيداع مؤلفاتهم في المكتبة الوطنية؛ حيث لم تكن هذه المؤلفات متاحةً إلا ضمن نطاق المكتبة؛ ممَّا يعكس إحدى صور الحماية المبكرة للمصنفات الفكرية، ويشابه هذا الإجراء ما يعرف في الوقت الراهن بنظام الإيداع القانوني الذي يهدف إلى حماية الملكية الفكرية، وفي روما القديمة اعتبر انتحال أعمال الآخرين فعلًا معيبًا يقتضي الإدانة الأخلاقية والاجتماعية، وهو ما يدل على وجود إدراك ضمني لقيمة الإبداع وضرورة نسبته إلى صاحبه، كما لم يكن العالم العربي بمنأى عن هذا التوجه؛ إذْ حظي الأدب والشعر بمكانة بارزة في الحضارة العربية، وكان الشعراء يحظون بالتقدير والتكريم، وقد أبدى المجتمع العربي رفضًا قاطعًا لكل أشكال السطو على الإنتاج الأدبي، سواء بسرقة بيت شعر، أو نسبة قصيدة إلى غير صاحبها؛ ممَّا يعكس وعيًا مبكرًا بأهمية حماية الإبداع واحترام الحقوق المعنوية للمؤلفين، ويشير هذا التراكم التاريخي إلى أنَّ مفاهيم حماية الملكية الفكرية لم تكن وليدة العصر الحديث، وإنما تعود جذورها إلى الحضارات القديمة التي سعت إلى صون الجهد الذهني والاعتراف بمكانة المبدعين داخل مجتمعاتها، وهو ما مهد الطريق لتبلور المفاهيم القانونية الحديثة في هذا المجال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0"/>
      </w:r>
      <w:r>
        <w:rPr>
          <w:rStyle w:val="None"/>
          <w:rFonts w:ascii="Times New Roman" w:hAnsi="Times New Roman"/>
          <w:sz w:val="24"/>
          <w:szCs w:val="24"/>
          <w:vertAlign w:val="superscript"/>
          <w:rtl/>
          <w:lang w:val="ar-SA"/>
        </w:rPr>
        <w:t>)</w:t>
      </w:r>
    </w:p>
    <w:p w14:paraId="02D0861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vertAlign w:val="superscript"/>
          <w:lang w:val="ar-SA"/>
        </w:rPr>
      </w:pPr>
      <w:r>
        <w:rPr>
          <w:rStyle w:val="None"/>
          <w:rFonts w:cs="Times New Roman"/>
          <w:sz w:val="24"/>
          <w:szCs w:val="24"/>
          <w:rtl/>
          <w:lang w:val="ar-SA"/>
        </w:rPr>
        <w:t>سبق الإسلام جميع الأنظمة القانونية في الاعتراف بالملكية الفكرية وتوفير وسائل لحمايتها؛ حيث دعا إلى نسبها لأصحابها فقد قال الله تعالى</w:t>
      </w:r>
      <w:r>
        <w:rPr>
          <w:rStyle w:val="None"/>
          <w:rFonts w:ascii="Times New Roman" w:hAnsi="Times New Roman"/>
          <w:sz w:val="24"/>
          <w:szCs w:val="24"/>
          <w:rtl/>
          <w:lang w:val="ar-SA"/>
        </w:rPr>
        <w:t>: "</w:t>
      </w:r>
      <w:r>
        <w:rPr>
          <w:rStyle w:val="None"/>
          <w:rFonts w:cs="Times New Roman"/>
          <w:sz w:val="24"/>
          <w:szCs w:val="24"/>
          <w:rtl/>
          <w:lang w:val="ar-SA"/>
        </w:rPr>
        <w:t>يا أَيُّهَا الَّذِينَ آمَنُوا لا تَأْكُلُوا أَمْوالَكُمْ بَيْنَكُمْ بِالْبَاطِلِ إِلَّا أَنْ تَكُونَ تِجارَةً عَنْ تَراضٍ مِنْكُمْ وَلا تَقْتُلُوا أَنْفُسَكُمْ إِنَّ اللهَ كَانَ بِكُمْ رَحِيما</w:t>
      </w:r>
      <w:r>
        <w:rPr>
          <w:rStyle w:val="None"/>
          <w:rFonts w:ascii="Times New Roman" w:hAnsi="Times New Roman"/>
          <w:sz w:val="24"/>
          <w:szCs w:val="24"/>
          <w:rtl/>
          <w:lang w:val="ar-SA"/>
        </w:rPr>
        <w:t>" [</w:t>
      </w:r>
      <w:r>
        <w:rPr>
          <w:rStyle w:val="None"/>
          <w:rFonts w:cs="Times New Roman"/>
          <w:sz w:val="24"/>
          <w:szCs w:val="24"/>
          <w:rtl/>
          <w:lang w:val="ar-SA"/>
        </w:rPr>
        <w:t>سورة النساء</w:t>
      </w:r>
      <w:r>
        <w:rPr>
          <w:rStyle w:val="None"/>
          <w:rFonts w:ascii="Times New Roman" w:hAnsi="Times New Roman"/>
          <w:sz w:val="24"/>
          <w:szCs w:val="24"/>
          <w:rtl/>
          <w:lang w:val="ar-SA"/>
        </w:rPr>
        <w:t xml:space="preserve">: </w:t>
      </w:r>
      <w:r>
        <w:rPr>
          <w:rStyle w:val="None"/>
          <w:rFonts w:cs="Times New Roman"/>
          <w:sz w:val="24"/>
          <w:szCs w:val="24"/>
          <w:rtl/>
          <w:lang w:val="ar-SA"/>
        </w:rPr>
        <w:t>الآية ٢٩</w:t>
      </w:r>
      <w:r>
        <w:rPr>
          <w:rStyle w:val="None"/>
          <w:rFonts w:ascii="Times New Roman" w:hAnsi="Times New Roman"/>
          <w:sz w:val="24"/>
          <w:szCs w:val="24"/>
          <w:rtl/>
          <w:lang w:val="ar-SA"/>
        </w:rPr>
        <w:t>]</w:t>
      </w:r>
      <w:r>
        <w:rPr>
          <w:rStyle w:val="None"/>
          <w:rFonts w:cs="Times New Roman"/>
          <w:sz w:val="24"/>
          <w:szCs w:val="24"/>
          <w:rtl/>
          <w:lang w:val="ar-SA"/>
        </w:rPr>
        <w:t xml:space="preserve">، وورد عن النبي محمد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xml:space="preserve">- </w:t>
      </w:r>
      <w:r>
        <w:rPr>
          <w:rStyle w:val="None"/>
          <w:rFonts w:cs="Times New Roman"/>
          <w:sz w:val="24"/>
          <w:szCs w:val="24"/>
          <w:rtl/>
          <w:lang w:val="ar-SA"/>
        </w:rPr>
        <w:t>قوله</w:t>
      </w:r>
      <w:r>
        <w:rPr>
          <w:rStyle w:val="None"/>
          <w:rFonts w:ascii="Times New Roman" w:hAnsi="Times New Roman"/>
          <w:sz w:val="24"/>
          <w:szCs w:val="24"/>
          <w:rtl/>
          <w:lang w:val="ar-SA"/>
        </w:rPr>
        <w:t>: "</w:t>
      </w:r>
      <w:r>
        <w:rPr>
          <w:rStyle w:val="None"/>
          <w:rFonts w:cs="Times New Roman"/>
          <w:sz w:val="24"/>
          <w:szCs w:val="24"/>
          <w:rtl/>
          <w:lang w:val="ar-SA"/>
        </w:rPr>
        <w:t>لا يحل مال امرئ مسلم إلا بطيب نفس منه</w:t>
      </w:r>
      <w:r>
        <w:rPr>
          <w:rStyle w:val="None"/>
          <w:rFonts w:ascii="Times New Roman" w:hAnsi="Times New Roman"/>
          <w:sz w:val="24"/>
          <w:szCs w:val="24"/>
          <w:rtl/>
          <w:lang w:val="ar-SA"/>
        </w:rPr>
        <w:t>" (</w:t>
      </w:r>
      <w:r>
        <w:rPr>
          <w:rStyle w:val="None"/>
          <w:rFonts w:cs="Times New Roman"/>
          <w:sz w:val="24"/>
          <w:szCs w:val="24"/>
          <w:rtl/>
          <w:lang w:val="ar-SA"/>
        </w:rPr>
        <w:t>ابن حنبل،</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21082)</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81"/>
      </w:r>
      <w:r>
        <w:rPr>
          <w:rStyle w:val="None"/>
          <w:rFonts w:ascii="Times New Roman" w:hAnsi="Times New Roman"/>
          <w:vertAlign w:val="superscript"/>
          <w:rtl/>
          <w:lang w:val="ar-SA"/>
        </w:rPr>
        <w:t>)</w:t>
      </w:r>
      <w:r>
        <w:rPr>
          <w:rStyle w:val="None"/>
          <w:rFonts w:cs="Times New Roman"/>
          <w:rtl/>
          <w:lang w:val="ar-SA"/>
        </w:rPr>
        <w:t xml:space="preserve">، </w:t>
      </w:r>
      <w:r>
        <w:rPr>
          <w:rStyle w:val="None"/>
          <w:rFonts w:cs="Times New Roman"/>
          <w:sz w:val="24"/>
          <w:szCs w:val="24"/>
          <w:rtl/>
          <w:lang w:val="ar-SA"/>
        </w:rPr>
        <w:t xml:space="preserve"> كما قال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من غشنا فليس منا</w:t>
      </w:r>
      <w:r>
        <w:rPr>
          <w:rStyle w:val="None"/>
          <w:rFonts w:ascii="Times New Roman" w:hAnsi="Times New Roman"/>
          <w:sz w:val="24"/>
          <w:szCs w:val="24"/>
          <w:rtl/>
          <w:lang w:val="ar-SA"/>
        </w:rPr>
        <w:t>" (</w:t>
      </w:r>
      <w:r>
        <w:rPr>
          <w:rStyle w:val="None"/>
          <w:rFonts w:cs="Times New Roman"/>
          <w:sz w:val="24"/>
          <w:szCs w:val="24"/>
          <w:rtl/>
          <w:lang w:val="ar-SA"/>
        </w:rPr>
        <w:t xml:space="preserve">مسلم، </w:t>
      </w:r>
      <w:r>
        <w:rPr>
          <w:rStyle w:val="None"/>
          <w:rFonts w:ascii="Times New Roman" w:hAnsi="Times New Roman"/>
          <w:sz w:val="24"/>
          <w:szCs w:val="24"/>
          <w:rtl/>
          <w:lang w:val="ar-SA"/>
        </w:rPr>
        <w:t>1955</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102)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6FA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lang w:val="ar-SA"/>
        </w:rPr>
      </w:pPr>
      <w:r>
        <w:rPr>
          <w:rStyle w:val="None"/>
          <w:rFonts w:cs="Times New Roman"/>
          <w:sz w:val="24"/>
          <w:szCs w:val="24"/>
          <w:rtl/>
          <w:lang w:val="ar-SA"/>
        </w:rPr>
        <w:t xml:space="preserve">فقد نصت الشريعة الإسلامية على القواعد الصحيحة لتحمل الأحاديث النبوية وأدائها، وحددت الشروط الواجب توافرها في الراوي؛ لضمان صحة النقل ودقته، كما حذرت من السرقة عمومًا والانتحال خصوصًا؛ باعتباره اعتداء على الحقوق الفكرية والمعنوية، وقد كان المسلمون من أوائل من أسس لنظام يشبه الإيداع أو التخليد؛ وذلك بهدف صون مؤلفات العلماء والرواة من التحريف أو التغيير سواء بالزيادة أو النقص، وكان ذلك انطلاقًا من مبدأ العدل ووجوب الأمانة في النقل؛ ممَّا يعكس وعيًا مبكرًا بأهمية حماية الإنتاج العلمي والفكري وصونه من العبث أو التزوير، وقد قال رسول الله </w:t>
      </w:r>
      <w:r>
        <w:rPr>
          <w:rStyle w:val="None"/>
          <w:rFonts w:ascii="Times New Roman" w:hAnsi="Times New Roman"/>
          <w:sz w:val="24"/>
          <w:szCs w:val="24"/>
          <w:rtl/>
          <w:lang w:val="ar-SA"/>
        </w:rPr>
        <w:lastRenderedPageBreak/>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نضَّر الله امرأً سمع منا حديثًا، فبلغه كما سمعه؛ فرُبَّ مُبلَّغٍ أوعى له من سامع</w:t>
      </w:r>
      <w:r>
        <w:rPr>
          <w:rStyle w:val="None"/>
          <w:rFonts w:ascii="Times New Roman" w:hAnsi="Times New Roman"/>
          <w:sz w:val="24"/>
          <w:szCs w:val="24"/>
          <w:rtl/>
          <w:lang w:val="ar-SA"/>
        </w:rPr>
        <w:t>" (</w:t>
      </w:r>
      <w:r>
        <w:rPr>
          <w:rStyle w:val="None"/>
          <w:rFonts w:cs="Times New Roman"/>
          <w:sz w:val="24"/>
          <w:szCs w:val="24"/>
          <w:rtl/>
          <w:lang w:val="ar-SA"/>
        </w:rPr>
        <w:t xml:space="preserve">ابن حنبل، </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4157</w:t>
      </w:r>
      <w:r>
        <w:rPr>
          <w:rStyle w:val="None"/>
          <w:rFonts w:cs="Times New Roman"/>
          <w:sz w:val="24"/>
          <w:szCs w:val="24"/>
          <w:rtl/>
          <w:lang w:val="ar-SA"/>
        </w:rPr>
        <w:t xml:space="preserve">؛ الترمذي، </w:t>
      </w:r>
      <w:r>
        <w:rPr>
          <w:rStyle w:val="None"/>
          <w:rFonts w:ascii="Times New Roman" w:hAnsi="Times New Roman"/>
          <w:sz w:val="24"/>
          <w:szCs w:val="24"/>
          <w:rtl/>
          <w:lang w:val="ar-SA"/>
        </w:rPr>
        <w:t>1996</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2657)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83"/>
      </w:r>
      <w:r>
        <w:rPr>
          <w:rStyle w:val="None"/>
          <w:rFonts w:ascii="Times New Roman" w:hAnsi="Times New Roman"/>
          <w:sz w:val="20"/>
          <w:szCs w:val="20"/>
          <w:vertAlign w:val="superscript"/>
          <w:rtl/>
          <w:lang w:val="ar-SA"/>
        </w:rPr>
        <w:t>)</w:t>
      </w:r>
      <w:r>
        <w:rPr>
          <w:rStyle w:val="None"/>
          <w:rFonts w:ascii="Times New Roman" w:hAnsi="Times New Roman"/>
          <w:rtl/>
          <w:lang w:val="ar-SA"/>
        </w:rPr>
        <w:t>.</w:t>
      </w:r>
    </w:p>
    <w:p w14:paraId="0F8A570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أولى العرب منذ القدم أهمية بالغة لحماية الإنتاج الفكري والأدبي، فكانوا ينسبون الأشعار إلى أصحابها ويقدسون حق الشاعر أو الأديب في نتاجه الأدبي، كما كانوا يذمُّون كل من يقوم بسرقة الشعر أو نقل الأفكار من دون نسبتها إلى مصدرها، ويظهر هذا جليًا في قول الشاعر طَرَفَة بن العبد حين قال</w:t>
      </w:r>
      <w:r>
        <w:rPr>
          <w:rStyle w:val="None"/>
          <w:rFonts w:ascii="Times New Roman" w:hAnsi="Times New Roman"/>
          <w:sz w:val="24"/>
          <w:szCs w:val="24"/>
          <w:rtl/>
          <w:lang w:val="ar-SA"/>
        </w:rPr>
        <w:t xml:space="preserve">: </w:t>
      </w:r>
    </w:p>
    <w:p w14:paraId="493A93B2" w14:textId="77777777" w:rsidR="00454428" w:rsidRDefault="00000000"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r>
        <w:rPr>
          <w:rStyle w:val="None"/>
          <w:rFonts w:cs="Times New Roman"/>
          <w:b/>
          <w:bCs/>
          <w:sz w:val="24"/>
          <w:szCs w:val="24"/>
          <w:rtl/>
          <w:lang w:val="ar-SA"/>
        </w:rPr>
        <w:t xml:space="preserve">ولا أُغِيرُ على الأشعارِ فأسرقُها </w:t>
      </w:r>
      <w:r>
        <w:rPr>
          <w:rStyle w:val="None"/>
          <w:rFonts w:ascii="Times New Roman" w:hAnsi="Times New Roman"/>
          <w:b/>
          <w:bCs/>
          <w:sz w:val="24"/>
          <w:szCs w:val="24"/>
          <w:rtl/>
          <w:lang w:val="ar-SA"/>
        </w:rPr>
        <w:t xml:space="preserve">*** </w:t>
      </w:r>
      <w:r>
        <w:rPr>
          <w:rStyle w:val="None"/>
          <w:rFonts w:cs="Times New Roman"/>
          <w:b/>
          <w:bCs/>
          <w:sz w:val="24"/>
          <w:szCs w:val="24"/>
          <w:rtl/>
          <w:lang w:val="ar-SA"/>
        </w:rPr>
        <w:t>عنها غَنِيتُ وشرُّ الناسِ مَن سرقَا</w:t>
      </w:r>
    </w:p>
    <w:p w14:paraId="6740E4C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وهو بيت يعبر عن امتعاضه من السطو على نتاج الآخرين الفكري، ويؤكد أنَّ هذا الفعل من أسوأ الأفعال، وقد انعكس هذا الوعي أيضًا في الفقه الإسلامي؛ حيث اعتنى العلماء بنسبة الأقوال، والفتاوى، والأعمال إلى أصحابها عبر ما يعرف بالإسناد، والذي لم يكن مقتصرًا على الأحاديث النبوية، بل شمل كل ما يُروى أو يُقال في مختلف العلوم والمجالات، ويُعَدُّ الإسناد تجسيدًا لمبادئ الشريعة في الصدق والأمانة ورد الحقوق إلى أصحابها، كما أنَّ قواعد الفقه الإسلامي في المعاملات</w:t>
      </w:r>
      <w:r>
        <w:rPr>
          <w:rStyle w:val="None"/>
          <w:rFonts w:ascii="Times New Roman" w:hAnsi="Times New Roman"/>
          <w:sz w:val="24"/>
          <w:szCs w:val="24"/>
          <w:rtl/>
          <w:lang w:val="ar-SA"/>
        </w:rPr>
        <w:t xml:space="preserve">: </w:t>
      </w:r>
      <w:r>
        <w:rPr>
          <w:rStyle w:val="None"/>
          <w:rFonts w:cs="Times New Roman"/>
          <w:sz w:val="24"/>
          <w:szCs w:val="24"/>
          <w:rtl/>
          <w:lang w:val="ar-SA"/>
        </w:rPr>
        <w:t>كالبيع، والإجارة، والشركة، والحقوق، والأموال، إضافةً إلى اعتبار العرف والمصالح المرسلة، تؤسس جميعها لحماية ملكية الأفراد، سواء كانت مادية أو معنوية، وبِناءً عليه</w:t>
      </w:r>
      <w:r>
        <w:rPr>
          <w:rStyle w:val="None"/>
          <w:rFonts w:ascii="Times New Roman" w:hAnsi="Times New Roman"/>
          <w:sz w:val="24"/>
          <w:szCs w:val="24"/>
          <w:rtl/>
          <w:lang w:val="ar-SA"/>
        </w:rPr>
        <w:t xml:space="preserve">: </w:t>
      </w:r>
      <w:r>
        <w:rPr>
          <w:rStyle w:val="None"/>
          <w:rFonts w:cs="Times New Roman"/>
          <w:sz w:val="24"/>
          <w:szCs w:val="24"/>
          <w:rtl/>
          <w:lang w:val="ar-SA"/>
        </w:rPr>
        <w:t>فإنَّ إعمال هذه القواعد يُعَدُّ أساسًا مهمًا يجب أنْ يُراعى عند صياغة أي تشريع ينظم حقوق الملكية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4"/>
      </w:r>
      <w:r>
        <w:rPr>
          <w:rStyle w:val="None"/>
          <w:rFonts w:ascii="Times New Roman" w:hAnsi="Times New Roman"/>
          <w:sz w:val="24"/>
          <w:szCs w:val="24"/>
          <w:vertAlign w:val="superscript"/>
          <w:rtl/>
          <w:lang w:val="ar-SA"/>
        </w:rPr>
        <w:t>)</w:t>
      </w:r>
    </w:p>
    <w:p w14:paraId="3F96CE8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ظلت الأفكار والإبداعات لفترات طويلة دون إطار قانوني يحميها من التعدي أو الاستغلال غير المشروع، إلى أنْ شهد القرن الثامن عشر تحوُّلًا جذريًا في النظرة إلى الفرد وحقوقه؛ حيث بدأ الاعتراف بحقوق الأفراد في نتاجهم الفكري والإبداعي، وقد ارتبط هذا التحوُّل ارتباطًا وثيقًا بتطوُّر تقنيات الطباعة وانتشارها؛ إذْ ساهمت الطباعة في تسهيل نشر الأفكار وتوسيع نطاق تداول الكتب؛ ممَّا أدى إلى زيادة الطلب على المصنفات المطبوعة، ونتج عن ذلك تصاعد الحاجة إلى تنظيم قانوني يحمي حقوق المؤلفين من عمليات النسخ غير المصرح بها، وهو ما دفع عددًا من الدول إلى سن تشريعات تهدف إلى صون هذه الحقوق، وكانت إنجلترا من أوائل الدول التي بادرت إلى ذلك؛ حيث أصدرت في عام </w:t>
      </w:r>
      <w:r>
        <w:rPr>
          <w:rStyle w:val="None"/>
          <w:rFonts w:ascii="Times New Roman" w:hAnsi="Times New Roman"/>
          <w:sz w:val="24"/>
          <w:szCs w:val="24"/>
          <w:rtl/>
          <w:lang w:val="ar-SA"/>
        </w:rPr>
        <w:t xml:space="preserve">1709 </w:t>
      </w:r>
      <w:r>
        <w:rPr>
          <w:rStyle w:val="None"/>
          <w:rFonts w:cs="Times New Roman"/>
          <w:sz w:val="24"/>
          <w:szCs w:val="24"/>
          <w:rtl/>
          <w:lang w:val="ar-SA"/>
        </w:rPr>
        <w:t xml:space="preserve">قانون </w:t>
      </w:r>
      <w:r>
        <w:rPr>
          <w:rStyle w:val="None"/>
          <w:rFonts w:ascii="Times New Roman" w:hAnsi="Times New Roman"/>
          <w:sz w:val="24"/>
          <w:szCs w:val="24"/>
          <w:rtl/>
          <w:lang w:val="ar-SA"/>
        </w:rPr>
        <w:t>"</w:t>
      </w:r>
      <w:r>
        <w:rPr>
          <w:rStyle w:val="None"/>
          <w:rFonts w:cs="Times New Roman"/>
          <w:sz w:val="24"/>
          <w:szCs w:val="24"/>
          <w:rtl/>
          <w:lang w:val="ar-SA"/>
        </w:rPr>
        <w:t>آن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5"/>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الذي شكل نقطةَ انطلاقٍ مهمة في تاريخ حماية حقوق المؤلف؛ إذْ منح هذا القانون المؤلفين أنفسهم حقوقًا حصرية في التأليف، بعد أنْ كانت هذه الحقوق تقتصر في السابق على الناشرين، واستمر التطوُّر التشريعي في هذا المجال، فصدر في عام </w:t>
      </w:r>
      <w:r>
        <w:rPr>
          <w:rStyle w:val="None"/>
          <w:rFonts w:ascii="Times New Roman" w:hAnsi="Times New Roman"/>
          <w:sz w:val="24"/>
          <w:szCs w:val="24"/>
          <w:rtl/>
          <w:lang w:val="ar-SA"/>
        </w:rPr>
        <w:t xml:space="preserve">1911 </w:t>
      </w:r>
      <w:r>
        <w:rPr>
          <w:rStyle w:val="None"/>
          <w:rFonts w:cs="Times New Roman"/>
          <w:sz w:val="24"/>
          <w:szCs w:val="24"/>
          <w:rtl/>
          <w:lang w:val="ar-SA"/>
        </w:rPr>
        <w:t>قانون حقوق المؤلف في إنجلترا، الذي توسع نطاق حمايته ليشمل المؤلفات الأدبية والفنية، وأعمال الرسم والنحت، بالإضافة إلى الصور الفوتوغرافية والهندسية؛ ممَّا عزّز الإطار القانوني لحماية الملكية الفكرية، وكرس مبدأ الاعتراف بالحقوق المعنوية والمادية لأصحاب المصنفات، وأسهم في توفير بيئة تشريعية داعمة للإبداع والابتكار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6"/>
      </w:r>
      <w:r>
        <w:rPr>
          <w:rStyle w:val="None"/>
          <w:rFonts w:ascii="Times New Roman" w:hAnsi="Times New Roman"/>
          <w:sz w:val="24"/>
          <w:szCs w:val="24"/>
          <w:vertAlign w:val="superscript"/>
          <w:rtl/>
          <w:lang w:val="ar-SA"/>
        </w:rPr>
        <w:t>)</w:t>
      </w:r>
    </w:p>
    <w:p w14:paraId="177E48D8"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تأخرت فرنسا عن إنجلترا في إصدار تشريعات تنظم حماية حقوق المؤلف بما يقارب ثمانين عامًا؛ إذْ صدر أول قانون فرنسي في هذا المجال عام </w:t>
      </w:r>
      <w:r>
        <w:rPr>
          <w:rStyle w:val="None"/>
          <w:rFonts w:ascii="Times New Roman" w:hAnsi="Times New Roman"/>
          <w:sz w:val="24"/>
          <w:szCs w:val="24"/>
          <w:rtl/>
          <w:lang w:val="ar-SA"/>
        </w:rPr>
        <w:t>1791</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7"/>
      </w:r>
      <w:r>
        <w:rPr>
          <w:rStyle w:val="None"/>
          <w:rFonts w:ascii="Times New Roman" w:hAnsi="Times New Roman"/>
          <w:sz w:val="24"/>
          <w:szCs w:val="24"/>
          <w:vertAlign w:val="superscript"/>
          <w:rtl/>
          <w:lang w:val="ar-SA"/>
        </w:rPr>
        <w:t>)</w:t>
      </w:r>
      <w:r>
        <w:rPr>
          <w:rStyle w:val="None"/>
          <w:rFonts w:cs="Times New Roman"/>
          <w:sz w:val="24"/>
          <w:szCs w:val="24"/>
          <w:rtl/>
          <w:lang w:val="ar-SA"/>
        </w:rPr>
        <w:t>، وكان مخصصًا لحماية حقوق مؤلفي المسرحيات؛ حيث منحهم الحق في نشر واستغلال أعمالهم طيلة حياتهم، ثم امتدت هذه الحماية إلى ورثتهم لمدة خمس سنوات بعد وفاة المؤلف، وقد شكل هذا القانون بداية الاعتراف الرسمي بالحقوق الفكرية في فرنسا، وفي مراحل لاحقة تم توسيع نطاق الحماية ليشمل مختلف أنواع المصنفات الأدبية والفنية، وهو ما يعكس تطوُّرًا تدريجيًا في وعي المشرع بأهمية حماية الإبداع الأدبي والفني،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لم تبادر الولايات المتحدة الأمريكية بإصدار قوانين لحماية حقوق المؤلف إلا في عام </w:t>
      </w:r>
      <w:r>
        <w:rPr>
          <w:rStyle w:val="None"/>
          <w:rFonts w:ascii="Times New Roman" w:hAnsi="Times New Roman"/>
          <w:sz w:val="24"/>
          <w:szCs w:val="24"/>
          <w:rtl/>
          <w:lang w:val="ar-SA"/>
        </w:rPr>
        <w:t xml:space="preserve">1836 </w:t>
      </w:r>
      <w:r>
        <w:rPr>
          <w:rStyle w:val="None"/>
          <w:rFonts w:cs="Times New Roman"/>
          <w:sz w:val="24"/>
          <w:szCs w:val="24"/>
          <w:rtl/>
          <w:lang w:val="ar-SA"/>
        </w:rPr>
        <w:t xml:space="preserve">من خلال قانون براءات الاختراع، إلا أنَّ هذا القانون كان مقتصرًا على حماية الاختراعات، ويشترط إجراءات إدارية معقدة؛ ممَّا قيد الوصول إلى الحماية القانونية، ولم يصدر قانون خاص بحقوق المؤلف إلا في عام </w:t>
      </w:r>
      <w:r>
        <w:rPr>
          <w:rStyle w:val="None"/>
          <w:rFonts w:ascii="Times New Roman" w:hAnsi="Times New Roman"/>
          <w:sz w:val="24"/>
          <w:szCs w:val="24"/>
          <w:rtl/>
          <w:lang w:val="ar-SA"/>
        </w:rPr>
        <w:t>1891</w:t>
      </w:r>
      <w:r>
        <w:rPr>
          <w:rStyle w:val="None"/>
          <w:rFonts w:cs="Times New Roman"/>
          <w:sz w:val="24"/>
          <w:szCs w:val="24"/>
          <w:rtl/>
          <w:lang w:val="ar-SA"/>
        </w:rPr>
        <w:t>، وقد قصر هذا القانون الحماية على المصنفات التي أنشأها مؤلفون أمريكيون، أو تلك التي تمت طباعتها داخل الولايات المتحدة، وهو ما عكس توجُّهًا وطنيًا في منح الحماية، أما ألمانيا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فقد واكبت هذا التطوُّر التشريعي؛ حيث صدر فيها قانون الاختراعات في عام </w:t>
      </w:r>
      <w:r>
        <w:rPr>
          <w:rStyle w:val="None"/>
          <w:rFonts w:ascii="Times New Roman" w:hAnsi="Times New Roman"/>
          <w:sz w:val="24"/>
          <w:szCs w:val="24"/>
          <w:rtl/>
          <w:lang w:val="ar-SA"/>
        </w:rPr>
        <w:t>1873</w:t>
      </w:r>
      <w:r>
        <w:rPr>
          <w:rStyle w:val="None"/>
          <w:rFonts w:cs="Times New Roman"/>
          <w:sz w:val="24"/>
          <w:szCs w:val="24"/>
          <w:rtl/>
          <w:lang w:val="ar-SA"/>
        </w:rPr>
        <w:t>؛ ليشكل إطارًا قانونيًا لحماية الابتكارات، ويعكس إدراكًا متزايدًا بأهمية تنظيم الحقوق الفكرية في ظل التحولات الصناعية والعلمية المتسارعة في أوروبا خلال تلك الفترة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8"/>
      </w:r>
      <w:r>
        <w:rPr>
          <w:rStyle w:val="None"/>
          <w:rFonts w:ascii="Times New Roman" w:hAnsi="Times New Roman"/>
          <w:sz w:val="24"/>
          <w:szCs w:val="24"/>
          <w:vertAlign w:val="superscript"/>
          <w:rtl/>
          <w:lang w:val="ar-SA"/>
        </w:rPr>
        <w:t>)</w:t>
      </w:r>
    </w:p>
    <w:p w14:paraId="62BD4F9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تنظيم الحماية الدولية لحقوق المؤلف، شكلت اتفاقية بيرن لحماية المصنفات الأدبية والفنية التي تم توقيعها في مدينة بيرن السويسرية عام </w:t>
      </w:r>
      <w:r>
        <w:rPr>
          <w:rStyle w:val="None"/>
          <w:rFonts w:ascii="Times New Roman" w:hAnsi="Times New Roman"/>
          <w:sz w:val="24"/>
          <w:szCs w:val="24"/>
          <w:rtl/>
          <w:lang w:val="ar-SA"/>
        </w:rPr>
        <w:t xml:space="preserve">1886 </w:t>
      </w:r>
      <w:r>
        <w:rPr>
          <w:rStyle w:val="None"/>
          <w:rFonts w:cs="Times New Roman"/>
          <w:sz w:val="24"/>
          <w:szCs w:val="24"/>
          <w:rtl/>
          <w:lang w:val="ar-SA"/>
        </w:rPr>
        <w:t xml:space="preserve">نقطةَ الانطلاق نحو تأسيس نظام قانوني دولي يعنى بحماية المصنفات الإبداعية من الاعتداء أو الاستغلال غير المشروع، وقد اعتبرت هذه الاتفاقية آنذاك خطوةً رائدةً لتوحيد الجهود الدولية في حماية حقوق المؤلفين، وفي السادس من سبتمبر عام </w:t>
      </w:r>
      <w:r>
        <w:rPr>
          <w:rStyle w:val="None"/>
          <w:rFonts w:ascii="Times New Roman" w:hAnsi="Times New Roman"/>
          <w:sz w:val="24"/>
          <w:szCs w:val="24"/>
          <w:rtl/>
          <w:lang w:val="ar-SA"/>
        </w:rPr>
        <w:t>1952</w:t>
      </w:r>
      <w:r>
        <w:rPr>
          <w:rStyle w:val="None"/>
          <w:rFonts w:cs="Times New Roman"/>
          <w:sz w:val="24"/>
          <w:szCs w:val="24"/>
          <w:rtl/>
          <w:lang w:val="ar-SA"/>
        </w:rPr>
        <w:t xml:space="preserve">، تم إبرام اتفاقية دولية جديدة في مدينة جنيف، عرفت باتفاقية جنيف لحماية حقوق المؤلف، وجاءت هذه الاتفاقية مكملة للدور الذي اضطلعت به اتفاقية بيرن؛ حيث سعت إلى تعزيز مستوى الحماية الدولية للمصنفات الفكرية، وفي 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شهدت الملكية الفكرية تطوُّرًا مؤسسيًا نوعيًا بإنشاء المنظمة العالمية للملكية الفكرية، المعروفة اختصارًا باسم الويبو، وهي إحدى وكالات منظمة الأمم المتحدة المتخصصة، وتضم حاليًا </w:t>
      </w:r>
      <w:r>
        <w:rPr>
          <w:rStyle w:val="None"/>
          <w:rFonts w:ascii="Times New Roman" w:hAnsi="Times New Roman"/>
          <w:sz w:val="24"/>
          <w:szCs w:val="24"/>
          <w:rtl/>
          <w:lang w:val="ar-SA"/>
        </w:rPr>
        <w:t xml:space="preserve">193 </w:t>
      </w:r>
      <w:r>
        <w:rPr>
          <w:rStyle w:val="None"/>
          <w:rFonts w:cs="Times New Roman"/>
          <w:sz w:val="24"/>
          <w:szCs w:val="24"/>
          <w:rtl/>
          <w:lang w:val="ar-SA"/>
        </w:rPr>
        <w:t>دولةً عضوًا، وتتمثل مهمتها الأساسية في إقامة نظام عالمي متوازن وفعَّال للملكية الفكرية، يسهم في دعم الابتكار، وتشجيع الإبداع والمساهمة في تحقيق التنمية الاقتصادية والاجتماعية المستدامة، وقد تأسست هذه المنظمة بموجب اتفاقية دولية أبرمت في ذات العام؛ لتصبح المرجعية الدولية الأولى في ميدان حماية حقوق الملكية الفكرية ومتابعة تنفيذ الاتفاقيات ذات الصلة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9"/>
      </w:r>
      <w:r>
        <w:rPr>
          <w:rStyle w:val="None"/>
          <w:rFonts w:ascii="Times New Roman" w:hAnsi="Times New Roman"/>
          <w:sz w:val="24"/>
          <w:szCs w:val="24"/>
          <w:vertAlign w:val="superscript"/>
          <w:rtl/>
          <w:lang w:val="ar-SA"/>
        </w:rPr>
        <w:t>)</w:t>
      </w:r>
    </w:p>
    <w:p w14:paraId="13A385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تتابعت الاتفاقيات الدولية إلى أنْ تأسست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عام ١٩٧٤؛ لتصبح إحدى الوكالات المتخصصة التابعة للأمم المتحدة، تولت هذه المنظمة مسئولية إدارة الاتفاقيات الدولية الرئيسية المتعلقة بحماية الملكية الفكرية، تم إبرام اتفاقية دولية تعرف باسم </w:t>
      </w:r>
      <w:r>
        <w:rPr>
          <w:rStyle w:val="None"/>
          <w:rFonts w:ascii="Times New Roman" w:hAnsi="Times New Roman"/>
          <w:sz w:val="24"/>
          <w:szCs w:val="24"/>
          <w:rtl/>
          <w:lang w:val="ar-SA"/>
        </w:rPr>
        <w:t>(</w:t>
      </w:r>
      <w:r>
        <w:rPr>
          <w:rStyle w:val="None"/>
          <w:rFonts w:cs="Times New Roman"/>
          <w:sz w:val="24"/>
          <w:szCs w:val="24"/>
          <w:rtl/>
          <w:lang w:val="ar-SA"/>
        </w:rPr>
        <w:t>تريبس</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لتنظيم حقوق الملكية الفكرية المرتبطة بالتجارة، اقترحتها كبريات الشركات لربطها باتفاقية منظمة التجارة العالمية، التي تأسست عام ١٩٩٤ وباشرت عملها مطلع عام ١٩٩٥، شكلت هذه الاتفاقية ضمانةً لأصحاب رؤوس الأموال عالميًا؛ لحماية مصالحهم الأدبية والفنية إلى جانب براءات الاختراع والعلامات التجارية، أُدرجت براءات اختراع الأدوية ضمن هذا الإطار، كما حظيت السلع بعلامات تجارية، وأصبحت </w:t>
      </w:r>
      <w:r>
        <w:rPr>
          <w:rStyle w:val="None"/>
          <w:rFonts w:cs="Times New Roman"/>
          <w:sz w:val="24"/>
          <w:szCs w:val="24"/>
          <w:rtl/>
          <w:lang w:val="ar-SA"/>
        </w:rPr>
        <w:lastRenderedPageBreak/>
        <w:t>منتجات التكنولوجيا وبرمجيات الحاسوب والإنترنت محميةً بموجب أحكام الملكية الفكرية، نتج عن ذلك ارتفاع ملحوظ في تسجيل براءات الاختراع عالميا؛ إذْ زادت بأكثر من سبعين ضعفًا بين عامي ١٩٧٨ و٢٠٠٢، سجلت اليابان زيادةً في براءات الاختراع بنسبة ٦٠٠</w:t>
      </w:r>
      <w:r>
        <w:rPr>
          <w:rStyle w:val="None"/>
          <w:rFonts w:ascii="Times New Roman" w:hAnsi="Times New Roman"/>
          <w:sz w:val="24"/>
          <w:szCs w:val="24"/>
          <w:rtl/>
          <w:lang w:val="ar-SA"/>
        </w:rPr>
        <w:t xml:space="preserve">% </w:t>
      </w:r>
      <w:r>
        <w:rPr>
          <w:rStyle w:val="None"/>
          <w:rFonts w:cs="Times New Roman"/>
          <w:sz w:val="24"/>
          <w:szCs w:val="24"/>
          <w:rtl/>
          <w:lang w:val="ar-SA"/>
        </w:rPr>
        <w:t xml:space="preserve">خلال الفترة من ١٩٨٨ إلى ٢٠٠٣ مقارنة بالفترة من ١٩٧٨ إلى ١٩٩٣، شهدت صادرات الخدمات القائمة على الملكية الفكرية </w:t>
      </w:r>
      <w:r>
        <w:rPr>
          <w:rStyle w:val="None"/>
          <w:rFonts w:ascii="Times New Roman" w:hAnsi="Times New Roman"/>
          <w:sz w:val="24"/>
          <w:szCs w:val="24"/>
          <w:rtl/>
          <w:lang w:val="ar-SA"/>
        </w:rPr>
        <w:t>-</w:t>
      </w:r>
      <w:r>
        <w:rPr>
          <w:rStyle w:val="None"/>
          <w:rFonts w:cs="Times New Roman"/>
          <w:sz w:val="24"/>
          <w:szCs w:val="24"/>
          <w:rtl/>
          <w:lang w:val="ar-SA"/>
        </w:rPr>
        <w:t>كالتعليم، والصحة، والإعلانات</w:t>
      </w:r>
      <w:r>
        <w:rPr>
          <w:rStyle w:val="None"/>
          <w:rFonts w:ascii="Times New Roman" w:hAnsi="Times New Roman"/>
          <w:sz w:val="24"/>
          <w:szCs w:val="24"/>
          <w:rtl/>
          <w:lang w:val="ar-SA"/>
        </w:rPr>
        <w:t xml:space="preserve">- </w:t>
      </w:r>
      <w:r>
        <w:rPr>
          <w:rStyle w:val="None"/>
          <w:rFonts w:cs="Times New Roman"/>
          <w:sz w:val="24"/>
          <w:szCs w:val="24"/>
          <w:rtl/>
          <w:lang w:val="ar-SA"/>
        </w:rPr>
        <w:t>نموًا عالميًا؛ لتشكل نحو ٢٥</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من إجمالي التجارة العالمية، تصدرت الدول المتقدمة اقتصاديًا </w:t>
      </w:r>
      <w:r>
        <w:rPr>
          <w:rStyle w:val="None"/>
          <w:rFonts w:ascii="Times New Roman" w:hAnsi="Times New Roman"/>
          <w:sz w:val="24"/>
          <w:szCs w:val="24"/>
          <w:rtl/>
          <w:lang w:val="ar-SA"/>
        </w:rPr>
        <w:t>-</w:t>
      </w:r>
      <w:r>
        <w:rPr>
          <w:rStyle w:val="None"/>
          <w:rFonts w:cs="Times New Roman"/>
          <w:sz w:val="24"/>
          <w:szCs w:val="24"/>
          <w:rtl/>
          <w:lang w:val="ar-SA"/>
        </w:rPr>
        <w:t>كأوروبا والولايات المتحدة</w:t>
      </w:r>
      <w:r>
        <w:rPr>
          <w:rStyle w:val="None"/>
          <w:rFonts w:ascii="Times New Roman" w:hAnsi="Times New Roman"/>
          <w:sz w:val="24"/>
          <w:szCs w:val="24"/>
          <w:rtl/>
          <w:lang w:val="ar-SA"/>
        </w:rPr>
        <w:t xml:space="preserve">- </w:t>
      </w:r>
      <w:r>
        <w:rPr>
          <w:rStyle w:val="None"/>
          <w:rFonts w:cs="Times New Roman"/>
          <w:sz w:val="24"/>
          <w:szCs w:val="24"/>
          <w:rtl/>
          <w:lang w:val="ar-SA"/>
        </w:rPr>
        <w:t>المشهد الاستثماري في مجال الملكية الفكرية؛ ممَّا عزّز مكانتها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0"/>
      </w:r>
      <w:r>
        <w:rPr>
          <w:rStyle w:val="None"/>
          <w:rFonts w:ascii="Times New Roman" w:hAnsi="Times New Roman"/>
          <w:sz w:val="24"/>
          <w:szCs w:val="24"/>
          <w:vertAlign w:val="superscript"/>
          <w:rtl/>
          <w:lang w:val="ar-SA"/>
        </w:rPr>
        <w:t>)</w:t>
      </w:r>
    </w:p>
    <w:p w14:paraId="033A404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تشكل الملكية الفكرية في العصر الراهن ركيزةً أساسيةً ضمن المفاهيم القانونية والاقتصادية؛ نظرًا لما تكتسبه من أهمية متصاعدة على المستويين الوطني والدولي يحتفي المجتمع الدولي باليوم العالمي للملكية الفكرية في السادس والعشرين من أبريل سنويًا، وهو التاريخ الذي بدأت فيه اتفاقية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بالنفاذ عام ٢٠٠٠، يرمي هذا الاحتفال إلى تعزيز الوعي العام بضرورة صون الإبداع، وتحفيز الابتكار عبر مختلف القطاعات، أدركت العديد من الدول العربية هذا البُعد الاستراتيجي، فسارعت إلى سن تشريعات وطنية متخصصة لحماية حقوق الملكية الفكرية، برزت في هذا السياق دول، مثل</w:t>
      </w:r>
      <w:r>
        <w:rPr>
          <w:rStyle w:val="None"/>
          <w:rFonts w:ascii="Times New Roman" w:hAnsi="Times New Roman"/>
          <w:sz w:val="24"/>
          <w:szCs w:val="24"/>
          <w:rtl/>
          <w:lang w:val="ar-SA"/>
        </w:rPr>
        <w:t xml:space="preserve">: </w:t>
      </w:r>
      <w:r>
        <w:rPr>
          <w:rStyle w:val="None"/>
          <w:rFonts w:cs="Times New Roman"/>
          <w:sz w:val="24"/>
          <w:szCs w:val="24"/>
          <w:rtl/>
          <w:lang w:val="ar-SA"/>
        </w:rPr>
        <w:t>جمهورية مصر العربية، ودولة الإمارات العربية المتحدة، والمملكة العربية السعودية؛ حيث عملت على تحديث أطرها القانونية؛ لتتماشى مع المعايير الدولية، شملت هذه الجهود تنظيم حقوق المؤلف والحقوق المجاورة، إلى جانب العلامات التجارية وبراءات الاختراع، وغيرها من أشكال الحقوق الفكرية، تعكس هذه التشريعات وعيًا متزايدًا بأهمية حماية المنتجات الفكرية للعقل البشري، بما يسهم في تعزيز الابتكار والتنمية المستدامة، تبرز هذه الجهود كجزء من التزام إقليمي ودولي بصون الإبداع؛ ممَّا يعزّز مكانة الدول العربية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1"/>
      </w:r>
      <w:r>
        <w:rPr>
          <w:rStyle w:val="None"/>
          <w:rFonts w:ascii="Times New Roman" w:hAnsi="Times New Roman"/>
          <w:sz w:val="24"/>
          <w:szCs w:val="24"/>
          <w:vertAlign w:val="superscript"/>
          <w:rtl/>
          <w:lang w:val="ar-SA"/>
        </w:rPr>
        <w:t>)</w:t>
      </w:r>
    </w:p>
    <w:p w14:paraId="6CC0F7E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bookmarkStart w:id="83" w:name="_Hlk193487046"/>
      <w:r>
        <w:rPr>
          <w:rStyle w:val="None"/>
          <w:rFonts w:cs="Times New Roman"/>
          <w:sz w:val="24"/>
          <w:szCs w:val="24"/>
          <w:rtl/>
          <w:lang w:val="ar-SA"/>
        </w:rPr>
        <w:t>بعدما استعرضنا تاريخ تطوُّر الملكية الفكرية، نتوجه لاستقصاء نشأة حقوق المؤلف في الدول العربية بالفرع التالي؛ حيث تنعكس المسارات التاريخية والقانونية في صياغة هذا المفهوم ضمن التجربة الثقافية العربية</w:t>
      </w:r>
      <w:r>
        <w:rPr>
          <w:rStyle w:val="None"/>
          <w:rFonts w:ascii="Times New Roman" w:hAnsi="Times New Roman"/>
          <w:sz w:val="24"/>
          <w:szCs w:val="24"/>
          <w:rtl/>
          <w:lang w:val="ar-SA"/>
        </w:rPr>
        <w:t>.</w:t>
      </w:r>
      <w:bookmarkEnd w:id="83"/>
    </w:p>
    <w:p w14:paraId="41F41CE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4D05F0E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7F8D5F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0346594"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529AF5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B377403"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96AA32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B011590"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4AA3C6E"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41DD3C06" w14:textId="77777777" w:rsidR="00454428" w:rsidRDefault="00000000" w:rsidP="00C72BA8">
      <w:pPr>
        <w:pStyle w:val="a"/>
        <w:rPr>
          <w:rStyle w:val="None"/>
          <w:b w:val="0"/>
          <w:bCs w:val="0"/>
          <w:lang w:val="ar-SA"/>
        </w:rPr>
      </w:pPr>
      <w:bookmarkStart w:id="84" w:name="_Toc40"/>
      <w:r>
        <w:rPr>
          <w:rStyle w:val="None"/>
          <w:rFonts w:ascii="Arial Unicode MS" w:eastAsia="Arial Unicode MS" w:hAnsi="Arial Unicode MS" w:hint="cs"/>
          <w:rtl/>
          <w:lang w:val="ar-SA"/>
        </w:rPr>
        <w:t>الفرع الثاني</w:t>
      </w:r>
      <w:bookmarkStart w:id="85" w:name="_Hlk193487052"/>
      <w:bookmarkEnd w:id="84"/>
    </w:p>
    <w:p w14:paraId="5F5499F4" w14:textId="77777777" w:rsidR="00454428" w:rsidRDefault="00000000" w:rsidP="00C72BA8">
      <w:pPr>
        <w:pStyle w:val="a"/>
        <w:rPr>
          <w:rStyle w:val="None"/>
          <w:b w:val="0"/>
          <w:bCs w:val="0"/>
          <w:lang w:val="ar-SA"/>
        </w:rPr>
      </w:pPr>
      <w:bookmarkStart w:id="86" w:name="_Toc41"/>
      <w:r>
        <w:rPr>
          <w:rStyle w:val="None"/>
          <w:rFonts w:ascii="Arial Unicode MS" w:eastAsia="Arial Unicode MS" w:hAnsi="Arial Unicode MS" w:hint="cs"/>
          <w:rtl/>
          <w:lang w:val="ar-SA"/>
        </w:rPr>
        <w:t>نشأة حقوق المؤلف في الدول العربية</w:t>
      </w:r>
      <w:bookmarkEnd w:id="86"/>
    </w:p>
    <w:bookmarkEnd w:id="85"/>
    <w:p w14:paraId="4BA3156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يعتبر قانون حق التأليف العثماني الذي صدر عام </w:t>
      </w:r>
      <w:r>
        <w:rPr>
          <w:rStyle w:val="None"/>
          <w:rFonts w:ascii="Times New Roman" w:hAnsi="Times New Roman"/>
          <w:sz w:val="24"/>
          <w:szCs w:val="24"/>
          <w:rtl/>
          <w:lang w:val="ar-SA"/>
        </w:rPr>
        <w:t>1910</w:t>
      </w:r>
      <w:r>
        <w:rPr>
          <w:rStyle w:val="None"/>
          <w:rFonts w:cs="Times New Roman"/>
          <w:sz w:val="24"/>
          <w:szCs w:val="24"/>
          <w:rtl/>
          <w:lang w:val="ar-SA"/>
        </w:rPr>
        <w:t xml:space="preserve">م أول تشريع لحماية حقوق المؤلف في الدول العربية؛ حيث استمر العمل به في بعض الدول العربية حتى وقت قريب، خاصةً في العراق والأردن، وتُعَدُّ الأردن من أوائل الدول العربية التي وضعت نصوصًا قانونيةً محددةً لحماية حق المؤلف؛ حيث كانت تطبق إلى جانب قانون حق التأليف العثماني بعض الأحكام الخاصة بحماية حقوق المؤلف ضمن القوانين المدنية وقوانين العقوبات، أما القانون التونسي الذي صدر عام </w:t>
      </w:r>
      <w:r>
        <w:rPr>
          <w:rStyle w:val="None"/>
          <w:rFonts w:ascii="Times New Roman" w:hAnsi="Times New Roman"/>
          <w:sz w:val="24"/>
          <w:szCs w:val="24"/>
          <w:rtl/>
          <w:lang w:val="ar-SA"/>
        </w:rPr>
        <w:t>1889</w:t>
      </w:r>
      <w:r>
        <w:rPr>
          <w:rStyle w:val="None"/>
          <w:rFonts w:cs="Times New Roman"/>
          <w:sz w:val="24"/>
          <w:szCs w:val="24"/>
          <w:rtl/>
          <w:lang w:val="ar-SA"/>
        </w:rPr>
        <w:t>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فيعتبر أول تشريع عربي لحماية حقوق المؤلف، تلاه القانون المغربي الذي صدر عام </w:t>
      </w:r>
      <w:r>
        <w:rPr>
          <w:rStyle w:val="None"/>
          <w:rFonts w:ascii="Times New Roman" w:hAnsi="Times New Roman"/>
          <w:sz w:val="24"/>
          <w:szCs w:val="24"/>
          <w:rtl/>
          <w:lang w:val="ar-SA"/>
        </w:rPr>
        <w:t>1916</w:t>
      </w:r>
      <w:r>
        <w:rPr>
          <w:rStyle w:val="None"/>
          <w:rFonts w:cs="Times New Roman"/>
          <w:sz w:val="24"/>
          <w:szCs w:val="24"/>
          <w:rtl/>
          <w:lang w:val="ar-SA"/>
        </w:rPr>
        <w:t xml:space="preserve">م لحماية المؤلفات الأدبية والفنية، ثم أصدر لبنان قانونًا لحماية حق المؤلف عام </w:t>
      </w:r>
      <w:r>
        <w:rPr>
          <w:rStyle w:val="None"/>
          <w:rFonts w:ascii="Times New Roman" w:hAnsi="Times New Roman"/>
          <w:sz w:val="24"/>
          <w:szCs w:val="24"/>
          <w:rtl/>
          <w:lang w:val="ar-SA"/>
        </w:rPr>
        <w:t>1924</w:t>
      </w:r>
      <w:r>
        <w:rPr>
          <w:rStyle w:val="None"/>
          <w:rFonts w:cs="Times New Roman"/>
          <w:sz w:val="24"/>
          <w:szCs w:val="24"/>
          <w:rtl/>
          <w:lang w:val="ar-SA"/>
        </w:rPr>
        <w:t>م، وباستثناء هذه القوانين لم يشهد النصف الأول من القرن التاسع عشر أي تطوُّرات تشريعية في مجال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2"/>
      </w:r>
      <w:r>
        <w:rPr>
          <w:rStyle w:val="None"/>
          <w:rFonts w:ascii="Times New Roman" w:hAnsi="Times New Roman"/>
          <w:sz w:val="24"/>
          <w:szCs w:val="24"/>
          <w:vertAlign w:val="superscript"/>
          <w:rtl/>
          <w:lang w:val="ar-SA"/>
        </w:rPr>
        <w:t>)</w:t>
      </w:r>
    </w:p>
    <w:p w14:paraId="4A7A1D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بدأ اهتمام الدول العربية بقضايا الملكية الفكرية منذ القرن التاسع عشر؛ حيث كانت العديد من هذه الدول من الأوائل التي انضمت إلى اتفاقيات الملكية الفكرية الدولية، تقريبًا جميع الدول العربية لديها قوانين تتعلق بحماية حقوق المؤلف والحقوق المجاورة</w:t>
      </w:r>
      <w:r>
        <w:rPr>
          <w:rStyle w:val="None"/>
          <w:rFonts w:ascii="Times New Roman" w:hAnsi="Times New Roman"/>
          <w:sz w:val="24"/>
          <w:szCs w:val="24"/>
          <w:rtl/>
          <w:lang w:val="ar-SA"/>
        </w:rPr>
        <w:t>.</w:t>
      </w:r>
    </w:p>
    <w:p w14:paraId="49C9256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التطوُّر التشريعي الذي شهدته الدول العربية في بداية النصف الثاني من القرن الماضي، صدر قانون حماية حق المؤلف المصري رقم </w:t>
      </w:r>
      <w:r>
        <w:rPr>
          <w:rStyle w:val="None"/>
          <w:rFonts w:ascii="Times New Roman" w:hAnsi="Times New Roman"/>
          <w:sz w:val="24"/>
          <w:szCs w:val="24"/>
          <w:rtl/>
          <w:lang w:val="ar-SA"/>
        </w:rPr>
        <w:t xml:space="preserve">354 </w:t>
      </w:r>
      <w:r>
        <w:rPr>
          <w:rStyle w:val="None"/>
          <w:rFonts w:cs="Times New Roman"/>
          <w:sz w:val="24"/>
          <w:szCs w:val="24"/>
          <w:rtl/>
          <w:lang w:val="ar-SA"/>
        </w:rPr>
        <w:t xml:space="preserve">لسنة </w:t>
      </w:r>
      <w:r>
        <w:rPr>
          <w:rStyle w:val="None"/>
          <w:rFonts w:ascii="Times New Roman" w:hAnsi="Times New Roman"/>
          <w:sz w:val="24"/>
          <w:szCs w:val="24"/>
          <w:rtl/>
          <w:lang w:val="ar-SA"/>
        </w:rPr>
        <w:t>1954</w:t>
      </w:r>
      <w:r>
        <w:rPr>
          <w:rStyle w:val="None"/>
          <w:rFonts w:cs="Times New Roman"/>
          <w:sz w:val="24"/>
          <w:szCs w:val="24"/>
          <w:rtl/>
          <w:lang w:val="ar-SA"/>
        </w:rPr>
        <w:t>م؛ ممَّا جعل مصر تتصدر الدول العربية في هذا المجال من الناحية التشريعية، والفقهية، والقضائية، وقد قامت معظم الدول العربية بسن تشريعات لحماية حقوق المؤلف، إلا أنَّ هذه التشريعات كانت متشابهةً؛ نظرًا لاعتمادها على القانون المصري الذي استمد أحكامه من القانون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3"/>
      </w:r>
      <w:r>
        <w:rPr>
          <w:rStyle w:val="None"/>
          <w:rFonts w:ascii="Times New Roman" w:hAnsi="Times New Roman"/>
          <w:sz w:val="24"/>
          <w:szCs w:val="24"/>
          <w:vertAlign w:val="superscript"/>
          <w:rtl/>
          <w:lang w:val="ar-SA"/>
        </w:rPr>
        <w:t>)</w:t>
      </w:r>
    </w:p>
    <w:p w14:paraId="44AD1C6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أما في الجزائر فقد كانت الحماية المقررة لحقوق المؤلف قبل الاستقلال تعتمد على القوانين الفرنسية، وبعد الاستقلال في ٥ يوليو ١٩٦٢م، ظل حق المؤلف في الجزائر محددًا وفقًا للقوانين الفرنسية، وذلك بموجب الأمر رقم ٦٢</w:t>
      </w:r>
      <w:r>
        <w:rPr>
          <w:rStyle w:val="None"/>
          <w:rFonts w:ascii="Times New Roman" w:hAnsi="Times New Roman"/>
          <w:sz w:val="24"/>
          <w:szCs w:val="24"/>
          <w:rtl/>
          <w:lang w:val="ar-SA"/>
        </w:rPr>
        <w:t>/</w:t>
      </w:r>
      <w:r>
        <w:rPr>
          <w:rStyle w:val="None"/>
          <w:rFonts w:cs="Times New Roman"/>
          <w:sz w:val="24"/>
          <w:szCs w:val="24"/>
          <w:rtl/>
          <w:lang w:val="ar-SA"/>
        </w:rPr>
        <w:t>١٥٧ المؤرخ في ٣١ ديسمبر ١٩٦٢م، الذي أتاح تطبيق النصوص القانونية الفرنسية السارية حتى ٣ يوليو ١٩٦٢م، بشرط عدم المساس بالسيادة الوطنية، وبالرجوع إلى القانون الفرنسي فإنَّ القانون المعمول به آنذاك هو قانون حماية الملكية الأدبية والفنية الصادر في ١١ مارس ١٩٥٧م، والذي تم تطبيقه في الجزائر مباشرة بعد الاستقلال حتى عام ١٩٧٣م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4"/>
      </w:r>
      <w:r>
        <w:rPr>
          <w:rStyle w:val="None"/>
          <w:rFonts w:ascii="Times New Roman" w:hAnsi="Times New Roman"/>
          <w:sz w:val="24"/>
          <w:szCs w:val="24"/>
          <w:vertAlign w:val="superscript"/>
          <w:rtl/>
          <w:lang w:val="ar-SA"/>
        </w:rPr>
        <w:t>)</w:t>
      </w:r>
    </w:p>
    <w:p w14:paraId="4027DE3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خلال تلك الفترة صدر قانون العقوبات بتاريخ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يونيو </w:t>
      </w:r>
      <w:r>
        <w:rPr>
          <w:rStyle w:val="None"/>
          <w:rFonts w:ascii="Times New Roman" w:hAnsi="Times New Roman"/>
          <w:sz w:val="24"/>
          <w:szCs w:val="24"/>
          <w:rtl/>
          <w:lang w:val="ar-SA"/>
        </w:rPr>
        <w:t>1966</w:t>
      </w:r>
      <w:r>
        <w:rPr>
          <w:rStyle w:val="None"/>
          <w:rFonts w:cs="Times New Roman"/>
          <w:sz w:val="24"/>
          <w:szCs w:val="24"/>
          <w:rtl/>
          <w:lang w:val="ar-SA"/>
        </w:rPr>
        <w:t xml:space="preserve">م بموجب الأمر </w:t>
      </w:r>
      <w:r>
        <w:rPr>
          <w:rStyle w:val="None"/>
          <w:rFonts w:ascii="Times New Roman" w:hAnsi="Times New Roman"/>
          <w:sz w:val="24"/>
          <w:szCs w:val="24"/>
          <w:rtl/>
          <w:lang w:val="ar-SA"/>
        </w:rPr>
        <w:t>156/66</w:t>
      </w:r>
      <w:r>
        <w:rPr>
          <w:rStyle w:val="None"/>
          <w:rFonts w:cs="Times New Roman"/>
          <w:sz w:val="24"/>
          <w:szCs w:val="24"/>
          <w:rtl/>
          <w:lang w:val="ar-SA"/>
        </w:rPr>
        <w:t xml:space="preserve">، الذي نصت مواده من </w:t>
      </w:r>
      <w:r>
        <w:rPr>
          <w:rStyle w:val="None"/>
          <w:rFonts w:ascii="Times New Roman" w:hAnsi="Times New Roman"/>
          <w:sz w:val="24"/>
          <w:szCs w:val="24"/>
          <w:rtl/>
          <w:lang w:val="ar-SA"/>
        </w:rPr>
        <w:t xml:space="preserve">390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394 </w:t>
      </w:r>
      <w:r>
        <w:rPr>
          <w:rStyle w:val="None"/>
          <w:rFonts w:cs="Times New Roman"/>
          <w:sz w:val="24"/>
          <w:szCs w:val="24"/>
          <w:rtl/>
          <w:lang w:val="ar-SA"/>
        </w:rPr>
        <w:t xml:space="preserve">على أحكام وعقوبات ضد المعتدين على الملكية الأدبية والفنية، وفي أبريل </w:t>
      </w:r>
      <w:r>
        <w:rPr>
          <w:rStyle w:val="None"/>
          <w:rFonts w:ascii="Times New Roman" w:hAnsi="Times New Roman"/>
          <w:sz w:val="24"/>
          <w:szCs w:val="24"/>
          <w:rtl/>
          <w:lang w:val="ar-SA"/>
        </w:rPr>
        <w:t xml:space="preserve">1973 </w:t>
      </w:r>
      <w:r>
        <w:rPr>
          <w:rStyle w:val="None"/>
          <w:rFonts w:cs="Times New Roman"/>
          <w:sz w:val="24"/>
          <w:szCs w:val="24"/>
          <w:rtl/>
          <w:lang w:val="ar-SA"/>
        </w:rPr>
        <w:t xml:space="preserve">صدر الأمر </w:t>
      </w:r>
      <w:r>
        <w:rPr>
          <w:rStyle w:val="None"/>
          <w:rFonts w:ascii="Times New Roman" w:hAnsi="Times New Roman"/>
          <w:sz w:val="24"/>
          <w:szCs w:val="24"/>
          <w:rtl/>
          <w:lang w:val="ar-SA"/>
        </w:rPr>
        <w:t xml:space="preserve">73/14 </w:t>
      </w:r>
      <w:r>
        <w:rPr>
          <w:rStyle w:val="None"/>
          <w:rFonts w:cs="Times New Roman"/>
          <w:sz w:val="24"/>
          <w:szCs w:val="24"/>
          <w:rtl/>
          <w:lang w:val="ar-SA"/>
        </w:rPr>
        <w:t xml:space="preserve">المتعلق بحق المؤلف، وفي نفس السياق صدر الأمر </w:t>
      </w:r>
      <w:r>
        <w:rPr>
          <w:rStyle w:val="None"/>
          <w:rFonts w:ascii="Times New Roman" w:hAnsi="Times New Roman"/>
          <w:sz w:val="24"/>
          <w:szCs w:val="24"/>
          <w:rtl/>
          <w:lang w:val="ar-SA"/>
        </w:rPr>
        <w:t xml:space="preserve">4673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يوليو </w:t>
      </w:r>
      <w:r>
        <w:rPr>
          <w:rStyle w:val="None"/>
          <w:rFonts w:ascii="Times New Roman" w:hAnsi="Times New Roman"/>
          <w:sz w:val="24"/>
          <w:szCs w:val="24"/>
          <w:rtl/>
          <w:lang w:val="ar-SA"/>
        </w:rPr>
        <w:t>1973</w:t>
      </w:r>
      <w:r>
        <w:rPr>
          <w:rStyle w:val="None"/>
          <w:rFonts w:cs="Times New Roman"/>
          <w:sz w:val="24"/>
          <w:szCs w:val="24"/>
          <w:rtl/>
          <w:lang w:val="ar-SA"/>
        </w:rPr>
        <w:t xml:space="preserve">م الذي أنشأ الديوان الوطني لحق </w:t>
      </w:r>
      <w:r>
        <w:rPr>
          <w:rStyle w:val="None"/>
          <w:rFonts w:cs="Times New Roman"/>
          <w:sz w:val="24"/>
          <w:szCs w:val="24"/>
          <w:rtl/>
          <w:lang w:val="ar-SA"/>
        </w:rPr>
        <w:lastRenderedPageBreak/>
        <w:t xml:space="preserve">المؤلف، بعد ذلك صدر الأمر </w:t>
      </w:r>
      <w:r>
        <w:rPr>
          <w:rStyle w:val="None"/>
          <w:rFonts w:ascii="Times New Roman" w:hAnsi="Times New Roman"/>
          <w:sz w:val="24"/>
          <w:szCs w:val="24"/>
          <w:rtl/>
          <w:lang w:val="ar-SA"/>
        </w:rPr>
        <w:t xml:space="preserve">10/97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6 </w:t>
      </w:r>
      <w:r>
        <w:rPr>
          <w:rStyle w:val="None"/>
          <w:rFonts w:cs="Times New Roman"/>
          <w:sz w:val="24"/>
          <w:szCs w:val="24"/>
          <w:rtl/>
          <w:lang w:val="ar-SA"/>
        </w:rPr>
        <w:t xml:space="preserve">مارس </w:t>
      </w:r>
      <w:r>
        <w:rPr>
          <w:rStyle w:val="None"/>
          <w:rFonts w:ascii="Times New Roman" w:hAnsi="Times New Roman"/>
          <w:sz w:val="24"/>
          <w:szCs w:val="24"/>
          <w:rtl/>
          <w:lang w:val="ar-SA"/>
        </w:rPr>
        <w:t>1997</w:t>
      </w:r>
      <w:r>
        <w:rPr>
          <w:rStyle w:val="None"/>
          <w:rFonts w:cs="Times New Roman"/>
          <w:sz w:val="24"/>
          <w:szCs w:val="24"/>
          <w:rtl/>
          <w:lang w:val="ar-SA"/>
        </w:rPr>
        <w:t xml:space="preserve">م، المتعلق بحق المؤلف والحقوق المجاورة، الذي ألغى الأمر </w:t>
      </w:r>
      <w:r>
        <w:rPr>
          <w:rStyle w:val="None"/>
          <w:rFonts w:ascii="Times New Roman" w:hAnsi="Times New Roman"/>
          <w:sz w:val="24"/>
          <w:szCs w:val="24"/>
          <w:rtl/>
          <w:lang w:val="ar-SA"/>
        </w:rPr>
        <w:t>14/73</w:t>
      </w:r>
      <w:r>
        <w:rPr>
          <w:rStyle w:val="None"/>
          <w:rFonts w:cs="Times New Roman"/>
          <w:sz w:val="24"/>
          <w:szCs w:val="24"/>
          <w:rtl/>
          <w:lang w:val="ar-SA"/>
        </w:rPr>
        <w:t xml:space="preserve">، لكن تم إدراج محتواه مع بعض التعديلات في المواد من </w:t>
      </w:r>
      <w:r>
        <w:rPr>
          <w:rStyle w:val="None"/>
          <w:rFonts w:ascii="Times New Roman" w:hAnsi="Times New Roman"/>
          <w:sz w:val="24"/>
          <w:szCs w:val="24"/>
          <w:rtl/>
          <w:lang w:val="ar-SA"/>
        </w:rPr>
        <w:t xml:space="preserve">149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158 </w:t>
      </w:r>
      <w:r>
        <w:rPr>
          <w:rStyle w:val="None"/>
          <w:rFonts w:cs="Times New Roman"/>
          <w:sz w:val="24"/>
          <w:szCs w:val="24"/>
          <w:rtl/>
          <w:lang w:val="ar-SA"/>
        </w:rPr>
        <w:t>من هذا الأمر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5"/>
      </w:r>
      <w:r>
        <w:rPr>
          <w:rStyle w:val="None"/>
          <w:rFonts w:ascii="Times New Roman" w:hAnsi="Times New Roman"/>
          <w:sz w:val="24"/>
          <w:szCs w:val="24"/>
          <w:vertAlign w:val="superscript"/>
          <w:rtl/>
          <w:lang w:val="ar-SA"/>
        </w:rPr>
        <w:t>)</w:t>
      </w:r>
    </w:p>
    <w:p w14:paraId="548561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تدخل المشرع الجزائري مرة أخرى؛ حيث صدر الأمر </w:t>
      </w:r>
      <w:r>
        <w:rPr>
          <w:rStyle w:val="None"/>
          <w:rFonts w:ascii="Times New Roman" w:hAnsi="Times New Roman"/>
          <w:sz w:val="24"/>
          <w:szCs w:val="24"/>
          <w:rtl/>
          <w:lang w:val="ar-SA"/>
        </w:rPr>
        <w:t xml:space="preserve">5/3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يوليو المتعلق بحقوق المؤلف والحقوق المجاورة، ورغم عدم احتوائه على تعديلات جذرية، إلا أنَّه أشار </w:t>
      </w:r>
      <w:r>
        <w:rPr>
          <w:rStyle w:val="None"/>
          <w:rFonts w:ascii="Times New Roman" w:hAnsi="Times New Roman"/>
          <w:sz w:val="24"/>
          <w:szCs w:val="24"/>
          <w:rtl/>
          <w:lang w:val="ar-SA"/>
        </w:rPr>
        <w:t>-</w:t>
      </w:r>
      <w:r>
        <w:rPr>
          <w:rStyle w:val="None"/>
          <w:rFonts w:cs="Times New Roman"/>
          <w:sz w:val="24"/>
          <w:szCs w:val="24"/>
          <w:rtl/>
          <w:lang w:val="ar-SA"/>
        </w:rPr>
        <w:t>على عكس الأمر السابق</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إلى برامج الكمبيوتر وقواعد البيانات باعتبارها مصنفاتٍ أدبيةً؛ ممَّا يتماشى مع التعديلات الواردة في اتفاقية برن، وهذا يدل على بدء المشرع الجزائري في سن قوانين تهدف إلى حماية هذا النوع من المصنفات الرقمية التي ظهرت مع تطوُّر التقنيات الرقمية وانتشار الإنترنت، كما صدر في </w:t>
      </w:r>
      <w:r>
        <w:rPr>
          <w:rStyle w:val="None"/>
          <w:rFonts w:ascii="Times New Roman" w:hAnsi="Times New Roman"/>
          <w:sz w:val="24"/>
          <w:szCs w:val="24"/>
          <w:rtl/>
          <w:lang w:val="ar-SA"/>
        </w:rPr>
        <w:t xml:space="preserve">21 </w:t>
      </w:r>
      <w:r>
        <w:rPr>
          <w:rStyle w:val="None"/>
          <w:rFonts w:cs="Times New Roman"/>
          <w:sz w:val="24"/>
          <w:szCs w:val="24"/>
          <w:rtl/>
          <w:lang w:val="ar-SA"/>
        </w:rPr>
        <w:t xml:space="preserve">سبتمبر </w:t>
      </w:r>
      <w:r>
        <w:rPr>
          <w:rStyle w:val="None"/>
          <w:rFonts w:ascii="Times New Roman" w:hAnsi="Times New Roman"/>
          <w:sz w:val="24"/>
          <w:szCs w:val="24"/>
          <w:rtl/>
          <w:lang w:val="ar-SA"/>
        </w:rPr>
        <w:t>2005</w:t>
      </w:r>
      <w:r>
        <w:rPr>
          <w:rStyle w:val="None"/>
          <w:rFonts w:cs="Times New Roman"/>
          <w:sz w:val="24"/>
          <w:szCs w:val="24"/>
          <w:rtl/>
          <w:lang w:val="ar-SA"/>
        </w:rPr>
        <w:t xml:space="preserve">م المرسوم التنفيذي </w:t>
      </w:r>
      <w:r>
        <w:rPr>
          <w:rStyle w:val="None"/>
          <w:rFonts w:ascii="Times New Roman" w:hAnsi="Times New Roman"/>
          <w:sz w:val="24"/>
          <w:szCs w:val="24"/>
          <w:rtl/>
          <w:lang w:val="ar-SA"/>
        </w:rPr>
        <w:t xml:space="preserve">356/5 </w:t>
      </w:r>
      <w:r>
        <w:rPr>
          <w:rStyle w:val="None"/>
          <w:rFonts w:cs="Times New Roman"/>
          <w:sz w:val="24"/>
          <w:szCs w:val="24"/>
          <w:rtl/>
          <w:lang w:val="ar-SA"/>
        </w:rPr>
        <w:t>الذي يتضمن القانون الأساسي للديوان الوطني لحقوق المؤلف والحقوق المجاورة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6"/>
      </w:r>
      <w:r>
        <w:rPr>
          <w:rStyle w:val="None"/>
          <w:rFonts w:ascii="Times New Roman" w:hAnsi="Times New Roman"/>
          <w:sz w:val="24"/>
          <w:szCs w:val="24"/>
          <w:vertAlign w:val="superscript"/>
          <w:rtl/>
          <w:lang w:val="ar-SA"/>
        </w:rPr>
        <w:t>)</w:t>
      </w:r>
    </w:p>
    <w:p w14:paraId="1BF8D884"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سوريا، تم إصدار قانون حماية الملكية التجارية والصناعية رقم </w:t>
      </w:r>
      <w:r>
        <w:rPr>
          <w:rStyle w:val="None"/>
          <w:rFonts w:ascii="Times New Roman" w:hAnsi="Times New Roman"/>
          <w:sz w:val="24"/>
          <w:szCs w:val="24"/>
          <w:rtl/>
          <w:lang w:val="ar-SA"/>
        </w:rPr>
        <w:t xml:space="preserve">47 </w:t>
      </w:r>
      <w:r>
        <w:rPr>
          <w:rStyle w:val="None"/>
          <w:rFonts w:cs="Times New Roman"/>
          <w:sz w:val="24"/>
          <w:szCs w:val="24"/>
          <w:rtl/>
          <w:lang w:val="ar-SA"/>
        </w:rPr>
        <w:t xml:space="preserve">لعام </w:t>
      </w:r>
      <w:r>
        <w:rPr>
          <w:rStyle w:val="None"/>
          <w:rFonts w:ascii="Times New Roman" w:hAnsi="Times New Roman"/>
          <w:sz w:val="24"/>
          <w:szCs w:val="24"/>
          <w:rtl/>
          <w:lang w:val="ar-SA"/>
        </w:rPr>
        <w:t>1946</w:t>
      </w:r>
      <w:r>
        <w:rPr>
          <w:rStyle w:val="None"/>
          <w:rFonts w:cs="Times New Roman"/>
          <w:sz w:val="24"/>
          <w:szCs w:val="24"/>
          <w:rtl/>
          <w:lang w:val="ar-SA"/>
        </w:rPr>
        <w:t xml:space="preserve">، والذي تم تعديله بالقانون رقم </w:t>
      </w:r>
      <w:r>
        <w:rPr>
          <w:rStyle w:val="None"/>
          <w:rFonts w:ascii="Times New Roman" w:hAnsi="Times New Roman"/>
          <w:sz w:val="24"/>
          <w:szCs w:val="24"/>
          <w:rtl/>
          <w:lang w:val="ar-SA"/>
        </w:rPr>
        <w:t xml:space="preserve">28 </w:t>
      </w:r>
      <w:r>
        <w:rPr>
          <w:rStyle w:val="None"/>
          <w:rFonts w:cs="Times New Roman"/>
          <w:sz w:val="24"/>
          <w:szCs w:val="24"/>
          <w:rtl/>
          <w:lang w:val="ar-SA"/>
        </w:rPr>
        <w:t xml:space="preserve">لعام </w:t>
      </w:r>
      <w:r>
        <w:rPr>
          <w:rStyle w:val="None"/>
          <w:rFonts w:ascii="Times New Roman" w:hAnsi="Times New Roman"/>
          <w:sz w:val="24"/>
          <w:szCs w:val="24"/>
          <w:rtl/>
          <w:lang w:val="ar-SA"/>
        </w:rPr>
        <w:t>1980</w:t>
      </w:r>
      <w:r>
        <w:rPr>
          <w:rStyle w:val="None"/>
          <w:rFonts w:cs="Times New Roman"/>
          <w:sz w:val="24"/>
          <w:szCs w:val="24"/>
          <w:rtl/>
          <w:lang w:val="ar-SA"/>
        </w:rPr>
        <w:t xml:space="preserve">م، كما نص القانون المدني السوري رقم </w:t>
      </w:r>
      <w:r>
        <w:rPr>
          <w:rStyle w:val="None"/>
          <w:rFonts w:ascii="Times New Roman" w:hAnsi="Times New Roman"/>
          <w:sz w:val="24"/>
          <w:szCs w:val="24"/>
          <w:rtl/>
          <w:lang w:val="ar-SA"/>
        </w:rPr>
        <w:t xml:space="preserve">84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1948 </w:t>
      </w:r>
      <w:r>
        <w:rPr>
          <w:rStyle w:val="None"/>
          <w:rFonts w:cs="Times New Roman"/>
          <w:sz w:val="24"/>
          <w:szCs w:val="24"/>
          <w:rtl/>
          <w:lang w:val="ar-SA"/>
        </w:rPr>
        <w:t xml:space="preserve">في المادة </w:t>
      </w:r>
      <w:r>
        <w:rPr>
          <w:rStyle w:val="None"/>
          <w:rFonts w:ascii="Times New Roman" w:hAnsi="Times New Roman"/>
          <w:sz w:val="24"/>
          <w:szCs w:val="24"/>
          <w:rtl/>
          <w:lang w:val="ar-SA"/>
        </w:rPr>
        <w:t xml:space="preserve">89 </w:t>
      </w:r>
      <w:r>
        <w:rPr>
          <w:rStyle w:val="None"/>
          <w:rFonts w:cs="Times New Roman"/>
          <w:sz w:val="24"/>
          <w:szCs w:val="24"/>
          <w:rtl/>
          <w:lang w:val="ar-SA"/>
        </w:rPr>
        <w:t xml:space="preserve">على أنَّ </w:t>
      </w:r>
      <w:r>
        <w:rPr>
          <w:rStyle w:val="None"/>
          <w:rFonts w:ascii="Times New Roman" w:hAnsi="Times New Roman"/>
          <w:sz w:val="24"/>
          <w:szCs w:val="24"/>
          <w:rtl/>
          <w:lang w:val="ar-SA"/>
        </w:rPr>
        <w:t>"</w:t>
      </w:r>
      <w:r>
        <w:rPr>
          <w:rStyle w:val="None"/>
          <w:rFonts w:cs="Times New Roman"/>
          <w:sz w:val="24"/>
          <w:szCs w:val="24"/>
          <w:rtl/>
          <w:lang w:val="ar-SA"/>
        </w:rPr>
        <w:t>الحقوق المتعلقة بالأشياء غير المادية تنظمها قوانين خاصة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9701F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أولت وزارة الاقتصاد والتجارة اهتمامًا خاصًا بالانضمام إلى المعاهدات الدولية والمنظمة العالمية للملكية الفكرية، وقد تم الانضمام إلى وثيقة استوكهولم لعام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المعدلة لاتفاقية باريس لحماية الملكية الصناعية في </w:t>
      </w:r>
      <w:r>
        <w:rPr>
          <w:rStyle w:val="None"/>
          <w:rFonts w:ascii="Times New Roman" w:hAnsi="Times New Roman"/>
          <w:sz w:val="24"/>
          <w:szCs w:val="24"/>
          <w:rtl/>
          <w:lang w:val="ar-SA"/>
        </w:rPr>
        <w:t xml:space="preserve">13 </w:t>
      </w:r>
      <w:r>
        <w:rPr>
          <w:rStyle w:val="None"/>
          <w:rFonts w:cs="Times New Roman"/>
          <w:sz w:val="24"/>
          <w:szCs w:val="24"/>
          <w:rtl/>
          <w:lang w:val="ar-SA"/>
        </w:rPr>
        <w:t xml:space="preserve">ديسمبر </w:t>
      </w:r>
      <w:r>
        <w:rPr>
          <w:rStyle w:val="None"/>
          <w:rFonts w:ascii="Times New Roman" w:hAnsi="Times New Roman"/>
          <w:sz w:val="24"/>
          <w:szCs w:val="24"/>
          <w:rtl/>
          <w:lang w:val="ar-SA"/>
        </w:rPr>
        <w:t>2002</w:t>
      </w:r>
      <w:r>
        <w:rPr>
          <w:rStyle w:val="None"/>
          <w:rFonts w:cs="Times New Roman"/>
          <w:sz w:val="24"/>
          <w:szCs w:val="24"/>
          <w:rtl/>
          <w:lang w:val="ar-SA"/>
        </w:rPr>
        <w:t>؛ ممَّا مهد الطريق للانضمام إلى بقية المعاهدات،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الوايبو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1967</w:t>
      </w:r>
      <w:r>
        <w:rPr>
          <w:rStyle w:val="None"/>
          <w:rFonts w:cs="Times New Roman"/>
          <w:sz w:val="24"/>
          <w:szCs w:val="24"/>
          <w:rtl/>
          <w:lang w:val="ar-SA"/>
        </w:rPr>
        <w:t xml:space="preserve">، التي تم الانضمام إليها في </w:t>
      </w:r>
      <w:r>
        <w:rPr>
          <w:rStyle w:val="None"/>
          <w:rFonts w:ascii="Times New Roman" w:hAnsi="Times New Roman"/>
          <w:sz w:val="24"/>
          <w:szCs w:val="24"/>
          <w:rtl/>
          <w:lang w:val="ar-SA"/>
        </w:rPr>
        <w:t xml:space="preserve">18 </w:t>
      </w:r>
      <w:r>
        <w:rPr>
          <w:rStyle w:val="None"/>
          <w:rFonts w:cs="Times New Roman"/>
          <w:sz w:val="24"/>
          <w:szCs w:val="24"/>
          <w:rtl/>
          <w:lang w:val="ar-SA"/>
        </w:rPr>
        <w:t xml:space="preserve">نوفمبر </w:t>
      </w:r>
      <w:r>
        <w:rPr>
          <w:rStyle w:val="None"/>
          <w:rFonts w:ascii="Times New Roman" w:hAnsi="Times New Roman"/>
          <w:sz w:val="24"/>
          <w:szCs w:val="24"/>
          <w:rtl/>
          <w:lang w:val="ar-SA"/>
        </w:rPr>
        <w:t>2004.</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8"/>
      </w:r>
      <w:r>
        <w:rPr>
          <w:rStyle w:val="None"/>
          <w:rFonts w:ascii="Times New Roman" w:hAnsi="Times New Roman"/>
          <w:sz w:val="24"/>
          <w:szCs w:val="24"/>
          <w:vertAlign w:val="superscript"/>
          <w:rtl/>
          <w:lang w:val="ar-SA"/>
        </w:rPr>
        <w:t>)</w:t>
      </w:r>
    </w:p>
    <w:p w14:paraId="20333B8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انضمت سوريا إلى المعاهدات الدولية المتعلقة بالتسجيل الدولي،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التعاون بشأن البراءات لعام </w:t>
      </w:r>
      <w:r>
        <w:rPr>
          <w:rStyle w:val="None"/>
          <w:rFonts w:ascii="Times New Roman" w:hAnsi="Times New Roman"/>
          <w:sz w:val="24"/>
          <w:szCs w:val="24"/>
          <w:rtl/>
          <w:lang w:val="ar-SA"/>
        </w:rPr>
        <w:t xml:space="preserve">1970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26 </w:t>
      </w:r>
      <w:r>
        <w:rPr>
          <w:rStyle w:val="None"/>
          <w:rFonts w:cs="Times New Roman"/>
          <w:sz w:val="24"/>
          <w:szCs w:val="24"/>
          <w:rtl/>
          <w:lang w:val="ar-SA"/>
        </w:rPr>
        <w:t xml:space="preserve">يونيو </w:t>
      </w:r>
      <w:r>
        <w:rPr>
          <w:rStyle w:val="None"/>
          <w:rFonts w:ascii="Times New Roman" w:hAnsi="Times New Roman"/>
          <w:sz w:val="24"/>
          <w:szCs w:val="24"/>
          <w:rtl/>
          <w:lang w:val="ar-SA"/>
        </w:rPr>
        <w:t>2003</w:t>
      </w:r>
      <w:r>
        <w:rPr>
          <w:rStyle w:val="None"/>
          <w:rFonts w:cs="Times New Roman"/>
          <w:sz w:val="24"/>
          <w:szCs w:val="24"/>
          <w:rtl/>
          <w:lang w:val="ar-SA"/>
        </w:rPr>
        <w:t xml:space="preserve">، تتيح هذه المعاهدة للمخترعين السوريين تسجيل طلباتهم عالميًا، مع تخفيضات كبيرة تصل إلى </w:t>
      </w:r>
      <w:r>
        <w:rPr>
          <w:rStyle w:val="None"/>
          <w:rFonts w:ascii="Times New Roman" w:hAnsi="Times New Roman"/>
          <w:sz w:val="24"/>
          <w:szCs w:val="24"/>
          <w:rtl/>
          <w:lang w:val="ar-SA"/>
        </w:rPr>
        <w:t xml:space="preserve">90% </w:t>
      </w:r>
      <w:r>
        <w:rPr>
          <w:rStyle w:val="None"/>
          <w:rFonts w:cs="Times New Roman"/>
          <w:sz w:val="24"/>
          <w:szCs w:val="24"/>
          <w:rtl/>
          <w:lang w:val="ar-SA"/>
        </w:rPr>
        <w:t xml:space="preserve">على الرسوم المعتمدة، وهو تخفيض ينطبق على جميع مواطني الدول النامية يسهم الانضمام إلى هذه المعاهدة في زيادة الطلبات الدولية الراغبة في حماية حقوقها في سوريا؛ ممَّا ينعكس إيجابيًا على المستوى المحلي، من خلال جذب المزيد من الاستثمارات الخارجية، انضمت سوريا إلى اتفاق مدريد بشأن التسجيل الدولي للعلامات لعام </w:t>
      </w:r>
      <w:r>
        <w:rPr>
          <w:rStyle w:val="None"/>
          <w:rFonts w:ascii="Times New Roman" w:hAnsi="Times New Roman"/>
          <w:sz w:val="24"/>
          <w:szCs w:val="24"/>
          <w:rtl/>
          <w:lang w:val="ar-SA"/>
        </w:rPr>
        <w:t xml:space="preserve">1891 </w:t>
      </w:r>
      <w:r>
        <w:rPr>
          <w:rStyle w:val="None"/>
          <w:rFonts w:cs="Times New Roman"/>
          <w:sz w:val="24"/>
          <w:szCs w:val="24"/>
          <w:rtl/>
          <w:lang w:val="ar-SA"/>
        </w:rPr>
        <w:t xml:space="preserve">واتفاق مدريد لعام </w:t>
      </w:r>
      <w:r>
        <w:rPr>
          <w:rStyle w:val="None"/>
          <w:rFonts w:ascii="Times New Roman" w:hAnsi="Times New Roman"/>
          <w:sz w:val="24"/>
          <w:szCs w:val="24"/>
          <w:rtl/>
          <w:lang w:val="ar-SA"/>
        </w:rPr>
        <w:t xml:space="preserve">1989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أغسطس </w:t>
      </w:r>
      <w:r>
        <w:rPr>
          <w:rStyle w:val="None"/>
          <w:rFonts w:ascii="Times New Roman" w:hAnsi="Times New Roman"/>
          <w:sz w:val="24"/>
          <w:szCs w:val="24"/>
          <w:rtl/>
          <w:lang w:val="ar-SA"/>
        </w:rPr>
        <w:t>2004</w:t>
      </w:r>
      <w:r>
        <w:rPr>
          <w:rStyle w:val="None"/>
          <w:rFonts w:cs="Times New Roman"/>
          <w:sz w:val="24"/>
          <w:szCs w:val="24"/>
          <w:rtl/>
          <w:lang w:val="ar-SA"/>
        </w:rPr>
        <w:t xml:space="preserve">، يتيح هذا الانضمام للمواطنين السوريين إمكانية تسجيل علاماتهم لدى الدول الأعضاء برسوم أقل، مقارنةً بتقديم طلبات متعددة لكل دولة؛ حيث يتطلب ذلك دفع رسوم فحص وتسجيل في كل بلد، كما يسهل الانضمام إلى الاتفاقية عملية تسجيل الطلبات الواردة من الخارج في سوريا عبر المكتب الدولي في منظمة الوايبو؛ ممَّا يحقق عائدات تسجيل للبلاد، ويعزّز فرص الاستثمارات الأجنبية وفي </w:t>
      </w:r>
      <w:r>
        <w:rPr>
          <w:rStyle w:val="None"/>
          <w:rFonts w:ascii="Times New Roman" w:hAnsi="Times New Roman"/>
          <w:sz w:val="24"/>
          <w:szCs w:val="24"/>
          <w:rtl/>
          <w:lang w:val="ar-SA"/>
        </w:rPr>
        <w:t xml:space="preserve">7 </w:t>
      </w:r>
      <w:r>
        <w:rPr>
          <w:rStyle w:val="None"/>
          <w:rFonts w:cs="Times New Roman"/>
          <w:sz w:val="24"/>
          <w:szCs w:val="24"/>
          <w:rtl/>
          <w:lang w:val="ar-SA"/>
        </w:rPr>
        <w:t xml:space="preserve">فبراير </w:t>
      </w:r>
      <w:r>
        <w:rPr>
          <w:rStyle w:val="None"/>
          <w:rFonts w:ascii="Times New Roman" w:hAnsi="Times New Roman"/>
          <w:sz w:val="24"/>
          <w:szCs w:val="24"/>
          <w:rtl/>
          <w:lang w:val="ar-SA"/>
        </w:rPr>
        <w:t xml:space="preserve">2008 </w:t>
      </w:r>
      <w:r>
        <w:rPr>
          <w:rStyle w:val="None"/>
          <w:rFonts w:cs="Times New Roman"/>
          <w:sz w:val="24"/>
          <w:szCs w:val="24"/>
          <w:rtl/>
          <w:lang w:val="ar-SA"/>
        </w:rPr>
        <w:t xml:space="preserve">انضمت سوريا أيضًا إلى اتفاق لاهاي </w:t>
      </w:r>
      <w:r>
        <w:rPr>
          <w:rStyle w:val="None"/>
          <w:rFonts w:ascii="Times New Roman" w:hAnsi="Times New Roman"/>
          <w:sz w:val="24"/>
          <w:szCs w:val="24"/>
          <w:rtl/>
          <w:lang w:val="ar-SA"/>
        </w:rPr>
        <w:t>(</w:t>
      </w:r>
      <w:r>
        <w:rPr>
          <w:rStyle w:val="None"/>
          <w:rFonts w:cs="Times New Roman"/>
          <w:sz w:val="24"/>
          <w:szCs w:val="24"/>
          <w:rtl/>
          <w:lang w:val="ar-SA"/>
        </w:rPr>
        <w:t>جنيف</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بشأن التسجيل الدولي للرسوم والنماذج الصناعية لعام </w:t>
      </w:r>
      <w:r>
        <w:rPr>
          <w:rStyle w:val="None"/>
          <w:rFonts w:ascii="Times New Roman" w:hAnsi="Times New Roman"/>
          <w:sz w:val="24"/>
          <w:szCs w:val="24"/>
          <w:rtl/>
          <w:lang w:val="ar-SA"/>
        </w:rPr>
        <w:t>1999</w:t>
      </w:r>
      <w:r>
        <w:rPr>
          <w:rStyle w:val="None"/>
          <w:rFonts w:cs="Times New Roman"/>
          <w:sz w:val="24"/>
          <w:szCs w:val="24"/>
          <w:rtl/>
          <w:lang w:val="ar-SA"/>
        </w:rPr>
        <w:t xml:space="preserve">، وقد صدر القانون رقم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2007 </w:t>
      </w:r>
      <w:r>
        <w:rPr>
          <w:rStyle w:val="None"/>
          <w:rFonts w:cs="Times New Roman"/>
          <w:sz w:val="24"/>
          <w:szCs w:val="24"/>
          <w:rtl/>
          <w:lang w:val="ar-SA"/>
        </w:rPr>
        <w:t>المتعلق بحماية العلامات الفارقة، والرسوم والنماذج الصناعية، والمؤشرات الجغرافية، والمنافسة غير المشروعة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9"/>
      </w:r>
      <w:r>
        <w:rPr>
          <w:rStyle w:val="None"/>
          <w:rFonts w:ascii="Times New Roman" w:hAnsi="Times New Roman"/>
          <w:sz w:val="24"/>
          <w:szCs w:val="24"/>
          <w:vertAlign w:val="superscript"/>
          <w:rtl/>
          <w:lang w:val="ar-SA"/>
        </w:rPr>
        <w:t>)</w:t>
      </w:r>
    </w:p>
    <w:p w14:paraId="6880230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فقد صدر أول قانون لحماية حق المؤلف في سوريا بتاريخ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فبراير عام </w:t>
      </w:r>
      <w:r>
        <w:rPr>
          <w:rStyle w:val="None"/>
          <w:rFonts w:ascii="Times New Roman" w:hAnsi="Times New Roman"/>
          <w:sz w:val="24"/>
          <w:szCs w:val="24"/>
          <w:rtl/>
          <w:lang w:val="ar-SA"/>
        </w:rPr>
        <w:t xml:space="preserve">2001 </w:t>
      </w:r>
      <w:r>
        <w:rPr>
          <w:rStyle w:val="None"/>
          <w:rFonts w:cs="Times New Roman"/>
          <w:sz w:val="24"/>
          <w:szCs w:val="24"/>
          <w:rtl/>
          <w:lang w:val="ar-SA"/>
        </w:rPr>
        <w:t xml:space="preserve">رقم </w:t>
      </w:r>
      <w:r>
        <w:rPr>
          <w:rStyle w:val="None"/>
          <w:rFonts w:ascii="Times New Roman" w:hAnsi="Times New Roman"/>
          <w:sz w:val="24"/>
          <w:szCs w:val="24"/>
          <w:rtl/>
          <w:lang w:val="ar-SA"/>
        </w:rPr>
        <w:t>12</w:t>
      </w:r>
      <w:r>
        <w:rPr>
          <w:rStyle w:val="None"/>
          <w:rFonts w:cs="Times New Roman"/>
          <w:sz w:val="24"/>
          <w:szCs w:val="24"/>
          <w:rtl/>
          <w:lang w:val="ar-SA"/>
        </w:rPr>
        <w:t xml:space="preserve">، ولكن هذا القانون لم يواكب </w:t>
      </w:r>
      <w:r>
        <w:rPr>
          <w:rStyle w:val="None"/>
          <w:rFonts w:ascii="Times New Roman" w:hAnsi="Times New Roman"/>
          <w:sz w:val="24"/>
          <w:szCs w:val="24"/>
          <w:rtl/>
          <w:lang w:val="ar-SA"/>
        </w:rPr>
        <w:t>-</w:t>
      </w:r>
      <w:r>
        <w:rPr>
          <w:rStyle w:val="None"/>
          <w:rFonts w:cs="Times New Roman"/>
          <w:sz w:val="24"/>
          <w:szCs w:val="24"/>
          <w:rtl/>
          <w:lang w:val="ar-SA"/>
        </w:rPr>
        <w:t>إلى حدٍّ ما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الإبداعات والابتكارات المتطوِّرة وحاجة الإبداع الفكري المتجدد إلى قواعد متطوِّرة لحماية الإبداعات ومعاقبة مَن يتعدى عليها، الأمر الذي دفع المشرع السوري إلى تعديل القانون رقم </w:t>
      </w:r>
      <w:r>
        <w:rPr>
          <w:rStyle w:val="None"/>
          <w:rFonts w:ascii="Times New Roman" w:hAnsi="Times New Roman"/>
          <w:sz w:val="24"/>
          <w:szCs w:val="24"/>
          <w:rtl/>
          <w:lang w:val="ar-SA"/>
        </w:rPr>
        <w:t xml:space="preserve">12 </w:t>
      </w:r>
      <w:r>
        <w:rPr>
          <w:rStyle w:val="None"/>
          <w:rFonts w:cs="Times New Roman"/>
          <w:sz w:val="24"/>
          <w:szCs w:val="24"/>
          <w:rtl/>
          <w:lang w:val="ar-SA"/>
        </w:rPr>
        <w:t xml:space="preserve">بقانون جديد لحماية حقوق المؤلف والحقوق المجاورة، وتمثل ذلك بالمرسوم التشريعي رقم </w:t>
      </w:r>
      <w:r>
        <w:rPr>
          <w:rStyle w:val="None"/>
          <w:rFonts w:ascii="Times New Roman" w:hAnsi="Times New Roman"/>
          <w:sz w:val="24"/>
          <w:szCs w:val="24"/>
          <w:rtl/>
          <w:lang w:val="ar-SA"/>
        </w:rPr>
        <w:t xml:space="preserve">62 </w:t>
      </w:r>
      <w:r>
        <w:rPr>
          <w:rStyle w:val="None"/>
          <w:rFonts w:cs="Times New Roman"/>
          <w:sz w:val="24"/>
          <w:szCs w:val="24"/>
          <w:rtl/>
          <w:lang w:val="ar-SA"/>
        </w:rPr>
        <w:t xml:space="preserve">عام </w:t>
      </w:r>
      <w:r>
        <w:rPr>
          <w:rStyle w:val="None"/>
          <w:rFonts w:ascii="Times New Roman" w:hAnsi="Times New Roman"/>
          <w:sz w:val="24"/>
          <w:szCs w:val="24"/>
          <w:rtl/>
          <w:lang w:val="ar-SA"/>
        </w:rPr>
        <w:t xml:space="preserve">2013.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0"/>
      </w:r>
      <w:r>
        <w:rPr>
          <w:rStyle w:val="None"/>
          <w:rFonts w:ascii="Times New Roman" w:hAnsi="Times New Roman"/>
          <w:sz w:val="24"/>
          <w:szCs w:val="24"/>
          <w:vertAlign w:val="superscript"/>
          <w:rtl/>
          <w:lang w:val="ar-SA"/>
        </w:rPr>
        <w:t>)</w:t>
      </w:r>
    </w:p>
    <w:p w14:paraId="16CCB41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 xml:space="preserve">1947 </w:t>
      </w:r>
      <w:r>
        <w:rPr>
          <w:rStyle w:val="None"/>
          <w:rFonts w:cs="Times New Roman"/>
          <w:sz w:val="24"/>
          <w:szCs w:val="24"/>
          <w:rtl/>
          <w:lang w:val="ar-SA"/>
        </w:rPr>
        <w:t xml:space="preserve">ناقشت اللجنة القانونية الدائمة التابعة لجامعة الدول العربية في اجتماعاتها توحيد القوانين المتعلقة بحماية حقوق المؤلف في الدول العربية، وقد وافق مجلس جامعة الدول العربية على مشروع قانون أعدته اللجنة لحماية حقوق المؤلف، وتم إصدار القرار في </w:t>
      </w:r>
      <w:r>
        <w:rPr>
          <w:rStyle w:val="None"/>
          <w:rFonts w:ascii="Times New Roman" w:hAnsi="Times New Roman"/>
          <w:sz w:val="24"/>
          <w:szCs w:val="24"/>
          <w:rtl/>
          <w:lang w:val="ar-SA"/>
        </w:rPr>
        <w:t xml:space="preserve">17 </w:t>
      </w:r>
      <w:r>
        <w:rPr>
          <w:rStyle w:val="None"/>
          <w:rFonts w:cs="Times New Roman"/>
          <w:sz w:val="24"/>
          <w:szCs w:val="24"/>
          <w:rtl/>
          <w:lang w:val="ar-SA"/>
        </w:rPr>
        <w:t xml:space="preserve">فبراير </w:t>
      </w:r>
      <w:r>
        <w:rPr>
          <w:rStyle w:val="None"/>
          <w:rFonts w:ascii="Times New Roman" w:hAnsi="Times New Roman"/>
          <w:sz w:val="24"/>
          <w:szCs w:val="24"/>
          <w:rtl/>
          <w:lang w:val="ar-SA"/>
        </w:rPr>
        <w:t>1948</w:t>
      </w:r>
      <w:r>
        <w:rPr>
          <w:rStyle w:val="None"/>
          <w:rFonts w:cs="Times New Roman"/>
          <w:sz w:val="24"/>
          <w:szCs w:val="24"/>
          <w:rtl/>
          <w:lang w:val="ar-SA"/>
        </w:rPr>
        <w:t xml:space="preserve">؛ حيث أوصى الدول العربية بإصدار تشريعات تتماشى مع هذا المشروع الذي يتضمن </w:t>
      </w:r>
      <w:r>
        <w:rPr>
          <w:rStyle w:val="None"/>
          <w:rFonts w:ascii="Times New Roman" w:hAnsi="Times New Roman"/>
          <w:sz w:val="24"/>
          <w:szCs w:val="24"/>
          <w:rtl/>
          <w:lang w:val="ar-SA"/>
        </w:rPr>
        <w:t xml:space="preserve">59 </w:t>
      </w:r>
      <w:r>
        <w:rPr>
          <w:rStyle w:val="None"/>
          <w:rFonts w:cs="Times New Roman"/>
          <w:sz w:val="24"/>
          <w:szCs w:val="24"/>
          <w:rtl/>
          <w:lang w:val="ar-SA"/>
        </w:rPr>
        <w:t xml:space="preserve">مادةً، وفقًا للمادة الأولى يتمتع بالحماية </w:t>
      </w:r>
      <w:r>
        <w:rPr>
          <w:rStyle w:val="None"/>
          <w:rFonts w:ascii="Times New Roman" w:hAnsi="Times New Roman"/>
          <w:sz w:val="24"/>
          <w:szCs w:val="24"/>
          <w:rtl/>
          <w:lang w:val="ar-SA"/>
        </w:rPr>
        <w:t>"</w:t>
      </w:r>
      <w:r>
        <w:rPr>
          <w:rStyle w:val="None"/>
          <w:rFonts w:cs="Times New Roman"/>
          <w:sz w:val="24"/>
          <w:szCs w:val="24"/>
          <w:rtl/>
          <w:lang w:val="ar-SA"/>
        </w:rPr>
        <w:t>مؤلفو المصنفات المبتكرة في الآداب والفنون والعلوم، بغض النظر عن نوع المصنف أو الغرض من تصنيفه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1"/>
      </w:r>
      <w:r>
        <w:rPr>
          <w:rStyle w:val="None"/>
          <w:rFonts w:ascii="Times New Roman" w:hAnsi="Times New Roman"/>
          <w:sz w:val="24"/>
          <w:szCs w:val="24"/>
          <w:vertAlign w:val="superscript"/>
          <w:rtl/>
          <w:lang w:val="ar-SA"/>
        </w:rPr>
        <w:t>)</w:t>
      </w:r>
    </w:p>
    <w:p w14:paraId="4625831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عقد مؤتمر وزراء الثقافة العرب في بغداد من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أكتوبر إلى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نوفمبر </w:t>
      </w:r>
      <w:r>
        <w:rPr>
          <w:rStyle w:val="None"/>
          <w:rFonts w:ascii="Times New Roman" w:hAnsi="Times New Roman"/>
          <w:sz w:val="24"/>
          <w:szCs w:val="24"/>
          <w:rtl/>
          <w:lang w:val="ar-SA"/>
        </w:rPr>
        <w:t>1981</w:t>
      </w:r>
      <w:r>
        <w:rPr>
          <w:rStyle w:val="None"/>
          <w:rFonts w:cs="Times New Roman"/>
          <w:sz w:val="24"/>
          <w:szCs w:val="24"/>
          <w:rtl/>
          <w:lang w:val="ar-SA"/>
        </w:rPr>
        <w:t>؛ حيث تم توقيع اتفاقية لحماية حقوق المؤلف من قبل جميع الدول العربية باستثناء مصر ولبنان، إنَّ وضع تشريع يتعلق بحق المؤلف يُعَدُّ أمرًا بالغ الأهمية؛ حيث يرتبط بعدة اعتبارات قد تكون متعارضةً، ويتوجب على التشريع التوفيق بينها، وبما أنَّ التشريع يتأثر بالظروف السياسية، والاقتصادية، والاجتماعية لكل دولة، ومع الحاجة الملحة للمؤلفين إلى تشريعات وطنية لحماية حقوقهم، كان من الطبيعي أنْ تسعى الدول العربية إلى إصدار تشريعات في هذا المجال؛ ممَّا يسهم في خلق بيئة مناسبة لنشر المصنفات الأدبية والفنية والعلمية، ويتيح للمؤلفين الحصول على عائد عادل من أعمالهم؛ ممَّا يساعدهم على التركيز على الإبداع وتحقيق المكانة الأدبية التي يستحقونها، ومع ذلك لا تزال أكثر من ثلث الدول النامية في العالم تفتقر إلى تشريعات لحماية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2"/>
      </w:r>
      <w:r>
        <w:rPr>
          <w:rStyle w:val="None"/>
          <w:rFonts w:ascii="Times New Roman" w:hAnsi="Times New Roman"/>
          <w:sz w:val="24"/>
          <w:szCs w:val="24"/>
          <w:vertAlign w:val="superscript"/>
          <w:rtl/>
          <w:lang w:val="ar-SA"/>
        </w:rPr>
        <w:t>)</w:t>
      </w:r>
    </w:p>
    <w:p w14:paraId="2822CDB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في السياق ذاته</w:t>
      </w:r>
      <w:r>
        <w:rPr>
          <w:rStyle w:val="None"/>
          <w:rFonts w:ascii="Times New Roman" w:hAnsi="Times New Roman"/>
          <w:sz w:val="24"/>
          <w:szCs w:val="24"/>
          <w:rtl/>
          <w:lang w:val="ar-SA"/>
        </w:rPr>
        <w:t xml:space="preserve">: </w:t>
      </w:r>
      <w:r>
        <w:rPr>
          <w:rStyle w:val="None"/>
          <w:rFonts w:cs="Times New Roman"/>
          <w:sz w:val="24"/>
          <w:szCs w:val="24"/>
          <w:rtl/>
          <w:lang w:val="ar-SA"/>
        </w:rPr>
        <w:t>أبرمت الدول العربية المعاهدة الثقافية التي وافق عليها مجلس جامعة الدول العربية في ٢٧ نوفمبر ١٩٤٥؛ حيث تنص المادة الثامنة على التزام الدول بوضع تشريعات لحماية الملكية الأدبية والعلمية والفنية لما يُنشر في كل دولة من دول الجامعة، كما وافق المجلس في مايو ١٩٦٤ على دستور المنظمة العربية للتربية والثقافة والعلوم، وأقر ميثاق الوحدة الثقافية العربية الذي ينص في مادته ٢١ على ضرورة أنْ تعمل الدول الأعضاء على وضع تشريعات لحماية الملكية الأدبية والعلمية والفنية في كل دولة من دول الجامعة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3"/>
      </w:r>
      <w:r>
        <w:rPr>
          <w:rStyle w:val="None"/>
          <w:rFonts w:ascii="Times New Roman" w:hAnsi="Times New Roman"/>
          <w:sz w:val="24"/>
          <w:szCs w:val="24"/>
          <w:vertAlign w:val="superscript"/>
          <w:rtl/>
          <w:lang w:val="ar-SA"/>
        </w:rPr>
        <w:t>)</w:t>
      </w:r>
    </w:p>
    <w:p w14:paraId="5A39CBF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 xml:space="preserve">في المملكة العربية السعودية وتحديدًا في عام ١٩٣٩م صدر القانون الأول للعلامات التجارية، وهو خطوة مبكرة لضمان حقوق المبدعين وفي ١٩٨٢م، كما انضمت السعودية إلى </w:t>
      </w:r>
      <w:r>
        <w:rPr>
          <w:rStyle w:val="None"/>
          <w:rFonts w:ascii="Times New Roman" w:hAnsi="Times New Roman"/>
          <w:sz w:val="24"/>
          <w:szCs w:val="24"/>
        </w:rPr>
        <w:t>WIPO</w:t>
      </w:r>
      <w:r>
        <w:rPr>
          <w:rStyle w:val="None"/>
          <w:rFonts w:cs="Times New Roman"/>
          <w:sz w:val="24"/>
          <w:szCs w:val="24"/>
          <w:rtl/>
          <w:lang w:val="ar-SA"/>
        </w:rPr>
        <w:t>؛ ممَّا عزّز من مكانتها دوليًا وفي عام ٢٠١٨ أسست الهيئة السعودية للملكية الفكرية لتعزيز الحماية والتنظيم</w:t>
      </w:r>
      <w:r>
        <w:rPr>
          <w:rStyle w:val="None"/>
          <w:rFonts w:ascii="Times New Roman" w:hAnsi="Times New Roman"/>
          <w:sz w:val="24"/>
          <w:szCs w:val="24"/>
          <w:rtl/>
          <w:lang w:val="ar-SA"/>
        </w:rPr>
        <w:t>.</w:t>
      </w:r>
    </w:p>
    <w:p w14:paraId="7652228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802D16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2F2775B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7DAE005" w14:textId="77777777" w:rsidR="00454428" w:rsidRDefault="00000000" w:rsidP="00C72BA8">
      <w:pPr>
        <w:pStyle w:val="a"/>
        <w:rPr>
          <w:rStyle w:val="None"/>
          <w:b w:val="0"/>
          <w:bCs w:val="0"/>
          <w:lang w:val="ar-SA"/>
        </w:rPr>
      </w:pPr>
      <w:bookmarkStart w:id="87" w:name="_Toc42"/>
      <w:r>
        <w:rPr>
          <w:rStyle w:val="None"/>
          <w:rFonts w:ascii="Arial Unicode MS" w:eastAsia="Arial Unicode MS" w:hAnsi="Arial Unicode MS" w:hint="cs"/>
          <w:rtl/>
          <w:lang w:val="ar-SA"/>
        </w:rPr>
        <w:t>المطلب الثاني</w:t>
      </w:r>
      <w:bookmarkEnd w:id="87"/>
    </w:p>
    <w:p w14:paraId="42D0D5B1" w14:textId="77777777" w:rsidR="00454428" w:rsidRDefault="00000000" w:rsidP="00C72BA8">
      <w:pPr>
        <w:pStyle w:val="a"/>
        <w:rPr>
          <w:rStyle w:val="None"/>
          <w:b w:val="0"/>
          <w:bCs w:val="0"/>
          <w:lang w:val="ar-SA"/>
        </w:rPr>
      </w:pPr>
      <w:bookmarkStart w:id="88" w:name="_Hlk201742915"/>
      <w:bookmarkStart w:id="89" w:name="_Toc43"/>
      <w:r>
        <w:rPr>
          <w:rStyle w:val="None"/>
          <w:rFonts w:ascii="Arial Unicode MS" w:eastAsia="Arial Unicode MS" w:hAnsi="Arial Unicode MS" w:hint="cs"/>
          <w:rtl/>
          <w:lang w:val="ar-SA"/>
        </w:rPr>
        <w:t>تطوُّر الأطر القانونية والمؤسسية لحماية حقوق الملكية الفكرية</w:t>
      </w:r>
      <w:bookmarkEnd w:id="88"/>
      <w:bookmarkEnd w:id="89"/>
    </w:p>
    <w:p w14:paraId="60A2B1C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أصبحت حقوق الملكية الفكرية من بين الركائز الأساسية التي تعتمد عليها الدول في بناء اقتصادات المعرفة</w:t>
      </w:r>
      <w:r>
        <w:rPr>
          <w:rStyle w:val="None"/>
          <w:rFonts w:ascii="Times New Roman" w:hAnsi="Times New Roman"/>
          <w:sz w:val="24"/>
          <w:szCs w:val="24"/>
        </w:rPr>
        <w:t xml:space="preserve"> </w:t>
      </w:r>
      <w:r>
        <w:rPr>
          <w:rStyle w:val="None"/>
          <w:rFonts w:cs="Times New Roman"/>
          <w:sz w:val="24"/>
          <w:szCs w:val="24"/>
          <w:rtl/>
          <w:lang w:val="ar-SA"/>
        </w:rPr>
        <w:t>والابتكار؛ حيث تُمثل حافزًا للمبدعين والمخترعين، وتشكل ضمانةً لحماية أعمالهم من الاستغلال غير المشروع، ومع هذا التحول العالمي، برزت الحاجة إلى تطوير أطر قانونية ومؤسسية متكاملة تواكب التغيرات التكنولوجية والتجارية، وتوفر بيئة حاضنة لحماية الحقوق الفكرية، ويتناول هذا المطلب تطوُّر هذه الأطر من خلال فرعين رئيسيين</w:t>
      </w:r>
      <w:r>
        <w:rPr>
          <w:rStyle w:val="None"/>
          <w:rFonts w:ascii="Times New Roman" w:hAnsi="Times New Roman"/>
          <w:sz w:val="24"/>
          <w:szCs w:val="24"/>
          <w:rtl/>
          <w:lang w:val="ar-SA"/>
        </w:rPr>
        <w:t>:</w:t>
      </w:r>
    </w:p>
    <w:p w14:paraId="5C8B0E43" w14:textId="77777777" w:rsidR="00454428" w:rsidRDefault="00000000" w:rsidP="00C72BA8">
      <w:pPr>
        <w:pStyle w:val="BodyA"/>
        <w:numPr>
          <w:ilvl w:val="0"/>
          <w:numId w:val="66"/>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التشريعية لحماية حقوق الملكية الفكرية</w:t>
      </w:r>
      <w:r>
        <w:rPr>
          <w:rStyle w:val="None"/>
          <w:rFonts w:ascii="Times New Roman" w:hAnsi="Times New Roman"/>
          <w:sz w:val="24"/>
          <w:szCs w:val="24"/>
          <w:rtl/>
          <w:lang w:val="ar-SA"/>
        </w:rPr>
        <w:t>.</w:t>
      </w:r>
    </w:p>
    <w:p w14:paraId="5DAEFA8D" w14:textId="77777777" w:rsidR="00454428" w:rsidRDefault="00000000" w:rsidP="00C72BA8">
      <w:pPr>
        <w:pStyle w:val="BodyA"/>
        <w:numPr>
          <w:ilvl w:val="0"/>
          <w:numId w:val="66"/>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دور المؤسسات الوطنية والدولية في دعم الحماية</w:t>
      </w:r>
      <w:r>
        <w:rPr>
          <w:rStyle w:val="None"/>
          <w:rFonts w:ascii="Times New Roman" w:hAnsi="Times New Roman"/>
          <w:sz w:val="24"/>
          <w:szCs w:val="24"/>
          <w:rtl/>
          <w:lang w:val="ar-SA"/>
        </w:rPr>
        <w:t>.</w:t>
      </w:r>
    </w:p>
    <w:p w14:paraId="1CCEE7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89D0272"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A739F83"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0BB451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3B56A820"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67C97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4CD45CB"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1FB685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4DECB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324E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F037397"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327633E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BB23321"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E606FBF"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4ABEED7" w14:textId="77777777" w:rsidR="00454428" w:rsidRDefault="00454428" w:rsidP="00C72BA8">
      <w:pPr>
        <w:pStyle w:val="Default"/>
        <w:spacing w:before="120" w:after="120" w:line="360" w:lineRule="auto"/>
        <w:rPr>
          <w:rStyle w:val="None"/>
          <w:rFonts w:ascii="Times New Roman" w:eastAsia="Times New Roman" w:hAnsi="Times New Roman" w:cs="Times New Roman"/>
          <w:lang w:val="ar-SA"/>
        </w:rPr>
      </w:pPr>
    </w:p>
    <w:p w14:paraId="22E2B04E"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6D925CBA" w14:textId="77777777" w:rsidR="00454428" w:rsidRDefault="00000000" w:rsidP="00C72BA8">
      <w:pPr>
        <w:pStyle w:val="a"/>
        <w:rPr>
          <w:rStyle w:val="None"/>
          <w:b w:val="0"/>
          <w:bCs w:val="0"/>
          <w:lang w:val="ar-SA"/>
        </w:rPr>
      </w:pPr>
      <w:bookmarkStart w:id="90" w:name="_Toc44"/>
      <w:bookmarkStart w:id="91" w:name="_Hlk201758121"/>
      <w:r>
        <w:rPr>
          <w:rStyle w:val="None"/>
          <w:rFonts w:ascii="Arial Unicode MS" w:eastAsia="Arial Unicode MS" w:hAnsi="Arial Unicode MS" w:hint="cs"/>
          <w:rtl/>
          <w:lang w:val="ar-SA"/>
        </w:rPr>
        <w:t>الفرع الأول</w:t>
      </w:r>
      <w:bookmarkEnd w:id="90"/>
    </w:p>
    <w:p w14:paraId="22FC34D9" w14:textId="77777777" w:rsidR="00454428" w:rsidRDefault="00000000" w:rsidP="00C72BA8">
      <w:pPr>
        <w:pStyle w:val="a"/>
        <w:rPr>
          <w:rStyle w:val="None"/>
          <w:b w:val="0"/>
          <w:bCs w:val="0"/>
          <w:lang w:val="ar-SA"/>
        </w:rPr>
      </w:pPr>
      <w:bookmarkStart w:id="92" w:name="_Toc45"/>
      <w:r>
        <w:rPr>
          <w:rStyle w:val="None"/>
          <w:rFonts w:ascii="Arial Unicode MS" w:eastAsia="Arial Unicode MS" w:hAnsi="Arial Unicode MS" w:hint="cs"/>
          <w:rtl/>
          <w:lang w:val="ar-SA"/>
        </w:rPr>
        <w:t>تطوُّر الأطر التشريعية لحماية حقوق الملكية الفكرية</w:t>
      </w:r>
      <w:bookmarkEnd w:id="92"/>
    </w:p>
    <w:p w14:paraId="4084244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تُعَدُّ الأطر التشريعية الأساس القانوني لحماية حقوق الملكية الفكرية، وقد مرت هذه الأطر بمراحل متعددة، ففي بريطانيا</w:t>
      </w:r>
      <w:r>
        <w:rPr>
          <w:rStyle w:val="None"/>
          <w:rFonts w:ascii="Times New Roman" w:hAnsi="Times New Roman"/>
          <w:rtl/>
          <w:lang w:val="ar-SA"/>
        </w:rPr>
        <w:t xml:space="preserve">: </w:t>
      </w:r>
      <w:r>
        <w:rPr>
          <w:rStyle w:val="None"/>
          <w:rFonts w:cs="Times New Roman" w:hint="cs"/>
          <w:rtl/>
          <w:lang w:val="ar-SA"/>
        </w:rPr>
        <w:t xml:space="preserve">صدر أول قانون لحماية حقوق المؤلف عام ١٧١٠، والمعروف بـ </w:t>
      </w:r>
      <w:r>
        <w:rPr>
          <w:rStyle w:val="None"/>
          <w:rFonts w:ascii="Times New Roman" w:hAnsi="Times New Roman"/>
          <w:rtl/>
          <w:lang w:val="ar-SA"/>
        </w:rPr>
        <w:t>"</w:t>
      </w:r>
      <w:r>
        <w:rPr>
          <w:rStyle w:val="None"/>
          <w:rFonts w:cs="Times New Roman" w:hint="cs"/>
          <w:rtl/>
          <w:lang w:val="ar-SA"/>
        </w:rPr>
        <w:t>قانون آن</w:t>
      </w:r>
      <w:r>
        <w:rPr>
          <w:rStyle w:val="None"/>
          <w:rFonts w:ascii="Times New Roman" w:hAnsi="Times New Roman"/>
          <w:rtl/>
          <w:lang w:val="ar-SA"/>
        </w:rPr>
        <w:t>"</w:t>
      </w:r>
      <w:r>
        <w:rPr>
          <w:rStyle w:val="None"/>
          <w:rFonts w:cs="Times New Roman" w:hint="cs"/>
          <w:rtl/>
          <w:lang w:val="ar-SA"/>
        </w:rPr>
        <w:t>، وقد منح المؤلفين حقوق النشر الحصرية ومصنفاتهم لمدة محددة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4"/>
      </w:r>
      <w:r>
        <w:rPr>
          <w:rStyle w:val="None"/>
          <w:rFonts w:ascii="Times New Roman" w:hAnsi="Times New Roman"/>
          <w:vertAlign w:val="superscript"/>
          <w:rtl/>
          <w:lang w:val="ar-SA"/>
        </w:rPr>
        <w:t xml:space="preserve">) </w:t>
      </w:r>
    </w:p>
    <w:p w14:paraId="286F86A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وجاء في مقدمة التشريع أنَّه </w:t>
      </w:r>
      <w:r>
        <w:rPr>
          <w:rStyle w:val="None"/>
          <w:rFonts w:ascii="Times New Roman" w:hAnsi="Times New Roman"/>
          <w:rtl/>
          <w:lang w:val="ar-SA"/>
        </w:rPr>
        <w:t>"</w:t>
      </w:r>
      <w:r>
        <w:rPr>
          <w:rStyle w:val="None"/>
          <w:rFonts w:cs="Times New Roman" w:hint="cs"/>
          <w:rtl/>
          <w:lang w:val="ar-SA"/>
        </w:rPr>
        <w:t xml:space="preserve">لأنَّ الطابعين وبائعي الكتب انتهكوا مؤخرًا حرية طباعة الكتب وإعادة طبعها ونشرها، دون موافقة مؤلفيها أو مالكيها؛ ممَّا ألحق بهم ضررًا بالغًا، تم سنُّ هذا القانون الذي يمنع هذه الممارسات مستقبلًا، ويشجع العلماء على تأليف وكتابة كتب مفيدة، وحماية حقوق التأليف والملكية الخاصة بهم، كما تم إصدار قانون حقوق الطبع والنشر والتصاميم وبراءات الاختراع في المملكة المتحدة لعام </w:t>
      </w:r>
      <w:r>
        <w:rPr>
          <w:rStyle w:val="None"/>
          <w:rFonts w:ascii="Times New Roman" w:hAnsi="Times New Roman"/>
          <w:rtl/>
          <w:lang w:val="ar-SA"/>
        </w:rPr>
        <w:t>1988</w:t>
      </w:r>
      <w:r>
        <w:rPr>
          <w:rStyle w:val="None"/>
          <w:rFonts w:cs="Times New Roman" w:hint="cs"/>
          <w:rtl/>
          <w:lang w:val="ar-SA"/>
        </w:rPr>
        <w:t xml:space="preserve">، وهو التشريع الحالي الذي يحدد الإطار القانوني الذي يحكم حقوق الطبع والنشر والتصاميم وبراءات الاختراع في المملكة المتحدة وإنفاذها، علاوةً على قانون العلامات التجارية لعام </w:t>
      </w:r>
      <w:r>
        <w:rPr>
          <w:rStyle w:val="None"/>
          <w:rFonts w:ascii="Times New Roman" w:hAnsi="Times New Roman"/>
          <w:rtl/>
          <w:lang w:val="ar-SA"/>
        </w:rPr>
        <w:t>1994</w:t>
      </w:r>
      <w:r>
        <w:rPr>
          <w:rStyle w:val="None"/>
          <w:rFonts w:cs="Times New Roman" w:hint="cs"/>
          <w:rtl/>
          <w:lang w:val="ar-SA"/>
        </w:rPr>
        <w:t xml:space="preserve">، وهو القانون الحالي الذي يحكم العلامات التجارية داخل المملكة المتحدة، وهو ينفذ توجيه الاتحاد الأوروبي رقم </w:t>
      </w:r>
      <w:r>
        <w:rPr>
          <w:rStyle w:val="None"/>
          <w:rFonts w:ascii="Times New Roman" w:hAnsi="Times New Roman"/>
          <w:rtl/>
          <w:lang w:val="ar-SA"/>
        </w:rPr>
        <w:t>89/104/EEC (</w:t>
      </w:r>
      <w:r>
        <w:rPr>
          <w:rStyle w:val="None"/>
          <w:rFonts w:cs="Times New Roman" w:hint="cs"/>
          <w:rtl/>
          <w:lang w:val="ar-SA"/>
        </w:rPr>
        <w:t>توجيه العلامات التجارية</w:t>
      </w:r>
      <w:r>
        <w:rPr>
          <w:rStyle w:val="None"/>
          <w:rFonts w:ascii="Times New Roman" w:hAnsi="Times New Roman"/>
          <w:rtl/>
          <w:lang w:val="ar-SA"/>
        </w:rPr>
        <w:t>)</w:t>
      </w:r>
      <w:r>
        <w:rPr>
          <w:rStyle w:val="None"/>
          <w:rFonts w:cs="Times New Roman" w:hint="cs"/>
          <w:rtl/>
          <w:lang w:val="ar-SA"/>
        </w:rPr>
        <w:t>، الذي يشكل الإطار لقوانين العلامات التجارية لجميع الدول الأعضاء في الاتحاد الأوروبي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5"/>
      </w:r>
      <w:r>
        <w:rPr>
          <w:rStyle w:val="None"/>
          <w:rFonts w:ascii="Times New Roman" w:hAnsi="Times New Roman"/>
          <w:vertAlign w:val="superscript"/>
          <w:rtl/>
          <w:lang w:val="ar-SA"/>
        </w:rPr>
        <w:t>)</w:t>
      </w:r>
    </w:p>
    <w:p w14:paraId="598DF24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أقرت </w:t>
      </w:r>
      <w:r>
        <w:rPr>
          <w:rStyle w:val="None"/>
          <w:rFonts w:ascii="Times New Roman" w:hAnsi="Times New Roman"/>
          <w:rtl/>
          <w:lang w:val="ar-SA"/>
        </w:rPr>
        <w:t>"</w:t>
      </w:r>
      <w:r>
        <w:rPr>
          <w:rStyle w:val="None"/>
          <w:rFonts w:cs="Times New Roman" w:hint="cs"/>
          <w:rtl/>
          <w:lang w:val="ar-SA"/>
        </w:rPr>
        <w:t>قانونًا لتشجيع التعلم</w:t>
      </w:r>
      <w:r>
        <w:rPr>
          <w:rStyle w:val="None"/>
          <w:rFonts w:ascii="Times New Roman" w:hAnsi="Times New Roman"/>
          <w:rtl/>
          <w:lang w:val="ar-SA"/>
        </w:rPr>
        <w:t>"</w:t>
      </w:r>
      <w:r>
        <w:rPr>
          <w:rStyle w:val="None"/>
          <w:rFonts w:cs="Times New Roman" w:hint="cs"/>
          <w:rtl/>
          <w:lang w:val="ar-SA"/>
        </w:rPr>
        <w:t xml:space="preserve">، من خلال منح نسخ الكتب المطبوعة لمؤلفيها أو مُشتريها، والمعروف اليوم باسم قانون آن، ثم أُعيد النظر في قانون حقوق الطبع والنشر عام </w:t>
      </w:r>
      <w:r>
        <w:rPr>
          <w:rStyle w:val="None"/>
          <w:rFonts w:ascii="Times New Roman" w:hAnsi="Times New Roman"/>
          <w:rtl/>
          <w:lang w:val="ar-SA"/>
        </w:rPr>
        <w:t>1842</w:t>
      </w:r>
      <w:r>
        <w:rPr>
          <w:rStyle w:val="None"/>
          <w:rFonts w:cs="Times New Roman" w:hint="cs"/>
          <w:rtl/>
          <w:lang w:val="ar-SA"/>
        </w:rPr>
        <w:t xml:space="preserve">، عندما قدّم الرقيب توماس تالفورد </w:t>
      </w:r>
      <w:r>
        <w:rPr>
          <w:rStyle w:val="None"/>
          <w:rFonts w:ascii="Times New Roman" w:hAnsi="Times New Roman"/>
          <w:rtl/>
          <w:lang w:val="ar-SA"/>
        </w:rPr>
        <w:t>(</w:t>
      </w:r>
      <w:r>
        <w:rPr>
          <w:rStyle w:val="None"/>
          <w:rFonts w:cs="Times New Roman" w:hint="cs"/>
          <w:rtl/>
          <w:lang w:val="ar-SA"/>
        </w:rPr>
        <w:t>عضو البرلمان عن حزب اليمين عن ريدينغ</w:t>
      </w:r>
      <w:r>
        <w:rPr>
          <w:rStyle w:val="None"/>
          <w:rFonts w:ascii="Times New Roman" w:hAnsi="Times New Roman"/>
          <w:rtl/>
          <w:lang w:val="ar-SA"/>
        </w:rPr>
        <w:t xml:space="preserve">) </w:t>
      </w:r>
      <w:r>
        <w:rPr>
          <w:rStyle w:val="None"/>
          <w:rFonts w:cs="Times New Roman" w:hint="cs"/>
          <w:rtl/>
          <w:lang w:val="ar-SA"/>
        </w:rPr>
        <w:t>مشروع قانون جديد لحقوق الطبع والنشر، وقد صدر بالفعل القانون، كما مُددت حقوق الطبع والنشر لتشمل مجموعة أوسع من المواد، بما في ذلك</w:t>
      </w:r>
      <w:r>
        <w:rPr>
          <w:rStyle w:val="None"/>
          <w:rFonts w:ascii="Times New Roman" w:hAnsi="Times New Roman"/>
          <w:rtl/>
          <w:lang w:val="ar-SA"/>
        </w:rPr>
        <w:t xml:space="preserve">: </w:t>
      </w:r>
      <w:r>
        <w:rPr>
          <w:rStyle w:val="None"/>
          <w:rFonts w:cs="Times New Roman" w:hint="cs"/>
          <w:rtl/>
          <w:lang w:val="ar-SA"/>
        </w:rPr>
        <w:t>النوتات الموسيقية، والخرائط، والرسوم البيانية، والمخططات، وغيرها، وبحلول أوائل القرن العشرين، ظهرت تقنيات جديدة لم تستطع التشريعات القائمة التعامل معها؛ حيث قد أوجدت صناعات السينما والإذاعة والتلفزيون المزدهرة أشكالًا وأساليب جديدة للتعبير الإبداعي، وبالتالي</w:t>
      </w:r>
      <w:r>
        <w:rPr>
          <w:rStyle w:val="None"/>
          <w:rFonts w:ascii="Times New Roman" w:hAnsi="Times New Roman"/>
          <w:rtl/>
          <w:lang w:val="ar-SA"/>
        </w:rPr>
        <w:t xml:space="preserve">: </w:t>
      </w:r>
      <w:r>
        <w:rPr>
          <w:rStyle w:val="None"/>
          <w:rFonts w:cs="Times New Roman" w:hint="cs"/>
          <w:rtl/>
          <w:lang w:val="ar-SA"/>
        </w:rPr>
        <w:t xml:space="preserve">أصدرت المملكة المتحدة تشريعات في عامي </w:t>
      </w:r>
      <w:r>
        <w:rPr>
          <w:rStyle w:val="None"/>
          <w:rFonts w:ascii="Times New Roman" w:hAnsi="Times New Roman"/>
          <w:rtl/>
          <w:lang w:val="ar-SA"/>
        </w:rPr>
        <w:t xml:space="preserve">1911 </w:t>
      </w:r>
      <w:r>
        <w:rPr>
          <w:rStyle w:val="None"/>
          <w:rFonts w:cs="Times New Roman" w:hint="cs"/>
          <w:rtl/>
          <w:lang w:val="ar-SA"/>
        </w:rPr>
        <w:t>و</w:t>
      </w:r>
      <w:r>
        <w:rPr>
          <w:rStyle w:val="None"/>
          <w:rFonts w:ascii="Times New Roman" w:hAnsi="Times New Roman"/>
          <w:rtl/>
          <w:lang w:val="ar-SA"/>
        </w:rPr>
        <w:t xml:space="preserve">1956 </w:t>
      </w:r>
      <w:r>
        <w:rPr>
          <w:rStyle w:val="None"/>
          <w:rFonts w:cs="Times New Roman" w:hint="cs"/>
          <w:rtl/>
          <w:lang w:val="ar-SA"/>
        </w:rPr>
        <w:t xml:space="preserve">للتكيف مع احتياجات حقوق الطبع والنشر المتغيرة، ثم جاء الإصلاح الرئيسي التالي في عام </w:t>
      </w:r>
      <w:r>
        <w:rPr>
          <w:rStyle w:val="None"/>
          <w:rFonts w:ascii="Times New Roman" w:hAnsi="Times New Roman"/>
          <w:rtl/>
          <w:lang w:val="ar-SA"/>
        </w:rPr>
        <w:t>1988</w:t>
      </w:r>
      <w:r>
        <w:rPr>
          <w:rStyle w:val="None"/>
          <w:rFonts w:cs="Times New Roman" w:hint="cs"/>
          <w:rtl/>
          <w:lang w:val="ar-SA"/>
        </w:rPr>
        <w:t>، والذي لا يزال يُعمل به في الوقت الحالي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6"/>
      </w:r>
      <w:r>
        <w:rPr>
          <w:rStyle w:val="None"/>
          <w:rFonts w:ascii="Times New Roman" w:hAnsi="Times New Roman"/>
          <w:vertAlign w:val="superscript"/>
          <w:rtl/>
          <w:lang w:val="ar-SA"/>
        </w:rPr>
        <w:t>)</w:t>
      </w:r>
    </w:p>
    <w:p w14:paraId="3595B6A3"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أما في فرنسا</w:t>
      </w:r>
      <w:r>
        <w:rPr>
          <w:rStyle w:val="None"/>
          <w:rFonts w:ascii="Times New Roman" w:hAnsi="Times New Roman"/>
          <w:rtl/>
          <w:lang w:val="ar-SA"/>
        </w:rPr>
        <w:t xml:space="preserve">: </w:t>
      </w:r>
      <w:r>
        <w:rPr>
          <w:rStyle w:val="None"/>
          <w:rFonts w:cs="Times New Roman" w:hint="cs"/>
          <w:rtl/>
          <w:lang w:val="ar-SA"/>
        </w:rPr>
        <w:t>فقد وضعت قوانين خاصة، مثل</w:t>
      </w:r>
      <w:r>
        <w:rPr>
          <w:rStyle w:val="None"/>
          <w:rFonts w:ascii="Times New Roman" w:hAnsi="Times New Roman"/>
          <w:rtl/>
          <w:lang w:val="ar-SA"/>
        </w:rPr>
        <w:t>: "</w:t>
      </w:r>
      <w:r>
        <w:rPr>
          <w:rStyle w:val="None"/>
          <w:rFonts w:cs="Times New Roman" w:hint="cs"/>
          <w:rtl/>
          <w:lang w:val="ar-SA"/>
        </w:rPr>
        <w:t xml:space="preserve">القانون الفرنسي لعام </w:t>
      </w:r>
      <w:r>
        <w:rPr>
          <w:rStyle w:val="None"/>
          <w:rFonts w:ascii="Times New Roman" w:hAnsi="Times New Roman"/>
          <w:rtl/>
          <w:lang w:val="ar-SA"/>
        </w:rPr>
        <w:t>1791"</w:t>
      </w:r>
      <w:r>
        <w:rPr>
          <w:rStyle w:val="None"/>
          <w:rFonts w:cs="Times New Roman" w:hint="cs"/>
          <w:rtl/>
          <w:lang w:val="ar-SA"/>
        </w:rPr>
        <w:t xml:space="preserve">؛ لحماية فئات معينة تحت مسمى الملكية الفكرية، وينص قانون </w:t>
      </w:r>
      <w:r>
        <w:rPr>
          <w:rStyle w:val="None"/>
          <w:rFonts w:ascii="Times New Roman" w:hAnsi="Times New Roman"/>
          <w:rtl/>
          <w:lang w:val="ar-SA"/>
        </w:rPr>
        <w:t xml:space="preserve">11 </w:t>
      </w:r>
      <w:r>
        <w:rPr>
          <w:rStyle w:val="None"/>
          <w:rFonts w:cs="Times New Roman" w:hint="cs"/>
          <w:rtl/>
          <w:lang w:val="ar-SA"/>
        </w:rPr>
        <w:t xml:space="preserve">مارس </w:t>
      </w:r>
      <w:r>
        <w:rPr>
          <w:rStyle w:val="None"/>
          <w:rFonts w:ascii="Times New Roman" w:hAnsi="Times New Roman"/>
          <w:rtl/>
          <w:lang w:val="ar-SA"/>
        </w:rPr>
        <w:t xml:space="preserve">1957 </w:t>
      </w:r>
      <w:r>
        <w:rPr>
          <w:rStyle w:val="None"/>
          <w:rFonts w:cs="Times New Roman" w:hint="cs"/>
          <w:rtl/>
          <w:lang w:val="ar-SA"/>
        </w:rPr>
        <w:t xml:space="preserve">على أنَّ الملكية الفكرية تتمثل في </w:t>
      </w:r>
      <w:r>
        <w:rPr>
          <w:rStyle w:val="None"/>
          <w:rFonts w:ascii="Times New Roman" w:hAnsi="Times New Roman"/>
          <w:rtl/>
          <w:lang w:val="ar-SA"/>
        </w:rPr>
        <w:t>"</w:t>
      </w:r>
      <w:r>
        <w:rPr>
          <w:rStyle w:val="None"/>
          <w:rFonts w:cs="Times New Roman" w:hint="cs"/>
          <w:rtl/>
          <w:lang w:val="ar-SA"/>
        </w:rPr>
        <w:t>حق ممارسة احتكار، يُمنح على ابتكار جديد، أو اختراع، أو علامة ، بأية طريقة قانونية، مقابل حماية القانون</w:t>
      </w:r>
      <w:r>
        <w:rPr>
          <w:rStyle w:val="None"/>
          <w:rFonts w:ascii="Times New Roman" w:hAnsi="Times New Roman"/>
          <w:rtl/>
          <w:lang w:val="ar-SA"/>
        </w:rPr>
        <w:t>"</w:t>
      </w:r>
      <w:r>
        <w:rPr>
          <w:rStyle w:val="None"/>
          <w:rFonts w:cs="Times New Roman" w:hint="cs"/>
          <w:rtl/>
          <w:lang w:val="ar-SA"/>
        </w:rPr>
        <w:t xml:space="preserve">، والهدف من حقوق الملكية الفكرية هو </w:t>
      </w:r>
      <w:r>
        <w:rPr>
          <w:rStyle w:val="None"/>
          <w:rFonts w:cs="Times New Roman" w:hint="cs"/>
          <w:rtl/>
          <w:lang w:val="ar-SA"/>
        </w:rPr>
        <w:lastRenderedPageBreak/>
        <w:t xml:space="preserve">حماية </w:t>
      </w:r>
      <w:r>
        <w:rPr>
          <w:rStyle w:val="None"/>
          <w:rFonts w:ascii="Times New Roman" w:hAnsi="Times New Roman"/>
          <w:rtl/>
          <w:lang w:val="ar-SA"/>
        </w:rPr>
        <w:t>"</w:t>
      </w:r>
      <w:r>
        <w:rPr>
          <w:rStyle w:val="None"/>
          <w:rFonts w:cs="Times New Roman" w:hint="cs"/>
          <w:rtl/>
          <w:lang w:val="ar-SA"/>
        </w:rPr>
        <w:t>الإبداع</w:t>
      </w:r>
      <w:r>
        <w:rPr>
          <w:rStyle w:val="None"/>
          <w:rFonts w:ascii="Times New Roman" w:hAnsi="Times New Roman"/>
          <w:rtl/>
          <w:lang w:val="ar-SA"/>
        </w:rPr>
        <w:t xml:space="preserve">" </w:t>
      </w:r>
      <w:r>
        <w:rPr>
          <w:rStyle w:val="None"/>
          <w:rFonts w:cs="Times New Roman" w:hint="cs"/>
          <w:rtl/>
          <w:lang w:val="ar-SA"/>
        </w:rPr>
        <w:t>الذي قد يتخذ أشكالًا مختلفةً، مثل</w:t>
      </w:r>
      <w:r>
        <w:rPr>
          <w:rStyle w:val="None"/>
          <w:rFonts w:ascii="Times New Roman" w:hAnsi="Times New Roman"/>
          <w:rtl/>
          <w:lang w:val="ar-SA"/>
        </w:rPr>
        <w:t xml:space="preserve">: </w:t>
      </w:r>
      <w:r>
        <w:rPr>
          <w:rStyle w:val="None"/>
          <w:rFonts w:cs="Times New Roman" w:hint="cs"/>
          <w:rtl/>
          <w:lang w:val="ar-SA"/>
        </w:rPr>
        <w:t>الأعمال الأدبية، والرسوم، والنقوش، والمصنوعات، والموسيقى، والنحت؛ واختراع الصناعة أو الحرف، كبراءات الاختراع، وقد تطوَّرت التشريعات التي تحكم الملكية الفكرية في القانون الفرنسي كما يلي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7"/>
      </w:r>
      <w:r>
        <w:rPr>
          <w:rStyle w:val="None"/>
          <w:rFonts w:ascii="Times New Roman" w:hAnsi="Times New Roman"/>
          <w:vertAlign w:val="superscript"/>
          <w:rtl/>
          <w:lang w:val="ar-SA"/>
        </w:rPr>
        <w:t>)</w:t>
      </w:r>
    </w:p>
    <w:p w14:paraId="4B8C614F"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بالملكية الأدبية والفنية عام </w:t>
      </w:r>
      <w:r>
        <w:rPr>
          <w:rStyle w:val="None"/>
          <w:rFonts w:ascii="Times New Roman" w:hAnsi="Times New Roman"/>
          <w:rtl/>
          <w:lang w:val="ar-SA"/>
        </w:rPr>
        <w:t>(1836).</w:t>
      </w:r>
    </w:p>
    <w:p w14:paraId="637DE239"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إصدار قانون إنشاء وتنظيم تدريب الموظفين القانونيين عام </w:t>
      </w:r>
      <w:r>
        <w:rPr>
          <w:rStyle w:val="None"/>
          <w:rFonts w:ascii="Times New Roman" w:hAnsi="Times New Roman"/>
          <w:rtl/>
          <w:lang w:val="ar-SA"/>
        </w:rPr>
        <w:t>1843.</w:t>
      </w:r>
    </w:p>
    <w:p w14:paraId="6F5C8C55"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إصدار قانون براءات الاختراع عام </w:t>
      </w:r>
      <w:r>
        <w:rPr>
          <w:rStyle w:val="None"/>
          <w:rFonts w:ascii="Times New Roman" w:hAnsi="Times New Roman"/>
          <w:rtl/>
          <w:lang w:val="ar-SA"/>
        </w:rPr>
        <w:t>(1844).</w:t>
      </w:r>
    </w:p>
    <w:p w14:paraId="4C807ABC"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إصدار مرسوم بشأن وضع مؤسسة الملكية في مملكة فرنسا وما يتبعها عام</w:t>
      </w:r>
      <w:r>
        <w:rPr>
          <w:rStyle w:val="None"/>
          <w:rFonts w:ascii="Times New Roman" w:hAnsi="Times New Roman"/>
          <w:rtl/>
          <w:lang w:val="ar-SA"/>
        </w:rPr>
        <w:t>1911.</w:t>
      </w:r>
    </w:p>
    <w:p w14:paraId="77F160AD"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إصدار التشريعات المتعلقة بحماية حق المؤلف عام </w:t>
      </w:r>
      <w:r>
        <w:rPr>
          <w:rStyle w:val="None"/>
          <w:rFonts w:ascii="Times New Roman" w:hAnsi="Times New Roman"/>
          <w:rtl/>
          <w:lang w:val="ar-SA"/>
        </w:rPr>
        <w:t>(1957)</w:t>
      </w:r>
      <w:r>
        <w:rPr>
          <w:rStyle w:val="None"/>
          <w:rFonts w:cs="Times New Roman" w:hint="cs"/>
          <w:rtl/>
          <w:lang w:val="ar-SA"/>
        </w:rPr>
        <w:t xml:space="preserve">، والمكمل بقانون صدر عام </w:t>
      </w:r>
      <w:r>
        <w:rPr>
          <w:rStyle w:val="None"/>
          <w:rFonts w:ascii="Times New Roman" w:hAnsi="Times New Roman"/>
          <w:rtl/>
          <w:lang w:val="ar-SA"/>
        </w:rPr>
        <w:t>(1985).</w:t>
      </w:r>
    </w:p>
    <w:p w14:paraId="0216B9A6"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وصدور قانون العلامات التجارية وعلامات الخدمة عام </w:t>
      </w:r>
      <w:r>
        <w:rPr>
          <w:rStyle w:val="None"/>
          <w:rFonts w:ascii="Times New Roman" w:hAnsi="Times New Roman"/>
          <w:rtl/>
          <w:lang w:val="ar-SA"/>
        </w:rPr>
        <w:t>(1971).</w:t>
      </w:r>
    </w:p>
    <w:p w14:paraId="3CDCBEE4"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والمرسوم المتعلق بالميداليات والجوائز وأشكال التكريم المختلفة كشكل من أشكال الملكية الفكرية عام </w:t>
      </w:r>
      <w:r>
        <w:rPr>
          <w:rStyle w:val="None"/>
          <w:rFonts w:ascii="Times New Roman" w:hAnsi="Times New Roman"/>
          <w:rtl/>
          <w:lang w:val="ar-SA"/>
        </w:rPr>
        <w:t>1981.</w:t>
      </w:r>
    </w:p>
    <w:p w14:paraId="7B940366"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وإصدار قانون حماية المؤلفين وأعمال التصميم المُطوّرة من برامج الكمبيوتر عام </w:t>
      </w:r>
      <w:r>
        <w:rPr>
          <w:rStyle w:val="None"/>
          <w:rFonts w:ascii="Times New Roman" w:hAnsi="Times New Roman"/>
          <w:rtl/>
          <w:lang w:val="ar-SA"/>
        </w:rPr>
        <w:t>1983.</w:t>
      </w:r>
    </w:p>
    <w:p w14:paraId="78535756"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وصدور قانون الاتصالات السمعية والبصرية عام </w:t>
      </w:r>
      <w:r>
        <w:rPr>
          <w:rStyle w:val="None"/>
          <w:rFonts w:ascii="Times New Roman" w:hAnsi="Times New Roman"/>
          <w:rtl/>
          <w:lang w:val="ar-SA"/>
        </w:rPr>
        <w:t>(1986).</w:t>
      </w:r>
    </w:p>
    <w:p w14:paraId="304A850A"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بمواقع الويب عام </w:t>
      </w:r>
      <w:r>
        <w:rPr>
          <w:rStyle w:val="None"/>
          <w:rFonts w:ascii="Times New Roman" w:hAnsi="Times New Roman"/>
          <w:rtl/>
          <w:lang w:val="ar-SA"/>
        </w:rPr>
        <w:t>(2004).</w:t>
      </w:r>
    </w:p>
    <w:p w14:paraId="35DEA1C8"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إصدار المرسوم المتعلق بالقانون المدني المتعلق بالملكية الأدبية والفنية وبعض الجوانب القانونية للحوسبة عام </w:t>
      </w:r>
      <w:r>
        <w:rPr>
          <w:rStyle w:val="None"/>
          <w:rFonts w:ascii="Times New Roman" w:hAnsi="Times New Roman"/>
          <w:rtl/>
          <w:lang w:val="ar-SA"/>
        </w:rPr>
        <w:t>(2006).</w:t>
      </w:r>
    </w:p>
    <w:p w14:paraId="38F144A2"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والمرسوم المتعلق بالاعتراف بالملكية الصناعية وحمايتها في مملكة فرنسا عام </w:t>
      </w:r>
      <w:r>
        <w:rPr>
          <w:rStyle w:val="None"/>
          <w:rFonts w:ascii="Times New Roman" w:hAnsi="Times New Roman"/>
          <w:rtl/>
          <w:lang w:val="ar-SA"/>
        </w:rPr>
        <w:t>(2007).</w:t>
      </w:r>
    </w:p>
    <w:p w14:paraId="1AE2BF90"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وقانون المواقع الإلكترونية عام </w:t>
      </w:r>
      <w:r>
        <w:rPr>
          <w:rStyle w:val="None"/>
          <w:rFonts w:ascii="Times New Roman" w:hAnsi="Times New Roman"/>
          <w:rtl/>
          <w:lang w:val="ar-SA"/>
        </w:rPr>
        <w:t>(2007).</w:t>
      </w:r>
    </w:p>
    <w:p w14:paraId="07DBC072"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وقانون حماية حق المؤلف عام </w:t>
      </w:r>
      <w:r>
        <w:rPr>
          <w:rStyle w:val="None"/>
          <w:rFonts w:ascii="Times New Roman" w:hAnsi="Times New Roman"/>
          <w:rtl/>
          <w:lang w:val="ar-SA"/>
        </w:rPr>
        <w:t>(2008).</w:t>
      </w:r>
    </w:p>
    <w:p w14:paraId="147293AF" w14:textId="77777777" w:rsidR="00454428" w:rsidRDefault="00000000" w:rsidP="00C72BA8">
      <w:pPr>
        <w:pStyle w:val="Default"/>
        <w:numPr>
          <w:ilvl w:val="0"/>
          <w:numId w:val="68"/>
        </w:numPr>
        <w:spacing w:before="120" w:after="120" w:line="360" w:lineRule="auto"/>
        <w:jc w:val="both"/>
        <w:rPr>
          <w:rFonts w:cs="Times New Roman"/>
          <w:rtl/>
          <w:lang w:val="ar-SA"/>
        </w:rPr>
      </w:pPr>
      <w:r>
        <w:rPr>
          <w:rStyle w:val="None"/>
          <w:rFonts w:cs="Times New Roman" w:hint="cs"/>
          <w:rtl/>
          <w:lang w:val="ar-SA"/>
        </w:rPr>
        <w:t xml:space="preserve">وقانون المعلوماتية والتنظيم العام عام </w:t>
      </w:r>
      <w:r>
        <w:rPr>
          <w:rStyle w:val="None"/>
          <w:rFonts w:ascii="Times New Roman" w:hAnsi="Times New Roman"/>
          <w:rtl/>
          <w:lang w:val="ar-SA"/>
        </w:rPr>
        <w:t>(2008).</w:t>
      </w:r>
    </w:p>
    <w:p w14:paraId="0A9851E1"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أنَّ فرنسا ليست بمعزل في نهجها القانوني تجاه الملكية الفكرية عن غيرها من الدول، فهي تشارك بفاعلية في العديد من الاتفاقيات الدولية الرئيسية التي تُشكل قانون الملكية الفكرية العالمي، ومن بين هذه الاتفاقيات</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مدريد </w:t>
      </w:r>
      <w:r>
        <w:rPr>
          <w:rStyle w:val="None"/>
          <w:rFonts w:ascii="Times New Roman" w:hAnsi="Times New Roman"/>
          <w:rtl/>
          <w:lang w:val="ar-SA"/>
        </w:rPr>
        <w:t>(1892)</w:t>
      </w:r>
      <w:r>
        <w:rPr>
          <w:rStyle w:val="None"/>
          <w:rFonts w:cs="Times New Roman" w:hint="cs"/>
          <w:rtl/>
          <w:lang w:val="ar-SA"/>
        </w:rPr>
        <w:t>، إضافةً إلى ذلك</w:t>
      </w:r>
      <w:r>
        <w:rPr>
          <w:rStyle w:val="None"/>
          <w:rFonts w:ascii="Times New Roman" w:hAnsi="Times New Roman"/>
          <w:rtl/>
          <w:lang w:val="ar-SA"/>
        </w:rPr>
        <w:t xml:space="preserve">: </w:t>
      </w:r>
      <w:r>
        <w:rPr>
          <w:rStyle w:val="None"/>
          <w:rFonts w:cs="Times New Roman" w:hint="cs"/>
          <w:rtl/>
          <w:lang w:val="ar-SA"/>
        </w:rPr>
        <w:t xml:space="preserve">فإنَّ توقيع فرنسا على اتفاقية الجوانب المتصلة بالتجارة من حقوق الملكية الفكرية </w:t>
      </w:r>
      <w:r>
        <w:rPr>
          <w:rStyle w:val="None"/>
          <w:rFonts w:ascii="Times New Roman" w:hAnsi="Times New Roman"/>
          <w:rtl/>
          <w:lang w:val="ar-SA"/>
        </w:rPr>
        <w:t xml:space="preserve">(TRIPS) (1994) </w:t>
      </w:r>
      <w:r>
        <w:rPr>
          <w:rStyle w:val="None"/>
          <w:rFonts w:cs="Times New Roman" w:hint="cs"/>
          <w:rtl/>
          <w:lang w:val="ar-SA"/>
        </w:rPr>
        <w:t xml:space="preserve">يجعلها متسقةً مع التزامات التجارة الدولية، </w:t>
      </w:r>
      <w:r>
        <w:rPr>
          <w:rStyle w:val="None"/>
          <w:rFonts w:cs="Times New Roman" w:hint="cs"/>
          <w:rtl/>
          <w:lang w:val="ar-SA"/>
        </w:rPr>
        <w:lastRenderedPageBreak/>
        <w:t xml:space="preserve">في حين تضمن اتفاقيات مثل اتفاقية نيس </w:t>
      </w:r>
      <w:r>
        <w:rPr>
          <w:rStyle w:val="None"/>
          <w:rFonts w:ascii="Times New Roman" w:hAnsi="Times New Roman"/>
          <w:rtl/>
          <w:lang w:val="ar-SA"/>
        </w:rPr>
        <w:t xml:space="preserve">(1957) </w:t>
      </w:r>
      <w:r>
        <w:rPr>
          <w:rStyle w:val="None"/>
          <w:rFonts w:cs="Times New Roman" w:hint="cs"/>
          <w:rtl/>
          <w:lang w:val="ar-SA"/>
        </w:rPr>
        <w:t>تصنيفًا موحدًا للسلع والخدمات على الصعيد العالمي، وتُسهّل هذه المعاهدات التسجيل الدولي للعلامات التجارية، وتُنشئ إطارًا متماسكًا يسمح للشركات الفرنسية بالمنافسة عالميًا مع حماية ملكيتها الفكرية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8"/>
      </w:r>
      <w:r>
        <w:rPr>
          <w:rStyle w:val="None"/>
          <w:rFonts w:ascii="Times New Roman" w:hAnsi="Times New Roman"/>
          <w:vertAlign w:val="superscript"/>
          <w:rtl/>
          <w:lang w:val="ar-SA"/>
        </w:rPr>
        <w:t>)</w:t>
      </w:r>
    </w:p>
    <w:p w14:paraId="1089EC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وبالنظر إلى قانون الملكية الفكرية في الولايات المتحدة، فإنَّ تطوُّر قانون الملكية الفكرية على مدار السنوات، وسيتم عرض أبرز التطوُّرات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9"/>
      </w:r>
      <w:r>
        <w:rPr>
          <w:rStyle w:val="None"/>
          <w:rFonts w:ascii="Times New Roman" w:hAnsi="Times New Roman"/>
          <w:vertAlign w:val="superscript"/>
          <w:rtl/>
          <w:lang w:val="ar-SA"/>
        </w:rPr>
        <w:t>)</w:t>
      </w:r>
    </w:p>
    <w:p w14:paraId="16352541"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 xml:space="preserve">1790: </w:t>
      </w:r>
      <w:r>
        <w:rPr>
          <w:rStyle w:val="None"/>
          <w:rFonts w:cs="Times New Roman" w:hint="cs"/>
          <w:rtl/>
          <w:lang w:val="ar-SA"/>
        </w:rPr>
        <w:t>والذي كان حجر الأساس لبراءات الاختراع، والذي منح المخترعين حقوقًا حصرية في إبداعاتهم؛ ممَّا عزّز الابتكار</w:t>
      </w:r>
      <w:r>
        <w:rPr>
          <w:rStyle w:val="None"/>
          <w:rFonts w:ascii="Times New Roman" w:hAnsi="Times New Roman"/>
          <w:rtl/>
          <w:lang w:val="ar-SA"/>
        </w:rPr>
        <w:t>.</w:t>
      </w:r>
    </w:p>
    <w:p w14:paraId="0FE2F1FA"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1790: </w:t>
      </w:r>
      <w:r>
        <w:rPr>
          <w:rStyle w:val="None"/>
          <w:rFonts w:cs="Times New Roman" w:hint="cs"/>
          <w:rtl/>
          <w:lang w:val="ar-SA"/>
        </w:rPr>
        <w:t>والذي أدخل حماية حقوق الطبع والنشر للأعمال الإبداعية</w:t>
      </w:r>
      <w:r>
        <w:rPr>
          <w:rStyle w:val="None"/>
          <w:rFonts w:ascii="Times New Roman" w:hAnsi="Times New Roman"/>
          <w:rtl/>
          <w:lang w:val="ar-SA"/>
        </w:rPr>
        <w:t>.</w:t>
      </w:r>
    </w:p>
    <w:p w14:paraId="1069C29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1836</w:t>
      </w:r>
      <w:r>
        <w:rPr>
          <w:rStyle w:val="None"/>
          <w:rFonts w:cs="Times New Roman" w:hint="cs"/>
          <w:rtl/>
          <w:lang w:val="ar-SA"/>
        </w:rPr>
        <w:t>، كما أنَّه في نفس العام تم إنشاء مكتب براءات الاختراع الأمريكي</w:t>
      </w:r>
      <w:r>
        <w:rPr>
          <w:rStyle w:val="None"/>
          <w:rFonts w:ascii="Times New Roman" w:hAnsi="Times New Roman"/>
          <w:rtl/>
          <w:lang w:val="ar-SA"/>
        </w:rPr>
        <w:t>.</w:t>
      </w:r>
    </w:p>
    <w:p w14:paraId="445BBCC1"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لانهام لعام </w:t>
      </w:r>
      <w:r>
        <w:rPr>
          <w:rStyle w:val="None"/>
          <w:rFonts w:ascii="Times New Roman" w:hAnsi="Times New Roman"/>
          <w:rtl/>
          <w:lang w:val="ar-SA"/>
        </w:rPr>
        <w:t xml:space="preserve">1946: </w:t>
      </w:r>
      <w:r>
        <w:rPr>
          <w:rStyle w:val="None"/>
          <w:rFonts w:cs="Times New Roman" w:hint="cs"/>
          <w:rtl/>
          <w:lang w:val="ar-SA"/>
        </w:rPr>
        <w:t>والذي وفر حماية شاملة للعلامات التجارية</w:t>
      </w:r>
      <w:r>
        <w:rPr>
          <w:rStyle w:val="None"/>
          <w:rFonts w:ascii="Times New Roman" w:hAnsi="Times New Roman"/>
          <w:rtl/>
          <w:lang w:val="ar-SA"/>
        </w:rPr>
        <w:t>.</w:t>
      </w:r>
    </w:p>
    <w:p w14:paraId="0E65090A"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1976: </w:t>
      </w:r>
      <w:r>
        <w:rPr>
          <w:rStyle w:val="None"/>
          <w:rFonts w:cs="Times New Roman" w:hint="cs"/>
          <w:rtl/>
          <w:lang w:val="ar-SA"/>
        </w:rPr>
        <w:t>والذي حدّث قانون حقوق الطبع والنشر ليشمل الوسائط الرقمية</w:t>
      </w:r>
      <w:r>
        <w:rPr>
          <w:rStyle w:val="None"/>
          <w:rFonts w:ascii="Times New Roman" w:hAnsi="Times New Roman"/>
          <w:rtl/>
          <w:lang w:val="ar-SA"/>
        </w:rPr>
        <w:t>.</w:t>
      </w:r>
    </w:p>
    <w:p w14:paraId="55187EB4"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قانون الاختراعات الأمريكية </w:t>
      </w:r>
      <w:r>
        <w:rPr>
          <w:rStyle w:val="None"/>
          <w:rFonts w:ascii="Times New Roman" w:hAnsi="Times New Roman"/>
          <w:rtl/>
          <w:lang w:val="ar-SA"/>
        </w:rPr>
        <w:t xml:space="preserve">(AIA) </w:t>
      </w:r>
      <w:r>
        <w:rPr>
          <w:rStyle w:val="None"/>
          <w:rFonts w:cs="Times New Roman" w:hint="cs"/>
          <w:rtl/>
          <w:lang w:val="ar-SA"/>
        </w:rPr>
        <w:t xml:space="preserve">لعام </w:t>
      </w:r>
      <w:r>
        <w:rPr>
          <w:rStyle w:val="None"/>
          <w:rFonts w:ascii="Times New Roman" w:hAnsi="Times New Roman"/>
          <w:rtl/>
          <w:lang w:val="ar-SA"/>
        </w:rPr>
        <w:t xml:space="preserve">2011: </w:t>
      </w:r>
      <w:r>
        <w:rPr>
          <w:rStyle w:val="None"/>
          <w:rFonts w:cs="Times New Roman" w:hint="cs"/>
          <w:rtl/>
          <w:lang w:val="ar-SA"/>
        </w:rPr>
        <w:t xml:space="preserve">والانتقال إلى نظام </w:t>
      </w:r>
      <w:r>
        <w:rPr>
          <w:rStyle w:val="None"/>
          <w:rFonts w:ascii="Times New Roman" w:hAnsi="Times New Roman"/>
          <w:rtl/>
          <w:lang w:val="ar-SA"/>
        </w:rPr>
        <w:t>"</w:t>
      </w:r>
      <w:r>
        <w:rPr>
          <w:rStyle w:val="None"/>
          <w:rFonts w:cs="Times New Roman" w:hint="cs"/>
          <w:rtl/>
          <w:lang w:val="ar-SA"/>
        </w:rPr>
        <w:t>أول من يقدم</w:t>
      </w:r>
      <w:r>
        <w:rPr>
          <w:rStyle w:val="None"/>
          <w:rFonts w:ascii="Times New Roman" w:hAnsi="Times New Roman"/>
          <w:rtl/>
          <w:lang w:val="ar-SA"/>
        </w:rPr>
        <w:t xml:space="preserve">" </w:t>
      </w:r>
      <w:r>
        <w:rPr>
          <w:rStyle w:val="None"/>
          <w:rFonts w:cs="Times New Roman" w:hint="cs"/>
          <w:rtl/>
          <w:lang w:val="ar-SA"/>
        </w:rPr>
        <w:t>لبراءات الاختراع، وتأسيس مراجعات ما بعد المنح</w:t>
      </w:r>
      <w:r>
        <w:rPr>
          <w:rStyle w:val="None"/>
          <w:rFonts w:ascii="Times New Roman" w:hAnsi="Times New Roman"/>
          <w:rtl/>
          <w:lang w:val="ar-SA"/>
        </w:rPr>
        <w:t>.</w:t>
      </w:r>
    </w:p>
    <w:p w14:paraId="27C1907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نصت المادة الأولى، القسم </w:t>
      </w:r>
      <w:r>
        <w:rPr>
          <w:rStyle w:val="None"/>
          <w:rFonts w:ascii="Times New Roman" w:hAnsi="Times New Roman"/>
          <w:rtl/>
          <w:lang w:val="ar-SA"/>
        </w:rPr>
        <w:t>8</w:t>
      </w:r>
      <w:r>
        <w:rPr>
          <w:rStyle w:val="None"/>
          <w:rFonts w:cs="Times New Roman" w:hint="cs"/>
          <w:rtl/>
          <w:lang w:val="ar-SA"/>
        </w:rPr>
        <w:t xml:space="preserve">، البند </w:t>
      </w:r>
      <w:r>
        <w:rPr>
          <w:rStyle w:val="None"/>
          <w:rFonts w:ascii="Times New Roman" w:hAnsi="Times New Roman"/>
          <w:rtl/>
          <w:lang w:val="ar-SA"/>
        </w:rPr>
        <w:t xml:space="preserve">8 </w:t>
      </w:r>
      <w:r>
        <w:rPr>
          <w:rStyle w:val="None"/>
          <w:rFonts w:cs="Times New Roman" w:hint="cs"/>
          <w:rtl/>
          <w:lang w:val="ar-SA"/>
        </w:rPr>
        <w:t xml:space="preserve">من دستور الولايات المتحدة، المُصدّق عليه عام </w:t>
      </w:r>
      <w:r>
        <w:rPr>
          <w:rStyle w:val="None"/>
          <w:rFonts w:ascii="Times New Roman" w:hAnsi="Times New Roman"/>
          <w:rtl/>
          <w:lang w:val="ar-SA"/>
        </w:rPr>
        <w:t>1787</w:t>
      </w:r>
      <w:r>
        <w:rPr>
          <w:rStyle w:val="None"/>
          <w:rFonts w:cs="Times New Roman" w:hint="cs"/>
          <w:rtl/>
          <w:lang w:val="ar-SA"/>
        </w:rPr>
        <w:t>، الكونغرس على أنَّه</w:t>
      </w:r>
      <w:r>
        <w:rPr>
          <w:rStyle w:val="None"/>
          <w:rFonts w:ascii="Times New Roman" w:hAnsi="Times New Roman"/>
          <w:rtl/>
          <w:lang w:val="ar-SA"/>
        </w:rPr>
        <w:t>: "</w:t>
      </w:r>
      <w:r>
        <w:rPr>
          <w:rStyle w:val="None"/>
          <w:rFonts w:cs="Times New Roman" w:hint="cs"/>
          <w:rtl/>
          <w:lang w:val="ar-SA"/>
        </w:rPr>
        <w:t xml:space="preserve">بتعزيز تقدم العلوم والفنون المفيدة، من خلال ضمان الحق الحصري للمؤلفين والمخترعين في كتاباتهم واكتشافاتهم لفترات محدودة، كما منح قانون حقوق الطبع والنشر لعام </w:t>
      </w:r>
      <w:r>
        <w:rPr>
          <w:rStyle w:val="None"/>
          <w:rFonts w:ascii="Times New Roman" w:hAnsi="Times New Roman"/>
          <w:rtl/>
          <w:lang w:val="ar-SA"/>
        </w:rPr>
        <w:t xml:space="preserve">1790 </w:t>
      </w:r>
      <w:r>
        <w:rPr>
          <w:rStyle w:val="None"/>
          <w:rFonts w:cs="Times New Roman" w:hint="cs"/>
          <w:rtl/>
          <w:lang w:val="ar-SA"/>
        </w:rPr>
        <w:t>مؤلفي الخرائط والكتب والمخططات الحقَّ الحصري، وحرية طباعة، وإعادة طباعة ونشر وبيع أعمالهم لمدة أربعة عشر عامًا قابلة للتجديد لمدة أربعة عشر عامًا إضافية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0"/>
      </w:r>
      <w:r>
        <w:rPr>
          <w:rStyle w:val="None"/>
          <w:rFonts w:ascii="Times New Roman" w:hAnsi="Times New Roman"/>
          <w:vertAlign w:val="superscript"/>
          <w:rtl/>
          <w:lang w:val="ar-SA"/>
        </w:rPr>
        <w:t>)</w:t>
      </w:r>
    </w:p>
    <w:p w14:paraId="47CFED3D"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يوفر النظام القانوني في المملكة المتحدة مستوى رفيعًا من حماية حقوق الملكية الفكرية وآليات إنفاذها، تُضاهي تلك المتوفرة في الولايات المتحدة، كما أنَّ المملكة المتحدة عضو في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w:t>
      </w:r>
      <w:r>
        <w:rPr>
          <w:rStyle w:val="None"/>
          <w:rFonts w:cs="Times New Roman" w:hint="cs"/>
          <w:rtl/>
          <w:lang w:val="ar-SA"/>
        </w:rPr>
        <w:t>، وعضو في أهم اتفاقيات حماية الملكية الفكرية، مثل</w:t>
      </w:r>
      <w:r>
        <w:rPr>
          <w:rStyle w:val="None"/>
          <w:rFonts w:ascii="Times New Roman" w:hAnsi="Times New Roman"/>
          <w:rtl/>
          <w:lang w:val="ar-SA"/>
        </w:rPr>
        <w:t xml:space="preserve">: </w:t>
      </w:r>
      <w:r>
        <w:rPr>
          <w:rStyle w:val="None"/>
          <w:rFonts w:cs="Times New Roman" w:hint="cs"/>
          <w:rtl/>
          <w:lang w:val="ar-SA"/>
        </w:rPr>
        <w:t xml:space="preserve">اتفاقية برن لحماية المصنفات الأدبية والفنية، واتفاقية باريس لحماية الملكية الصناعية، والاتفاقية العالمية لحقوق التأليف والنشر، واتفاقية جنيف للتسجيلات الصوتية، ومعاهدة التعاون بشأن البراءات، وقّعت المملكة المتحدة على معاهدة الويبو بشأن حقوق التأليف والنشر </w:t>
      </w:r>
      <w:r>
        <w:rPr>
          <w:rStyle w:val="None"/>
          <w:rFonts w:ascii="Times New Roman" w:hAnsi="Times New Roman"/>
          <w:rtl/>
          <w:lang w:val="ar-SA"/>
        </w:rPr>
        <w:t xml:space="preserve">(WCT) </w:t>
      </w:r>
      <w:r>
        <w:rPr>
          <w:rStyle w:val="None"/>
          <w:rFonts w:cs="Times New Roman" w:hint="cs"/>
          <w:rtl/>
          <w:lang w:val="ar-SA"/>
        </w:rPr>
        <w:t xml:space="preserve">ومعاهدة الويبو بشأن الأداء والتسجيلات الصوتية </w:t>
      </w:r>
      <w:r>
        <w:rPr>
          <w:rStyle w:val="None"/>
          <w:rFonts w:ascii="Times New Roman" w:hAnsi="Times New Roman"/>
          <w:rtl/>
          <w:lang w:val="ar-SA"/>
        </w:rPr>
        <w:t>(WPPT)</w:t>
      </w:r>
      <w:r>
        <w:rPr>
          <w:rStyle w:val="None"/>
          <w:rFonts w:cs="Times New Roman" w:hint="cs"/>
          <w:rtl/>
          <w:lang w:val="ar-SA"/>
        </w:rPr>
        <w:t xml:space="preserve">، المعروفتين باسم معاهدتي الإنترنت، وأدرجتهما في قانونها، ويُعَدُّ مكتب الملكية </w:t>
      </w:r>
      <w:r>
        <w:rPr>
          <w:rStyle w:val="None"/>
          <w:rFonts w:cs="Times New Roman" w:hint="cs"/>
          <w:rtl/>
          <w:lang w:val="ar-SA"/>
        </w:rPr>
        <w:lastRenderedPageBreak/>
        <w:t>الفكرية هو الهيئة الحكومية الرسمية في المملكة المتحدة المسئولة عن حقوق الملكية الفكرية، بما في ذلك</w:t>
      </w:r>
      <w:r>
        <w:rPr>
          <w:rStyle w:val="None"/>
          <w:rFonts w:ascii="Times New Roman" w:hAnsi="Times New Roman"/>
          <w:rtl/>
          <w:lang w:val="ar-SA"/>
        </w:rPr>
        <w:t xml:space="preserve">: </w:t>
      </w:r>
      <w:r>
        <w:rPr>
          <w:rStyle w:val="None"/>
          <w:rFonts w:cs="Times New Roman" w:hint="cs"/>
          <w:rtl/>
          <w:lang w:val="ar-SA"/>
        </w:rPr>
        <w:t>براءات الاختراع، والتصاميم، والعلامات التجارية، وحقوق التأليف والنشر</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1"/>
      </w:r>
      <w:r>
        <w:rPr>
          <w:rStyle w:val="None"/>
          <w:rFonts w:ascii="Times New Roman" w:hAnsi="Times New Roman"/>
          <w:vertAlign w:val="superscript"/>
          <w:rtl/>
          <w:lang w:val="ar-SA"/>
        </w:rPr>
        <w:t>)</w:t>
      </w:r>
    </w:p>
    <w:p w14:paraId="0ECD05F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وفي إيطاليا تتمثل القوانين الرئيسية المتعلقة بحماية حقوق الملكية الفكرية في القانون المدني وقانون الملكية الصناعية، اللذيْنِ يتضمنان العناصر التشريعية الرئيسية من التشريعات الأوروبية والدولية، كما يتضمن القانون الإيطالي لوائح تتعلق بالعلامات التجارية وبراءات الاختراع والاختراعات والنماذج والتصميمات، وغيرها، وكيفية استخدامها أو بيعها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2"/>
      </w:r>
      <w:r>
        <w:rPr>
          <w:rStyle w:val="None"/>
          <w:rFonts w:ascii="Times New Roman" w:hAnsi="Times New Roman"/>
          <w:vertAlign w:val="superscript"/>
          <w:rtl/>
          <w:lang w:val="ar-SA"/>
        </w:rPr>
        <w:t>)</w:t>
      </w:r>
    </w:p>
    <w:p w14:paraId="6A6BAA0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يُمثل قانون براءات الاختراع </w:t>
      </w:r>
      <w:r>
        <w:rPr>
          <w:rStyle w:val="None"/>
          <w:rFonts w:ascii="Times New Roman" w:hAnsi="Times New Roman"/>
          <w:rtl/>
          <w:lang w:val="ar-SA"/>
        </w:rPr>
        <w:t>-</w:t>
      </w:r>
      <w:r>
        <w:rPr>
          <w:rStyle w:val="None"/>
          <w:rFonts w:cs="Times New Roman" w:hint="cs"/>
          <w:rtl/>
          <w:lang w:val="ar-SA"/>
        </w:rPr>
        <w:t xml:space="preserve">الذي أصدرته جمهورية البندقية عام </w:t>
      </w:r>
      <w:r>
        <w:rPr>
          <w:rStyle w:val="None"/>
          <w:rFonts w:ascii="Times New Roman" w:hAnsi="Times New Roman"/>
          <w:rtl/>
          <w:lang w:val="ar-SA"/>
        </w:rPr>
        <w:t xml:space="preserve">1474- </w:t>
      </w:r>
      <w:r>
        <w:rPr>
          <w:rStyle w:val="None"/>
          <w:rFonts w:cs="Times New Roman" w:hint="cs"/>
          <w:rtl/>
          <w:lang w:val="ar-SA"/>
        </w:rPr>
        <w:t xml:space="preserve">أحد أوائل أشكال الحماية الرسمية للأعمال الإبداعية، يصف هذا القانون </w:t>
      </w:r>
      <w:r>
        <w:rPr>
          <w:rStyle w:val="None"/>
          <w:rFonts w:ascii="Times New Roman" w:hAnsi="Times New Roman"/>
          <w:rtl/>
          <w:lang w:val="ar-SA"/>
        </w:rPr>
        <w:t>-</w:t>
      </w:r>
      <w:r>
        <w:rPr>
          <w:rStyle w:val="None"/>
          <w:rFonts w:cs="Times New Roman" w:hint="cs"/>
          <w:rtl/>
          <w:lang w:val="ar-SA"/>
        </w:rPr>
        <w:t>بأسلوبٍ مُلفت</w:t>
      </w:r>
      <w:r>
        <w:rPr>
          <w:rStyle w:val="None"/>
          <w:rFonts w:ascii="Times New Roman" w:hAnsi="Times New Roman"/>
          <w:rtl/>
          <w:lang w:val="ar-SA"/>
        </w:rPr>
        <w:t xml:space="preserve">- </w:t>
      </w:r>
      <w:r>
        <w:rPr>
          <w:rStyle w:val="None"/>
          <w:rFonts w:cs="Times New Roman" w:hint="cs"/>
          <w:rtl/>
          <w:lang w:val="ar-SA"/>
        </w:rPr>
        <w:t xml:space="preserve">المبادئ الأساسية التي تحكم حقوق الملكية الفكرية، وقد وُضع هذا القانون لحماية المخترعين؛ إذْ إنَّه يُحدد في بضعة أسطرٍ جميعَ المعايير التي يجب أنْ يستوفيها حق الملكية الفكرية، وخاصةً براءة الاختراع، وينص في الواقع على شروط الجدة </w:t>
      </w:r>
      <w:r>
        <w:rPr>
          <w:rStyle w:val="None"/>
          <w:rFonts w:ascii="Times New Roman" w:hAnsi="Times New Roman"/>
          <w:rtl/>
          <w:lang w:val="ar-SA"/>
        </w:rPr>
        <w:t>(</w:t>
      </w:r>
      <w:r>
        <w:rPr>
          <w:rStyle w:val="None"/>
          <w:rFonts w:cs="Times New Roman" w:hint="cs"/>
          <w:rtl/>
          <w:lang w:val="ar-SA"/>
        </w:rPr>
        <w:t>أي جهاز جديد ومبتكر</w:t>
      </w:r>
      <w:r>
        <w:rPr>
          <w:rStyle w:val="None"/>
          <w:rFonts w:ascii="Times New Roman" w:hAnsi="Times New Roman"/>
          <w:rtl/>
          <w:lang w:val="ar-SA"/>
        </w:rPr>
        <w:t>)</w:t>
      </w:r>
      <w:r>
        <w:rPr>
          <w:rStyle w:val="None"/>
          <w:rFonts w:cs="Times New Roman" w:hint="cs"/>
          <w:rtl/>
          <w:lang w:val="ar-SA"/>
        </w:rPr>
        <w:t xml:space="preserve">، والأصالة </w:t>
      </w:r>
      <w:r>
        <w:rPr>
          <w:rStyle w:val="None"/>
          <w:rFonts w:ascii="Times New Roman" w:hAnsi="Times New Roman"/>
          <w:rtl/>
          <w:lang w:val="ar-SA"/>
        </w:rPr>
        <w:t>(</w:t>
      </w:r>
      <w:r>
        <w:rPr>
          <w:rStyle w:val="None"/>
          <w:rFonts w:cs="Times New Roman" w:hint="cs"/>
          <w:rtl/>
          <w:lang w:val="ar-SA"/>
        </w:rPr>
        <w:t>لم يُصنع سابقًا في مملكتنا</w:t>
      </w:r>
      <w:r>
        <w:rPr>
          <w:rStyle w:val="None"/>
          <w:rFonts w:ascii="Times New Roman" w:hAnsi="Times New Roman"/>
          <w:rtl/>
          <w:lang w:val="ar-SA"/>
        </w:rPr>
        <w:t>)</w:t>
      </w:r>
      <w:r>
        <w:rPr>
          <w:rStyle w:val="None"/>
          <w:rFonts w:cs="Times New Roman" w:hint="cs"/>
          <w:rtl/>
          <w:lang w:val="ar-SA"/>
        </w:rPr>
        <w:t xml:space="preserve">، وقابلية التطبيق الصناعي </w:t>
      </w:r>
      <w:r>
        <w:rPr>
          <w:rStyle w:val="None"/>
          <w:rFonts w:ascii="Times New Roman" w:hAnsi="Times New Roman"/>
          <w:rtl/>
          <w:lang w:val="ar-SA"/>
        </w:rPr>
        <w:t>(</w:t>
      </w:r>
      <w:r>
        <w:rPr>
          <w:rStyle w:val="None"/>
          <w:rFonts w:cs="Times New Roman" w:hint="cs"/>
          <w:rtl/>
          <w:lang w:val="ar-SA"/>
        </w:rPr>
        <w:t>ذات الفائدة والفائدة الكبيرة</w:t>
      </w:r>
      <w:r>
        <w:rPr>
          <w:rStyle w:val="None"/>
          <w:rFonts w:ascii="Times New Roman" w:hAnsi="Times New Roman"/>
          <w:rtl/>
          <w:lang w:val="ar-SA"/>
        </w:rPr>
        <w:t xml:space="preserve">) </w:t>
      </w:r>
      <w:r>
        <w:rPr>
          <w:rStyle w:val="None"/>
          <w:rFonts w:cs="Times New Roman" w:hint="cs"/>
          <w:rtl/>
          <w:lang w:val="ar-SA"/>
        </w:rPr>
        <w:t xml:space="preserve">للاختراع، وفي القرن التاسع عشر، بدأت دول أخرى عديدة في وضع قوانين وطنية مُحدّدة لحماية الملكية الفكرية، بما في ذلك إيطاليا </w:t>
      </w:r>
      <w:r>
        <w:rPr>
          <w:rStyle w:val="None"/>
          <w:rFonts w:ascii="Times New Roman" w:hAnsi="Times New Roman"/>
          <w:rtl/>
          <w:lang w:val="ar-SA"/>
        </w:rPr>
        <w:t>-</w:t>
      </w:r>
      <w:r>
        <w:rPr>
          <w:rStyle w:val="None"/>
          <w:rFonts w:cs="Times New Roman" w:hint="cs"/>
          <w:rtl/>
          <w:lang w:val="ar-SA"/>
        </w:rPr>
        <w:t xml:space="preserve">التي أصدرت من خلال الملك فيتوريو إيمانويل الثاني عام </w:t>
      </w:r>
      <w:r>
        <w:rPr>
          <w:rStyle w:val="None"/>
          <w:rFonts w:ascii="Times New Roman" w:hAnsi="Times New Roman"/>
          <w:rtl/>
          <w:lang w:val="ar-SA"/>
        </w:rPr>
        <w:t xml:space="preserve">1885- </w:t>
      </w:r>
      <w:r>
        <w:rPr>
          <w:rStyle w:val="None"/>
          <w:rFonts w:cs="Times New Roman" w:hint="cs"/>
          <w:rtl/>
          <w:lang w:val="ar-SA"/>
        </w:rPr>
        <w:t xml:space="preserve">أول قانون بشأن </w:t>
      </w:r>
      <w:r>
        <w:rPr>
          <w:rStyle w:val="None"/>
          <w:rFonts w:ascii="Times New Roman" w:hAnsi="Times New Roman"/>
          <w:rtl/>
          <w:lang w:val="ar-SA"/>
        </w:rPr>
        <w:t>"</w:t>
      </w:r>
      <w:r>
        <w:rPr>
          <w:rStyle w:val="None"/>
          <w:rFonts w:cs="Times New Roman" w:hint="cs"/>
          <w:rtl/>
          <w:lang w:val="ar-SA"/>
        </w:rPr>
        <w:t>حقوق الاكتشافات أو الاختراعات الصناعية</w:t>
      </w:r>
      <w:r>
        <w:rPr>
          <w:rStyle w:val="None"/>
          <w:rFonts w:ascii="Times New Roman" w:hAnsi="Times New Roman"/>
          <w:rtl/>
          <w:lang w:val="ar-SA"/>
        </w:rPr>
        <w:t>"</w:t>
      </w:r>
      <w:r>
        <w:rPr>
          <w:rStyle w:val="None"/>
          <w:rFonts w:cs="Times New Roman" w:hint="cs"/>
          <w:rtl/>
          <w:lang w:val="ar-SA"/>
        </w:rPr>
        <w:t>، ومع الثورة الصناعية وزيادة حجم التجارة، برزت الحاجة إلى التوفيق بين مختلف القوانين المحلية، ومِنْ ثَمَّ وقّعت إيطاليا معاهدتين دوليتين مهمتين</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برن للأعمال الأدبية والفنية </w:t>
      </w:r>
      <w:r>
        <w:rPr>
          <w:rStyle w:val="None"/>
          <w:rFonts w:ascii="Times New Roman" w:hAnsi="Times New Roman"/>
          <w:rtl/>
          <w:lang w:val="ar-SA"/>
        </w:rPr>
        <w:t xml:space="preserve">(1886).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3"/>
      </w:r>
      <w:r>
        <w:rPr>
          <w:rStyle w:val="None"/>
          <w:rFonts w:ascii="Times New Roman" w:hAnsi="Times New Roman"/>
          <w:vertAlign w:val="superscript"/>
          <w:rtl/>
          <w:lang w:val="ar-SA"/>
        </w:rPr>
        <w:t>)</w:t>
      </w:r>
    </w:p>
    <w:p w14:paraId="3F66B6B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rPr>
      </w:pPr>
      <w:r>
        <w:rPr>
          <w:rStyle w:val="None"/>
          <w:rFonts w:cs="Times New Roman" w:hint="cs"/>
          <w:rtl/>
          <w:lang w:val="ar-SA"/>
        </w:rPr>
        <w:t>ويشمل قانون حماية حقوق الملكية الفكرية الإيطالي ما يلي، وذلك وفقًا للمادة الثانية منه</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4"/>
      </w:r>
      <w:r>
        <w:rPr>
          <w:rStyle w:val="None"/>
          <w:rFonts w:ascii="Times New Roman" w:hAnsi="Times New Roman"/>
          <w:vertAlign w:val="superscript"/>
          <w:rtl/>
          <w:lang w:val="ar-SA"/>
        </w:rPr>
        <w:t xml:space="preserve">) </w:t>
      </w:r>
      <w:r>
        <w:rPr>
          <w:rStyle w:val="None"/>
          <w:rFonts w:ascii="Times New Roman" w:hAnsi="Times New Roman"/>
          <w:vertAlign w:val="superscript"/>
        </w:rPr>
        <w:t xml:space="preserve">  </w:t>
      </w:r>
      <w:r>
        <w:rPr>
          <w:rStyle w:val="None"/>
          <w:rFonts w:ascii="Times New Roman" w:hAnsi="Times New Roman"/>
          <w:rtl/>
          <w:lang w:val="ar-SA"/>
        </w:rPr>
        <w:t xml:space="preserve"> </w:t>
      </w:r>
    </w:p>
    <w:p w14:paraId="627B9092"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الأعمال الأدبية، والدرامية، والعلمية، والتعليمية، والدينية، سواءً أكانت مكتوبة أم شفهية</w:t>
      </w:r>
      <w:r>
        <w:rPr>
          <w:rStyle w:val="None"/>
          <w:rFonts w:ascii="Times New Roman" w:hAnsi="Times New Roman"/>
          <w:rtl/>
          <w:lang w:val="ar-SA"/>
        </w:rPr>
        <w:t>.</w:t>
      </w:r>
    </w:p>
    <w:p w14:paraId="39661CF0"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الأعمال الموسيقية والمؤلفات، سواءً كانت مكتوبة أم لا، والأعمال الدرامية الموسيقية، والتنويعات الموسيقية التي تُشكِّل في حد ذاتها أعمالًا أصليةً</w:t>
      </w:r>
      <w:r>
        <w:rPr>
          <w:rStyle w:val="None"/>
          <w:rFonts w:ascii="Times New Roman" w:hAnsi="Times New Roman"/>
          <w:rtl/>
          <w:lang w:val="ar-SA"/>
        </w:rPr>
        <w:t>.</w:t>
      </w:r>
    </w:p>
    <w:p w14:paraId="1D70EC3F"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أعمال النحت، والرسم، والنقش، والفنون التصويرية المماثلة، بما في ذلك</w:t>
      </w:r>
      <w:r>
        <w:rPr>
          <w:rStyle w:val="None"/>
          <w:rFonts w:ascii="Times New Roman" w:hAnsi="Times New Roman"/>
          <w:rtl/>
          <w:lang w:val="ar-SA"/>
        </w:rPr>
        <w:t xml:space="preserve">: </w:t>
      </w:r>
      <w:r>
        <w:rPr>
          <w:rStyle w:val="None"/>
          <w:rFonts w:cs="Times New Roman" w:hint="cs"/>
          <w:rtl/>
          <w:lang w:val="ar-SA"/>
        </w:rPr>
        <w:t>فن المناظر الطبيعية</w:t>
      </w:r>
      <w:r>
        <w:rPr>
          <w:rStyle w:val="None"/>
          <w:rFonts w:ascii="Times New Roman" w:hAnsi="Times New Roman"/>
        </w:rPr>
        <w:t>.</w:t>
      </w:r>
    </w:p>
    <w:p w14:paraId="1023E430"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المخططات والأعمال المعمارية</w:t>
      </w:r>
      <w:r>
        <w:rPr>
          <w:rStyle w:val="None"/>
          <w:rFonts w:ascii="Times New Roman" w:hAnsi="Times New Roman"/>
          <w:rtl/>
          <w:lang w:val="ar-SA"/>
        </w:rPr>
        <w:t>.</w:t>
      </w:r>
    </w:p>
    <w:p w14:paraId="4BF5BADC"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lastRenderedPageBreak/>
        <w:t>أعمال الفن السينمائي، سواءً أكانت صامتةً أم صوتيةً، شريطة ألا تكون مجرد أفلام وثائقية، محميةً وفقًا لأحكام الفصل الخامس من الجزء الثاني</w:t>
      </w:r>
      <w:r>
        <w:rPr>
          <w:rStyle w:val="None"/>
          <w:rFonts w:ascii="Times New Roman" w:hAnsi="Times New Roman"/>
          <w:rtl/>
          <w:lang w:val="ar-SA"/>
        </w:rPr>
        <w:t>.</w:t>
      </w:r>
    </w:p>
    <w:p w14:paraId="2D0E7752"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أعمال الفن الفوتوغرافي والأعمال المعبر عنها بتقنيات مماثلة للصورة الفوتوغرافية، شريطة ألا تكون صورًا فوتوغرافيةً بسيطةً، محميةً وفقًا لأحكام الفصل الخامس من الجزء الثاني</w:t>
      </w:r>
      <w:r>
        <w:rPr>
          <w:rStyle w:val="None"/>
          <w:rFonts w:ascii="Times New Roman" w:hAnsi="Times New Roman"/>
          <w:rtl/>
          <w:lang w:val="ar-SA"/>
        </w:rPr>
        <w:t xml:space="preserve">. </w:t>
      </w:r>
    </w:p>
    <w:p w14:paraId="1F043FC3"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برامج الحاسوب، أيًا كان شكلها، شريطة أنْ تكون أصليةً، ونتاجًا للإبداع الفكري للمؤلف</w:t>
      </w:r>
      <w:r>
        <w:rPr>
          <w:rStyle w:val="None"/>
          <w:rFonts w:ascii="Times New Roman" w:hAnsi="Times New Roman"/>
          <w:rtl/>
          <w:lang w:val="ar-SA"/>
        </w:rPr>
        <w:t xml:space="preserve">. </w:t>
      </w:r>
    </w:p>
    <w:p w14:paraId="010ECD72"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 xml:space="preserve">قواعد البيانات، المنصوص عليها في البند الثاني من المادة </w:t>
      </w:r>
      <w:r>
        <w:rPr>
          <w:rStyle w:val="None"/>
          <w:rFonts w:ascii="Times New Roman" w:hAnsi="Times New Roman"/>
          <w:rtl/>
          <w:lang w:val="ar-SA"/>
        </w:rPr>
        <w:t>1</w:t>
      </w:r>
      <w:r>
        <w:rPr>
          <w:rStyle w:val="None"/>
          <w:rFonts w:cs="Times New Roman" w:hint="cs"/>
          <w:rtl/>
          <w:lang w:val="ar-SA"/>
        </w:rPr>
        <w:t>، والمقصود بها مجموعات من الأعمال أو البيانات أو غيرها من المواد المستقلة، المرتبة بشكل منهجي أو منظم، والتي يمكن الوصول إليها بشكل فردي إلكترونيًا أو بوسائل أخرى، ولا تمتد حماية حقوق الطبع والنشر لقواعد البيانات إلى محتوياتها، ولا تُخل بأي حقوق قائمة على هذه المحتويات</w:t>
      </w:r>
      <w:r>
        <w:rPr>
          <w:rStyle w:val="None"/>
          <w:rFonts w:ascii="Times New Roman" w:hAnsi="Times New Roman"/>
          <w:rtl/>
          <w:lang w:val="ar-SA"/>
        </w:rPr>
        <w:t>.</w:t>
      </w:r>
    </w:p>
    <w:p w14:paraId="2FEC4B55" w14:textId="77777777" w:rsidR="00454428" w:rsidRDefault="00000000" w:rsidP="00C72BA8">
      <w:pPr>
        <w:pStyle w:val="Default"/>
        <w:numPr>
          <w:ilvl w:val="0"/>
          <w:numId w:val="72"/>
        </w:numPr>
        <w:spacing w:before="120" w:after="120" w:line="360" w:lineRule="auto"/>
        <w:jc w:val="both"/>
        <w:rPr>
          <w:rFonts w:cs="Times New Roman"/>
          <w:rtl/>
          <w:lang w:val="ar-SA"/>
        </w:rPr>
      </w:pPr>
      <w:r>
        <w:rPr>
          <w:rStyle w:val="None"/>
          <w:rFonts w:cs="Times New Roman" w:hint="cs"/>
          <w:rtl/>
          <w:lang w:val="ar-SA"/>
        </w:rPr>
        <w:t>أعمال التصاميم الصناعية التي لها في حد ذاتها قيمة إبداعية وفنية</w:t>
      </w:r>
      <w:r>
        <w:rPr>
          <w:rStyle w:val="None"/>
          <w:rFonts w:ascii="Times New Roman" w:hAnsi="Times New Roman"/>
          <w:rtl/>
          <w:lang w:val="ar-SA"/>
        </w:rPr>
        <w:t>.</w:t>
      </w:r>
    </w:p>
    <w:p w14:paraId="1712C935"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وأنَّ تطوُّر قانون الملكية الفكرية الألماني في سياق التغيرات التكنولوجية، والاجتماعية، والسياسية التي شكّلت قوانين الملكية الفكرية، ونستعرض هذا التطوُّر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5"/>
      </w:r>
      <w:r>
        <w:rPr>
          <w:rStyle w:val="None"/>
          <w:rFonts w:ascii="Times New Roman" w:hAnsi="Times New Roman"/>
          <w:vertAlign w:val="superscript"/>
          <w:rtl/>
          <w:lang w:val="ar-SA"/>
        </w:rPr>
        <w:t>)</w:t>
      </w:r>
    </w:p>
    <w:p w14:paraId="46BDC69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أثارَ التقدمُ التكنولوجي في العصر الحديث المبكر </w:t>
      </w:r>
      <w:r>
        <w:rPr>
          <w:rStyle w:val="None"/>
          <w:rFonts w:ascii="Times New Roman" w:hAnsi="Times New Roman"/>
          <w:rtl/>
          <w:lang w:val="ar-SA"/>
        </w:rPr>
        <w:t>-</w:t>
      </w:r>
      <w:r>
        <w:rPr>
          <w:rStyle w:val="None"/>
          <w:rFonts w:cs="Times New Roman" w:hint="cs"/>
          <w:rtl/>
          <w:lang w:val="ar-SA"/>
        </w:rPr>
        <w:t>ولا سيما اختراع يوهانس غوتنبرغ من ماينز للمطبعة</w:t>
      </w:r>
      <w:r>
        <w:rPr>
          <w:rStyle w:val="None"/>
          <w:rFonts w:ascii="Times New Roman" w:hAnsi="Times New Roman"/>
          <w:rtl/>
          <w:lang w:val="ar-SA"/>
        </w:rPr>
        <w:t xml:space="preserve">- </w:t>
      </w:r>
      <w:r>
        <w:rPr>
          <w:rStyle w:val="None"/>
          <w:rFonts w:cs="Times New Roman" w:hint="cs"/>
          <w:rtl/>
          <w:lang w:val="ar-SA"/>
        </w:rPr>
        <w:t>تساؤلًا حول مَن يحق له تصنيع هذه الآلات واستخدامها، وكان الجواب على هذا التحدي التنظيمي هو صدور ما سُمي بالامتياز الحصري، الممنوح لفترة زمنية محددة من قِبل ملوك أراضي الإمبراطورية الرومانية المقدسة في العديد من الحالات الموثقة منذ القرن الرابع عشر</w:t>
      </w:r>
      <w:r>
        <w:rPr>
          <w:rStyle w:val="None"/>
          <w:rFonts w:ascii="Times New Roman" w:hAnsi="Times New Roman"/>
          <w:rtl/>
          <w:lang w:val="ar-SA"/>
        </w:rPr>
        <w:t>.</w:t>
      </w:r>
    </w:p>
    <w:p w14:paraId="79795ABF"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 وقد استغرق الانتقال من الامتياز إلى الملكية مئات السنين، ففي حين كانت بريطانيا وفرنسا بؤرتين للثورات السياسية التي أدت إلى صدور أول قوانين حديثة لحقوق التأليف والنشر وبراءات الاختراع في القرن الثامن عشر</w:t>
      </w:r>
      <w:r>
        <w:rPr>
          <w:rStyle w:val="None"/>
          <w:rFonts w:ascii="Times New Roman" w:hAnsi="Times New Roman"/>
          <w:rtl/>
          <w:lang w:val="ar-SA"/>
        </w:rPr>
        <w:t>.</w:t>
      </w:r>
    </w:p>
    <w:p w14:paraId="3F9B5496"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ويعود أول تدوين ألماني لقوانين الملكية الفكرية الحديثة في الأراضي الألمانية الغربية الخاضعة للحكم أو النفوذ الفرنسي إلى العصر النابليوني</w:t>
      </w:r>
      <w:r>
        <w:rPr>
          <w:rStyle w:val="None"/>
          <w:rFonts w:ascii="Times New Roman" w:hAnsi="Times New Roman"/>
          <w:rtl/>
          <w:lang w:val="ar-SA"/>
        </w:rPr>
        <w:t>.</w:t>
      </w:r>
    </w:p>
    <w:p w14:paraId="4508DA6E"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وقد أدى تأسيس الإمبراطورية الألمانية عام </w:t>
      </w:r>
      <w:r>
        <w:rPr>
          <w:rStyle w:val="None"/>
          <w:rFonts w:ascii="Times New Roman" w:hAnsi="Times New Roman"/>
          <w:rtl/>
          <w:lang w:val="ar-SA"/>
        </w:rPr>
        <w:t xml:space="preserve">1871 </w:t>
      </w:r>
      <w:r>
        <w:rPr>
          <w:rStyle w:val="None"/>
          <w:rFonts w:cs="Times New Roman" w:hint="cs"/>
          <w:rtl/>
          <w:lang w:val="ar-SA"/>
        </w:rPr>
        <w:t>إلى إنشاء ولاية قضائية موحدة للملكية الفكرية</w:t>
      </w:r>
      <w:r>
        <w:rPr>
          <w:rStyle w:val="None"/>
          <w:rFonts w:ascii="Times New Roman" w:hAnsi="Times New Roman"/>
          <w:rtl/>
          <w:lang w:val="ar-SA"/>
        </w:rPr>
        <w:t>.</w:t>
      </w:r>
    </w:p>
    <w:p w14:paraId="7FB082E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 وفي غضون بضع سنوات، سُنّت قوانين حقوق الطبع والنشر في الأعوام </w:t>
      </w:r>
      <w:r>
        <w:rPr>
          <w:rStyle w:val="None"/>
          <w:rFonts w:ascii="Times New Roman" w:hAnsi="Times New Roman"/>
          <w:rtl/>
          <w:lang w:val="ar-SA"/>
        </w:rPr>
        <w:t>(1870/1876/1876)</w:t>
      </w:r>
      <w:r>
        <w:rPr>
          <w:rStyle w:val="None"/>
          <w:rFonts w:cs="Times New Roman" w:hint="cs"/>
          <w:rtl/>
          <w:lang w:val="ar-SA"/>
        </w:rPr>
        <w:t xml:space="preserve">، والعلامات التجارية </w:t>
      </w:r>
      <w:r>
        <w:rPr>
          <w:rStyle w:val="None"/>
          <w:rFonts w:ascii="Times New Roman" w:hAnsi="Times New Roman"/>
          <w:rtl/>
          <w:lang w:val="ar-SA"/>
        </w:rPr>
        <w:t>(1874)</w:t>
      </w:r>
      <w:r>
        <w:rPr>
          <w:rStyle w:val="None"/>
          <w:rFonts w:cs="Times New Roman" w:hint="cs"/>
          <w:rtl/>
          <w:lang w:val="ar-SA"/>
        </w:rPr>
        <w:t xml:space="preserve">، والتصميم </w:t>
      </w:r>
      <w:r>
        <w:rPr>
          <w:rStyle w:val="None"/>
          <w:rFonts w:ascii="Times New Roman" w:hAnsi="Times New Roman"/>
          <w:rtl/>
          <w:lang w:val="ar-SA"/>
        </w:rPr>
        <w:t>(1876)</w:t>
      </w:r>
      <w:r>
        <w:rPr>
          <w:rStyle w:val="None"/>
          <w:rFonts w:cs="Times New Roman" w:hint="cs"/>
          <w:rtl/>
          <w:lang w:val="ar-SA"/>
        </w:rPr>
        <w:t xml:space="preserve">، وبراءات الاختراع </w:t>
      </w:r>
      <w:r>
        <w:rPr>
          <w:rStyle w:val="None"/>
          <w:rFonts w:ascii="Times New Roman" w:hAnsi="Times New Roman"/>
          <w:rtl/>
          <w:lang w:val="ar-SA"/>
        </w:rPr>
        <w:t>(1877)</w:t>
      </w:r>
      <w:r>
        <w:rPr>
          <w:rStyle w:val="None"/>
          <w:rFonts w:cs="Times New Roman" w:hint="cs"/>
          <w:rtl/>
          <w:lang w:val="ar-SA"/>
        </w:rPr>
        <w:t>، والتي عكست إلى حد كبير المعيار الأوروبي لحماية الملكية الفكرية في ذلك الوقت</w:t>
      </w:r>
      <w:r>
        <w:rPr>
          <w:rStyle w:val="None"/>
          <w:rFonts w:ascii="Times New Roman" w:hAnsi="Times New Roman"/>
          <w:rtl/>
          <w:lang w:val="ar-SA"/>
        </w:rPr>
        <w:t>.</w:t>
      </w:r>
    </w:p>
    <w:p w14:paraId="319BBD8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lastRenderedPageBreak/>
        <w:t xml:space="preserve">كما شاركت ألمانيا بفاعلية في وضع معاهدات الملكية الفكرية، وكانت من بين الأعضاء المؤسسين لاتفاقية برن، وانضمت إلى اتفاقية باريس عام </w:t>
      </w:r>
      <w:r>
        <w:rPr>
          <w:rStyle w:val="None"/>
          <w:rFonts w:ascii="Times New Roman" w:hAnsi="Times New Roman"/>
          <w:rtl/>
          <w:lang w:val="ar-SA"/>
        </w:rPr>
        <w:t>1903.</w:t>
      </w:r>
    </w:p>
    <w:p w14:paraId="3EC3A303"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كما تُعَدُّ ألمانيا طرفًا متعاقدًا في جميع المعاهدات التي تديرها المنظمة العالمية للملكية الفكرية، وفي الاتفاقية الأوروبية لبراءات الاختراع، والاتحاد الدولي لحماية الأصناف النباتية، واتفاقية الجوانب المتصلة بالتجارة من حقوق الملكية الفكرية </w:t>
      </w:r>
      <w:r>
        <w:rPr>
          <w:rStyle w:val="None"/>
          <w:rFonts w:ascii="Times New Roman" w:hAnsi="Times New Roman"/>
          <w:rtl/>
          <w:lang w:val="ar-SA"/>
        </w:rPr>
        <w:t xml:space="preserve">(TRIPS) </w:t>
      </w:r>
      <w:r>
        <w:rPr>
          <w:rStyle w:val="None"/>
          <w:rFonts w:cs="Times New Roman" w:hint="cs"/>
          <w:rtl/>
          <w:lang w:val="ar-SA"/>
        </w:rPr>
        <w:t>التابعة لمنظمة التجارة العالمية</w:t>
      </w:r>
      <w:r>
        <w:rPr>
          <w:rStyle w:val="None"/>
          <w:rFonts w:ascii="Times New Roman" w:hAnsi="Times New Roman"/>
          <w:rtl/>
          <w:lang w:val="ar-SA"/>
        </w:rPr>
        <w:t>.</w:t>
      </w:r>
    </w:p>
    <w:p w14:paraId="72518D4B"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وفي الصين عام </w:t>
      </w:r>
      <w:r>
        <w:rPr>
          <w:rStyle w:val="None"/>
          <w:rFonts w:ascii="Times New Roman" w:hAnsi="Times New Roman"/>
          <w:rtl/>
          <w:lang w:val="ar-SA"/>
        </w:rPr>
        <w:t>1978</w:t>
      </w:r>
      <w:r>
        <w:rPr>
          <w:rStyle w:val="None"/>
          <w:rFonts w:cs="Times New Roman" w:hint="cs"/>
          <w:rtl/>
          <w:lang w:val="ar-SA"/>
        </w:rPr>
        <w:t xml:space="preserve">، تبنت الصين سياسة </w:t>
      </w:r>
      <w:r>
        <w:rPr>
          <w:rStyle w:val="None"/>
          <w:rFonts w:ascii="Times New Roman" w:hAnsi="Times New Roman"/>
          <w:rtl/>
          <w:lang w:val="ar-SA"/>
        </w:rPr>
        <w:t>"</w:t>
      </w:r>
      <w:r>
        <w:rPr>
          <w:rStyle w:val="None"/>
          <w:rFonts w:cs="Times New Roman" w:hint="cs"/>
          <w:rtl/>
          <w:lang w:val="ar-SA"/>
        </w:rPr>
        <w:t>الباب المفتوح</w:t>
      </w:r>
      <w:r>
        <w:rPr>
          <w:rStyle w:val="None"/>
          <w:rFonts w:ascii="Times New Roman" w:hAnsi="Times New Roman"/>
          <w:rtl/>
          <w:lang w:val="ar-SA"/>
        </w:rPr>
        <w:t>"</w:t>
      </w:r>
      <w:r>
        <w:rPr>
          <w:rStyle w:val="None"/>
          <w:rFonts w:cs="Times New Roman" w:hint="cs"/>
          <w:rtl/>
          <w:lang w:val="ar-SA"/>
        </w:rPr>
        <w:t xml:space="preserve">، التي حوّلت تدريجيًا نظام الاقتصاد المخطط الذي كان قائمًا في الصين لمدة </w:t>
      </w:r>
      <w:r>
        <w:rPr>
          <w:rStyle w:val="None"/>
          <w:rFonts w:ascii="Times New Roman" w:hAnsi="Times New Roman"/>
          <w:rtl/>
          <w:lang w:val="ar-SA"/>
        </w:rPr>
        <w:t xml:space="preserve">30 </w:t>
      </w:r>
      <w:r>
        <w:rPr>
          <w:rStyle w:val="None"/>
          <w:rFonts w:cs="Times New Roman" w:hint="cs"/>
          <w:rtl/>
          <w:lang w:val="ar-SA"/>
        </w:rPr>
        <w:t xml:space="preserve">عامًا إلى نظام اقتصاد السوق، ولدعم هذا التحول في النظام الاقتصادي، انضمت الصين إلى سلسلة من الاتفاقيات والمعاهدات الدولية لحماية حقوق الملكية الفكرية، وأنشأت نظامها القانوني الخاص بها، وقد وقّعت الصين على اتفاقية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 xml:space="preserve">) </w:t>
      </w:r>
      <w:r>
        <w:rPr>
          <w:rStyle w:val="None"/>
          <w:rFonts w:cs="Times New Roman" w:hint="cs"/>
          <w:rtl/>
          <w:lang w:val="ar-SA"/>
        </w:rPr>
        <w:t xml:space="preserve">في عام </w:t>
      </w:r>
      <w:r>
        <w:rPr>
          <w:rStyle w:val="None"/>
          <w:rFonts w:ascii="Times New Roman" w:hAnsi="Times New Roman"/>
          <w:rtl/>
          <w:lang w:val="ar-SA"/>
        </w:rPr>
        <w:t>1980</w:t>
      </w:r>
      <w:r>
        <w:rPr>
          <w:rStyle w:val="None"/>
          <w:rFonts w:cs="Times New Roman" w:hint="cs"/>
          <w:rtl/>
          <w:lang w:val="ar-SA"/>
        </w:rPr>
        <w:t xml:space="preserve">، وفي </w:t>
      </w:r>
      <w:r>
        <w:rPr>
          <w:rStyle w:val="None"/>
          <w:rFonts w:ascii="Times New Roman" w:hAnsi="Times New Roman"/>
          <w:rtl/>
          <w:lang w:val="ar-SA"/>
        </w:rPr>
        <w:t xml:space="preserve">11 </w:t>
      </w:r>
      <w:r>
        <w:rPr>
          <w:rStyle w:val="None"/>
          <w:rFonts w:cs="Times New Roman" w:hint="cs"/>
          <w:rtl/>
          <w:lang w:val="ar-SA"/>
        </w:rPr>
        <w:t xml:space="preserve">ديسمبر </w:t>
      </w:r>
      <w:r>
        <w:rPr>
          <w:rStyle w:val="None"/>
          <w:rFonts w:ascii="Times New Roman" w:hAnsi="Times New Roman"/>
          <w:rtl/>
          <w:lang w:val="ar-SA"/>
        </w:rPr>
        <w:t>2001</w:t>
      </w:r>
      <w:r>
        <w:rPr>
          <w:rStyle w:val="None"/>
          <w:rFonts w:cs="Times New Roman" w:hint="cs"/>
          <w:rtl/>
          <w:lang w:val="ar-SA"/>
        </w:rPr>
        <w:t xml:space="preserve">، قُبلت الصين عضوًا في منظمة التجارة العالمية </w:t>
      </w:r>
      <w:r>
        <w:rPr>
          <w:rStyle w:val="None"/>
          <w:rFonts w:ascii="Times New Roman" w:hAnsi="Times New Roman"/>
          <w:rtl/>
          <w:lang w:val="ar-SA"/>
        </w:rPr>
        <w:t>(WTO)</w:t>
      </w:r>
      <w:r>
        <w:rPr>
          <w:rStyle w:val="None"/>
          <w:rFonts w:cs="Times New Roman" w:hint="cs"/>
          <w:rtl/>
          <w:lang w:val="ar-SA"/>
        </w:rPr>
        <w:t xml:space="preserve">، وكشرط إلزامي للانضمام إلى منظمة التجارة العالمية، اضطرت الصين إلى تحسين نظام حقوق الملكية الفكرية لديها للامتثال للحد الأدنى من معايير اتفاقية الجوانب المتصلة بالتجارة لحقوق الملكية الفكرية </w:t>
      </w:r>
      <w:r>
        <w:rPr>
          <w:rStyle w:val="None"/>
          <w:rFonts w:ascii="Times New Roman" w:hAnsi="Times New Roman"/>
          <w:rtl/>
          <w:lang w:val="ar-SA"/>
        </w:rPr>
        <w:t>(TRIPS)</w:t>
      </w:r>
      <w:r>
        <w:rPr>
          <w:rStyle w:val="None"/>
          <w:rFonts w:cs="Times New Roman" w:hint="cs"/>
          <w:rtl/>
          <w:lang w:val="ar-SA"/>
        </w:rPr>
        <w:t>، وبالتالي</w:t>
      </w:r>
      <w:r>
        <w:rPr>
          <w:rStyle w:val="None"/>
          <w:rFonts w:ascii="Times New Roman" w:hAnsi="Times New Roman"/>
          <w:rtl/>
          <w:lang w:val="ar-SA"/>
        </w:rPr>
        <w:t xml:space="preserve">: </w:t>
      </w:r>
      <w:r>
        <w:rPr>
          <w:rStyle w:val="None"/>
          <w:rFonts w:cs="Times New Roman" w:hint="cs"/>
          <w:rtl/>
          <w:lang w:val="ar-SA"/>
        </w:rPr>
        <w:t>خضعت قوانين براءات الاختراع والعلامات التجارية وحقوق التأليف والنشر للمراجعة، كما صدرت العديد من القوانين واللوائح الأخرى المتعلقة بحقوق الملكية الفكرية خلال هذه الفترة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6"/>
      </w:r>
      <w:r>
        <w:rPr>
          <w:rStyle w:val="None"/>
          <w:rFonts w:ascii="Times New Roman" w:hAnsi="Times New Roman"/>
          <w:vertAlign w:val="superscript"/>
          <w:rtl/>
          <w:lang w:val="ar-SA"/>
        </w:rPr>
        <w:t>)</w:t>
      </w:r>
    </w:p>
    <w:p w14:paraId="3DA662F8"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وتتبع مراحل تطوُّر قانون الملكية الفكرية في الصين من خلال النقاط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cs="Times New Roman"/>
          <w:vertAlign w:val="superscript"/>
          <w:lang w:val="ar-SA"/>
        </w:rPr>
        <w:footnoteReference w:id="117"/>
      </w:r>
      <w:r>
        <w:rPr>
          <w:rStyle w:val="None"/>
          <w:rFonts w:ascii="Times New Roman" w:hAnsi="Times New Roman"/>
          <w:vertAlign w:val="superscript"/>
          <w:rtl/>
          <w:lang w:val="ar-SA"/>
        </w:rPr>
        <w:t>)</w:t>
      </w:r>
    </w:p>
    <w:p w14:paraId="332F8D26"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في عام </w:t>
      </w:r>
      <w:r>
        <w:rPr>
          <w:rStyle w:val="None"/>
          <w:rFonts w:ascii="Times New Roman" w:hAnsi="Times New Roman"/>
          <w:rtl/>
          <w:lang w:val="ar-SA"/>
        </w:rPr>
        <w:t>1973</w:t>
      </w:r>
      <w:r>
        <w:rPr>
          <w:rStyle w:val="None"/>
          <w:rFonts w:cs="Times New Roman" w:hint="cs"/>
          <w:rtl/>
          <w:lang w:val="ar-SA"/>
        </w:rPr>
        <w:t xml:space="preserve">، زار رئيسُ الوزراء </w:t>
      </w:r>
      <w:r>
        <w:rPr>
          <w:rStyle w:val="None"/>
          <w:rFonts w:ascii="Times New Roman" w:hAnsi="Times New Roman"/>
          <w:rtl/>
          <w:lang w:val="ar-SA"/>
        </w:rPr>
        <w:t>(</w:t>
      </w:r>
      <w:r>
        <w:rPr>
          <w:rStyle w:val="None"/>
          <w:rFonts w:cs="Times New Roman" w:hint="cs"/>
          <w:rtl/>
          <w:lang w:val="ar-SA"/>
        </w:rPr>
        <w:t>تشو إن لاي</w:t>
      </w:r>
      <w:r>
        <w:rPr>
          <w:rStyle w:val="None"/>
          <w:rFonts w:ascii="Times New Roman" w:hAnsi="Times New Roman"/>
          <w:rtl/>
          <w:lang w:val="ar-SA"/>
        </w:rPr>
        <w:t>)</w:t>
      </w:r>
      <w:r>
        <w:rPr>
          <w:rStyle w:val="None"/>
          <w:rFonts w:cs="Times New Roman" w:hint="cs"/>
          <w:rtl/>
          <w:lang w:val="ar-SA"/>
        </w:rPr>
        <w:t xml:space="preserve">، ومديرُ الشؤون القانونية في المجلس الصيني لتعزيز التجارة الدولية </w:t>
      </w:r>
      <w:r>
        <w:rPr>
          <w:rStyle w:val="None"/>
          <w:rFonts w:ascii="Times New Roman" w:hAnsi="Times New Roman"/>
          <w:rtl/>
          <w:lang w:val="ar-SA"/>
        </w:rPr>
        <w:t xml:space="preserve">(CCPIT) </w:t>
      </w:r>
      <w:r>
        <w:rPr>
          <w:rStyle w:val="None"/>
          <w:rFonts w:cs="Times New Roman" w:hint="cs"/>
          <w:rtl/>
          <w:lang w:val="ar-SA"/>
        </w:rPr>
        <w:t>المنظمةَ العالميةَ للملكية الفكرية</w:t>
      </w:r>
      <w:r>
        <w:rPr>
          <w:rStyle w:val="None"/>
          <w:rFonts w:ascii="Times New Roman" w:hAnsi="Times New Roman"/>
          <w:rtl/>
          <w:lang w:val="ar-SA"/>
        </w:rPr>
        <w:t xml:space="preserve">. </w:t>
      </w:r>
    </w:p>
    <w:p w14:paraId="4246C877"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وقد حدث أول نشاط رسمي للملكية الفكرية الدولية في الصين في عام </w:t>
      </w:r>
      <w:r>
        <w:rPr>
          <w:rStyle w:val="None"/>
          <w:rFonts w:ascii="Times New Roman" w:hAnsi="Times New Roman"/>
          <w:rtl/>
          <w:lang w:val="ar-SA"/>
        </w:rPr>
        <w:t xml:space="preserve">1974 </w:t>
      </w:r>
      <w:r>
        <w:rPr>
          <w:rStyle w:val="None"/>
          <w:rFonts w:cs="Times New Roman" w:hint="cs"/>
          <w:rtl/>
          <w:lang w:val="ar-SA"/>
        </w:rPr>
        <w:t>عندما وقّعت حكومتا الصين وأستراليا تبادلًا لمذكرات بشأن تسجيل العلامات التجارية بين البلدين</w:t>
      </w:r>
      <w:r>
        <w:rPr>
          <w:rStyle w:val="None"/>
          <w:rFonts w:ascii="Times New Roman" w:hAnsi="Times New Roman"/>
          <w:rtl/>
          <w:lang w:val="ar-SA"/>
        </w:rPr>
        <w:t>.</w:t>
      </w:r>
    </w:p>
    <w:p w14:paraId="30855905"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ثم تم الاعتراف بحقوق الملكية الفكرية وحمايتها في جمهورية الصين الشعبية منذ عام </w:t>
      </w:r>
      <w:r>
        <w:rPr>
          <w:rStyle w:val="None"/>
          <w:rFonts w:ascii="Times New Roman" w:hAnsi="Times New Roman"/>
          <w:rtl/>
          <w:lang w:val="ar-SA"/>
        </w:rPr>
        <w:t>1979.</w:t>
      </w:r>
    </w:p>
    <w:p w14:paraId="06B4DBDA"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وقد انضمت الصين إلى الويبو كعضوها التسعين في عام </w:t>
      </w:r>
      <w:r>
        <w:rPr>
          <w:rStyle w:val="None"/>
          <w:rFonts w:ascii="Times New Roman" w:hAnsi="Times New Roman"/>
          <w:rtl/>
          <w:lang w:val="ar-SA"/>
        </w:rPr>
        <w:t>1980</w:t>
      </w:r>
      <w:r>
        <w:rPr>
          <w:rStyle w:val="None"/>
          <w:rFonts w:cs="Times New Roman" w:hint="cs"/>
          <w:rtl/>
          <w:lang w:val="ar-SA"/>
        </w:rPr>
        <w:t>، وبعد عام واحد فقط من انضمامها إلى الويبو</w:t>
      </w:r>
      <w:r>
        <w:rPr>
          <w:rStyle w:val="None"/>
          <w:rFonts w:ascii="Times New Roman" w:hAnsi="Times New Roman"/>
          <w:rtl/>
          <w:lang w:val="ar-SA"/>
        </w:rPr>
        <w:t>.</w:t>
      </w:r>
    </w:p>
    <w:p w14:paraId="6362F529"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وفي مارس </w:t>
      </w:r>
      <w:r>
        <w:rPr>
          <w:rStyle w:val="None"/>
          <w:rFonts w:ascii="Times New Roman" w:hAnsi="Times New Roman"/>
          <w:rtl/>
          <w:lang w:val="ar-SA"/>
        </w:rPr>
        <w:t>1984</w:t>
      </w:r>
      <w:r>
        <w:rPr>
          <w:rStyle w:val="None"/>
          <w:rFonts w:cs="Times New Roman" w:hint="cs"/>
          <w:rtl/>
          <w:lang w:val="ar-SA"/>
        </w:rPr>
        <w:t>، أصدر المجلس الوطني لنواب الشعب الصيني أول قانون صيني لبراءات الاختراع، وهو حدث تاريخي فتح صفحة جديدة في حماية حقوق الملكية الفكرية</w:t>
      </w:r>
      <w:r>
        <w:rPr>
          <w:rStyle w:val="None"/>
          <w:rFonts w:ascii="Times New Roman" w:hAnsi="Times New Roman"/>
          <w:rtl/>
          <w:lang w:val="ar-SA"/>
        </w:rPr>
        <w:t>.</w:t>
      </w:r>
    </w:p>
    <w:p w14:paraId="66642439"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1980 </w:t>
      </w:r>
      <w:r>
        <w:rPr>
          <w:rStyle w:val="None"/>
          <w:rFonts w:cs="Times New Roman" w:hint="cs"/>
          <w:rtl/>
          <w:lang w:val="ar-SA"/>
        </w:rPr>
        <w:t xml:space="preserve">تأسس مكتب الدولة للملكية الفكرية لجمهورية الصين الشعبية </w:t>
      </w:r>
      <w:r>
        <w:rPr>
          <w:rStyle w:val="None"/>
          <w:rFonts w:ascii="Times New Roman" w:hAnsi="Times New Roman"/>
          <w:rtl/>
          <w:lang w:val="ar-SA"/>
        </w:rPr>
        <w:t>(SIPO)</w:t>
      </w:r>
      <w:r>
        <w:rPr>
          <w:rStyle w:val="None"/>
          <w:rFonts w:cs="Times New Roman" w:hint="cs"/>
          <w:rtl/>
          <w:lang w:val="ar-SA"/>
        </w:rPr>
        <w:t>، المعروف أيضًا باسم مكتب براءات الاختراع الصيني</w:t>
      </w:r>
      <w:r>
        <w:rPr>
          <w:rStyle w:val="None"/>
          <w:rFonts w:ascii="Times New Roman" w:hAnsi="Times New Roman"/>
          <w:rtl/>
          <w:lang w:val="ar-SA"/>
        </w:rPr>
        <w:t>.</w:t>
      </w:r>
    </w:p>
    <w:p w14:paraId="2ACE81F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كما انضمت الصين إلى اتفاقية مدريد بشأن التسجيل الدولي للعلامات التجارية عام </w:t>
      </w:r>
      <w:r>
        <w:rPr>
          <w:rStyle w:val="None"/>
          <w:rFonts w:ascii="Times New Roman" w:hAnsi="Times New Roman"/>
          <w:rtl/>
          <w:lang w:val="ar-SA"/>
        </w:rPr>
        <w:t xml:space="preserve">1989. </w:t>
      </w:r>
    </w:p>
    <w:p w14:paraId="4F5D943C"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lastRenderedPageBreak/>
        <w:t xml:space="preserve">كما أصدرت الصين قانونًا جديدًا لحقوق الطبع والنشر وأصدرت لوائح تنفيذية جديدة في عام </w:t>
      </w:r>
      <w:r>
        <w:rPr>
          <w:rStyle w:val="None"/>
          <w:rFonts w:ascii="Times New Roman" w:hAnsi="Times New Roman"/>
          <w:rtl/>
          <w:lang w:val="ar-SA"/>
        </w:rPr>
        <w:t>1990</w:t>
      </w:r>
      <w:r>
        <w:rPr>
          <w:rStyle w:val="None"/>
          <w:rFonts w:cs="Times New Roman" w:hint="cs"/>
          <w:rtl/>
          <w:lang w:val="ar-SA"/>
        </w:rPr>
        <w:t xml:space="preserve">، وتبع ذلك مجموعة منفصلة من لوائح تحدد الملكية الفكرية لبرمجيات الحاسوب في عام </w:t>
      </w:r>
      <w:r>
        <w:rPr>
          <w:rStyle w:val="None"/>
          <w:rFonts w:ascii="Times New Roman" w:hAnsi="Times New Roman"/>
          <w:rtl/>
          <w:lang w:val="ar-SA"/>
        </w:rPr>
        <w:t>1991.</w:t>
      </w:r>
    </w:p>
    <w:p w14:paraId="540CAD05"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2001 </w:t>
      </w:r>
      <w:r>
        <w:rPr>
          <w:rStyle w:val="None"/>
          <w:rFonts w:cs="Times New Roman" w:hint="cs"/>
          <w:rtl/>
          <w:lang w:val="ar-SA"/>
        </w:rPr>
        <w:t xml:space="preserve">انضمت الصين إلى منظمة التجارة العالمية بعد </w:t>
      </w:r>
      <w:r>
        <w:rPr>
          <w:rStyle w:val="None"/>
          <w:rFonts w:ascii="Times New Roman" w:hAnsi="Times New Roman"/>
          <w:rtl/>
          <w:lang w:val="ar-SA"/>
        </w:rPr>
        <w:t xml:space="preserve">15 </w:t>
      </w:r>
      <w:r>
        <w:rPr>
          <w:rStyle w:val="None"/>
          <w:rFonts w:cs="Times New Roman" w:hint="cs"/>
          <w:rtl/>
          <w:lang w:val="ar-SA"/>
        </w:rPr>
        <w:t xml:space="preserve">عامًا من المشاورات، ومن أجل الحصول على عضوية منظمة التجارة العالمية، عزّزت الصين حماية حقوق الملكية الفكرية من خلال تصميم عدد من الاستراتيجيات ملتزمةً بالمعايير الدنيا لاتفاقية الجوانب المتصلة بالتجارة من حقوق الملكية الفكرية </w:t>
      </w:r>
      <w:r>
        <w:rPr>
          <w:rStyle w:val="None"/>
          <w:rFonts w:ascii="Times New Roman" w:hAnsi="Times New Roman"/>
          <w:rtl/>
          <w:lang w:val="ar-SA"/>
        </w:rPr>
        <w:t>(TRIPs).</w:t>
      </w:r>
    </w:p>
    <w:p w14:paraId="05566FE3"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2004</w:t>
      </w:r>
      <w:r>
        <w:rPr>
          <w:rStyle w:val="None"/>
          <w:rFonts w:cs="Times New Roman" w:hint="cs"/>
          <w:rtl/>
          <w:lang w:val="ar-SA"/>
        </w:rPr>
        <w:t>، أصبحت الصين رابع أكبر مكتب براءات اختراع في العالم، من حيث عدد طلبات براءات الاختراع</w:t>
      </w:r>
      <w:r>
        <w:rPr>
          <w:rStyle w:val="None"/>
          <w:rFonts w:ascii="Times New Roman" w:hAnsi="Times New Roman"/>
          <w:rtl/>
          <w:lang w:val="ar-SA"/>
        </w:rPr>
        <w:t>.</w:t>
      </w:r>
    </w:p>
    <w:p w14:paraId="600F0D7D" w14:textId="77777777" w:rsidR="00454428" w:rsidRDefault="00000000" w:rsidP="00C72BA8">
      <w:pPr>
        <w:pStyle w:val="Default"/>
        <w:numPr>
          <w:ilvl w:val="0"/>
          <w:numId w:val="70"/>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2014 </w:t>
      </w:r>
      <w:r>
        <w:rPr>
          <w:rStyle w:val="None"/>
          <w:rFonts w:cs="Times New Roman" w:hint="cs"/>
          <w:rtl/>
          <w:lang w:val="ar-SA"/>
        </w:rPr>
        <w:t>نُشرت خطة الترويج لتنفيذ الاستراتيجية الوطنية للملكية الفكرية؛ تنفيذًا لمتطلبات المؤتمر الوطني الثامن عشر للحزب الشيوعي الصيني، والدورة الكاملة الثالثة للجنة المركزية الثامنة عشرة للحزب الشيوعي الصيني، وتنفيذًا لمتطلبات المؤتمر الوطني التلفزيوني والهاتفي بشأن تنفيذ استراتيجية الملكية الفكرية، وتعزيز التنفيذ العميق والفعَّال للاستراتيجية الوطنية للملكية الفكرية</w:t>
      </w:r>
      <w:r>
        <w:rPr>
          <w:rStyle w:val="None"/>
          <w:rFonts w:ascii="Times New Roman" w:hAnsi="Times New Roman"/>
          <w:rtl/>
          <w:lang w:val="ar-SA"/>
        </w:rPr>
        <w:t>.</w:t>
      </w:r>
      <w:bookmarkEnd w:id="91"/>
    </w:p>
    <w:p w14:paraId="3C854CD3"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60E12161"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37CA6134"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69FFCEFF"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15B4F4F1"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5A256F08"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6921698F"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41DB831E"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1D41EC85"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051B5CE6"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05C787F9"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52B81992"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7BB9E621"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25BE7601"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16C1BB24" w14:textId="77777777" w:rsidR="00454428" w:rsidRDefault="00000000" w:rsidP="00C72BA8">
      <w:pPr>
        <w:pStyle w:val="a"/>
        <w:rPr>
          <w:rStyle w:val="None"/>
          <w:b w:val="0"/>
          <w:bCs w:val="0"/>
          <w:lang w:val="ar-SA"/>
        </w:rPr>
      </w:pPr>
      <w:bookmarkStart w:id="93" w:name="_Toc46"/>
      <w:r>
        <w:rPr>
          <w:rStyle w:val="None"/>
          <w:rFonts w:ascii="Arial Unicode MS" w:eastAsia="Arial Unicode MS" w:hAnsi="Arial Unicode MS" w:hint="cs"/>
          <w:rtl/>
          <w:lang w:val="ar-SA"/>
        </w:rPr>
        <w:t>الفرع الثاني</w:t>
      </w:r>
      <w:bookmarkEnd w:id="93"/>
    </w:p>
    <w:p w14:paraId="2134FF17" w14:textId="77777777" w:rsidR="00454428" w:rsidRDefault="00000000" w:rsidP="00C72BA8">
      <w:pPr>
        <w:pStyle w:val="a"/>
        <w:rPr>
          <w:rStyle w:val="None"/>
          <w:b w:val="0"/>
          <w:bCs w:val="0"/>
          <w:lang w:val="ar-SA"/>
        </w:rPr>
      </w:pPr>
      <w:bookmarkStart w:id="94" w:name="_Toc47"/>
      <w:r>
        <w:rPr>
          <w:rStyle w:val="None"/>
          <w:rFonts w:ascii="Arial Unicode MS" w:eastAsia="Arial Unicode MS" w:hAnsi="Arial Unicode MS" w:hint="cs"/>
          <w:rtl/>
          <w:lang w:val="ar-SA"/>
        </w:rPr>
        <w:t>دور المؤسسات الوطنية والدولية في دعم الحماية</w:t>
      </w:r>
      <w:bookmarkEnd w:id="94"/>
    </w:p>
    <w:p w14:paraId="092AD2E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تلعب المؤسسات دورًا محوريًا في تنفيذ التشريعات وتطوير منظومة الحماية، ففي المملكة العربية السعودية، تضطلع الهيئة السعودية للملكية الفكرية </w:t>
      </w:r>
      <w:r>
        <w:rPr>
          <w:rStyle w:val="None"/>
          <w:rFonts w:ascii="Times New Roman" w:hAnsi="Times New Roman"/>
          <w:rtl/>
          <w:lang w:val="ar-SA"/>
        </w:rPr>
        <w:t xml:space="preserve">SAIP </w:t>
      </w:r>
      <w:r>
        <w:rPr>
          <w:rStyle w:val="None"/>
          <w:rFonts w:cs="Times New Roman" w:hint="cs"/>
          <w:rtl/>
          <w:lang w:val="ar-SA"/>
        </w:rPr>
        <w:t xml:space="preserve">بمسئولية تسجيل الحقوق ومراقبة الامتثال، وتقديم خدمات توعوية وتنظيمية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8"/>
      </w:r>
      <w:r>
        <w:rPr>
          <w:rStyle w:val="None"/>
          <w:rFonts w:ascii="Times New Roman" w:hAnsi="Times New Roman"/>
          <w:vertAlign w:val="superscript"/>
          <w:rtl/>
          <w:lang w:val="ar-SA"/>
        </w:rPr>
        <w:t>)</w:t>
      </w:r>
      <w:r>
        <w:rPr>
          <w:rStyle w:val="None"/>
          <w:rFonts w:cs="Times New Roman" w:hint="cs"/>
          <w:rtl/>
          <w:lang w:val="ar-SA"/>
        </w:rPr>
        <w:t>، كما تسهم وزارة التجارة في متابعة قضايا الغش والتقليد، وتشارك وزارة الإعلام في حماية المصنفات السمعية والبصرية، وتتكامل هذه الجهود مع دور القضاء في الفصل في المنازعات، سواء عبر المحاكم أو اللجان المختصة</w:t>
      </w:r>
      <w:r>
        <w:rPr>
          <w:rStyle w:val="None"/>
          <w:rFonts w:ascii="Times New Roman" w:hAnsi="Times New Roman"/>
          <w:rtl/>
          <w:lang w:val="ar-SA"/>
        </w:rPr>
        <w:t>.</w:t>
      </w:r>
    </w:p>
    <w:p w14:paraId="4AE893B9"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فقد أنشأت المملكة هيئةً مختصةً بحقوق الملكية الفكرية اعتمدت بقرار مجلس الوزراء عام </w:t>
      </w:r>
      <w:r>
        <w:rPr>
          <w:rStyle w:val="None"/>
          <w:rFonts w:ascii="Times New Roman" w:hAnsi="Times New Roman"/>
          <w:rtl/>
          <w:lang w:val="ar-SA"/>
        </w:rPr>
        <w:t>1437</w:t>
      </w:r>
      <w:r>
        <w:rPr>
          <w:rStyle w:val="None"/>
          <w:rFonts w:cs="Times New Roman" w:hint="cs"/>
          <w:rtl/>
          <w:lang w:val="ar-SA"/>
        </w:rPr>
        <w:t xml:space="preserve">هـ الموافق </w:t>
      </w:r>
      <w:r>
        <w:rPr>
          <w:rStyle w:val="None"/>
          <w:rFonts w:ascii="Times New Roman" w:hAnsi="Times New Roman"/>
          <w:rtl/>
          <w:lang w:val="ar-SA"/>
        </w:rPr>
        <w:t>2015</w:t>
      </w:r>
      <w:r>
        <w:rPr>
          <w:rStyle w:val="None"/>
          <w:rFonts w:cs="Times New Roman" w:hint="cs"/>
          <w:rtl/>
          <w:lang w:val="ar-SA"/>
        </w:rPr>
        <w:t xml:space="preserve">، ومن مبادرات التحول الوطني </w:t>
      </w:r>
      <w:r>
        <w:rPr>
          <w:rStyle w:val="None"/>
          <w:rFonts w:ascii="Times New Roman" w:hAnsi="Times New Roman"/>
          <w:rtl/>
          <w:lang w:val="ar-SA"/>
        </w:rPr>
        <w:t>2020</w:t>
      </w:r>
      <w:r>
        <w:rPr>
          <w:rStyle w:val="None"/>
          <w:rFonts w:cs="Times New Roman" w:hint="cs"/>
          <w:rtl/>
          <w:lang w:val="ar-SA"/>
        </w:rPr>
        <w:t xml:space="preserve">، وأنشئت الهيئة في منتصف عام </w:t>
      </w:r>
      <w:r>
        <w:rPr>
          <w:rStyle w:val="None"/>
          <w:rFonts w:ascii="Times New Roman" w:hAnsi="Times New Roman"/>
          <w:rtl/>
          <w:lang w:val="ar-SA"/>
        </w:rPr>
        <w:t>1438</w:t>
      </w:r>
      <w:r>
        <w:rPr>
          <w:rStyle w:val="None"/>
          <w:rFonts w:cs="Times New Roman" w:hint="cs"/>
          <w:rtl/>
          <w:lang w:val="ar-SA"/>
        </w:rPr>
        <w:t xml:space="preserve">هـ بقرار مجلس الوزراء القاضي بالموافقة على الترتيبات التنظيمية لها، وفي عام </w:t>
      </w:r>
      <w:r>
        <w:rPr>
          <w:rStyle w:val="None"/>
          <w:rFonts w:ascii="Times New Roman" w:hAnsi="Times New Roman"/>
          <w:rtl/>
          <w:lang w:val="ar-SA"/>
        </w:rPr>
        <w:t>1439</w:t>
      </w:r>
      <w:r>
        <w:rPr>
          <w:rStyle w:val="None"/>
          <w:rFonts w:cs="Times New Roman" w:hint="cs"/>
          <w:rtl/>
          <w:lang w:val="ar-SA"/>
        </w:rPr>
        <w:t>هـ صدر تنظيم الهيئة؛ حيث إنَّها تهدف إلى تنظيم مجالات الملكية الفكرية في المملكة، ودعمها، وتنميتها، ورعايتها، وحمايتها، وإنفاذها، والارتقاء بها وفق أفضل الممارسات العالمية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9"/>
      </w:r>
      <w:r>
        <w:rPr>
          <w:rStyle w:val="None"/>
          <w:rFonts w:ascii="Times New Roman" w:hAnsi="Times New Roman"/>
          <w:vertAlign w:val="superscript"/>
          <w:rtl/>
          <w:lang w:val="ar-SA"/>
        </w:rPr>
        <w:t>)</w:t>
      </w:r>
    </w:p>
    <w:p w14:paraId="5777EA7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تتولَّى الهيئة السعودية للملكية الفكرية مسئولية تنفيذ النظام والإشراف على حماية حقوق المؤلف في المملكة، كما تقدم الهيئة خدمات متعددة، بما في ذلك</w:t>
      </w:r>
      <w:r>
        <w:rPr>
          <w:rStyle w:val="None"/>
          <w:rFonts w:ascii="Times New Roman" w:hAnsi="Times New Roman"/>
          <w:rtl/>
          <w:lang w:val="ar-SA"/>
        </w:rPr>
        <w:t xml:space="preserve">: </w:t>
      </w:r>
      <w:r>
        <w:rPr>
          <w:rStyle w:val="None"/>
          <w:rFonts w:cs="Times New Roman" w:hint="cs"/>
          <w:rtl/>
          <w:lang w:val="ar-SA"/>
        </w:rPr>
        <w:t>تسجيل المصنفات، وإصدار التراخيص، ومتابعة التعديات على حقوق المؤلفين</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0"/>
      </w:r>
      <w:r>
        <w:rPr>
          <w:rStyle w:val="None"/>
          <w:rFonts w:ascii="Times New Roman" w:hAnsi="Times New Roman"/>
          <w:vertAlign w:val="superscript"/>
          <w:rtl/>
          <w:lang w:val="ar-SA"/>
        </w:rPr>
        <w:t>)</w:t>
      </w:r>
      <w:r>
        <w:rPr>
          <w:rStyle w:val="None"/>
          <w:rFonts w:ascii="Times New Roman" w:hAnsi="Times New Roman"/>
          <w:rtl/>
          <w:lang w:val="ar-SA"/>
        </w:rPr>
        <w:t xml:space="preserve"> </w:t>
      </w:r>
    </w:p>
    <w:p w14:paraId="2E6A8AE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حيث نصت المادة الثالثة من تنظيم الهيئة السعودية للملكية الفكرية على العديد من الأهداف، وهي</w:t>
      </w:r>
      <w:r>
        <w:rPr>
          <w:rStyle w:val="None"/>
          <w:rFonts w:ascii="Times New Roman" w:hAnsi="Times New Roman"/>
          <w:rtl/>
          <w:lang w:val="ar-SA"/>
        </w:rPr>
        <w:t>:</w:t>
      </w:r>
    </w:p>
    <w:p w14:paraId="4860B30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هدف الهيئة إلى تنظيم مجالات الملكية الفكرية في المملكة، ودعمها، وتنميتها، ورعايتها، وحمايتها، وإنفاذه،ا والارتقاء بها، وفقًا لأفضل الممارسات العالمية، ولها في سبيل تحقيق أهدافها المهمات والاختصاصات الآتية</w:t>
      </w:r>
      <w:r>
        <w:rPr>
          <w:rStyle w:val="None"/>
          <w:rFonts w:ascii="Times New Roman" w:hAnsi="Times New Roman"/>
          <w:rtl/>
          <w:lang w:val="ar-SA"/>
        </w:rPr>
        <w:t>:</w:t>
      </w:r>
    </w:p>
    <w:p w14:paraId="40C153A9"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إعداد الاستراتيجية الوطنية للملكية الفكرية ومتابعة تنفيذها بعد اعتمادها، ووضع خطط عمل وبرامج زمنية لها بالتنسيق والتعاون مع الجهات ذات العلاقة</w:t>
      </w:r>
      <w:r>
        <w:rPr>
          <w:rStyle w:val="None"/>
          <w:rFonts w:ascii="Times New Roman" w:hAnsi="Times New Roman"/>
          <w:rtl/>
          <w:lang w:val="ar-SA"/>
        </w:rPr>
        <w:t>.</w:t>
      </w:r>
    </w:p>
    <w:p w14:paraId="53B349BE"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اقتراح الأنظمة واللوائح المتعلقة بحقوق الملكية الفكرية</w:t>
      </w:r>
      <w:r>
        <w:rPr>
          <w:rStyle w:val="None"/>
          <w:rFonts w:ascii="Times New Roman" w:hAnsi="Times New Roman"/>
          <w:rtl/>
          <w:lang w:val="ar-SA"/>
        </w:rPr>
        <w:t>.</w:t>
      </w:r>
    </w:p>
    <w:p w14:paraId="2020E594"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تسجيل حقوق الملكية الفكرية، ومنحها وثائق الحماية وإنفاذها</w:t>
      </w:r>
      <w:r>
        <w:rPr>
          <w:rStyle w:val="None"/>
          <w:rFonts w:ascii="Times New Roman" w:hAnsi="Times New Roman"/>
          <w:rtl/>
          <w:lang w:val="ar-SA"/>
        </w:rPr>
        <w:t>.</w:t>
      </w:r>
    </w:p>
    <w:p w14:paraId="2914134B"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lastRenderedPageBreak/>
        <w:t>توفير المعلومات المتعلقة بحقوق الملكية الفكرية، وإتاحتها للجمهور</w:t>
      </w:r>
      <w:r>
        <w:rPr>
          <w:rStyle w:val="None"/>
          <w:rFonts w:ascii="Times New Roman" w:hAnsi="Times New Roman"/>
          <w:rtl/>
          <w:lang w:val="ar-SA"/>
        </w:rPr>
        <w:t>.</w:t>
      </w:r>
    </w:p>
    <w:p w14:paraId="0234E464"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التوعية بأهمية الملكية الفكرية وحماية حقوقها</w:t>
      </w:r>
      <w:r>
        <w:rPr>
          <w:rStyle w:val="None"/>
          <w:rFonts w:ascii="Times New Roman" w:hAnsi="Times New Roman"/>
          <w:rtl/>
          <w:lang w:val="ar-SA"/>
        </w:rPr>
        <w:t>.</w:t>
      </w:r>
    </w:p>
    <w:p w14:paraId="422A7006"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تمثيل المملكة في المنظمات الدولية والإقليمية ذات العلاقة بحقوق الملكية الفكرية، والدفاع عن مصالحها</w:t>
      </w:r>
      <w:r>
        <w:rPr>
          <w:rStyle w:val="None"/>
          <w:rFonts w:ascii="Times New Roman" w:hAnsi="Times New Roman"/>
          <w:rtl/>
          <w:lang w:val="ar-SA"/>
        </w:rPr>
        <w:t>.</w:t>
      </w:r>
    </w:p>
    <w:p w14:paraId="711869A6"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إبداء الرأي في شأن الاتفاقيات الدولية المتعلقة بحقوق الملكية الفكرية</w:t>
      </w:r>
      <w:r>
        <w:rPr>
          <w:rStyle w:val="None"/>
          <w:rFonts w:ascii="Times New Roman" w:hAnsi="Times New Roman"/>
          <w:rtl/>
          <w:lang w:val="ar-SA"/>
        </w:rPr>
        <w:t>.</w:t>
      </w:r>
    </w:p>
    <w:p w14:paraId="509A037C"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متابعة تنفيذ الالتزامات المترتبة على انضمام المملكة إلى الاتفاقيات الدولية المتعلقة بالملكية الفكرية</w:t>
      </w:r>
      <w:r>
        <w:rPr>
          <w:rStyle w:val="None"/>
          <w:rFonts w:ascii="Times New Roman" w:hAnsi="Times New Roman"/>
          <w:rtl/>
          <w:lang w:val="ar-SA"/>
        </w:rPr>
        <w:t>.</w:t>
      </w:r>
    </w:p>
    <w:p w14:paraId="3F848164"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تعزيز الاستفادة من الملكية الفكرية؛ لبناء اقتصاد متقدم قائم على المعرفة</w:t>
      </w:r>
      <w:r>
        <w:rPr>
          <w:rStyle w:val="None"/>
          <w:rFonts w:ascii="Times New Roman" w:hAnsi="Times New Roman"/>
          <w:rtl/>
          <w:lang w:val="ar-SA"/>
        </w:rPr>
        <w:t>.</w:t>
      </w:r>
    </w:p>
    <w:p w14:paraId="5964AEE5"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rtl/>
          <w:lang w:val="ar-SA"/>
        </w:rPr>
        <w:t>.</w:t>
      </w:r>
    </w:p>
    <w:p w14:paraId="069671AB" w14:textId="77777777" w:rsidR="00454428" w:rsidRDefault="00000000" w:rsidP="00C72BA8">
      <w:pPr>
        <w:pStyle w:val="Default"/>
        <w:numPr>
          <w:ilvl w:val="0"/>
          <w:numId w:val="74"/>
        </w:numPr>
        <w:spacing w:before="120" w:after="120" w:line="360" w:lineRule="auto"/>
        <w:jc w:val="both"/>
        <w:rPr>
          <w:rFonts w:cs="Times New Roman"/>
          <w:rtl/>
          <w:lang w:val="ar-SA"/>
        </w:rPr>
      </w:pPr>
      <w:r>
        <w:rPr>
          <w:rStyle w:val="None"/>
          <w:rFonts w:cs="Times New Roman" w:hint="cs"/>
          <w:rtl/>
          <w:lang w:val="ar-SA"/>
        </w:rPr>
        <w:t>الترخيص للأنشطة ذات العلاقة بمجال عمل الهيئة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1"/>
      </w:r>
      <w:r>
        <w:rPr>
          <w:rStyle w:val="None"/>
          <w:rFonts w:ascii="Times New Roman" w:hAnsi="Times New Roman"/>
          <w:vertAlign w:val="superscript"/>
          <w:rtl/>
          <w:lang w:val="ar-SA"/>
        </w:rPr>
        <w:t>)</w:t>
      </w:r>
    </w:p>
    <w:p w14:paraId="549364D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نظرًا للأهمية البالغة للملكية الفكرية في تقدم المجتمعات وتطوُّرها؛ تُولِي المملكة العربية السعودية اهتمامًا كبيرًا لحماية وتعزيز إنفاذ الملكية الفكرية؛ لما لها من تأثير على الاقتصاد المحلي والعالمي، وحرصًا من الهيئة السعودية للملكية الفكرية ممثلة بالأمانة العامة للجان الفصل في منازعات الملكية الفكرية على مواكبة هذا التطوُّر والعمل وفق رؤية المملكة </w:t>
      </w:r>
      <w:r>
        <w:rPr>
          <w:rStyle w:val="None"/>
          <w:rFonts w:ascii="Times New Roman" w:hAnsi="Times New Roman"/>
          <w:rtl/>
          <w:lang w:val="ar-SA"/>
        </w:rPr>
        <w:t>2030</w:t>
      </w:r>
      <w:r>
        <w:rPr>
          <w:rStyle w:val="None"/>
          <w:rFonts w:cs="Times New Roman" w:hint="cs"/>
          <w:rtl/>
          <w:lang w:val="ar-SA"/>
        </w:rPr>
        <w:t>، فقد سعت لرفع الكفاءة التشغيلية بمختلف جوانبها من خلال دعم لجان الملكية الفكرية من خلال تأسيس أمانة العامة للجان؛ لغرض الوصول إلى أعلى درجة من الكفاءة وجودة الخدمات المتعلقة بقضايا الملكية الفكرية، التي تختص بها اللجان المنصوص عليها في أنظمة الملكية الفكرية، بما يضمن الشفافية، والعدالة، وسرعة الإنجاز</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2"/>
      </w:r>
      <w:r>
        <w:rPr>
          <w:rStyle w:val="None"/>
          <w:rFonts w:ascii="Times New Roman" w:hAnsi="Times New Roman"/>
          <w:vertAlign w:val="superscript"/>
          <w:rtl/>
          <w:lang w:val="ar-SA"/>
        </w:rPr>
        <w:t>)</w:t>
      </w:r>
    </w:p>
    <w:p w14:paraId="359177E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حيث تم تشكيل لجنة النظر في تظلمات العلامات التجارية، فقد شكلت اللجنة بموجب قرار مجلس إدارة الهيئة السعودية للملكية الفكرية رقم </w:t>
      </w:r>
      <w:r>
        <w:rPr>
          <w:rStyle w:val="None"/>
          <w:rFonts w:ascii="Times New Roman" w:hAnsi="Times New Roman"/>
          <w:rtl/>
          <w:lang w:val="ar-SA"/>
        </w:rPr>
        <w:t xml:space="preserve">(2/17/2021) </w:t>
      </w:r>
      <w:r>
        <w:rPr>
          <w:rStyle w:val="None"/>
          <w:rFonts w:cs="Times New Roman" w:hint="cs"/>
          <w:rtl/>
          <w:lang w:val="ar-SA"/>
        </w:rPr>
        <w:t xml:space="preserve">وتاريخ </w:t>
      </w:r>
      <w:r>
        <w:rPr>
          <w:rStyle w:val="None"/>
          <w:rFonts w:ascii="Times New Roman" w:hAnsi="Times New Roman"/>
          <w:rtl/>
          <w:lang w:val="ar-SA"/>
        </w:rPr>
        <w:t>20/11/1442</w:t>
      </w:r>
      <w:r>
        <w:rPr>
          <w:rStyle w:val="None"/>
          <w:rFonts w:cs="Times New Roman" w:hint="cs"/>
          <w:rtl/>
          <w:lang w:val="ar-SA"/>
        </w:rPr>
        <w:t xml:space="preserve">ه الموافق </w:t>
      </w:r>
      <w:r>
        <w:rPr>
          <w:rStyle w:val="None"/>
          <w:rFonts w:ascii="Times New Roman" w:hAnsi="Times New Roman"/>
          <w:rtl/>
          <w:lang w:val="ar-SA"/>
        </w:rPr>
        <w:t>30/06/2021</w:t>
      </w:r>
      <w:r>
        <w:rPr>
          <w:rStyle w:val="None"/>
          <w:rFonts w:cs="Times New Roman" w:hint="cs"/>
          <w:rtl/>
          <w:lang w:val="ar-SA"/>
        </w:rPr>
        <w:t>م، وتختص اللجنة بالنظر في تظلمات العلامات التجارية، وتظلم من قرار رفض تسجيل العلامة التجارية، أو تعليقها على شرط، وتظلم من قرار رفض الإضافة، أو التعديل على علامة مسجلة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3"/>
      </w:r>
      <w:r>
        <w:rPr>
          <w:rStyle w:val="None"/>
          <w:rFonts w:ascii="Times New Roman" w:hAnsi="Times New Roman"/>
          <w:vertAlign w:val="superscript"/>
          <w:rtl/>
          <w:lang w:val="ar-SA"/>
        </w:rPr>
        <w:t>)</w:t>
      </w:r>
    </w:p>
    <w:p w14:paraId="28B0EDC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بالإضافة إلى لجنة النظر في مخالفات نظام حماية حقوق المؤلف؛ حيث شكلت اللجنة بموجب قرار مجلس إدارة الهيئة السعودية للملكية الفكرية رقم </w:t>
      </w:r>
      <w:r>
        <w:rPr>
          <w:rStyle w:val="None"/>
          <w:rFonts w:ascii="Times New Roman" w:hAnsi="Times New Roman"/>
          <w:rtl/>
          <w:lang w:val="ar-SA"/>
        </w:rPr>
        <w:t>(2020/2/7)</w:t>
      </w:r>
      <w:r>
        <w:rPr>
          <w:rStyle w:val="None"/>
          <w:rFonts w:cs="Times New Roman" w:hint="cs"/>
          <w:rtl/>
          <w:lang w:val="ar-SA"/>
        </w:rPr>
        <w:t xml:space="preserve">، وتاريخ </w:t>
      </w:r>
      <w:r>
        <w:rPr>
          <w:rStyle w:val="None"/>
          <w:rFonts w:ascii="Times New Roman" w:hAnsi="Times New Roman"/>
          <w:rtl/>
          <w:lang w:val="ar-SA"/>
        </w:rPr>
        <w:t>1441/07/03</w:t>
      </w:r>
      <w:r>
        <w:rPr>
          <w:rStyle w:val="None"/>
          <w:rFonts w:cs="Times New Roman" w:hint="cs"/>
          <w:rtl/>
          <w:lang w:val="ar-SA"/>
        </w:rPr>
        <w:t xml:space="preserve">ه الموافق </w:t>
      </w:r>
      <w:r>
        <w:rPr>
          <w:rStyle w:val="None"/>
          <w:rFonts w:ascii="Times New Roman" w:hAnsi="Times New Roman"/>
          <w:rtl/>
          <w:lang w:val="ar-SA"/>
        </w:rPr>
        <w:t>2020/02/27</w:t>
      </w:r>
      <w:r>
        <w:rPr>
          <w:rStyle w:val="None"/>
          <w:rFonts w:cs="Times New Roman" w:hint="cs"/>
          <w:rtl/>
          <w:lang w:val="ar-SA"/>
        </w:rPr>
        <w:t>م، وتختص اللجنة بالنظر في المخالفات الإدارية المتعلقة بمخالفة أحكام نظام حماية حقوق المؤلف، وإيقاع العقوبات النظامية المنصوص عليها في النظام</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4"/>
      </w:r>
      <w:r>
        <w:rPr>
          <w:rStyle w:val="None"/>
          <w:rFonts w:ascii="Times New Roman" w:hAnsi="Times New Roman"/>
          <w:vertAlign w:val="superscript"/>
          <w:rtl/>
          <w:lang w:val="ar-SA"/>
        </w:rPr>
        <w:t>)</w:t>
      </w:r>
    </w:p>
    <w:p w14:paraId="269E82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lastRenderedPageBreak/>
        <w:t xml:space="preserve">كما تم تشكيل لجنة النظر في دعاوى براءات الاختراع، شُكلت اللجنة بموجب قرار مجلس الوزراء رقم </w:t>
      </w:r>
      <w:r>
        <w:rPr>
          <w:rStyle w:val="None"/>
          <w:rFonts w:ascii="Times New Roman" w:hAnsi="Times New Roman"/>
          <w:rtl/>
          <w:lang w:val="ar-SA"/>
        </w:rPr>
        <w:t xml:space="preserve">(60) </w:t>
      </w:r>
      <w:r>
        <w:rPr>
          <w:rStyle w:val="None"/>
          <w:rFonts w:cs="Times New Roman" w:hint="cs"/>
          <w:rtl/>
          <w:lang w:val="ar-SA"/>
        </w:rPr>
        <w:t xml:space="preserve">وتاريخ </w:t>
      </w:r>
      <w:r>
        <w:rPr>
          <w:rStyle w:val="None"/>
          <w:rFonts w:ascii="Times New Roman" w:hAnsi="Times New Roman"/>
          <w:rtl/>
          <w:lang w:val="ar-SA"/>
        </w:rPr>
        <w:t>1444/01/18</w:t>
      </w:r>
      <w:r>
        <w:rPr>
          <w:rStyle w:val="None"/>
          <w:rFonts w:cs="Times New Roman" w:hint="cs"/>
          <w:rtl/>
          <w:lang w:val="ar-SA"/>
        </w:rPr>
        <w:t>هـ من خمسة أعضاءٍ، وثلاثة من النظاميين، وعضوين من الفنيين، تختص اللجنة بالنظر في جميع المنازعات والطعون في القرارات الصادرة بشأن وثائق الحماية، وتشمل الآتي التظلم من قرار رفض منح وثيقة حماية، وإبطال وثائق الحماية، وتحويل ملكية طلب الحماية أو وثيقة الحماية، والطعن في قرارات إسقاط وثائق الحماية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5"/>
      </w:r>
      <w:r>
        <w:rPr>
          <w:rStyle w:val="None"/>
          <w:rFonts w:ascii="Times New Roman" w:hAnsi="Times New Roman"/>
          <w:vertAlign w:val="superscript"/>
          <w:rtl/>
          <w:lang w:val="ar-SA"/>
        </w:rPr>
        <w:t>)</w:t>
      </w:r>
    </w:p>
    <w:p w14:paraId="29F3AEA4"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6"/>
      </w:r>
      <w:r>
        <w:rPr>
          <w:rStyle w:val="None"/>
          <w:rFonts w:ascii="Times New Roman" w:hAnsi="Times New Roman"/>
          <w:vertAlign w:val="superscript"/>
          <w:rtl/>
          <w:lang w:val="ar-SA"/>
        </w:rPr>
        <w:t>)</w:t>
      </w:r>
      <w:r>
        <w:rPr>
          <w:rStyle w:val="None"/>
          <w:rFonts w:cs="Times New Roman" w:hint="cs"/>
          <w:rtl/>
          <w:lang w:val="ar-SA"/>
        </w:rPr>
        <w:t>؛ 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7"/>
      </w:r>
      <w:r>
        <w:rPr>
          <w:rStyle w:val="None"/>
          <w:rFonts w:ascii="Times New Roman" w:hAnsi="Times New Roman"/>
          <w:vertAlign w:val="superscript"/>
          <w:rtl/>
          <w:lang w:val="ar-SA"/>
        </w:rPr>
        <w:t>)</w:t>
      </w:r>
    </w:p>
    <w:p w14:paraId="047FA45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vertAlign w:val="superscript"/>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 xml:space="preserve">أنَّ جهود حقوق الملكية الفكرية قد بدأت منذ أكثر من قرن، ونشأت العديد من المنظمات؛ لهذا الغرض آخرها المنظمة العالمية للملكية الفكرية </w:t>
      </w:r>
      <w:r>
        <w:rPr>
          <w:rStyle w:val="None"/>
          <w:rFonts w:ascii="Times New Roman" w:hAnsi="Times New Roman"/>
          <w:rtl/>
          <w:lang w:val="ar-SA"/>
        </w:rPr>
        <w:t>"WIPO"</w:t>
      </w:r>
      <w:r>
        <w:rPr>
          <w:rStyle w:val="None"/>
          <w:rFonts w:cs="Times New Roman" w:hint="cs"/>
          <w:rtl/>
          <w:lang w:val="ar-SA"/>
        </w:rPr>
        <w:t>، وقد تم إبرام العديد من الاتفاقيات لتحديد الالتزامات الدولية لحماية حقوق أصحاب الملكية الفكرية، أهمها</w:t>
      </w:r>
      <w:r>
        <w:rPr>
          <w:rStyle w:val="None"/>
          <w:rFonts w:ascii="Times New Roman" w:hAnsi="Times New Roman"/>
          <w:rtl/>
          <w:lang w:val="ar-SA"/>
        </w:rPr>
        <w:t xml:space="preserve">: </w:t>
      </w:r>
      <w:r>
        <w:rPr>
          <w:rStyle w:val="None"/>
          <w:rFonts w:cs="Times New Roman" w:hint="cs"/>
          <w:rtl/>
          <w:lang w:val="ar-SA"/>
        </w:rPr>
        <w:t xml:space="preserve">اتفاقية برن عام </w:t>
      </w:r>
      <w:r>
        <w:rPr>
          <w:rStyle w:val="None"/>
          <w:rFonts w:ascii="Times New Roman" w:hAnsi="Times New Roman"/>
          <w:rtl/>
          <w:lang w:val="ar-SA"/>
        </w:rPr>
        <w:t>1886</w:t>
      </w:r>
      <w:r>
        <w:rPr>
          <w:rStyle w:val="None"/>
          <w:rFonts w:cs="Times New Roman" w:hint="cs"/>
          <w:rtl/>
          <w:lang w:val="ar-SA"/>
        </w:rPr>
        <w:t xml:space="preserve">م لحماية المصنفات الأدبية، واتفاقية باريس عام </w:t>
      </w:r>
      <w:r>
        <w:rPr>
          <w:rStyle w:val="None"/>
          <w:rFonts w:ascii="Times New Roman" w:hAnsi="Times New Roman"/>
          <w:rtl/>
          <w:lang w:val="ar-SA"/>
        </w:rPr>
        <w:t>1883</w:t>
      </w:r>
      <w:r>
        <w:rPr>
          <w:rStyle w:val="None"/>
          <w:rFonts w:cs="Times New Roman" w:hint="cs"/>
          <w:rtl/>
          <w:lang w:val="ar-SA"/>
        </w:rPr>
        <w:t xml:space="preserve">م؛ لحماية الملكية الصناعية في مجال براءات الاختراع والمعلومات التجارية، واتفاقية روما عام </w:t>
      </w:r>
      <w:r>
        <w:rPr>
          <w:rStyle w:val="None"/>
          <w:rFonts w:ascii="Times New Roman" w:hAnsi="Times New Roman"/>
          <w:rtl/>
          <w:lang w:val="ar-SA"/>
        </w:rPr>
        <w:t>1961</w:t>
      </w:r>
      <w:r>
        <w:rPr>
          <w:rStyle w:val="None"/>
          <w:rFonts w:cs="Times New Roman" w:hint="cs"/>
          <w:rtl/>
          <w:lang w:val="ar-SA"/>
        </w:rPr>
        <w:t>م لحماية الأداء والإنتاج الفني والإذاعة، بالإضافة إلى</w:t>
      </w:r>
      <w:r>
        <w:rPr>
          <w:rStyle w:val="None"/>
          <w:rFonts w:ascii="Times New Roman" w:hAnsi="Times New Roman"/>
          <w:rtl/>
          <w:lang w:val="ar-SA"/>
        </w:rPr>
        <w:t xml:space="preserve">: </w:t>
      </w:r>
      <w:r>
        <w:rPr>
          <w:rStyle w:val="None"/>
          <w:rFonts w:cs="Times New Roman" w:hint="cs"/>
          <w:rtl/>
          <w:lang w:val="ar-SA"/>
        </w:rPr>
        <w:t>تأسيس الاتحادات الدولية التي تنظم التعامل في مجال الملكية الفكرية كاتحاد باريس واتحاد لاهاي وغيرها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8"/>
      </w:r>
      <w:r>
        <w:rPr>
          <w:rStyle w:val="None"/>
          <w:rFonts w:ascii="Times New Roman" w:hAnsi="Times New Roman"/>
          <w:vertAlign w:val="superscript"/>
          <w:rtl/>
          <w:lang w:val="ar-SA"/>
        </w:rPr>
        <w:t>)</w:t>
      </w:r>
    </w:p>
    <w:p w14:paraId="2FCF8FFE"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48D3D193"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011BC721"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21B2DE7C"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660DF5F1"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40A0FB0D"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7ACBF171"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7CFA8671"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320489C6" w14:textId="77777777" w:rsidR="00454428" w:rsidRDefault="00454428" w:rsidP="00C72BA8">
      <w:pPr>
        <w:pStyle w:val="Default"/>
        <w:spacing w:before="120" w:after="120" w:line="360" w:lineRule="auto"/>
        <w:ind w:firstLine="720"/>
        <w:jc w:val="both"/>
        <w:rPr>
          <w:rStyle w:val="None"/>
          <w:rFonts w:ascii="Times New Roman" w:eastAsia="Times New Roman" w:hAnsi="Times New Roman" w:cs="Times New Roman"/>
          <w:lang w:val="ar-SA"/>
        </w:rPr>
      </w:pPr>
    </w:p>
    <w:p w14:paraId="732639F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1C8B5636"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36"/>
          <w:szCs w:val="36"/>
          <w:lang w:val="ar-SA"/>
        </w:rPr>
      </w:pPr>
    </w:p>
    <w:p w14:paraId="28770B0B"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36"/>
          <w:szCs w:val="36"/>
          <w:lang w:val="ar-SA"/>
        </w:rPr>
      </w:pPr>
    </w:p>
    <w:p w14:paraId="79EF6C06"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36"/>
          <w:szCs w:val="36"/>
          <w:lang w:val="ar-SA"/>
        </w:rPr>
      </w:pPr>
    </w:p>
    <w:p w14:paraId="21FCA9B3"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36"/>
          <w:szCs w:val="36"/>
          <w:lang w:val="ar-SA"/>
        </w:rPr>
      </w:pPr>
    </w:p>
    <w:p w14:paraId="75070BF2" w14:textId="77777777" w:rsidR="00454428" w:rsidRDefault="00000000" w:rsidP="00C72BA8">
      <w:pPr>
        <w:pStyle w:val="Body"/>
        <w:spacing w:before="120" w:after="120" w:line="360" w:lineRule="auto"/>
        <w:jc w:val="center"/>
        <w:rPr>
          <w:rStyle w:val="None"/>
          <w:rFonts w:ascii="Times New Roman" w:eastAsia="Times New Roman" w:hAnsi="Times New Roman" w:cs="Times New Roman"/>
          <w:b/>
          <w:bCs/>
          <w:sz w:val="36"/>
          <w:szCs w:val="36"/>
        </w:rPr>
      </w:pPr>
      <w:r>
        <w:rPr>
          <w:rStyle w:val="None"/>
          <w:rFonts w:ascii="Arial Unicode MS" w:hAnsi="Arial Unicode MS" w:cs="Times New Roman" w:hint="cs"/>
          <w:b/>
          <w:bCs/>
          <w:sz w:val="36"/>
          <w:szCs w:val="36"/>
          <w:rtl/>
          <w:lang w:val="ar-SA"/>
        </w:rPr>
        <w:t>الفصل الأول</w:t>
      </w:r>
    </w:p>
    <w:p w14:paraId="2A622D8A" w14:textId="77777777" w:rsidR="00454428" w:rsidRDefault="00000000" w:rsidP="00C72BA8">
      <w:pPr>
        <w:pStyle w:val="Body"/>
        <w:spacing w:before="120" w:after="120" w:line="360" w:lineRule="auto"/>
        <w:jc w:val="center"/>
        <w:rPr>
          <w:rStyle w:val="None"/>
          <w:rFonts w:ascii="Times New Roman" w:eastAsia="Times New Roman" w:hAnsi="Times New Roman" w:cs="Times New Roman"/>
          <w:b/>
          <w:bCs/>
          <w:sz w:val="36"/>
          <w:szCs w:val="36"/>
        </w:rPr>
      </w:pPr>
      <w:r>
        <w:rPr>
          <w:rStyle w:val="None"/>
          <w:rFonts w:ascii="Arial Unicode MS" w:hAnsi="Arial Unicode MS" w:cs="Times New Roman" w:hint="cs"/>
          <w:b/>
          <w:bCs/>
          <w:sz w:val="36"/>
          <w:szCs w:val="36"/>
          <w:rtl/>
          <w:lang w:val="ar-SA"/>
        </w:rPr>
        <w:t>التعريف بالبيئة الرقمية وخصائصها</w:t>
      </w:r>
    </w:p>
    <w:p w14:paraId="1379CCE5" w14:textId="77777777" w:rsidR="00454428" w:rsidRDefault="00000000" w:rsidP="00C72BA8">
      <w:pPr>
        <w:pStyle w:val="a"/>
      </w:pPr>
      <w:r>
        <w:rPr>
          <w:rStyle w:val="None"/>
          <w:rFonts w:ascii="Arial Unicode MS" w:eastAsia="Arial Unicode MS" w:hAnsi="Arial Unicode MS" w:cs="Arial Unicode MS"/>
          <w:b w:val="0"/>
          <w:bCs w:val="0"/>
          <w:lang w:val="ar-SA"/>
        </w:rPr>
        <w:br w:type="page"/>
      </w:r>
    </w:p>
    <w:p w14:paraId="42B624CA" w14:textId="77777777" w:rsidR="00454428" w:rsidRDefault="00000000" w:rsidP="00C72BA8">
      <w:pPr>
        <w:pStyle w:val="a"/>
        <w:rPr>
          <w:rStyle w:val="None"/>
          <w:lang w:val="ar-SA"/>
        </w:rPr>
      </w:pPr>
      <w:bookmarkStart w:id="95" w:name="_Toc48"/>
      <w:r>
        <w:rPr>
          <w:rStyle w:val="None"/>
          <w:rFonts w:ascii="Arial Unicode MS" w:eastAsia="Arial Unicode MS" w:hAnsi="Arial Unicode MS" w:hint="cs"/>
          <w:rtl/>
          <w:lang w:val="ar-SA"/>
        </w:rPr>
        <w:lastRenderedPageBreak/>
        <w:t>الفصل الأول</w:t>
      </w:r>
      <w:bookmarkEnd w:id="95"/>
    </w:p>
    <w:p w14:paraId="60AE2AAE" w14:textId="77777777" w:rsidR="00454428" w:rsidRDefault="00000000" w:rsidP="00C72BA8">
      <w:pPr>
        <w:pStyle w:val="a"/>
        <w:rPr>
          <w:rStyle w:val="None"/>
          <w:lang w:val="ar-SA"/>
        </w:rPr>
      </w:pPr>
      <w:bookmarkStart w:id="96" w:name="_Toc49"/>
      <w:r>
        <w:rPr>
          <w:rStyle w:val="None"/>
          <w:rFonts w:ascii="Arial Unicode MS" w:eastAsia="Arial Unicode MS" w:hAnsi="Arial Unicode MS" w:hint="cs"/>
          <w:rtl/>
          <w:lang w:val="ar-SA"/>
        </w:rPr>
        <w:t>التعريف بالبيئة الرقمية وخصائصها</w:t>
      </w:r>
      <w:bookmarkEnd w:id="96"/>
    </w:p>
    <w:p w14:paraId="14A8322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يعيش العالم اليوم في عصر رقمي متطوِّر؛ حيث تلعب التكنولوجيا الرقمية دورًا حيويًا في شتى جوانب الحياة، ومع تزايد حجم البيانات وتعقيداتها، أصبح استرجاع المعلومات أمرًا أساسيًا للوصول إلى المعرفة والتقدم في مختلف المجالات العلمية والتقنية، وتمثل البيئة الرقمية المساحة الافتراضية، التي تتواجد فيها المعلومات والمحتوى الرقمي، وتتميز هذه البيئة بتنوع واسع في المصادر، والأشكال، والتقنيات، ومن خلال فهم مفهوم البيئة الرقمية وخصائصها، يمكننا الاستفادة القصوى من المعلومات المتاحة بها</w:t>
      </w:r>
      <w:r>
        <w:rPr>
          <w:rStyle w:val="None"/>
          <w:rFonts w:ascii="Times New Roman" w:hAnsi="Times New Roman"/>
          <w:sz w:val="24"/>
          <w:szCs w:val="24"/>
          <w:rtl/>
          <w:lang w:val="ar-SA"/>
        </w:rPr>
        <w:t>.</w:t>
      </w:r>
    </w:p>
    <w:p w14:paraId="1397B2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ظل هذا التحول الرقمي السريع، أصبحت الحاجة ملحةً؛ لفهم البيئة الرقمية بمفهومها الدقيق والتعرُّف على أبرز خصائصها التي تميزها عن البيئة التقليدية، فهذه البيئة ليست مجرد فضاء إلكتروني لتبادل البيانات، بل تمثل منظومةً تفاعليةً معقدةً تعتمد على أدوات وتقنيات 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الذكاء الاصطناعي، والحوسبة السحابية، وشبكات الاتصال المتقدمة، من خلال هذا الفصل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سيتم تسليط الضوء على تعريف البيئة الرقمية، وبيان خصائصها الجوهرية التي تشكل أساس استخدامها في مختلف المجالات؛ بهدف الإلمام بأبعادها المتنوعة وفهم تأثيرها المتزايد في تشكيل واقعنا المعاصر، وذلك على النحو التالي</w:t>
      </w:r>
      <w:r>
        <w:rPr>
          <w:rStyle w:val="None"/>
          <w:rFonts w:ascii="Times New Roman" w:hAnsi="Times New Roman"/>
          <w:sz w:val="24"/>
          <w:szCs w:val="24"/>
          <w:rtl/>
          <w:lang w:val="ar-SA"/>
        </w:rPr>
        <w:t>:</w:t>
      </w:r>
    </w:p>
    <w:p w14:paraId="3D980C99" w14:textId="77777777" w:rsidR="00454428" w:rsidRDefault="00000000" w:rsidP="00C72BA8">
      <w:pPr>
        <w:pStyle w:val="ListParagraph"/>
        <w:numPr>
          <w:ilvl w:val="0"/>
          <w:numId w:val="7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البيئة الرقمية ومكوناتها</w:t>
      </w:r>
      <w:r>
        <w:rPr>
          <w:rStyle w:val="None"/>
          <w:rFonts w:ascii="Times New Roman" w:hAnsi="Times New Roman"/>
          <w:sz w:val="24"/>
          <w:szCs w:val="24"/>
          <w:rtl/>
          <w:lang w:val="ar-SA"/>
        </w:rPr>
        <w:t>.</w:t>
      </w:r>
    </w:p>
    <w:p w14:paraId="0D28272C" w14:textId="77777777" w:rsidR="00454428" w:rsidRDefault="00000000" w:rsidP="00C72BA8">
      <w:pPr>
        <w:pStyle w:val="ListParagraph"/>
        <w:numPr>
          <w:ilvl w:val="0"/>
          <w:numId w:val="7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إشكاليات حماية حقوق الملكية الفكرية في البيئة الرقمية</w:t>
      </w:r>
      <w:r>
        <w:rPr>
          <w:rStyle w:val="None"/>
          <w:rFonts w:ascii="Times New Roman" w:hAnsi="Times New Roman"/>
          <w:sz w:val="24"/>
          <w:szCs w:val="24"/>
          <w:rtl/>
          <w:lang w:val="ar-SA"/>
        </w:rPr>
        <w:t>.</w:t>
      </w:r>
    </w:p>
    <w:p w14:paraId="5873717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FD3C73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A8DF6D9"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43BE53"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28E921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2AFC585"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7C392F6B"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8DD0D3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51B042"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FE398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95701B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9E99C5A"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521FFE7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072DA6D" w14:textId="77777777" w:rsidR="00454428" w:rsidRDefault="00000000" w:rsidP="00C72BA8">
      <w:pPr>
        <w:pStyle w:val="a"/>
        <w:rPr>
          <w:rStyle w:val="None"/>
          <w:lang w:val="ar-SA"/>
        </w:rPr>
      </w:pPr>
      <w:bookmarkStart w:id="97" w:name="_Toc50"/>
      <w:r>
        <w:rPr>
          <w:rStyle w:val="None"/>
          <w:rFonts w:ascii="Arial Unicode MS" w:eastAsia="Arial Unicode MS" w:hAnsi="Arial Unicode MS" w:hint="cs"/>
          <w:rtl/>
          <w:lang w:val="ar-SA"/>
        </w:rPr>
        <w:t>المبحث الأول</w:t>
      </w:r>
      <w:bookmarkEnd w:id="97"/>
    </w:p>
    <w:p w14:paraId="41325958" w14:textId="77777777" w:rsidR="00454428" w:rsidRDefault="00000000" w:rsidP="00C72BA8">
      <w:pPr>
        <w:pStyle w:val="a"/>
        <w:rPr>
          <w:rStyle w:val="None"/>
          <w:lang w:val="ar-SA"/>
        </w:rPr>
      </w:pPr>
      <w:bookmarkStart w:id="98" w:name="_Toc51"/>
      <w:r>
        <w:rPr>
          <w:rStyle w:val="None"/>
          <w:rFonts w:ascii="Arial Unicode MS" w:eastAsia="Arial Unicode MS" w:hAnsi="Arial Unicode MS" w:hint="cs"/>
          <w:rtl/>
          <w:lang w:val="ar-SA"/>
        </w:rPr>
        <w:t>البيئة الرقمية ومكوناتها</w:t>
      </w:r>
      <w:bookmarkEnd w:id="98"/>
    </w:p>
    <w:p w14:paraId="439A65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التكنولوجية الحالية، أصبحت البيئة الرقمية الإطار العام الذي تُمارس فيه معظم الأنشطة الإنسانية، سواء في المجالات العلمية، أو الاقتصادية، أو الثقافية، كما أدى الاعتماد المتزايد على تقنيات المعلومات والاتصالات إلى ظهور فضاء رقمي واسع، يشكل البنية التحتية للعالم الحديث؛ حيث تُنتج المعلومات وتُخزن وتتداول بشكل لحظي وعابر للحدود، كما لم تَعُدْ البيئة الرقمية مقتصرةً على المؤسسات المتخصصة، بل أصبحت جزءًا أساسيًا من الحياة اليومية للأفراد والمجتمعات، ومرتكزًا حيويًا لتطوُّر مختلف القطاعات</w:t>
      </w:r>
      <w:r>
        <w:rPr>
          <w:rStyle w:val="None"/>
          <w:rFonts w:ascii="Times New Roman" w:hAnsi="Times New Roman"/>
          <w:sz w:val="24"/>
          <w:szCs w:val="24"/>
          <w:rtl/>
          <w:lang w:val="ar-SA"/>
        </w:rPr>
        <w:t>.</w:t>
      </w:r>
    </w:p>
    <w:p w14:paraId="152E11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تبرز أهمية دراسة البيئة الرقمية كظاهرة متعددة الأبعاد، تجمع بين الجوانب التقنية والوظيفية والمعرفية، وتشكل أرضية خصبة لفهم التحولات التي يشهدها العصر الحديث، فمع الانتشار الواسع للمجال الرقمي، أصبح من الضروري التعمق في مفهوم البيئة الرقمية وتحديد خصائصها الجوهرية التي تميزها عن الأطر التقليدية، وذلك على النحو التالي</w:t>
      </w:r>
      <w:r>
        <w:rPr>
          <w:rStyle w:val="None"/>
          <w:rFonts w:ascii="Times New Roman" w:hAnsi="Times New Roman"/>
          <w:sz w:val="24"/>
          <w:szCs w:val="24"/>
          <w:rtl/>
          <w:lang w:val="ar-SA"/>
        </w:rPr>
        <w:t>:</w:t>
      </w:r>
    </w:p>
    <w:p w14:paraId="2366CCE4" w14:textId="77777777" w:rsidR="00454428" w:rsidRDefault="00000000" w:rsidP="00C72BA8">
      <w:pPr>
        <w:pStyle w:val="ListParagraph"/>
        <w:numPr>
          <w:ilvl w:val="0"/>
          <w:numId w:val="7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مفهوم البيئة الرقمية وأبرز خصائصها</w:t>
      </w:r>
      <w:r>
        <w:rPr>
          <w:rStyle w:val="None"/>
          <w:rFonts w:ascii="Times New Roman" w:hAnsi="Times New Roman"/>
          <w:sz w:val="24"/>
          <w:szCs w:val="24"/>
          <w:rtl/>
          <w:lang w:val="ar-SA"/>
        </w:rPr>
        <w:t>.</w:t>
      </w:r>
    </w:p>
    <w:p w14:paraId="39CF0F49" w14:textId="77777777" w:rsidR="00454428" w:rsidRDefault="00000000" w:rsidP="00C72BA8">
      <w:pPr>
        <w:pStyle w:val="ListParagraph"/>
        <w:numPr>
          <w:ilvl w:val="0"/>
          <w:numId w:val="7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أثر البيئة الرقمية على تطوُّر الملكية الفكرية</w:t>
      </w:r>
      <w:r>
        <w:rPr>
          <w:rStyle w:val="None"/>
          <w:rFonts w:ascii="Times New Roman" w:hAnsi="Times New Roman"/>
          <w:sz w:val="24"/>
          <w:szCs w:val="24"/>
          <w:rtl/>
          <w:lang w:val="ar-SA"/>
        </w:rPr>
        <w:t>.</w:t>
      </w:r>
    </w:p>
    <w:p w14:paraId="578A2FC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B587B80"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C86C7E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19AF99B3"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0A8250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4DA1051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54DEA4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921625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0C64E1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2AEA1D2"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7082CA7B"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49EBEA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905E590"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244A2A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0E2186C4" w14:textId="77777777" w:rsidR="00454428" w:rsidRDefault="00000000" w:rsidP="00C72BA8">
      <w:pPr>
        <w:pStyle w:val="a"/>
        <w:rPr>
          <w:rStyle w:val="None"/>
          <w:lang w:val="ar-SA"/>
        </w:rPr>
      </w:pPr>
      <w:bookmarkStart w:id="99" w:name="_Toc52"/>
      <w:r>
        <w:rPr>
          <w:rStyle w:val="None"/>
          <w:rFonts w:ascii="Arial Unicode MS" w:eastAsia="Arial Unicode MS" w:hAnsi="Arial Unicode MS" w:hint="cs"/>
          <w:rtl/>
          <w:lang w:val="ar-SA"/>
        </w:rPr>
        <w:t>المطلب الأول</w:t>
      </w:r>
      <w:bookmarkEnd w:id="99"/>
    </w:p>
    <w:p w14:paraId="373BBE5B" w14:textId="77777777" w:rsidR="00454428" w:rsidRDefault="00000000" w:rsidP="00C72BA8">
      <w:pPr>
        <w:pStyle w:val="a"/>
        <w:rPr>
          <w:rStyle w:val="None"/>
          <w:lang w:val="ar-SA"/>
        </w:rPr>
      </w:pPr>
      <w:bookmarkStart w:id="100" w:name="_Toc53"/>
      <w:r>
        <w:rPr>
          <w:rStyle w:val="None"/>
          <w:rFonts w:ascii="Arial Unicode MS" w:eastAsia="Arial Unicode MS" w:hAnsi="Arial Unicode MS" w:hint="cs"/>
          <w:rtl/>
          <w:lang w:val="ar-SA"/>
        </w:rPr>
        <w:t>مفهوم البيئة الرقمية وأبرز خصائصها</w:t>
      </w:r>
      <w:bookmarkEnd w:id="100"/>
    </w:p>
    <w:p w14:paraId="0A0288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 مفهوم البيئة الرقمية مركزيًا في عصرنا الحالي؛ لما تمثله من إطار شامل للتفاعلات التي تتم عبر الوسائط الإلكترونية والتقنيات الحديثة، فتعبر هذه البيئة عن الفضاء الذي تُنجز فيه الأنشطة الفكرية والمعلوماتية بشكل إلكتروني، سواء من خلال الإنترنت أو عبر الشبكات والأنظمة الرقمية المتنوعة، وقد أدى اتساع نطاق استخدام هذه البيئة إلى ظهور أنماط جديدة من التواصل والعمل والإنتاج المعرفي؛ ممَّا يستدعي الاهتمام بتحديد ملامحها، وتعريفها بدقة؛ لفهم خصائصها وتأثيراتها المتزايدة في مختلف جوانب الحياة</w:t>
      </w:r>
      <w:r>
        <w:rPr>
          <w:rStyle w:val="None"/>
          <w:rFonts w:ascii="Times New Roman" w:hAnsi="Times New Roman"/>
          <w:sz w:val="24"/>
          <w:szCs w:val="24"/>
          <w:rtl/>
          <w:lang w:val="ar-SA"/>
        </w:rPr>
        <w:t>.</w:t>
      </w:r>
    </w:p>
    <w:p w14:paraId="1E4A78E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البيئة الرقمية منظومةً متكاملةً تشمل البنية التحتية التكنولوجية، والمحتوى الرقمي، ووسائل الاتصال التفاعلي؛ ممَّا يتيح للمستخدمين إنتاج وتخزين وتبادل المعلومات والمعارف بشكل فوري وعبر حدود الزمان والمكان، ولا تقتصر أهمية هذه البيئة على الجانب التقني فحسب، بل تمتد لتشمل أبعادًا اجتماعيةً، واقتصاديةً، وثقافيةً؛ حيث ساهمت في إعادة تشكيل أنماط السلوك، والتفكير، وأساليب العمل، كما فرضت تحديات قانونية وتنظيمية تتطلب مراجعة الأطر التقليدية التي لم تَعُدْ قادرةً على مواكبة هذا التحول الرقمي الشامل</w:t>
      </w:r>
      <w:r>
        <w:rPr>
          <w:rStyle w:val="None"/>
          <w:rFonts w:ascii="Times New Roman" w:hAnsi="Times New Roman"/>
          <w:sz w:val="24"/>
          <w:szCs w:val="24"/>
          <w:rtl/>
          <w:lang w:val="ar-SA"/>
        </w:rPr>
        <w:t>.</w:t>
      </w:r>
    </w:p>
    <w:p w14:paraId="2A0C38B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البيئة الرقمية</w:t>
      </w:r>
      <w:r>
        <w:rPr>
          <w:rStyle w:val="None"/>
          <w:rFonts w:ascii="Times New Roman" w:hAnsi="Times New Roman"/>
          <w:b/>
          <w:bCs/>
          <w:sz w:val="28"/>
          <w:szCs w:val="28"/>
          <w:rtl/>
          <w:lang w:val="ar-SA"/>
        </w:rPr>
        <w:t>:</w:t>
      </w:r>
    </w:p>
    <w:p w14:paraId="31E88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عرَّف جانب من الفقه البيئة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فيها إلى استخدام استراتيجيات وطرق معينة لاسترجاع المراجع والمصادر التي يبحث عنها، ومن هنا نلاحظ أنَّها بيئة الإنترنت فلا يحتاج الباحث سوى شبكة وحاسب للاتصال بها، إذًا يمكن أنْ نطلق على شبكة الإنترنت مسمى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29"/>
      </w:r>
      <w:r>
        <w:rPr>
          <w:rStyle w:val="None"/>
          <w:rFonts w:ascii="Times New Roman" w:hAnsi="Times New Roman"/>
          <w:sz w:val="24"/>
          <w:szCs w:val="24"/>
          <w:vertAlign w:val="superscript"/>
          <w:rtl/>
          <w:lang w:val="ar-SA"/>
        </w:rPr>
        <w:t>)</w:t>
      </w:r>
    </w:p>
    <w:p w14:paraId="410F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وضح جانب من الفقه أنَّ البيئة الرقمية يمكن اعتبارها مزيجًا من الأنشطة والخدمات، التي تكتسب طابعًا رقميًا؛ تبعًا للوسائل والإمكانات المتاحة، وتتفاعل فيها العديد من التقنيات التي تساهم في تغيير ملامح الخدمات المقدمة، وأنَّها ترتكز على شبكات المعلومات وعلى رأسها شبكة الإنترنت، وكذا مختلف مخرجات تكنولوجيا المعلومات من أدوات وتقنيات تجهيزية وبرمجية، والتي تظهر نتيجة للتطوُّرات الحاصلة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18F4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66BD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عرَّف جانب من الفقه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إلى استخدام استراتيجيات وطرق معينة لاسترجاع المراجع والمصادر التي يبحث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6FEE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تلك المعلومات والخدمات ممثلة في صفحات الويب، والبرمجيات، والنصوص، والصور، ومقاطع الفيديو، والتسجيلات الصوتية، سواء كانت متاحةً في شبكة محلية، أو في حاسوبٍ شخصيٍّ، أو على شبكة الويب، والتي يمكن الولوج إليها، وتصفحها، وإثرائها، وتخزينها، واستغلال تلك الخدمات عبر وسائل إلكترونية، ممثلةً في التجهيزات الحاسوبية، والأجهزة الذكية، والشبكات، والأقمار الصناعية؛ بهدف القيام بمهام أو نشاطات 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11D6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 جانب من الفقه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6BFE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ويمكننا تعريف البيئة الرقمية بأنَّها 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إطارًا متكاملًا يعتمد على تقنيات المعلومات والاتصال الحديثة، ويضم مجموعةً من الأنشطة، والخدمات، والمحتويات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والفهارس الآلية، وصفحات الويب، والبرمجيات، والوسائط المتعددة</w:t>
      </w:r>
      <w:r>
        <w:rPr>
          <w:rStyle w:val="None"/>
          <w:rFonts w:ascii="Times New Roman" w:hAnsi="Times New Roman"/>
          <w:sz w:val="24"/>
          <w:szCs w:val="24"/>
          <w:rtl/>
          <w:lang w:val="ar-SA"/>
        </w:rPr>
        <w:t>".</w:t>
      </w:r>
    </w:p>
    <w:p w14:paraId="2E19D7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البيئة الرقمية من أبرز سمات العصر الحديث؛ حيث نشأت نتيجةً للتطوُّر الكبير في تقنيات المعلومات والاتصالات، وقد شكلت إطارًا جديدًا؛ لإنتاج وتخزين وتبادل المعلومات والمعرفة، من خلال وسائل إلكترونية متطوِّرة، كما ساهمت هذه البيئة في إحداث تغيير جذري في طرق التفاعل البشري، سواء على المستوى الفردي أو المؤسسي؛ إذْ أصبحت العمليات تُجرَى في فضاء افتراضي يعتمد على النظم الرقمية، بدلًا من الوسائل التقليدية؛ لذا يتطلب فهم البيئة الرقمية التعرُّف على مفهومها ومكوناتها؛ لما لها من أهمية في إدراك طبيعة التحولات التي أحدثها العصر الرقمي</w:t>
      </w:r>
      <w:r>
        <w:rPr>
          <w:rStyle w:val="None"/>
          <w:rFonts w:ascii="Times New Roman" w:hAnsi="Times New Roman"/>
          <w:sz w:val="24"/>
          <w:szCs w:val="24"/>
          <w:rtl/>
          <w:lang w:val="ar-SA"/>
        </w:rPr>
        <w:t>.</w:t>
      </w:r>
    </w:p>
    <w:p w14:paraId="307701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لقد أصبح التطوُّر والنمو الاقتصادي يرتكز بصورة أساسية على التطوُّر، والتقدم التقني والعلمي، والاستخدام المكثف لتكنولوجيا الاتصالات والمعلومات؛ ممَّا أدى إلى ظهور مفهوم جديد عُرف بالبيئة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حيث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 وشبكات المعلومات فائقة السرعة متمثلة في شبكة الإنترنت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832A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الملكية الفكرية رقميًا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المعلومات، ومعارف، وعلاقات، وخبرات الشركة الخاصة،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مكونات نشاطها وحضورها الرقمي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كما هو الحال في قواعد بياناتها، وشبكات أعمالها، وسلاسل القيمة القائمة على المعلومات، وموقع الويب، وبرمجيات التطبيق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إلخ</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التي تساهم في قدرة الشركة الداخلية والخارجية، والتي يمكن تحويلها إلى رأس المالي الفكري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2F13E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من هذا التعريف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يشتمل على المكوِّنات الرقمية الجديدة للملكية الفكرية، بما يوسع من مفهومها لتغطي آلياتٍ وعواملَ إنشاء الثروة في العصر الرقمي، ولعل في الحضور الرقمي للشركة ومكوِّنات الملكية الفكرية والتعامل بها على أساس الإنترنت ما يجعل هذا التعريف يشتمل على دلالة مضافة، تتمثل في أنَّ الملكية الفكرية تستخدم أو تعتمد على الإنترنت وشبكات الأعمال على الأقل في جانبيين أساسيين 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38"/>
      </w:r>
      <w:r>
        <w:rPr>
          <w:rStyle w:val="None"/>
          <w:rFonts w:ascii="Times New Roman" w:hAnsi="Times New Roman"/>
          <w:sz w:val="24"/>
          <w:szCs w:val="24"/>
          <w:vertAlign w:val="superscript"/>
          <w:rtl/>
          <w:lang w:val="ar-SA"/>
        </w:rPr>
        <w:t>)</w:t>
      </w:r>
    </w:p>
    <w:p w14:paraId="1C068892" w14:textId="77777777" w:rsidR="00454428" w:rsidRDefault="00000000" w:rsidP="00C72BA8">
      <w:pPr>
        <w:pStyle w:val="ListParagraph"/>
        <w:numPr>
          <w:ilvl w:val="0"/>
          <w:numId w:val="7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 الإنترنت، وشبكات الأعمال، وقواعد، ومستودعات البيانات، وبرمجيات التطبيق، وغيرها ممَّا يمكن أنْ يدخل ضمن حق النشر الرقمي أو الإلكتروني </w:t>
      </w:r>
      <w:r>
        <w:rPr>
          <w:rStyle w:val="None"/>
          <w:rFonts w:ascii="Times New Roman" w:hAnsi="Times New Roman"/>
          <w:sz w:val="24"/>
          <w:szCs w:val="24"/>
          <w:rtl/>
          <w:lang w:val="ar-SA"/>
        </w:rPr>
        <w:t>(</w:t>
      </w:r>
      <w:r>
        <w:rPr>
          <w:rStyle w:val="None"/>
          <w:rFonts w:cs="Times New Roman"/>
          <w:sz w:val="24"/>
          <w:szCs w:val="24"/>
          <w:rtl/>
          <w:lang w:val="ar-SA"/>
        </w:rPr>
        <w:t>كما في كتاب الويب والبرمجيات وموقع الويب الخاص بالشركة</w:t>
      </w:r>
      <w:r>
        <w:rPr>
          <w:rStyle w:val="None"/>
          <w:rFonts w:ascii="Times New Roman" w:hAnsi="Times New Roman"/>
          <w:sz w:val="24"/>
          <w:szCs w:val="24"/>
          <w:rtl/>
          <w:lang w:val="ar-SA"/>
        </w:rPr>
        <w:t>)</w:t>
      </w:r>
      <w:r>
        <w:rPr>
          <w:rStyle w:val="None"/>
          <w:rFonts w:cs="Times New Roman"/>
          <w:sz w:val="24"/>
          <w:szCs w:val="24"/>
          <w:rtl/>
          <w:lang w:val="ar-SA"/>
        </w:rPr>
        <w:t>، تصبح هي موضوع الملكية الفكرية إلى جانب المكونات التقليدية للملكية الفكرية</w:t>
      </w:r>
      <w:r>
        <w:rPr>
          <w:rStyle w:val="None"/>
          <w:rFonts w:ascii="Times New Roman" w:hAnsi="Times New Roman"/>
          <w:sz w:val="24"/>
          <w:szCs w:val="24"/>
          <w:rtl/>
          <w:lang w:val="ar-SA"/>
        </w:rPr>
        <w:t xml:space="preserve">. </w:t>
      </w:r>
    </w:p>
    <w:p w14:paraId="41B2176A" w14:textId="77777777" w:rsidR="00454428" w:rsidRDefault="00000000" w:rsidP="00C72BA8">
      <w:pPr>
        <w:pStyle w:val="ListParagraph"/>
        <w:numPr>
          <w:ilvl w:val="0"/>
          <w:numId w:val="78"/>
        </w:numPr>
        <w:spacing w:before="120" w:after="120" w:line="360" w:lineRule="auto"/>
        <w:jc w:val="both"/>
        <w:rPr>
          <w:rFonts w:cs="Times New Roman" w:hint="default"/>
          <w:sz w:val="24"/>
          <w:szCs w:val="24"/>
          <w:rtl/>
          <w:lang w:val="ar-SA"/>
        </w:rPr>
      </w:pPr>
      <w:r>
        <w:rPr>
          <w:rStyle w:val="None"/>
          <w:rFonts w:cs="Times New Roman"/>
          <w:sz w:val="24"/>
          <w:szCs w:val="24"/>
          <w:rtl/>
          <w:lang w:val="ar-SA"/>
        </w:rPr>
        <w:t>أنَّ الإنترنت وشبكات الأعمال يمكن أنْ تكون مجالًا لتبادل، ونقل، وتقاسم المعلومات، وعقد الصفقات، والحصول على التراخيص المتعلقة بمكوِّنات الملكية الفكرية</w:t>
      </w:r>
      <w:r>
        <w:rPr>
          <w:rStyle w:val="None"/>
          <w:rFonts w:ascii="Times New Roman" w:hAnsi="Times New Roman"/>
          <w:sz w:val="24"/>
          <w:szCs w:val="24"/>
          <w:rtl/>
          <w:lang w:val="ar-SA"/>
        </w:rPr>
        <w:t>.</w:t>
      </w:r>
    </w:p>
    <w:p w14:paraId="683917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وتتيح هذه البيئة للمستخدمين الوصول إلى المعلومات وتداولها من أي مكان وفي أي وقت، من خلال الأجهزة الإلكترونية والشبكات، وعلى رأسها شبكة الإنترنت؛ ممَّا يجعلها فضاءً مفتوحًا للإنتاج المعرفي والتواصل الرقمي؛ حيث يعيد تشكيل أنماط الاستفادة من المعلومات والخدمات في مختلف المجالات</w:t>
      </w:r>
      <w:r>
        <w:rPr>
          <w:rStyle w:val="None"/>
          <w:rFonts w:ascii="Times New Roman" w:hAnsi="Times New Roman"/>
          <w:sz w:val="24"/>
          <w:szCs w:val="24"/>
          <w:rtl/>
          <w:lang w:val="ar-SA"/>
        </w:rPr>
        <w:t xml:space="preserve">. </w:t>
      </w:r>
    </w:p>
    <w:p w14:paraId="713BC34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تطوُّر البيئة الرقمية</w:t>
      </w:r>
      <w:r>
        <w:rPr>
          <w:rStyle w:val="None"/>
          <w:rFonts w:ascii="Times New Roman" w:hAnsi="Times New Roman"/>
          <w:b/>
          <w:bCs/>
          <w:sz w:val="28"/>
          <w:szCs w:val="28"/>
          <w:rtl/>
          <w:lang w:val="ar-SA"/>
        </w:rPr>
        <w:t>:</w:t>
      </w:r>
    </w:p>
    <w:p w14:paraId="1CBEC2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شهدت البيئة الرقمية تطوُّرًا سريعًا في العقود الأخيرة؛ ممَّا أثر بشكل عميق على مجالات الحياة الإنسانية، خاصةً في مجالَيْ المعلومات والاتصالات، كما أدَّى التقدم التكنولوجي السريع، وظهور الإنترنت، وانتشار الأجهزة الذكية إلى خلق فضاء رقمي واسع، يشكل بيئةً جديدةً لتخزين، وتبادل المعلومات، وإنتاج المحتوى بأنواعه المختلفة، فلم يَعُدْ العالم يعتمد على الوسائط التقليدية فحسب، بل أصبح التفاعل والتواصل وتبادل المعرفة يتم عبر منصات رقمية متطوِّرة؛ ممَّا أوجد واقعًا جديدًا يحمل تحدياتٍ وفرصًا غير مسبوقة، وجعل من البيئة الرقمية محورًا أساسيًا في التحول نحو مجتمع المعرفة</w:t>
      </w:r>
      <w:r>
        <w:rPr>
          <w:rStyle w:val="None"/>
          <w:rFonts w:ascii="Times New Roman" w:hAnsi="Times New Roman"/>
          <w:sz w:val="24"/>
          <w:szCs w:val="24"/>
          <w:rtl/>
          <w:lang w:val="ar-SA"/>
        </w:rPr>
        <w:t>.</w:t>
      </w:r>
    </w:p>
    <w:p w14:paraId="5D4A98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قطاع تكنولوجيا المعلومات والاتصال مصدرًا مهمًّا لنمو اقتصاديات الدول، وعاملًا مؤثرًا على جميع القطاعات الأخرى، وهو إحدى الركائز الأساسية لاقتصاد المعرفة القائم على صناعة المعلومات، بدلًا من الإنتاجات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كالموارد الطبيعية واليد العاملة، فالتطوُّر الاقتصادي العالمي قد ارتكز على التطوُّر التقني والعلني أكثر من اعتماده على التطوُّر الكمي في الإنتاج، واستخدام تكنولوجيا المعلومات قد صاحبها تغير واضح في طرق ممارسة الأعمال، وفي أساليب تخطيط ومراقبة الإنتاج؛ حيث أعطت إمكانيات مهمة للدول المتقدمة للدخول في دورة اقتصادية جديدة، وتحقيق التراكم الرأسمالي، ورفع الكفاءة والمنافسة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B65E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شهد العالم في السنوات القليلة الماضية عصرًا جديدًا من التقدم العلمي وما صاحبه من تطوُّر ونهضة غير مسبوقة في كافة المجالات الحياتية، وكان من أبرزها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التقدم الحاصل في مجال تقنية المعلومات والاتصالات، وما ترتب عليه من إحداث ثورة تنموية بشرية على جميع المستويات والأصعدة المحلية والعالمية، فمن خلالها استطاع الإنسان أنْ يرصد ويتابع كل ما يدور ويجري حوله في جميع أنحاء العالم بالصوت والصورة منذ اللحظة الأولى، وأصبحت عملية تبادل المعلومات والمعارف تتم بسهولة ويسر، كما أدى الانتشار السريع للمعلومات عبر وسائل الاتصال المختلفة إلى تدفق المعلومات، والأخبار، والمعارف، والأبحاث، والرسائل الثقافية بحُرية وسلاسة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53D2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فمع ظهور شبكة الإنترنت في العقود الأخيرة للقرن العشرين، واتساع نطاق ثورة النشر الإلكتروني برزت المصنفات الرقمية الإبداعية كأحد مفرزات التكنولوجيا الحديثة، فهي لا تختلف في المحتوى والتسمية عن المصنفات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كالكتاب، والقطعة الموسيقية، واللوحة الزيتية، لكن تختلف فقط في الحامل، فأصبح الحامل رقميًا، ويتم التعامل معها بشكل رقمي، وتشمل المصنفات الرقمية برامج الحاسب الآلي وقواعد البيانات، إضافةً إلى الملفات الرقمية من كتب، ودوريات، وموسوعات رقمية متاحة عبر الشبكة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BE6FD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 الرقمنة ظاهرة حديثة طغت على كافة جوانب حياتنا، فقد أصبحت البيانات والمعلومات تتدفق بشكل هائل في عالمنا الرقمي المتقدم، من خلال تحويل المعلومات من صورة تناظرية إلى صورة رقمية، وتمتلك الرقمنة القدرة على تمكين الابتكار، وتحسين الكفاءة في مختلف المجالات؛ حيث يتجلَّى تأثير الرقمنة في التطوُّرات السريعة في </w:t>
      </w:r>
      <w:r>
        <w:rPr>
          <w:rStyle w:val="None"/>
          <w:rFonts w:ascii="Arial Unicode MS" w:hAnsi="Arial Unicode MS" w:cs="Times New Roman" w:hint="cs"/>
          <w:sz w:val="24"/>
          <w:szCs w:val="24"/>
          <w:rtl/>
          <w:lang w:val="ar-SA"/>
        </w:rPr>
        <w:lastRenderedPageBreak/>
        <w:t>مجالات 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الذكاء الاصطناعي، وتحليل البيانات، والواقع الافتراضي؛ ممَّا ينتج أبوابًا لا حصر لها من الفرص والتحديات، ومع انتشار الأجهزة الذكية وتوسع الإنترنت، أصبحت الرقمنة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ليست مجرد تطوُّر تقني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جزءًا لا يتجزأ من حياتنا اليومية، مؤثرة بذلك في كيفية تفاعلنا مع العالم وتبادلنا للمعلومات والخدمات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50C3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التطوُّرات المتسارعة التي شهدها العالم في السنوات الأخيرة، أدت إلى تحوُّلٍ جذريٍّ في مختلف اتجاهات الحياة؛ حيث أدى التقدم في تقنيات المعلومات والاتصالات إلى إنشاء ثورة رقمية، وقد ساهم الإنترنت في انتشار النشر الإلكتروني؛ ممَّا أدى إلى بروز المصنفات الرقمية بدلًا من المصنفات التقليدية، ولم تقتصر آثار البيئة الرقمية على المجال الثقافي فحسب، بل شملت كافة القطاعات عن طريق تقنيات الذكاء الاصطناعي وتحليل البيانات والواقع الافتراضي؛ لتصبح الرقمنة ظاهرةً معاصرةً تؤثر في طريقة معيشتنا وتفاعلنا مع المجتمع الدولي</w:t>
      </w:r>
      <w:r>
        <w:rPr>
          <w:rStyle w:val="None"/>
          <w:rFonts w:ascii="Times New Roman" w:hAnsi="Times New Roman"/>
          <w:sz w:val="24"/>
          <w:szCs w:val="24"/>
          <w:rtl/>
          <w:lang w:val="ar-SA"/>
        </w:rPr>
        <w:t>.</w:t>
      </w:r>
    </w:p>
    <w:p w14:paraId="224302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ثورة المعلومات لعبت دورًا بارزًا ومهمًّا في تطوير وتنمية تكنولوجيا الاتصالات وتوصيل المعلومات وخاصة في مجال النشر الإلكتروني للمصنفات، وهو الأمر الذي أثر بشكل كبير وواضح على إمكان الوصول للمعلومات، وجمع المصنفات على مستوى القرية الكونية، وقد عزّز من هذه الفاعلية في الوصول للمعلومات والمصنفات ما تم ابتكاره من وسائل ووسائط حديثة توصف بالرقمية يتم بواسطتها، أو من خلالها نشر المصنفات الرقمية؛ لتصل هذه المصنفات إلى كافة أرجاء العالم، وقد ساهمت هذه الوسائط والدعامات الرقمية بأنواعها المتعددة في تطوُّر حركة النشر بشكل كبير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CBBA5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حقق الإنسان على مدى العصور تطوُّرًا هائلًا في مجال تقنية المعلومات والاتصالات خاصة في وجود شبكة الإنترنت التي ساهمت مساهمة فعَّالة في زيادة حجم المعلومات المتاحة وتعدد أشكالها، أي أنَّ شبكة الإنترنت ساهمت في التغلب على أغلب المشاكل والتحديات؛ بحيث تتيح للمستفيد الاطلاع والحصول على هذه الأوعية من خلال نهايات طرفية مرتبطة بقواعد المعلومات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B854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وكأثر طبيعي للثورة التقنية الهائلة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تطوَّرت تقنيات نشر ونسخ المصنفات بفضل البيئة الرقمية الحديثة، التي مكنت من نشر المصنفات وبثها رقميًا، وجعلتها تصبح متداولةً على نطاق واسع يكاد يبلغ العالم أجمع وبثوانٍ معدودة، ومثل هذا التطوُّر للنشر جعل من الصعوبة بمكان للمؤلف وللناشر أنْ يتحكم ويراقب في جميع عمليات نسخ مصنفاته وتداولها،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ضياع عدم تقاضيه المقابل المالي لاستغلال مصنفه عن كل مرة يتم فيها نسخة؛ ممَّا يجعل قوانين حق المؤلف تقف عاجزةً عن التصدي لهذه المشاكل الاقتصادية، التي تواجه مالكي حقوق المؤلف، وعدم قدرتها على الحفاظ على حقوقهم في مصنفاتهم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8501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وقد ساهمت ثورة المعلومات والاتصالات في إحداث تغير نوعي في مجال النشر الإلكتروني؛ حيث أصبح الوصول إلى المصنفات الرقمية، وتداولها أكثر سهولةً وانتشارًا على مستوى العالم، وذلك عن طريق الوسائط الرقمية الحديثة وشبكة الإنترنت، وقد أدى هذا التطوُّر إلى تسهيل الوصول إلى المعلومات، وتجاوز العديد من التحديات التقليدية، كما أنَّ البيئة الرقمية أظهرت تحدياتٍ جديدةً،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صعوبة السيطرة على نسخ المصنفات وتداولها دون إذن أصحاب الحقوق؛ ممَّا أدى إلى تهديد الحقوق المالية للمؤلفين، وعجز القوانين التقليدية عن توفير الحماية الكافية للمصنفات الرقمية</w:t>
      </w:r>
      <w:r>
        <w:rPr>
          <w:rStyle w:val="None"/>
          <w:rFonts w:ascii="Times New Roman" w:hAnsi="Times New Roman"/>
          <w:sz w:val="24"/>
          <w:szCs w:val="24"/>
          <w:rtl/>
          <w:lang w:val="ar-SA"/>
        </w:rPr>
        <w:t>.</w:t>
      </w:r>
    </w:p>
    <w:p w14:paraId="4892AFD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وكنتيجة حتمية لظهور تقنيات رقمية حديثة ومعقدة لنشر المصنفات، فقد تعددت خيارات المؤلف في وسائل وأساليب ممارسته لحقه في إتاحة مصنفه للجمهور لأول مرة، فمن وسائل النشر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كالدعامات الورقية أصبح بإمكان المؤلف إتاحة مصنفه للجمهور عبر دعامات ووسائط رقمية باستخدام أجهزة الحاسب الآلي، أو عبر شبكات الإنترنت، أو شبكات الاتصالات، أو شبكات المعلومات، وغيرها من وسائل النشر الرقمي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6FCD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من خلال تطوُّر البيئة الرقمية فقد سمحت للأفراد بإنتاج مصنفات بصرية وصوتية ونصية بشكل رقمي تأخذ صيغةً أدبيةً وفنيةً، إلا أنَّ هذا الأمر تسبب بانتشار ظاهرة نسخ هذه المصنفات على دعامات إلكترونية وبيعها بدون ترخيص صاحبها</w:t>
      </w:r>
      <w:r>
        <w:rPr>
          <w:rStyle w:val="None"/>
          <w:rFonts w:ascii="Times New Roman" w:hAnsi="Times New Roman"/>
          <w:sz w:val="24"/>
          <w:szCs w:val="24"/>
          <w:rtl/>
          <w:lang w:val="ar-SA"/>
        </w:rPr>
        <w:t>.</w:t>
      </w:r>
    </w:p>
    <w:p w14:paraId="62185E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ضوء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تطوُّر البيئة الرقمية لم يكن مجرد تطوُّر تقني محدود، بل كان تحوُّلًا شاملًا أعاد تشكيل المشهد المعرفي، والثقافي، والاقتصادي في العالم المعاصر، وقد أدى هذا التطوُّر إلى تسهيل غير مسبق في إنتاج، وتبادل المصنفات الرقمية، وساهم في تعميم المعرفة وتوسيع نطاق الوصول إلى المعلومات على مستوى عالمي</w:t>
      </w:r>
      <w:r>
        <w:rPr>
          <w:rStyle w:val="None"/>
          <w:rFonts w:ascii="Times New Roman" w:hAnsi="Times New Roman"/>
          <w:sz w:val="24"/>
          <w:szCs w:val="24"/>
          <w:rtl/>
          <w:lang w:val="ar-SA"/>
        </w:rPr>
        <w:t>.</w:t>
      </w:r>
    </w:p>
    <w:p w14:paraId="5BE69F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وبالرغم من الفرص التي يقدمها هذا التحول الرقمي، فإنَّه قد أوجد تحدياتٍ قانونيةً، واقتصاديةً مُعقدةً، خاصةً في مجال حماية حقوق المؤلف؛ حيث أصبحت المصنفات الرقمية عُرضةً للنسخ غير المشروع والتداول العشوائي؛ ممَّا أضعف قدرة القوانين التقليدية على حماية الحقوق الفكرية؛ لذلك تتطلب البيئة الرقمية إطارًا قانونيًا وتقنيًا متجددًا يوازن بين حرية الوصول إلى المعلومات وحماية حقوق أصحاب المصنفات، بما يحقق العدالة، ويحفز الإبداع في ظل الثورة الرقمية المتواصلة</w:t>
      </w:r>
      <w:r>
        <w:rPr>
          <w:rStyle w:val="None"/>
          <w:rFonts w:ascii="Times New Roman" w:hAnsi="Times New Roman"/>
          <w:sz w:val="24"/>
          <w:szCs w:val="24"/>
          <w:rtl/>
          <w:lang w:val="ar-SA"/>
        </w:rPr>
        <w:t>.</w:t>
      </w:r>
    </w:p>
    <w:p w14:paraId="39949BF4" w14:textId="77777777" w:rsidR="00454428" w:rsidRDefault="00000000" w:rsidP="00C72BA8">
      <w:pPr>
        <w:pStyle w:val="ListParagraph"/>
        <w:numPr>
          <w:ilvl w:val="0"/>
          <w:numId w:val="80"/>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الذكاء الاصطناعي والملكية الفكرية</w:t>
      </w:r>
    </w:p>
    <w:p w14:paraId="152FC0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هي نتيجة ما يبدعه الإنسان من اختراعات وابتكارات وآلات صناعية وأغاني وكتب وينطبق مصطلح الملكية الفكرية على أي ابتكار إنساني وعليه فقد أثرت تطبيقات الذكاء الاصطناعي على حقوق الملكية الفكرية، وفي الآونة الحديثة تعتبر الملكية الفكرية هي حجز الزاوية لحضارة الدول الذي يدعم نهضة الإنسان في شتى المجالات، فقد أثرت تطبيقات الذكاء الاصطناعي على نظام الملكية الفكرية إذ أن التقنية الحديثة قد أقرت لنا أنواع جديدة من الابداع الفكري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7"/>
      </w:r>
      <w:r>
        <w:rPr>
          <w:rStyle w:val="None"/>
          <w:rFonts w:ascii="Times New Roman" w:hAnsi="Times New Roman"/>
          <w:sz w:val="24"/>
          <w:szCs w:val="24"/>
          <w:vertAlign w:val="superscript"/>
          <w:rtl/>
          <w:lang w:val="ar-SA"/>
        </w:rPr>
        <w:t>)</w:t>
      </w:r>
    </w:p>
    <w:p w14:paraId="640528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من أبرز قواعد الملكية الفكرية التي تؤثر مباشرة في تحقيق التنمية في مجال الذكاء الاصطناعي هي براءات الاختراع، المتعلقة بأي فكرة إبداعية يتوصل إليها المخترعون في هذا المجال التقني، وتتعلق بمنتج أو آلة، أو طريقة صنع تؤدي عمليًا إلى حل مشكلة ميعنة في أي من المجالات، إذ تعد أهم وسائل حماية الاختراعات وأكثرها انتشارًا؛ لأنها تساهم في تشجيع الابتكار وتجديد وتطوير التكنولوجيا، فضلًا عن أن نشرها يسهم في زيادة المعارف المتعلقة بالابتكار والقدرة على توليد أفكار جديدة تسهم في ابتكارات مستقبلية ويساعد في عملية نقل التكنولوجيا المستخدمة في المشروعات الصناعية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8"/>
      </w:r>
      <w:r>
        <w:rPr>
          <w:rStyle w:val="None"/>
          <w:rFonts w:ascii="Times New Roman" w:hAnsi="Times New Roman"/>
          <w:sz w:val="24"/>
          <w:szCs w:val="24"/>
          <w:vertAlign w:val="superscript"/>
          <w:rtl/>
          <w:lang w:val="ar-SA"/>
        </w:rPr>
        <w:t>)</w:t>
      </w:r>
    </w:p>
    <w:p w14:paraId="34F686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 xml:space="preserve">من نظام براءات الاختراع والتصميمات التخطيطية للدارات المتكاملة والأصناف النباتية والنماذج الصناعية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الاختراع قابلًا للحصول على البراءة طبقًا لأحكام هذا النظام متى كان جديدًا، ومنطويًا على خطوة ابتكارية، وقابلًا للتطبيق الصناعي، ويمكن أن يكون الاختراع منتجًا، أو عملية صناعية، أو متعلقًا بأي منهما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9"/>
      </w:r>
      <w:r>
        <w:rPr>
          <w:rStyle w:val="None"/>
          <w:rFonts w:ascii="Times New Roman" w:hAnsi="Times New Roman"/>
          <w:sz w:val="24"/>
          <w:szCs w:val="24"/>
          <w:vertAlign w:val="superscript"/>
          <w:rtl/>
          <w:lang w:val="ar-SA"/>
        </w:rPr>
        <w:t>)</w:t>
      </w:r>
    </w:p>
    <w:p w14:paraId="709BA6D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تحديد الجهة التي تنسب إليها المصنفات الناتجة عن الذكاء الاصطناعي من أبرز الإشكاليات القانونية في هذا المجال، إذ لا يمكن تطبيق القواعد التقليدية للملكية الفكرية دون تكييف؛ لأن النظام الذكي لا يتمتع بالشخصية القانونية ولا بالإرادة المستقلة بمفهومها القانوني، ويعتبر هذا تحديًا مزدوجًا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0"/>
      </w:r>
      <w:r>
        <w:rPr>
          <w:rStyle w:val="None"/>
          <w:rFonts w:ascii="Times New Roman" w:hAnsi="Times New Roman"/>
          <w:sz w:val="24"/>
          <w:szCs w:val="24"/>
          <w:vertAlign w:val="superscript"/>
          <w:rtl/>
          <w:lang w:val="ar-SA"/>
        </w:rPr>
        <w:t>)</w:t>
      </w:r>
    </w:p>
    <w:p w14:paraId="1E5DAB48" w14:textId="77777777" w:rsidR="00454428" w:rsidRDefault="00000000" w:rsidP="00C72BA8">
      <w:pPr>
        <w:pStyle w:val="ListParagraph"/>
        <w:numPr>
          <w:ilvl w:val="0"/>
          <w:numId w:val="81"/>
        </w:numPr>
        <w:spacing w:before="120" w:after="120" w:line="360" w:lineRule="auto"/>
        <w:jc w:val="both"/>
        <w:rPr>
          <w:rFonts w:cs="Times New Roman" w:hint="default"/>
          <w:sz w:val="24"/>
          <w:szCs w:val="24"/>
          <w:rtl/>
          <w:lang w:val="ar-SA"/>
        </w:rPr>
      </w:pPr>
      <w:r>
        <w:rPr>
          <w:rStyle w:val="None"/>
          <w:rFonts w:cs="Times New Roman"/>
          <w:sz w:val="24"/>
          <w:szCs w:val="24"/>
          <w:rtl/>
          <w:lang w:val="ar-SA"/>
        </w:rPr>
        <w:t>من ناحية تشريعية</w:t>
      </w:r>
      <w:r>
        <w:rPr>
          <w:rStyle w:val="None"/>
          <w:rFonts w:ascii="Times New Roman" w:hAnsi="Times New Roman"/>
          <w:sz w:val="24"/>
          <w:szCs w:val="24"/>
          <w:rtl/>
          <w:lang w:val="ar-SA"/>
        </w:rPr>
        <w:t xml:space="preserve">: </w:t>
      </w:r>
      <w:r>
        <w:rPr>
          <w:rStyle w:val="None"/>
          <w:rFonts w:cs="Times New Roman"/>
          <w:sz w:val="24"/>
          <w:szCs w:val="24"/>
          <w:rtl/>
          <w:lang w:val="ar-SA"/>
        </w:rPr>
        <w:t>تحتاج القوانين إلى نصوص تنظم مصنفات الذكاء الاصطناعي وتحدد بشكل دقيق من يستحق الحقوق المالية والمعنوية</w:t>
      </w:r>
      <w:r>
        <w:rPr>
          <w:rStyle w:val="None"/>
          <w:rFonts w:ascii="Times New Roman" w:hAnsi="Times New Roman"/>
          <w:sz w:val="24"/>
          <w:szCs w:val="24"/>
          <w:rtl/>
          <w:lang w:val="ar-SA"/>
        </w:rPr>
        <w:t>.</w:t>
      </w:r>
    </w:p>
    <w:p w14:paraId="0A809CC9" w14:textId="77777777" w:rsidR="00454428" w:rsidRDefault="00000000" w:rsidP="00C72BA8">
      <w:pPr>
        <w:pStyle w:val="ListParagraph"/>
        <w:numPr>
          <w:ilvl w:val="0"/>
          <w:numId w:val="81"/>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ومن ناحية فقهية</w:t>
      </w:r>
      <w:r>
        <w:rPr>
          <w:rStyle w:val="None"/>
          <w:rFonts w:ascii="Times New Roman" w:hAnsi="Times New Roman"/>
          <w:sz w:val="24"/>
          <w:szCs w:val="24"/>
          <w:rtl/>
          <w:lang w:val="ar-SA"/>
        </w:rPr>
        <w:t xml:space="preserve">: </w:t>
      </w:r>
      <w:r>
        <w:rPr>
          <w:rStyle w:val="None"/>
          <w:rFonts w:cs="Times New Roman"/>
          <w:sz w:val="24"/>
          <w:szCs w:val="24"/>
          <w:rtl/>
          <w:lang w:val="ar-SA"/>
        </w:rPr>
        <w:t>يجب تطوير نظريات قانونية جديدة تعترف بالدور المركزي للذكاء الاصطناعي في عملية الابداع دون أن تصطدم بالمبادئ الأساسية للقانون المدني</w:t>
      </w:r>
      <w:r>
        <w:rPr>
          <w:rStyle w:val="None"/>
          <w:rFonts w:ascii="Times New Roman" w:hAnsi="Times New Roman"/>
          <w:sz w:val="24"/>
          <w:szCs w:val="24"/>
          <w:rtl/>
          <w:lang w:val="ar-SA"/>
        </w:rPr>
        <w:t>.</w:t>
      </w:r>
    </w:p>
    <w:p w14:paraId="030B84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فإذا توافرت هذه الشروط في الاختراع يجوز للمخترع أن يتقدم إلى مكتب براءات الاختراع بطلب للحصول على البراءة ويقوم المكتب بدوره في فحص الاختراع والتأكد من استيفاء جميع الشروط، كما يلتزم المخترع بالإفصاح عن كافة المعلومات المتعلقة بالاختراع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1"/>
      </w:r>
      <w:r>
        <w:rPr>
          <w:rStyle w:val="None"/>
          <w:rFonts w:ascii="Times New Roman" w:hAnsi="Times New Roman"/>
          <w:sz w:val="24"/>
          <w:szCs w:val="24"/>
          <w:vertAlign w:val="superscript"/>
          <w:rtl/>
          <w:lang w:val="ar-SA"/>
        </w:rPr>
        <w:t>)</w:t>
      </w:r>
    </w:p>
    <w:p w14:paraId="6BDDF5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على الرغم من الإنجازات التي تحققها أنظمة الذكاء الاصطناعي إلا أنها تفتقر إلى البصمة الشخصية، إذ يتم تنفيذ هذه الأنظمة بالكامل من خلال الوسائل الإلكترونية، وتعتمد بشكل أساسي على البيانات والمعلومات التي يوفرها </w:t>
      </w:r>
      <w:r>
        <w:rPr>
          <w:rStyle w:val="None"/>
          <w:rFonts w:ascii="Arial Unicode MS" w:hAnsi="Arial Unicode MS" w:cs="Times New Roman" w:hint="cs"/>
          <w:sz w:val="24"/>
          <w:szCs w:val="24"/>
          <w:rtl/>
          <w:lang w:val="ar-SA"/>
        </w:rPr>
        <w:lastRenderedPageBreak/>
        <w:t>العنصر البشري؛ وبالتالي لا يمكن لأجهزة الذكاء الاصطناعي أن تتمتع بالقدرة على الابداع بشكل مستقل وقياسًا على ذلك لا ينطبق مفهوم الابداع والاصالة على ما تنتجه أنظمة الذكاء الاصطناعي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2"/>
      </w:r>
      <w:r>
        <w:rPr>
          <w:rStyle w:val="None"/>
          <w:rFonts w:ascii="Times New Roman" w:hAnsi="Times New Roman"/>
          <w:sz w:val="24"/>
          <w:szCs w:val="24"/>
          <w:vertAlign w:val="superscript"/>
          <w:rtl/>
          <w:lang w:val="ar-SA"/>
        </w:rPr>
        <w:t>)</w:t>
      </w:r>
    </w:p>
    <w:p w14:paraId="3D2D7B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إن استخدام الذكاء الاصطناعي يضع إشكاليات قانونية في مجال حماية براءة الاختراع، فالتشريعات التقليدية تشترط أن يكون المخترع شخص طبيعي، فهنا يتضح الإشكالية القانونية هل يتم منع براءة الاختراع لأنظمة الذكاء الاصطناعي؟ على الرغم أنه ليس شخص طبيعي، فيمكن القول أن أنظمة الذكاء الاصطناعي في الأصل هي من اختراع البشر أساسًا، فأي تطبيق ينشأ من خلال أنظمة الذكاء الاصطناعي يكون في الأصل هي من صنع الإنسان، في هذه الحالة لا يمكن أن يتم منح تطبيقات الذكاء الاصطناعي براءة الاختراع</w:t>
      </w:r>
      <w:r>
        <w:rPr>
          <w:rStyle w:val="None"/>
          <w:rFonts w:ascii="Times New Roman" w:hAnsi="Times New Roman"/>
          <w:sz w:val="24"/>
          <w:szCs w:val="24"/>
          <w:rtl/>
          <w:lang w:val="ar-SA"/>
        </w:rPr>
        <w:t>.</w:t>
      </w:r>
    </w:p>
    <w:p w14:paraId="14DB22A0"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البيئة الرقمية</w:t>
      </w:r>
      <w:r>
        <w:rPr>
          <w:rStyle w:val="None"/>
          <w:rFonts w:ascii="Times New Roman" w:hAnsi="Times New Roman"/>
          <w:b/>
          <w:bCs/>
          <w:sz w:val="28"/>
          <w:szCs w:val="28"/>
          <w:rtl/>
          <w:lang w:val="ar-SA"/>
        </w:rPr>
        <w:t>:</w:t>
      </w:r>
    </w:p>
    <w:p w14:paraId="35CC0D3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التوجه السريع نحو الرقمنة، أصبحت البيئة الرقمية عنصرًا أساسيًا يؤثر في جميع جوانب الحياة الحديثة، بدءًا من التعليم والتواصل وصولًا إلى الاقتصاد والإدارة، وقد نتج عن هذا التحوُّل بيئةً مختلفةً عن البيئات التقليدية؛ حيث تتميز بمجموعة من الخصائص، التي ساهمت في إعادة تشكيل طرق إنتاج المعلومات وتبادلها، وحددت آليات التفاعل بين الأفراد في العصر الرقمي</w:t>
      </w:r>
      <w:r>
        <w:rPr>
          <w:rStyle w:val="None"/>
          <w:rFonts w:ascii="Times New Roman" w:hAnsi="Times New Roman"/>
          <w:sz w:val="24"/>
          <w:szCs w:val="24"/>
          <w:rtl/>
          <w:lang w:val="ar-SA"/>
        </w:rPr>
        <w:t>.</w:t>
      </w:r>
    </w:p>
    <w:p w14:paraId="702406EA"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2A3C9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C6330D1" w14:textId="77777777" w:rsidR="00454428" w:rsidRDefault="00000000" w:rsidP="00C72BA8">
      <w:pPr>
        <w:pStyle w:val="ListParagraph"/>
        <w:numPr>
          <w:ilvl w:val="0"/>
          <w:numId w:val="8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الوجود الافتراضي</w:t>
      </w:r>
      <w:r>
        <w:rPr>
          <w:rStyle w:val="None"/>
          <w:rFonts w:ascii="Times New Roman" w:hAnsi="Times New Roman"/>
          <w:b/>
          <w:bCs/>
          <w:sz w:val="24"/>
          <w:szCs w:val="24"/>
          <w:rtl/>
          <w:lang w:val="ar-SA"/>
        </w:rPr>
        <w:t xml:space="preserve">: </w:t>
      </w:r>
    </w:p>
    <w:p w14:paraId="445492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أهم ميزات البيئة الرقمية قدرتها على تخطي الحدود المادية، وخلق فضاء بديل يُعرف بالوجود الافتراضي؛ حيث يمكن للأفراد والمؤسسات التفاعل والعمل والتعبير عن أنفسهم ضمن عوالم رقمية ليست مرتبطةً بمكان أو زمان محدد، ويعتبر هذا الوجود الافتراضي سمةً أساسيةً للبيئة الرقمية؛ لما يتيحه من فرص واسعة لتشكيل هُوِيَّات رقمية، وبناء علاقات، وممارسة أنشطة متنوعة في بيئة رقمية تختلف عن الواقع الملموس</w:t>
      </w:r>
      <w:r>
        <w:rPr>
          <w:rStyle w:val="None"/>
          <w:rFonts w:ascii="Times New Roman" w:hAnsi="Times New Roman"/>
          <w:sz w:val="24"/>
          <w:szCs w:val="24"/>
          <w:rtl/>
          <w:lang w:val="ar-SA"/>
        </w:rPr>
        <w:t>.</w:t>
      </w:r>
    </w:p>
    <w:p w14:paraId="7B75B0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عمل المواقع الإلكترونية على مدار اليوم والساعة يُجنب الأفراد عناء ووقت التنقل لشراء مصنف أو معاينة مصنف معين؛ إذْ يتم له ذلك بمجرد دخوله على المواقع الخاصة بتداول المصنفات الرقمية، أو عن طريق البريد الإلكتروني، أو المكتبات الرقمية التي تُمكن من الاطلاع على العديد من المؤلفات، أو غيرها من أدوات تداول المصنفات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33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تأثيرات المنشورات الإلكترونية التي تتم من خلال البيئة الرقمية، هو زيادة وتحسين الوصول إلى المعلومات واسترجاعها، وحتى يمكننا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هذه المنشورات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سوف تقلل من الحاجة </w:t>
      </w:r>
      <w:r>
        <w:rPr>
          <w:rStyle w:val="None"/>
          <w:rFonts w:ascii="Arial Unicode MS" w:hAnsi="Arial Unicode MS" w:cs="Times New Roman" w:hint="cs"/>
          <w:sz w:val="24"/>
          <w:szCs w:val="24"/>
          <w:rtl/>
          <w:lang w:val="ar-SA"/>
        </w:rPr>
        <w:lastRenderedPageBreak/>
        <w:t xml:space="preserve">إلى استخدام المكتبة، أو الاستفادة من المهارات المكتبية؛ لأنَّ القارئ سوف يتمكن من الوصول إلى المعلومات وهو جالس في بيته أو مكتبه أو مختبره عن طريق منفذه الخاص للحاسوب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9CFC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قد وفرت للأفراد إمكانياتٍ واسعةً للوصول إلى المصنفات الفكرية وتداولها دون الحاجة إلى التنقل أو زيارة أماكن محددة، فيمكن تصفح المؤلفات وشراؤها أو الاطلاع عليها بسهولة عبر المواقع الإلكترونية، أو البريد الإلكتروني أو المكتبات الرقمية المتاحة على مدار الساعة، فقد ساهم هذا التحول في تحسين سرعة الوصول إلى المعلومات واسترجاعها؛ ممَّا جعل المنشورات الإلكترونية بديلًا فعَّالًا للوسائل التقليدية، وعلى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أنْ يؤدي هذا الاتجاه إلى تقليص الاعتماد على المكتبات التقليدية والمهارات المكتبية؛ نظرًا لتوفر المعلومات للقارئ في أي وقت ومن أي مكان عبر جهازه الشخصي</w:t>
      </w:r>
      <w:r>
        <w:rPr>
          <w:rStyle w:val="None"/>
          <w:rFonts w:ascii="Times New Roman" w:hAnsi="Times New Roman"/>
          <w:sz w:val="24"/>
          <w:szCs w:val="24"/>
          <w:rtl/>
          <w:lang w:val="ar-SA"/>
        </w:rPr>
        <w:t>.</w:t>
      </w:r>
    </w:p>
    <w:p w14:paraId="5786CF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يحتاج المستخدم إلى أنْ يبحث عن كتاب معين في المكتبات ولا يحتاج إلى مراسلة الناشر كي يحصل على المؤلف، ويتم كل ذلك في دقائق عبر الإنترنت، عن طريق زيارة موقع موزع الكتب الإلكترونية، أو عن طريق زيارة موقع باحث معين على الإنترنت؛ حيث يمكن أنْ يتم العرض والتحميل عبر الشبكات الحاسوبية؛ ممَّا يتيح نقلها ووصولها إلى القارئ بسرعة،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متابعة مستجدات العلم والمعرفة في مجال الزمن الحقيقي تقريبًا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9C742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أدى النشر الإلكتروني إلى إزالة الحواجز المكانية، فقد أصبح العالم مساحةً رقميةً موحدةً تتجاوز الجغرافيا التقليدية؛ حيث أصبح جهاز الحاسوب هو الحيز الجديد الذي يتحرك فيه المستخدم، ففي هذا الفضاء الرقمي لم تَعُدْ المفاهيم المرتبطة بالمكان المادي،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التجاوز والتباعد قائمة، بل تم استبدالها بالعنوان الرقمي الذي أصبح هُوِيَّة للمكان الجديد، وهكذا غابت الهُوِيَّة الجغرافية المألوفة لصالح هُوِيَّة رقمية تتكوَّن من أحرف وأرقام تشكل مدخلًا لهذا الحيز؛ ممَّا أدى إلى تقليص المسافة الفاصلة بين المستخدمين، وتحويلها إلى نوع من القرب أو البُعد النفسي بحسب طبيعة التفاعل الرقمي</w:t>
      </w:r>
      <w:r>
        <w:rPr>
          <w:rStyle w:val="None"/>
          <w:rFonts w:ascii="Times New Roman" w:hAnsi="Times New Roman"/>
          <w:sz w:val="24"/>
          <w:szCs w:val="24"/>
          <w:rtl/>
          <w:lang w:val="ar-SA"/>
        </w:rPr>
        <w:t>.</w:t>
      </w:r>
    </w:p>
    <w:p w14:paraId="1C4B14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ففي هذا الفضاء الجديد لا يلغي المكان تمامًا، بل يعيد تشكيله بطريقة مختلفة؛ حيث يصبح المكان الافتراضي مزيجًا من المحتوى والعلاقات الرقمية التي ينسجها الفرد مع البيئة الإلكترونية، فتم إلغاء الأبعاد الزمنية والمكانية التقليدية، فيختزل الزمن في اللحظة الرقمية، ويتراكم المكان في طبقات من البيانات والمعرفة المعروضة على الشاشة، وإذا اعتبر هذا الفضاء حيزًا جديدًا، فإنَّ له مفاهيمه الخاصة التي لا تنتمي إلى المكان الواقعي، بل إلى طبيعة التفاعل والتمثيل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7589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نجد أنَّ النشر الإلكتروني قد ساهم في تسهيل الوصول إلى المصنفات الفكرية، فلم يَعُدْ القارئ مضطرًا لزيارة المكتبات أو التواصل مع الناشرين، بل يمكنه الحصول على المؤلفات خلال دقائق عبر الإنترنت، فقد ساعد ذلك في تسريع تداول المعرفة ومواكبة المستجدات العلمية بشكل لحظي، كما ألغت البيئة الرقمية الحواجز المكانية؛ </w:t>
      </w:r>
      <w:r>
        <w:rPr>
          <w:rStyle w:val="None"/>
          <w:rFonts w:ascii="Arial Unicode MS" w:hAnsi="Arial Unicode MS" w:cs="Times New Roman" w:hint="cs"/>
          <w:sz w:val="24"/>
          <w:szCs w:val="24"/>
          <w:rtl/>
          <w:lang w:val="ar-SA"/>
        </w:rPr>
        <w:lastRenderedPageBreak/>
        <w:t>حيث أصبح التفاعل يتم داخل فضاء رقمي جديد تحكمه العناوين الإلكترونية، بدلًا من الجغرافيا التقليدية؛ ممَّا أعاد تشكيل مفهوم المكان والزمن ضمن إطار افتراضي يتيح تراكم المحتوى وتداوله بسهولة ومرونة</w:t>
      </w:r>
      <w:r>
        <w:rPr>
          <w:rStyle w:val="None"/>
          <w:rFonts w:ascii="Times New Roman" w:hAnsi="Times New Roman"/>
          <w:sz w:val="24"/>
          <w:szCs w:val="24"/>
          <w:rtl/>
          <w:lang w:val="ar-SA"/>
        </w:rPr>
        <w:t>.</w:t>
      </w:r>
    </w:p>
    <w:p w14:paraId="6DA32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فالبيئة الإلكترونية هي المجال الذي يتم من خلاله نشر الإنتاج الفكري، وكذلك تداول هذا الإنتاج، وتلك البيئة بدورها مشمولة بالحماية القانونية مثلها مثل البيئة الحقيقية، فهي ميدان للمعاملات المالية، التي يجب أنْ تتم وفقًا للقانون، أي أنَّ اختلاف البيئة الافتراضية لا يمنع من بسط سلطان القانون على أية معاملات تتم خلال تلك البيئة</w:t>
      </w:r>
      <w:r>
        <w:rPr>
          <w:rStyle w:val="None"/>
          <w:rFonts w:ascii="Times New Roman" w:hAnsi="Times New Roman"/>
          <w:sz w:val="24"/>
          <w:szCs w:val="24"/>
          <w:rtl/>
          <w:lang w:val="ar-SA"/>
        </w:rPr>
        <w:t xml:space="preserve">. </w:t>
      </w:r>
    </w:p>
    <w:p w14:paraId="26FAFC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يفرق النظام السعودي بين تداول المنتجات الفكرية في البيئة الرقمية عنه في البيئة الحقيقية، وهذا ما يتضح من نص المادة </w:t>
      </w:r>
      <w:r>
        <w:rPr>
          <w:rStyle w:val="None"/>
          <w:rFonts w:ascii="Times New Roman" w:hAnsi="Times New Roman"/>
          <w:sz w:val="24"/>
          <w:szCs w:val="24"/>
          <w:rtl/>
          <w:lang w:val="ar-SA"/>
        </w:rPr>
        <w:t xml:space="preserve">(9/ 3) </w:t>
      </w:r>
      <w:r>
        <w:rPr>
          <w:rStyle w:val="None"/>
          <w:rFonts w:ascii="Arial Unicode MS" w:hAnsi="Arial Unicode MS" w:cs="Times New Roman" w:hint="cs"/>
          <w:sz w:val="24"/>
          <w:szCs w:val="24"/>
          <w:rtl/>
          <w:lang w:val="ar-SA"/>
        </w:rPr>
        <w:t xml:space="preserve">من نظام حماية حقوق المؤلف، والتي تنص على أنَّ من 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نقل المصنف إلى الجمهور بأي وسيلة ممكنة،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العرض، أو التمثيل، أو البث الإذاعي، أو عبر شبكات المعلومات</w:t>
      </w:r>
      <w:r>
        <w:rPr>
          <w:rStyle w:val="None"/>
          <w:rFonts w:ascii="Times New Roman" w:hAnsi="Times New Roman"/>
          <w:sz w:val="24"/>
          <w:szCs w:val="24"/>
          <w:rtl/>
          <w:lang w:val="ar-SA"/>
        </w:rPr>
        <w:t>".</w:t>
      </w:r>
    </w:p>
    <w:p w14:paraId="05C720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التصرف من المؤلف مكفول له بقوة النظام، ولا يمنح غيره الحق في ذلك إلا وفقًا للمبادئ والقوانين التي يخضع لها الحق محل الحماية، والخلاصة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محل حماية قانونية،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الحقيقية، والإنتاج الفكري، الذي يتم إنتاجه وتداوله فيها محل حماية كما هو الحال في البيئة الحقيقية</w:t>
      </w:r>
      <w:r>
        <w:rPr>
          <w:rStyle w:val="None"/>
          <w:rFonts w:ascii="Times New Roman" w:hAnsi="Times New Roman"/>
          <w:sz w:val="24"/>
          <w:szCs w:val="24"/>
          <w:rtl/>
          <w:lang w:val="ar-SA"/>
        </w:rPr>
        <w:t xml:space="preserve">. </w:t>
      </w:r>
    </w:p>
    <w:p w14:paraId="433A15AD" w14:textId="77777777" w:rsidR="00454428" w:rsidRDefault="00000000" w:rsidP="00C72BA8">
      <w:pPr>
        <w:pStyle w:val="ListParagraph"/>
        <w:numPr>
          <w:ilvl w:val="0"/>
          <w:numId w:val="8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التحول الرقمي</w:t>
      </w:r>
      <w:r>
        <w:rPr>
          <w:rStyle w:val="None"/>
          <w:rFonts w:ascii="Times New Roman" w:hAnsi="Times New Roman"/>
          <w:b/>
          <w:bCs/>
          <w:sz w:val="24"/>
          <w:szCs w:val="24"/>
          <w:rtl/>
          <w:lang w:val="ar-SA"/>
        </w:rPr>
        <w:t>:</w:t>
      </w:r>
    </w:p>
    <w:p w14:paraId="265E59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التحول الرقمي من أبرز سمات البيئة الرقمية؛ حيث يشير إلى الانتقال إلى استخدام التكنولوجيا الرقمية بدلًا من الأساليب التقليدية في مختلف مجالات الحياة، وقد نتج عن هذا التحوُّل تغييراتٍ جوهريةً في أساليب إنتاج المعلومات وتبادلها واتخاذ القرارات؛ ممَّا جعل البيئة الرقمية أكثر فاعليةً وكفاءةً، كما عملت على فتح آفاق جديدة للابتكار والتطوُّر</w:t>
      </w:r>
      <w:r>
        <w:rPr>
          <w:rStyle w:val="None"/>
          <w:rFonts w:ascii="Times New Roman" w:hAnsi="Times New Roman"/>
          <w:sz w:val="24"/>
          <w:szCs w:val="24"/>
          <w:rtl/>
          <w:lang w:val="ar-SA"/>
        </w:rPr>
        <w:t>.</w:t>
      </w:r>
    </w:p>
    <w:p w14:paraId="0C8935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ثورة التكنولوجيا القائمة خلال هذا العصر مكنت من إحداث تغيير جذري في نمط وطبيعة العمل في كافة الميادين، خاصةً مجال الملكية الفكرية، الذي يُعَدُّ أكثرهم تماشيًا مع التطوُّر التكنولوجيا عن طريق استخدامها للتقنيات الحديثة، والمتطوِّرة التي نتج عنها تغيير عميق في طبيعة التفكير في سلوك المؤلفين والأفراد؛ ممَّا أدى إلى ظهور نوع حديث من المؤلفات، وهي المصنفات الرقمية، التي ألغت الحدود والقيود المادية والجغرافية نهائيًا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E7D3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غير أنَّ ما شهده العالم من ثورة المعلومات والتي ترتبط ارتباطًا وثيقًا بتكنولوجيا المعلومات التي فجَّرها اختراع الحاسب الآلي والتطوُّر الكبير الذي لحقه؛ أدى إلى تغيير جذري في عملية الإبداع التقليدي للمصنفات، وذلك من خلال ما أتاحته الشبكة العنكبوتية من أدوات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A95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w:t>
      </w:r>
      <w:r>
        <w:rPr>
          <w:rStyle w:val="None"/>
          <w:rFonts w:ascii="Arial Unicode MS" w:hAnsi="Arial Unicode MS" w:cs="Times New Roman" w:hint="cs"/>
          <w:sz w:val="24"/>
          <w:szCs w:val="24"/>
          <w:rtl/>
          <w:lang w:val="ar-SA"/>
        </w:rPr>
        <w:lastRenderedPageBreak/>
        <w:t>الحاسبات الشخصية ببرامج شبكة الإرسال واستقبال البيانات عبر تلك الشبكات، وذلك على درب الطريق الفائق للمعلومات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F9E1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الثورة التكنولوجية قد أدت إلى تغيير جذري في أشكال الإنتاج الفكري؛ حيث تأثرت بشكل مباشر بتطوُّر تقنيات المعلومات والاتصالات، بالإضافة إلى مساهمة تلك الثورة في ظهور المصنفات الرقمية، التي تجاوزت القيود المادية والجغرافية، كما أعادت تشكيل أساليب الإبداع والنشر، من خلال الاعتماد على الحاسبات الآلية وبرامج الشبكات الإلكترونية؛ ممَّا جعل الوصول إلى المصنفات واستغلالها بوسائل رقمية حديثة أكثر سهولةً</w:t>
      </w:r>
      <w:r>
        <w:rPr>
          <w:rStyle w:val="None"/>
          <w:rFonts w:ascii="Times New Roman" w:hAnsi="Times New Roman"/>
          <w:sz w:val="24"/>
          <w:szCs w:val="24"/>
          <w:rtl/>
          <w:lang w:val="ar-SA"/>
        </w:rPr>
        <w:t>.</w:t>
      </w:r>
    </w:p>
    <w:p w14:paraId="723BF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والتحول الرقمي في البيئة الإلكترونية هو مجرد وسيلة لتخزين الإنتاج الفكري، ولا يغير من الطبيعة القانونية للحقوق الناشئة عنه، وهي لا تختلف كثيرًا في تكييفها القانوني عن أية حقوق ملكية فكرية أخرى، خصوصًا فيما يتعلق بالإبداع الفكري، فالتسجيلات الفنية التي تتمتع بالحماية القانونية هي في الحقيقة مواد مسموعة، كانت قديمًا تخزن على أسطوانات أو شرائط، فأصبحت تخزن بطريقة رقمية، فالاختلاف الوحيد في طريقة التخزين، ومِنْ ثَمَّ فإنَّ صفة الافتراضية في حقوق الملكية في البيئة الرقمية لا تنفي تمتع المنتجات الفكرية الرقمية بالحماية القانونية</w:t>
      </w:r>
      <w:r>
        <w:rPr>
          <w:rStyle w:val="None"/>
          <w:rFonts w:ascii="Times New Roman" w:hAnsi="Times New Roman"/>
          <w:sz w:val="24"/>
          <w:szCs w:val="24"/>
          <w:rtl/>
          <w:lang w:val="ar-SA"/>
        </w:rPr>
        <w:t>.</w:t>
      </w:r>
    </w:p>
    <w:p w14:paraId="01D70A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ولذلك فقد نصت المادة </w:t>
      </w:r>
      <w:r>
        <w:rPr>
          <w:rStyle w:val="None"/>
          <w:rFonts w:ascii="Times New Roman" w:hAnsi="Times New Roman"/>
          <w:sz w:val="24"/>
          <w:szCs w:val="24"/>
          <w:rtl/>
          <w:lang w:val="ar-SA"/>
        </w:rPr>
        <w:t xml:space="preserve">(9/ 1) </w:t>
      </w:r>
      <w:r>
        <w:rPr>
          <w:rStyle w:val="None"/>
          <w:rFonts w:ascii="Arial Unicode MS" w:hAnsi="Arial Unicode MS" w:cs="Times New Roman" w:hint="cs"/>
          <w:sz w:val="24"/>
          <w:szCs w:val="24"/>
          <w:rtl/>
          <w:lang w:val="ar-SA"/>
        </w:rPr>
        <w:t>من نظام حماية حقوق المؤلف على أنَّ من حقوق المؤلف</w:t>
      </w:r>
      <w:r>
        <w:rPr>
          <w:rStyle w:val="None"/>
          <w:rFonts w:ascii="Times New Roman" w:hAnsi="Times New Roman"/>
          <w:sz w:val="24"/>
          <w:szCs w:val="24"/>
          <w:lang w:val="en-US"/>
        </w:rPr>
        <w:t>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طبع المصنف ونشره على شكل مقروء، أو تسجيله على أشرطة مسموعة، أو مرئية، أو أسطوانات مدمجة، أو ذاكرة إلكترونية، أو غير ذلك من وسائل النشر</w:t>
      </w:r>
      <w:r>
        <w:rPr>
          <w:rStyle w:val="None"/>
          <w:rFonts w:ascii="Times New Roman" w:hAnsi="Times New Roman"/>
          <w:sz w:val="24"/>
          <w:szCs w:val="24"/>
          <w:rtl/>
          <w:lang w:val="ar-SA"/>
        </w:rPr>
        <w:t>".</w:t>
      </w:r>
    </w:p>
    <w:p w14:paraId="31AD99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فيشير هذا إلى أنَّ القانون يشمل المصنف بالحماية بصرف النظر عن طريقة تخزينه؛ حيث منح الحق للمؤلف بتخزينه على أية وسيلة مسموعة، أو مرئية، أو أسطوانات مدمجة، أو ذاكرة إلكترونية، والأسطوانات المدمجة والذاكرة الإلكترونية هي وسائل تخزين رقمية</w:t>
      </w:r>
      <w:r>
        <w:rPr>
          <w:rStyle w:val="None"/>
          <w:rFonts w:ascii="Times New Roman" w:hAnsi="Times New Roman"/>
          <w:sz w:val="24"/>
          <w:szCs w:val="24"/>
          <w:rtl/>
          <w:lang w:val="ar-SA"/>
        </w:rPr>
        <w:t>.</w:t>
      </w:r>
    </w:p>
    <w:p w14:paraId="6BF9699C" w14:textId="77777777" w:rsidR="00454428" w:rsidRDefault="00000000" w:rsidP="00C72BA8">
      <w:pPr>
        <w:pStyle w:val="ListParagraph"/>
        <w:numPr>
          <w:ilvl w:val="0"/>
          <w:numId w:val="8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سهولة الوصول والتخزين</w:t>
      </w:r>
      <w:r>
        <w:rPr>
          <w:rStyle w:val="None"/>
          <w:rFonts w:ascii="Times New Roman" w:hAnsi="Times New Roman"/>
          <w:b/>
          <w:bCs/>
          <w:sz w:val="24"/>
          <w:szCs w:val="24"/>
          <w:rtl/>
          <w:lang w:val="ar-SA"/>
        </w:rPr>
        <w:t>:</w:t>
      </w:r>
    </w:p>
    <w:p w14:paraId="5A5569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التحول الرقمي الذي شهده المجتمع الدولي، أصبحت سهولة الوصول والتخزين من أبرز سمات البيئة الرقمية، فقد وفر هذا التحول الرقمي سهولةَ الوصول إلى المعلومات والبيانات من أي مكان وفي أي وقت، دون الاعتماد على الوسائط المادية التقليدية، بالإضافة إلى إمكانية تخزين كميات ضخمة من المحتوى الرقمي في مساحات افتراضية؛ ممَّا سهَّل عملية حفظ البيانات، وتنظيمها، واسترجاعها بسرعة، فتُعَدُّ تلك الخاصية من العوامل الأساسية التي أعادت تشكيل طرق تداول المعرفة</w:t>
      </w:r>
      <w:r>
        <w:rPr>
          <w:rStyle w:val="None"/>
          <w:rFonts w:ascii="Times New Roman" w:hAnsi="Times New Roman"/>
          <w:sz w:val="24"/>
          <w:szCs w:val="24"/>
          <w:rtl/>
          <w:lang w:val="ar-SA"/>
        </w:rPr>
        <w:t>.</w:t>
      </w:r>
    </w:p>
    <w:p w14:paraId="19B685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البيئة الرقمية للأفراد آلياتٍ متعددةً تساعدهم في سهولة البحث عن معلومات معينة، فبدلًا من تصفح كل صفحات الكتاب أو البحث المطبوع يمكن لجهاز الكمبيوتر أنْ يبحث عن كلمة أو كلمات بشكل آلي؛ ممَّا يوفر الوقت والجهد بشكل كبير، كما تساهم محركات البحث وقواعد البيانات الرقمية في الوصول إلى المعلومة بشكل أدق وأسرع؛ </w:t>
      </w:r>
      <w:r>
        <w:rPr>
          <w:rStyle w:val="None"/>
          <w:rFonts w:ascii="Arial Unicode MS" w:hAnsi="Arial Unicode MS" w:cs="Times New Roman" w:hint="cs"/>
          <w:sz w:val="24"/>
          <w:szCs w:val="24"/>
          <w:rtl/>
          <w:lang w:val="ar-SA"/>
        </w:rPr>
        <w:lastRenderedPageBreak/>
        <w:t xml:space="preserve">ولذلك أصبحت عملية الوصول إلى مصادر المعرفة أكثر سهولةً ومرونةً؛ ممَّا ساهم في فاعلية البحث العلمي، وساهم في تسريع عملية التعليم والإنتاج الفكري في مختلف المجالات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A2571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أتاحت البيئة الرقمية إمكانية توفير الكتب الإلكترونية في وقت واحد وفي مكان واحد،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فإنَّه يُمكن توفير مساحة على رفوف المكتبة، كما توفر البيئة الرقمية إمكانية الوصول السريع للعناوين، وذلك أسرع من الطرق التقليدية لتزويد المكتبات بالعناوين، فهي متاحة لمدة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ساعةً في اليوم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97C7BB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تتميز بسهولة الوصول إلى المعلومات، وسرعة تخزينها واسترجاعها، وذلك بفضل استخدام أدوات بحث ذكية ومحركات بحث متقدمة، فهذا يقلل من الوقت والجهد بشكل كبير مقارنة بالطرق التقليدية، كما تتيح الكتب الإلكترونية وقواعد البيانات الرقمية إمكانية الاطلاع الفوري على المحتوى في أي وقت ومن أي مكان؛ ممَّا يعزّز من كفاءة البحث العلمي، ويُسهم في تطوير العملية التعليمية والإنتاج الفكري</w:t>
      </w:r>
      <w:r>
        <w:rPr>
          <w:rStyle w:val="None"/>
          <w:rFonts w:ascii="Times New Roman" w:hAnsi="Times New Roman"/>
          <w:sz w:val="24"/>
          <w:szCs w:val="24"/>
          <w:rtl/>
          <w:lang w:val="ar-SA"/>
        </w:rPr>
        <w:t>.</w:t>
      </w:r>
    </w:p>
    <w:p w14:paraId="17A332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سهولة الوصول والتخزين في البيئة الرقمية يفتح المجال أمام الاعتداءات على حقوق الملكية الفكرية، وذلك عكس المنتجات في البيئة الحقيقية فالوصول إلى كتاب منشور يحتاج إلى شرائه أولًا ثم القيام بنسخه، ومن السهولة تتبع النسخ الورقية ومصادرتها، وكذلك الحال بالنسبة للمنتجات السمعية والبصرية وغيرها، فصعوبة التخزين والتداول تحد من عمليات الاعتداء على الملكية الفكرية في البيئة الحقيقية، وإنْ كانت لا تمنعها، ولكنها بالتأكيد أكثر صعوبةً من البيئة الإلكترونية، فكل ما عليك هو نسخ المنتج والاحتفاظ به على الجهاز الخاص للمعتدي</w:t>
      </w:r>
      <w:r>
        <w:rPr>
          <w:rStyle w:val="None"/>
          <w:rFonts w:ascii="Times New Roman" w:hAnsi="Times New Roman"/>
          <w:sz w:val="24"/>
          <w:szCs w:val="24"/>
          <w:rtl/>
          <w:lang w:val="ar-SA"/>
        </w:rPr>
        <w:t xml:space="preserve">. </w:t>
      </w:r>
    </w:p>
    <w:p w14:paraId="6AE7D20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وبالنسبة لتأثير تلك الخاصة على التكييف القانوني لمحل الحماية فإنَّه ينحصر في احتياج المنتج الفكري في البيئة الافتراضية إلى حماية أكبر وتعاون وتنسيق دولي على نطاق أوسع للحد من عمليات الاعتداء على الملكية الفكرية في البيئة الافتراضية</w:t>
      </w:r>
      <w:r>
        <w:rPr>
          <w:rStyle w:val="None"/>
          <w:rFonts w:ascii="Times New Roman" w:hAnsi="Times New Roman"/>
          <w:sz w:val="24"/>
          <w:szCs w:val="24"/>
          <w:rtl/>
          <w:lang w:val="ar-SA"/>
        </w:rPr>
        <w:t>.</w:t>
      </w:r>
    </w:p>
    <w:p w14:paraId="5A7120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وبالنسبة للنظم القانونية فهي تحيط الوصول إلى المنتج الفكري أو تخزينه بالحماية اللازمة؛ لضمان عدم الاعتداء عليه؛ ولذلك تنص المادة </w:t>
      </w:r>
      <w:r>
        <w:rPr>
          <w:rStyle w:val="None"/>
          <w:rFonts w:ascii="Times New Roman" w:hAnsi="Times New Roman"/>
          <w:sz w:val="24"/>
          <w:szCs w:val="24"/>
          <w:rtl/>
          <w:lang w:val="ar-SA"/>
        </w:rPr>
        <w:t xml:space="preserve">(21/ 4 - 5) </w:t>
      </w:r>
      <w:r>
        <w:rPr>
          <w:rStyle w:val="None"/>
          <w:rFonts w:ascii="Arial Unicode MS" w:hAnsi="Arial Unicode MS" w:cs="Times New Roman" w:hint="cs"/>
          <w:sz w:val="24"/>
          <w:szCs w:val="24"/>
          <w:rtl/>
          <w:lang w:val="ar-SA"/>
        </w:rPr>
        <w:t>من نظام حماية حقوق المؤلف على أنَّ</w:t>
      </w:r>
      <w:r>
        <w:rPr>
          <w:rStyle w:val="None"/>
          <w:rFonts w:ascii="Times New Roman" w:hAnsi="Times New Roman"/>
          <w:sz w:val="24"/>
          <w:szCs w:val="24"/>
          <w:rtl/>
          <w:lang w:val="ar-SA"/>
        </w:rPr>
        <w:t>:</w:t>
      </w:r>
    </w:p>
    <w:p w14:paraId="40EFED14" w14:textId="77777777" w:rsidR="00454428" w:rsidRDefault="00000000" w:rsidP="00C72BA8">
      <w:pPr>
        <w:pStyle w:val="ListParagraph"/>
        <w:numPr>
          <w:ilvl w:val="0"/>
          <w:numId w:val="7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أي معلومة كتابية وإلكترونية قد تتسبب في إسقاط حقوق أصحاب المصنف</w:t>
      </w:r>
      <w:r>
        <w:rPr>
          <w:rStyle w:val="None"/>
          <w:rFonts w:ascii="Times New Roman" w:hAnsi="Times New Roman"/>
          <w:sz w:val="24"/>
          <w:szCs w:val="24"/>
        </w:rPr>
        <w:t>.</w:t>
      </w:r>
      <w:r>
        <w:rPr>
          <w:rStyle w:val="None"/>
          <w:rFonts w:ascii="Times New Roman" w:hAnsi="Times New Roman"/>
          <w:sz w:val="24"/>
          <w:szCs w:val="24"/>
          <w:rtl/>
          <w:lang w:val="ar-SA"/>
        </w:rPr>
        <w:t xml:space="preserve"> </w:t>
      </w:r>
    </w:p>
    <w:p w14:paraId="4F66F553" w14:textId="77777777" w:rsidR="00454428" w:rsidRDefault="00000000" w:rsidP="00C72BA8">
      <w:pPr>
        <w:pStyle w:val="ListParagraph"/>
        <w:numPr>
          <w:ilvl w:val="0"/>
          <w:numId w:val="7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وفك أي معلومة احترازية إلكترونية تضمن استخدام النسخ الأصلية للمصنف، مثل</w:t>
      </w:r>
      <w:r>
        <w:rPr>
          <w:rStyle w:val="None"/>
          <w:rFonts w:ascii="Times New Roman" w:hAnsi="Times New Roman"/>
          <w:sz w:val="24"/>
          <w:szCs w:val="24"/>
          <w:rtl/>
          <w:lang w:val="ar-SA"/>
        </w:rPr>
        <w:t xml:space="preserve">: </w:t>
      </w:r>
      <w:r>
        <w:rPr>
          <w:rStyle w:val="None"/>
          <w:rFonts w:cs="Times New Roman"/>
          <w:sz w:val="24"/>
          <w:szCs w:val="24"/>
          <w:rtl/>
          <w:lang w:val="ar-SA"/>
        </w:rPr>
        <w:t>التشفير، أو المعلومات المدونة بالليزر، أو غيره</w:t>
      </w:r>
      <w:r>
        <w:rPr>
          <w:rStyle w:val="None"/>
          <w:rFonts w:ascii="Times New Roman" w:hAnsi="Times New Roman"/>
          <w:sz w:val="24"/>
          <w:szCs w:val="24"/>
        </w:rPr>
        <w:t>.</w:t>
      </w:r>
    </w:p>
    <w:p w14:paraId="3BDE61EC" w14:textId="77777777" w:rsidR="00454428" w:rsidRDefault="00454428" w:rsidP="00C72BA8">
      <w:pPr>
        <w:pStyle w:val="Body"/>
        <w:spacing w:before="120" w:after="120" w:line="360" w:lineRule="auto"/>
        <w:jc w:val="both"/>
        <w:rPr>
          <w:rStyle w:val="None"/>
          <w:rFonts w:ascii="Times New Roman" w:eastAsia="Times New Roman" w:hAnsi="Times New Roman" w:cs="Times New Roman"/>
          <w:lang w:val="ar-SA"/>
        </w:rPr>
      </w:pPr>
    </w:p>
    <w:p w14:paraId="5D5F5C5F" w14:textId="77777777" w:rsidR="00454428" w:rsidRDefault="00454428" w:rsidP="00C72BA8">
      <w:pPr>
        <w:pStyle w:val="Body"/>
        <w:spacing w:before="120" w:after="120" w:line="360" w:lineRule="auto"/>
        <w:jc w:val="both"/>
        <w:rPr>
          <w:rStyle w:val="None"/>
          <w:rFonts w:ascii="Times New Roman" w:eastAsia="Times New Roman" w:hAnsi="Times New Roman" w:cs="Times New Roman"/>
          <w:rtl/>
          <w:lang w:val="ar-SA"/>
        </w:rPr>
      </w:pPr>
    </w:p>
    <w:p w14:paraId="2C582A49" w14:textId="77777777" w:rsidR="00C72BA8" w:rsidRDefault="00C72BA8" w:rsidP="00C72BA8">
      <w:pPr>
        <w:pStyle w:val="Body"/>
        <w:spacing w:before="120" w:after="120" w:line="360" w:lineRule="auto"/>
        <w:jc w:val="both"/>
        <w:rPr>
          <w:rStyle w:val="None"/>
          <w:rFonts w:ascii="Times New Roman" w:eastAsia="Times New Roman" w:hAnsi="Times New Roman" w:cs="Times New Roman"/>
          <w:lang w:val="ar-SA"/>
        </w:rPr>
      </w:pPr>
    </w:p>
    <w:p w14:paraId="2E6786D9" w14:textId="77777777" w:rsidR="00454428" w:rsidRDefault="00000000" w:rsidP="00C72BA8">
      <w:pPr>
        <w:pStyle w:val="a"/>
        <w:rPr>
          <w:rStyle w:val="None"/>
          <w:lang w:val="ar-SA"/>
        </w:rPr>
      </w:pPr>
      <w:bookmarkStart w:id="101" w:name="_Toc54"/>
      <w:r>
        <w:rPr>
          <w:rStyle w:val="None"/>
          <w:rFonts w:ascii="Arial Unicode MS" w:eastAsia="Arial Unicode MS" w:hAnsi="Arial Unicode MS" w:hint="cs"/>
          <w:rtl/>
          <w:lang w:val="ar-SA"/>
        </w:rPr>
        <w:lastRenderedPageBreak/>
        <w:t>المطلب الثاني</w:t>
      </w:r>
      <w:bookmarkEnd w:id="101"/>
    </w:p>
    <w:p w14:paraId="54AD009B" w14:textId="77777777" w:rsidR="00454428" w:rsidRDefault="00000000" w:rsidP="00C72BA8">
      <w:pPr>
        <w:pStyle w:val="a"/>
        <w:rPr>
          <w:rStyle w:val="None"/>
          <w:lang w:val="ar-SA"/>
        </w:rPr>
      </w:pPr>
      <w:bookmarkStart w:id="102" w:name="_Toc55"/>
      <w:r>
        <w:rPr>
          <w:rStyle w:val="None"/>
          <w:rFonts w:ascii="Arial Unicode MS" w:eastAsia="Arial Unicode MS" w:hAnsi="Arial Unicode MS" w:hint="cs"/>
          <w:rtl/>
          <w:lang w:val="ar-SA"/>
        </w:rPr>
        <w:t>أثر البيئة الرقمية على تطوُّر الملكية الفكرية</w:t>
      </w:r>
      <w:bookmarkEnd w:id="102"/>
    </w:p>
    <w:p w14:paraId="0BFD28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العقود الأخيرة تحوُّلًا نوعيًا؛ نتيجة الثورة الرقمية التي غيرت طريقة التعامل مع المعلومات والمصنفات الفكرية؛ حيث لم تَعُدْ حدود الإبداع، والتوزيع، والنشر مقيدة بالأطر التقليدية، بل أصبحت البيئة الرقمية مجتمعًا افتراضيًّا لإنتاج وتداول المحتوى بسرعة واسعة، دون قيود للزمان أو المكان، وقد أتاح هذا الواقع الجديد فرصًا جديدةً للأفراد للمشاركة في عملية الإنتاج المعرفي بشكل لم يكن ممكنًا في ظل الوسائط التقليدية</w:t>
      </w:r>
      <w:r>
        <w:rPr>
          <w:rStyle w:val="None"/>
          <w:rFonts w:ascii="Times New Roman" w:hAnsi="Times New Roman"/>
          <w:sz w:val="24"/>
          <w:szCs w:val="24"/>
          <w:rtl/>
          <w:lang w:val="ar-SA"/>
        </w:rPr>
        <w:t>.</w:t>
      </w:r>
    </w:p>
    <w:p w14:paraId="0A19E3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أثر هذا التحول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تأثرت منظومة الملكية الفكرية بشكل ملحوظ؛ حيث أصبح تداول الإنتاج الفكري وانتشاره يحدث بشكل فوري وعبر جمهور عالمي؛ ممَّا زاد من قيمة المعرفة الرقمية ومكانتها في المجتمع المعاصر، وقد أثر هذا التطوُّر في طبيعة الملكية الفكرية ذاتها، من حيث تنوع أشكالها وتداخل حدودها وتغير طرق تداولها واستعمالها؛ ممَّا يستدعي فهمًا أعمق لهذه الظاهرة في سياقها الجديد</w:t>
      </w:r>
      <w:r>
        <w:rPr>
          <w:rStyle w:val="None"/>
          <w:rFonts w:ascii="Times New Roman" w:hAnsi="Times New Roman"/>
          <w:sz w:val="24"/>
          <w:szCs w:val="24"/>
          <w:rtl/>
          <w:lang w:val="ar-SA"/>
        </w:rPr>
        <w:t>.</w:t>
      </w:r>
    </w:p>
    <w:p w14:paraId="1E3A6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شك أنَّ للبيئة الرقمية العديد من الآثار التي تسهم في تطوير الملكية الفكرية؛ حيث تتمثل في التطوُّر التكنولوجي على الملكية الفكرية، وانتشار المصنفات الفكرية، وظهور أشكال جديدة من الملكية الفكرية، ودمج التكنولوجيا في حماية المصنفات، وذلك على النحو التالي</w:t>
      </w:r>
      <w:r>
        <w:rPr>
          <w:rStyle w:val="None"/>
          <w:rFonts w:ascii="Times New Roman" w:hAnsi="Times New Roman"/>
          <w:sz w:val="24"/>
          <w:szCs w:val="24"/>
          <w:rtl/>
          <w:lang w:val="ar-SA"/>
        </w:rPr>
        <w:t>:</w:t>
      </w:r>
    </w:p>
    <w:p w14:paraId="420D68B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التطوُّر التكنولوجي على الملكية الفكرية</w:t>
      </w:r>
      <w:r>
        <w:rPr>
          <w:rStyle w:val="None"/>
          <w:rFonts w:ascii="Times New Roman" w:hAnsi="Times New Roman"/>
          <w:b/>
          <w:bCs/>
          <w:sz w:val="28"/>
          <w:szCs w:val="28"/>
          <w:rtl/>
          <w:lang w:val="ar-SA"/>
        </w:rPr>
        <w:t>:</w:t>
      </w:r>
    </w:p>
    <w:p w14:paraId="1776EC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التطوُّر التكنولوجي المتسارع عنصرًا أساسيًّا في ظهور البيئة الرقمية؛ حيث أثر بشكل مباشر على كيفية إنتاج وتوزيع واستخدام المصنفات الفكرية، ولم يَعُدْ الإبداع مقتصرًا على المؤسسات أو المتخصصين، بل أصبح متاحًا لفئات واسعة من الأفراد بفضل الأدوات الرقمية المتطوِّرة، فقد وفرت التكنولوجيا الحديثة إمكانيات جديدة لإنشاء المحتوى، وتعديله، ومشاركته بطرق مرنة وسريعة؛ ممَّا أدى إلى توسيع نطاق الإبداع وتنوع أشكاله، كما أدى هذا التغير التقني الواسع إلى التأثير على مفاهيم الملكية الفكرية؛ حيث أصبحت أكثر ترابطًا مع الواقع الرقمي الذي يتميز بالسرعة والتداخل وسهولة التداول</w:t>
      </w:r>
      <w:r>
        <w:rPr>
          <w:rStyle w:val="None"/>
          <w:rFonts w:ascii="Times New Roman" w:hAnsi="Times New Roman"/>
          <w:sz w:val="24"/>
          <w:szCs w:val="24"/>
          <w:rtl/>
          <w:lang w:val="ar-SA"/>
        </w:rPr>
        <w:t xml:space="preserve">. </w:t>
      </w:r>
    </w:p>
    <w:p w14:paraId="48542C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تطوُّر التطوُّر التكنولوجي في مختلف جوانب الحياة ساهم بشكل كبير في ظهور حقوق جديدة لم تكن مألوفةً في الماضي، وتشمل هذه الحقوق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الرسم، أو الحركة، أو الشكل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2F8A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المعرفة الفكرية نتاجًا لفكر الإنسان، والتي تتحول بعد ذلك إلى موارد معرفية يستفيد منها الأشخاص لتسهيل حياتهم؛ ونظرًا لأهمية الوعي الفكري، والتقدم التكنولوجي في الصعيد العلمي؛ استوجب الاعتراف بالملكية الفكرية للأشياء المبتكرة، وتأتي أهمية تلك الأفكار على الأنظمة الاقتصادية، وعلى رفع المستوى الثقافي والحضاري للشعوب </w:t>
      </w:r>
      <w:r>
        <w:rPr>
          <w:rStyle w:val="None"/>
          <w:rFonts w:ascii="Arial Unicode MS" w:hAnsi="Arial Unicode MS" w:cs="Times New Roman" w:hint="cs"/>
          <w:sz w:val="24"/>
          <w:szCs w:val="24"/>
          <w:rtl/>
          <w:lang w:val="ar-SA"/>
        </w:rPr>
        <w:lastRenderedPageBreak/>
        <w:t xml:space="preserve">والدول، فهذا ما جعل الدول تسعى إلى حماية حقوق الملكية الفكرية وردها إلى أصحابها بحكم أنَّ قوة الأمم تقاس بحكم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F057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 التكنولوجي المتسارع قد أسهم في بروز حقوق فكرية جديدة لم تكن معروفةً من قبل،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 المخترع وحق المؤلف، وحق المصمم، وغيرها من الحقوق المرتبطة بالإبداع في مجالات العلوم، والآداب، والفنون؛ حيث أصبحت الملكية الفكرية تمثل انعكاسًا مباشرًا لفكر الإنسان وإبداعه، وتحولت إلى مورد معرفي أساسي يسهم في تقدم المجتمعات ورفع مستواها الثقافي والاقتصادي،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أدركت المجتمع الدولي أهمية حماية هذه الحقوق كعنصر أساسي في بناء الحضارات الحديثة، ومقياس لقوة الأمم وتقدمها في عصر يعتمد على المعرفة والابتكار</w:t>
      </w:r>
      <w:r>
        <w:rPr>
          <w:rStyle w:val="None"/>
          <w:rFonts w:ascii="Times New Roman" w:hAnsi="Times New Roman"/>
          <w:sz w:val="24"/>
          <w:szCs w:val="24"/>
          <w:rtl/>
          <w:lang w:val="ar-SA"/>
        </w:rPr>
        <w:t>.</w:t>
      </w:r>
    </w:p>
    <w:p w14:paraId="114C0C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النشاط الإبداعي لدى الإنسان وإطلاق طاقاته الإبداعية تتطلب ضمان حماية ورعاية تلك الإبداعات، ويتمثل ذلك في مجموعة من التشريعات الوطنية والدولية، وهذا ما يعرف بحماية الملكية الفكرية؛ حيث إنَّ الملكية الفكرية هي إبداعات ذهن الإنسان، ولا يجوز لأي شخص آخر أنْ ينتفع بها انتفاعًا مشروعًا دون تصريح من صاحبها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9C7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وأصبحت الملكية الفكرية تمثل إحدى أهم الثروات التي تصدرها الدول المتقدمة تكنولوجيًا في هذا العصر، وأداة من أدوات التنمية التي تعتمد عليها الحكومات في سياساتها الاقتصادية؛ لما تحدثه من تغيرات تكنولوجية، واقتصادية، وآثار سياسية، وثقافية، وعلمية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E348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التقرير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 xml:space="preserve">تسخير سياسات الابتكار لأغراض النمو والتنمية، يستقصي تقرير جديد للويبو نقاط التقاطع بين الابتكار البشري، والتنويع الاقتصادي، والسياسة الصناعية، ويخلص إلى أنَّ مفتاح النمو المستدام للبلدان هو التركيز على تطوير قدرات الابتكار المحلية عند وضع السياسات، وتوثق التقارير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يصدر كل سنتين بعنوان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جعل سياسة الابتكار تعمل من أجل التنمية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عودة ظهور السياسات الصناعية في الآونة الأخيرة،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العديد من البلدان النامية وأقل البلدان نموًا؛ بهدف ضمان قاعدة هيكلية اقتصادية واسعة ومتنامية، وكذلك الابتكار، والإبداع، والتكنولوجيا اللازمة لتحقيقها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6"/>
      </w:r>
      <w:r>
        <w:rPr>
          <w:rStyle w:val="None"/>
          <w:rFonts w:ascii="Times New Roman" w:hAnsi="Times New Roman"/>
          <w:sz w:val="24"/>
          <w:szCs w:val="24"/>
          <w:vertAlign w:val="superscript"/>
          <w:rtl/>
          <w:lang w:val="ar-SA"/>
        </w:rPr>
        <w:t>)</w:t>
      </w:r>
    </w:p>
    <w:p w14:paraId="3152FD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فإنَّ ظهور الملكية الفكرية في المجال الدولي أدى إلى إحداث نوع من الصراع السياسي والتنافس فيما بينها؛ حيث إنَّ هذا الصراع أدى إلى الانقسام فيما بين الدول، ورغبة في استثمار الثروات التي تمتلكها كل دولة،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الابتكارات الذهنية والاختراعات، الأمر الذي دفع الدول الأوروبية مثلًا إلى الازدهار أكثر، بينما أطاح بالدول التي </w:t>
      </w:r>
      <w:r>
        <w:rPr>
          <w:rStyle w:val="None"/>
          <w:rFonts w:ascii="Arial Unicode MS" w:hAnsi="Arial Unicode MS" w:cs="Times New Roman" w:hint="cs"/>
          <w:sz w:val="24"/>
          <w:szCs w:val="24"/>
          <w:rtl/>
          <w:lang w:val="ar-SA"/>
        </w:rPr>
        <w:lastRenderedPageBreak/>
        <w:t>تعرضت للاستعمار، وذلك أنَّ استغلال واحتكار حقوق الابتكار؛ أدى إلى ازدهار بعض الدول أكثر من غيرها،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انقسام العالم إلى مجموعات متفاوتة؛ نظرًا للتقدم والتخلف الذي ميز كل من دولة عن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7"/>
      </w:r>
      <w:r>
        <w:rPr>
          <w:rStyle w:val="None"/>
          <w:rFonts w:ascii="Times New Roman" w:hAnsi="Times New Roman"/>
          <w:sz w:val="24"/>
          <w:szCs w:val="24"/>
          <w:vertAlign w:val="superscript"/>
          <w:rtl/>
          <w:lang w:val="ar-SA"/>
        </w:rPr>
        <w:t>)</w:t>
      </w:r>
    </w:p>
    <w:p w14:paraId="57C26D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النشاط الإبداعي يُعَدُّ من أهم مظاهر التميز الإنساني، ويتطلب بالضرورة توفير الحماية والرعاية القانونية الكافية؛ لضمان استمراره وتطوُّره، وتتمثل هذه الحماية فيما يعرف بحقوق الملكية الفكرية، والتي تشتمل على إبداعات العقل البشري في مختلف المجالات، ولا يجوز الانتفاع بها دون إذن صاحبها، فمع تطوُّر العصر الرقمي، أصبحت الملكية الفكرية من أبرز الموارد الاقتصادية للدول المتقدمة، وأداةً فعَّالةً في تعزيز التنمية؛ لما لها من تأثيرات مباشرة على النمو التكنولوجي والثقافي والعلمي، فضلًا عن دورها في تشكيل السياسات الاقتصادية الحديثة</w:t>
      </w:r>
      <w:r>
        <w:rPr>
          <w:rStyle w:val="None"/>
          <w:rFonts w:ascii="Times New Roman" w:hAnsi="Times New Roman"/>
          <w:sz w:val="24"/>
          <w:szCs w:val="24"/>
          <w:rtl/>
          <w:lang w:val="ar-SA"/>
        </w:rPr>
        <w:t>.</w:t>
      </w:r>
    </w:p>
    <w:p w14:paraId="58FA62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ولقد أبرزت التطوُّرات في مجالات الحوسبة، والإنترنت، والتقنيات الرقمية أهمية الملكية الفكرية في إطار المجتمع الإنساني، فتعتبر الملكية الفكرية العنصر الرئيسي في حماية الفكر، والاجتهاد، والابتكار، وفي الوقت نفسه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تُعَدُّ نهجًا يعبر عن حماية واحترام الإبداع في المجتمع؛ بحيث يجب تفسير العبارة الأخيرة، في ضوء أنَّ كل عدوان على الابتكار، والإبداع، والاجتهاد، والتجديد الذي يقوم به العقل البشري هو تحقير للتطوُّر، واعتداء على منهجية التجديد، وعدم احترام المجتمع والفرد في دولة معينة، وهو ما يؤدي إلى ضرورة حماية حقوق الملكية الفكرية لأفكار الأفراد، وتحويلها إلى اقتصاديات يمكن الاستفادة منها، ويحقق من ورائها نشاطًا تجاريًّا يصلح لتقوية موقفه المالي ومعيشته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8B027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 الملكية الفكرية لها أهمية كبيرة من حيث تعلقها بمسألة التطوُّرات الهائلة الحاصلة في مجالات تكنولوجيا المعلومات والابتكارات، الشيء الذي ينجم عنه ظهور وسائل جديدة ومتطوِّرة لتبادل المعرفة بطرق سهله وفعَّالة، وتزداد الأهمية التي توليها الدول حاليًا لمجال الملكية الفكرية؛ انطلاقًا من الدور الذي يلعبه في تنشيط حركة الاقتصاد العالمي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EF25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نجد أنَّ التطوُّرات التكنولوجية في مجالات،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الحوسبة، والإنترنت، والتقنيات الرقمية، قد سلطت الضوء على الأهمية المتزايدة للملكية الفكرية في المجتمع المعاصر؛ حيث أصبحت أداةً أساسيةً لحماية الإبداع، والابتكار، والاجتهاد الفكري، فيُعَدُّ أي انتهاك لهذه الحقوق تعديًا على مسار التقدم العلمي والتكنولوجي، وعلى احترام المجتمع لطاقات أفراده</w:t>
      </w:r>
      <w:r>
        <w:rPr>
          <w:rStyle w:val="None"/>
          <w:rFonts w:ascii="Times New Roman" w:hAnsi="Times New Roman"/>
          <w:sz w:val="24"/>
          <w:szCs w:val="24"/>
          <w:rtl/>
          <w:lang w:val="ar-SA"/>
        </w:rPr>
        <w:t>.</w:t>
      </w:r>
    </w:p>
    <w:p w14:paraId="497185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الضروري تحويل الأفكار المبتكرة إلى أصول معرفية ذات قيمة اقتصادية تساهم في تحسين مستوى الفرد وتنشيط الحركة التجارية، كما أدى التوسع الكبير في أدوات إنتاج المعرفة وتبادلها إلى منح الدول أهمية متزايدة للملكية الفكرية، باعتبارها ركنًا أساسيًّا لدعم الاقتصاد الوطني، وتعزيز موقعها في المجتمع الدولي</w:t>
      </w:r>
      <w:r>
        <w:rPr>
          <w:rStyle w:val="None"/>
          <w:rFonts w:ascii="Times New Roman" w:hAnsi="Times New Roman"/>
          <w:sz w:val="24"/>
          <w:szCs w:val="24"/>
          <w:rtl/>
          <w:lang w:val="ar-SA"/>
        </w:rPr>
        <w:t xml:space="preserve">. </w:t>
      </w:r>
    </w:p>
    <w:p w14:paraId="23256A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البيئة الرقمية على الملكية الفكرية</w:t>
      </w:r>
      <w:r>
        <w:rPr>
          <w:rStyle w:val="None"/>
          <w:rFonts w:ascii="Times New Roman" w:hAnsi="Times New Roman"/>
          <w:b/>
          <w:bCs/>
          <w:sz w:val="28"/>
          <w:szCs w:val="28"/>
          <w:rtl/>
          <w:lang w:val="ar-SA"/>
        </w:rPr>
        <w:t>:</w:t>
      </w:r>
    </w:p>
    <w:p w14:paraId="6D84AF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في التعامل مع الإنتاج الفكري؛ حيث ساهمت في تغيير طبيعة المصنفات وحدود تداولها بشكل جذري، بفضل البنية التفاعلية للفضاء الرقمي، فأصبح من الممكن إنتاج المحتوى، وتعديله، ونقله، ومشاركته بسرعة، وانتشار غير مسبوقين؛ ممَّا جعل البيئة الرقمية تؤثر بشكل مباشر في مفاهيم الملكية الفكرية ومجالات تطبيقها، فلم يَعُدْ التعامل مع المصنفات محصورًا في إطار مادي أو محلي، بل أصبح يتم عبر وسائط رقمية مفتوحة</w:t>
      </w:r>
      <w:r>
        <w:rPr>
          <w:rStyle w:val="None"/>
          <w:rFonts w:ascii="Times New Roman" w:hAnsi="Times New Roman"/>
          <w:sz w:val="24"/>
          <w:szCs w:val="24"/>
          <w:rtl/>
          <w:lang w:val="ar-SA"/>
        </w:rPr>
        <w:t>.</w:t>
      </w:r>
    </w:p>
    <w:p w14:paraId="16476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ساهمت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 ومِنْ ثَمَّ انكفأت الوسائط الإلكترونية المتعددة، الأمر الذي تزامن مع الترميز الرقمي للمصنفات؛ ليتسنَّى تداولها إلكترونيًا، الأمر الذي يعكس إشكالية حماية حق المؤلف في ظل تسيير نواتج الملكية الفكرية، رغم التداول الفلكي لها في الفضاء الكوني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0"/>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p>
    <w:p w14:paraId="4C1C81AB" w14:textId="77777777" w:rsidR="00454428" w:rsidRDefault="00000000" w:rsidP="00C72BA8">
      <w:pPr>
        <w:pStyle w:val="ListParagraph"/>
        <w:numPr>
          <w:ilvl w:val="0"/>
          <w:numId w:val="85"/>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 الفكرية</w:t>
      </w:r>
      <w:r>
        <w:rPr>
          <w:rStyle w:val="None"/>
          <w:rFonts w:ascii="Times New Roman" w:hAnsi="Times New Roman"/>
          <w:b/>
          <w:bCs/>
          <w:sz w:val="24"/>
          <w:szCs w:val="24"/>
          <w:rtl/>
          <w:lang w:val="ar-SA"/>
        </w:rPr>
        <w:t>:</w:t>
      </w:r>
    </w:p>
    <w:p w14:paraId="7CA74C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الانتشار الواسع للبيئة الرقمية إلى تسهيل تداول المصنفات الفكرية وانتشارها على نطاق غير مسبوق؛ حيث أصبح من الممكن نشر المحتوى وتبادله بسرعة فائقة عبر الوسائط الإلكترونية، دون الحاجة إلى الوسائط التقليدية، وقد ساهم هذا التحول في توسيع دائرة جمهور المصنفات وزيادة فرص الاطلاع عليها والاستفادة منها؛ ممَّا أثر بشكل مباشر على مفهوم الانتشار في الملكية الفكرية، كما جعلت البيئة الرقمية من نفسها أداةً فعَّالةً في تسريع حركة الإبداع وتعميمه على المستوى العالمي</w:t>
      </w:r>
      <w:r>
        <w:rPr>
          <w:rStyle w:val="None"/>
          <w:rFonts w:ascii="Times New Roman" w:hAnsi="Times New Roman"/>
          <w:sz w:val="24"/>
          <w:szCs w:val="24"/>
          <w:rtl/>
          <w:lang w:val="ar-SA"/>
        </w:rPr>
        <w:t>.</w:t>
      </w:r>
    </w:p>
    <w:p w14:paraId="39305F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أدى التقدم الذي شهده العالم على أثر التطوُّر التكنولوجي إلى تدفق المعلومات؛ حيث أصبح الوصول إليها سهل دون أنْ تقف الحدود الجغرافية عائق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أصبح من السهل نشر المصنفات في إي مكان، فعلى إثر ظهور شبكة الإنترنت، تغير مفهوم النشر، فبعد أنْ كان تقليديًا أصبح إلكترونيًا عبر تقنيات متعددة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FB9F3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المؤلِّف مفهوم بوسعه أنْ يستوعب طائفة المبدعين والمبتكرين الحاليين منهم والمحتملين، فنجد أنَّ أنماط المؤلفين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تبعًا لارتباطهم بمصنفاتهم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تتنوع وفقًا لما يلي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2"/>
      </w:r>
      <w:r>
        <w:rPr>
          <w:rStyle w:val="None"/>
          <w:rFonts w:ascii="Times New Roman" w:hAnsi="Times New Roman"/>
          <w:sz w:val="24"/>
          <w:szCs w:val="24"/>
          <w:vertAlign w:val="superscript"/>
          <w:rtl/>
          <w:lang w:val="ar-SA"/>
        </w:rPr>
        <w:t>)</w:t>
      </w:r>
    </w:p>
    <w:p w14:paraId="6BB77217" w14:textId="77777777" w:rsidR="00454428" w:rsidRDefault="00000000" w:rsidP="00C72BA8">
      <w:pPr>
        <w:pStyle w:val="ListParagraph"/>
        <w:numPr>
          <w:ilvl w:val="0"/>
          <w:numId w:val="8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الفردي</w:t>
      </w:r>
      <w:r>
        <w:rPr>
          <w:rStyle w:val="None"/>
          <w:rFonts w:ascii="Times New Roman" w:hAnsi="Times New Roman"/>
          <w:b/>
          <w:bCs/>
          <w:sz w:val="24"/>
          <w:szCs w:val="24"/>
          <w:rtl/>
          <w:lang w:val="ar-SA"/>
        </w:rPr>
        <w:t xml:space="preserve">: </w:t>
      </w:r>
      <w:r>
        <w:rPr>
          <w:rStyle w:val="None"/>
          <w:rFonts w:cs="Times New Roman"/>
          <w:sz w:val="24"/>
          <w:szCs w:val="24"/>
          <w:rtl/>
          <w:lang w:val="ar-SA"/>
        </w:rPr>
        <w:t>هو أكثر المصنفات شيوعًا، فغالبًا ما يقوم شخص واحد بإنتاج المصنف، وينسب إلى مؤلفه عن طريق ذكر اسمه الحقيقي عليه، أو بطريقة الاسم المستعار، أو أي علامة تقطع أواصر الشك في التعرف على حقيقة المؤلف</w:t>
      </w:r>
      <w:r>
        <w:rPr>
          <w:rStyle w:val="None"/>
          <w:rFonts w:ascii="Times New Roman" w:hAnsi="Times New Roman"/>
          <w:sz w:val="24"/>
          <w:szCs w:val="24"/>
          <w:rtl/>
          <w:lang w:val="ar-SA"/>
        </w:rPr>
        <w:t>.</w:t>
      </w:r>
    </w:p>
    <w:p w14:paraId="77A0C122" w14:textId="77777777" w:rsidR="00454428" w:rsidRDefault="00000000" w:rsidP="00C72BA8">
      <w:pPr>
        <w:pStyle w:val="ListParagraph"/>
        <w:numPr>
          <w:ilvl w:val="0"/>
          <w:numId w:val="8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المصنف المشترك</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وتضمن اشتراكهم مساهمةَ كل فرد منهم في ابتكارية المصنف، مع اشتراك فكرهم واتجاه جهودهم إلى إخراج هذا المصنف</w:t>
      </w:r>
      <w:r>
        <w:rPr>
          <w:rStyle w:val="None"/>
          <w:rFonts w:ascii="Times New Roman" w:hAnsi="Times New Roman"/>
          <w:sz w:val="24"/>
          <w:szCs w:val="24"/>
          <w:rtl/>
          <w:lang w:val="ar-SA"/>
        </w:rPr>
        <w:t>.</w:t>
      </w:r>
    </w:p>
    <w:p w14:paraId="6D1E1B07" w14:textId="77777777" w:rsidR="00454428" w:rsidRDefault="00000000" w:rsidP="00C72BA8">
      <w:pPr>
        <w:pStyle w:val="ListParagraph"/>
        <w:numPr>
          <w:ilvl w:val="0"/>
          <w:numId w:val="8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الجماعي</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بتوجيه من شخصية اعتبارية أو معنوية تتكفل بنشر المصنف تحت إدارتها وباسمها، وفي هذا النوع من المصنفات يكون للشخص المعنوي الذي وجه بإخراج المصنف حق مباشرة سلطات المؤلف</w:t>
      </w:r>
      <w:r>
        <w:rPr>
          <w:rStyle w:val="None"/>
          <w:rFonts w:ascii="Times New Roman" w:hAnsi="Times New Roman"/>
          <w:sz w:val="24"/>
          <w:szCs w:val="24"/>
          <w:rtl/>
          <w:lang w:val="ar-SA"/>
        </w:rPr>
        <w:t>.</w:t>
      </w:r>
    </w:p>
    <w:p w14:paraId="36FFC81D" w14:textId="77777777" w:rsidR="00454428" w:rsidRDefault="00000000" w:rsidP="00C72BA8">
      <w:pPr>
        <w:pStyle w:val="ListParagraph"/>
        <w:numPr>
          <w:ilvl w:val="0"/>
          <w:numId w:val="8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المشتق</w:t>
      </w:r>
      <w:r>
        <w:rPr>
          <w:rStyle w:val="None"/>
          <w:rFonts w:ascii="Times New Roman" w:hAnsi="Times New Roman"/>
          <w:b/>
          <w:bCs/>
          <w:sz w:val="24"/>
          <w:szCs w:val="24"/>
          <w:rtl/>
          <w:lang w:val="ar-SA"/>
        </w:rPr>
        <w:t>:</w:t>
      </w:r>
      <w:r>
        <w:rPr>
          <w:rStyle w:val="None"/>
          <w:rFonts w:cs="Times New Roman"/>
          <w:sz w:val="24"/>
          <w:szCs w:val="24"/>
          <w:rtl/>
          <w:lang w:val="ar-SA"/>
        </w:rPr>
        <w:t xml:space="preserve"> المصنفات المشتقة هي المصنفات التي تكون مستمدة من مصنفات أخرى؛ ولكنها تتميز عنها في الشكل أو المضمون</w:t>
      </w:r>
      <w:r>
        <w:rPr>
          <w:rStyle w:val="None"/>
          <w:rFonts w:ascii="Times New Roman" w:hAnsi="Times New Roman"/>
          <w:sz w:val="24"/>
          <w:szCs w:val="24"/>
          <w:rtl/>
          <w:lang w:val="ar-SA"/>
        </w:rPr>
        <w:t xml:space="preserve">: </w:t>
      </w:r>
      <w:r>
        <w:rPr>
          <w:rStyle w:val="None"/>
          <w:rFonts w:cs="Times New Roman"/>
          <w:sz w:val="24"/>
          <w:szCs w:val="24"/>
          <w:rtl/>
          <w:lang w:val="ar-SA"/>
        </w:rPr>
        <w:t>كالترجمة والتلخيص شريطة أنْ تكون مبتكرةً</w:t>
      </w:r>
      <w:r>
        <w:rPr>
          <w:rStyle w:val="None"/>
          <w:rFonts w:ascii="Times New Roman" w:hAnsi="Times New Roman"/>
          <w:sz w:val="24"/>
          <w:szCs w:val="24"/>
          <w:rtl/>
          <w:lang w:val="ar-SA"/>
        </w:rPr>
        <w:t>.</w:t>
      </w:r>
    </w:p>
    <w:p w14:paraId="0DACE2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الحديثة ساهمت في إحداث ثورة نوعية في تداول المصنفات؛ ممَّا جعل الوصول إليها أكثر سهولةً وسرعةً دون قيود جغرافية، وقد انعكس ذلك على أساليب نشر المصنفات وتوزيعها، بالإضافة إلى تنوع المصنفات وفقًا لطبية العلاقة بين المؤلفين ومصنفاتهم، ويترتب على هذا التنوع ضرورة تحديث التشريعات التي تحمي حقوق المؤلف سواء الحقوق المادية أو المعنوية، من استغلال المصنف ماديًا، أو نشره، أو توزيعه بدون الحصول على إذن من صاحب الحق</w:t>
      </w:r>
      <w:r>
        <w:rPr>
          <w:rStyle w:val="None"/>
          <w:rFonts w:ascii="Times New Roman" w:hAnsi="Times New Roman"/>
          <w:sz w:val="24"/>
          <w:szCs w:val="24"/>
          <w:rtl/>
          <w:lang w:val="ar-SA"/>
        </w:rPr>
        <w:t>.</w:t>
      </w:r>
    </w:p>
    <w:p w14:paraId="3C67995B" w14:textId="77777777" w:rsidR="00454428" w:rsidRDefault="00000000" w:rsidP="00C72BA8">
      <w:pPr>
        <w:pStyle w:val="ListParagraph"/>
        <w:numPr>
          <w:ilvl w:val="0"/>
          <w:numId w:val="8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ظهور أشكال جديدة من الملكية الفكرية</w:t>
      </w:r>
      <w:r>
        <w:rPr>
          <w:rStyle w:val="None"/>
          <w:rFonts w:ascii="Times New Roman" w:hAnsi="Times New Roman"/>
          <w:b/>
          <w:bCs/>
          <w:sz w:val="24"/>
          <w:szCs w:val="24"/>
          <w:rtl/>
          <w:lang w:val="ar-SA"/>
        </w:rPr>
        <w:t>:</w:t>
      </w:r>
    </w:p>
    <w:p w14:paraId="6D7313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في استخدام البيئة الرقمية إلى تحول جذري في طبيعة الإنتاج الفكري؛ حيث لم يَعُدْ محصورًا في الأشكال التقليدية، بل نشأت صور جديدة من الملكية الفكرية تعكس التفاعل المتزايد بين الإنسان والتقنية، وقد ساهم هذا التحول في إعادة صياغة مفاهيم الإبداع</w:t>
      </w:r>
      <w:r>
        <w:rPr>
          <w:rStyle w:val="None"/>
          <w:rFonts w:ascii="Times New Roman" w:hAnsi="Times New Roman"/>
          <w:sz w:val="24"/>
          <w:szCs w:val="24"/>
          <w:rtl/>
          <w:lang w:val="ar-SA"/>
        </w:rPr>
        <w:t xml:space="preserve">. </w:t>
      </w:r>
    </w:p>
    <w:p w14:paraId="72B0742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الملكية الفكرية هي تلك التي تدرك بالفكر فهي نتاج فكري خالص للمبدع، فله حق على نتاج ذهنه وثمرة فكره أي كان مظهره، فلمالك الحق الفكري الحق في التصرف فيه، على النحو الذي يريده وفق ضوابط الفقه والقانون، كما أنَّ الملكية الفكرية عامل أساسي في نمو الاقتصاد الوطني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6506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اتفاقية تريبس في المادة السابعة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تسهم حماية وإنفاذ حقوق الملكية الفكرية في تشجيع روح الابتكار التكنولوجي، ونقل، وتعميم التكنولوجيا، بما يحقق المنفعة المشتركة لمنتجي المعرفة التكنولوجية ومستخدميها، بالأسلوب الذي يحقق الرفاهية الاجتماعية، والاقتصادية، والتوزان بين الحقوق والواجبات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BF48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التكنولوجيا الحديثة أدت إلى تغيير العديد من الأساليب، فبعد أنْ كان النشر التقليدي يمر بعدة مراحل حتى يصل المصنف إلى الجمهور، أصبح النشر الإلكتروني مختزلًا بدوره جميع العقبات التي تحول دون ذلك، كذلك الأمر بالنسبة للمصنفات العلمية، كذا مال الملكية الصناعية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49CB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أدى التطوُّر التكنولوجي الذي شهده المجتمع الدولي في وسائل التواصل، والاتصال، والوسائل التي تنقل الإنتاج الفكري بكافة أشكاله وصوره إلى ظهور مصنفات جديدة، وهذه المصنفات كانت موضع اهتمام من قِبل المختصين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09E7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تجسيد للعقل والإبداع؛ حيث يحق لصاحبها التصرف فيما أبدعه، وفقًا للضوابط القانونية والفقهية، وقد ساهمت التطوُّرات التكنولوجية الحديثة في إحداث تحول كبير في طرق إنتاج وتوزيع هذه المصنفات؛ حيث اختصرت الوسائط الرقمية العديد من المراحل التي كانت تعيق النشر التقليدي، وهذا ما زاد من أهمية الملكية الفكرية كعنصر فعَّال في دعم الابتكار</w:t>
      </w:r>
      <w:r>
        <w:rPr>
          <w:rStyle w:val="None"/>
          <w:rFonts w:ascii="Times New Roman" w:hAnsi="Times New Roman"/>
          <w:sz w:val="24"/>
          <w:szCs w:val="24"/>
          <w:rtl/>
          <w:lang w:val="ar-SA"/>
        </w:rPr>
        <w:t>.</w:t>
      </w:r>
    </w:p>
    <w:p w14:paraId="11F76446"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ACE959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424E8D1D" w14:textId="77777777" w:rsidR="00454428" w:rsidRDefault="00000000" w:rsidP="00C72BA8">
      <w:pPr>
        <w:pStyle w:val="ListParagraph"/>
        <w:numPr>
          <w:ilvl w:val="0"/>
          <w:numId w:val="89"/>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الاقتصاد الرقمي </w:t>
      </w:r>
    </w:p>
    <w:p w14:paraId="5A886CA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التوجهات الاقتصادية العالمية الحديثة التي تستهدفها الدول لتعزيز أنماط النشاط الاقتصادي في جميع المجالات، فالاقتصاد الرقمي أداة قوية تساهم بشكل كبير في تعزيز النشاط الاقتصادي وتحسين الإنتاجية والأداء الاقتصادي، كما يعتمد الاقتصادي الرقمي على التكنولوجيا الرقمية والإنترنت التي تؤدي إلى تحسين العمليات التجارية، فالاقتصاد الرقمي يشجع على زيادة الاستثمارات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7"/>
      </w:r>
      <w:r>
        <w:rPr>
          <w:rStyle w:val="None"/>
          <w:rFonts w:ascii="Times New Roman" w:hAnsi="Times New Roman"/>
          <w:sz w:val="24"/>
          <w:szCs w:val="24"/>
          <w:vertAlign w:val="superscript"/>
          <w:rtl/>
          <w:lang w:val="ar-SA"/>
        </w:rPr>
        <w:t>)</w:t>
      </w:r>
    </w:p>
    <w:p w14:paraId="3EBCF1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الابتكار الرقمي يعبر عن مدى النمو الاقتصادي بشكل عام والاقتصاد الرقمي بشكل خاص، إذ أن الأخير يقوم بدور على البحث والتطوير، كما تسعى الدول جاهدة إلى زيادة معدلات الانفاق على البحث والتطوير وخاصة فيما يتعلق بالسلع والخدمات التي يتم تقديمها لأفراد المجتمع لتحقيق مستويات عليا من الرفاه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8"/>
      </w:r>
      <w:r>
        <w:rPr>
          <w:rStyle w:val="None"/>
          <w:rFonts w:ascii="Times New Roman" w:hAnsi="Times New Roman"/>
          <w:sz w:val="24"/>
          <w:szCs w:val="24"/>
          <w:vertAlign w:val="superscript"/>
          <w:rtl/>
          <w:lang w:val="ar-SA"/>
        </w:rPr>
        <w:t>)</w:t>
      </w:r>
    </w:p>
    <w:p w14:paraId="7183C3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بالاقتصاد الرقمي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ممارسة الأنشطة الاقتصادية من خلال استخدام تكنولوجيا المعلومات ووسائل الاتصالات، وذلك بإيجاد روابط فعالة فيما بين أطراف النشاط الاقتصادي، وذلك بفتح الحدود والحواجز أمام تدفق </w:t>
      </w:r>
      <w:r>
        <w:rPr>
          <w:rStyle w:val="None"/>
          <w:rFonts w:ascii="Arial Unicode MS" w:hAnsi="Arial Unicode MS" w:cs="Times New Roman" w:hint="cs"/>
          <w:sz w:val="24"/>
          <w:szCs w:val="24"/>
          <w:rtl/>
          <w:lang w:val="ar-SA"/>
        </w:rPr>
        <w:lastRenderedPageBreak/>
        <w:t>المعلومات والسلع والخدمات وحركة رؤوس الأموال من أجل الوصول إلى الأسواق بغض النظر عن أماكن تواجدها وزمنها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9"/>
      </w:r>
      <w:r>
        <w:rPr>
          <w:rStyle w:val="None"/>
          <w:rFonts w:ascii="Times New Roman" w:hAnsi="Times New Roman"/>
          <w:sz w:val="24"/>
          <w:szCs w:val="24"/>
          <w:vertAlign w:val="superscript"/>
          <w:rtl/>
          <w:lang w:val="ar-SA"/>
        </w:rPr>
        <w:t>)</w:t>
      </w:r>
    </w:p>
    <w:p w14:paraId="66EBA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مظاهر التحول الاقتصادي في الوقت الحالي؛ لأنه يعتمد على التكنولوجيا، في تبادل السلع والخدمات، فمن خلال الاقتصاد الرقمي يتم عرض الأعمال التي تحتوي على ملكية فكرية، بالإضافة إلى استغلال مصنفاتهم ومنع الاعتداء عليها؛ مما تعمل على تشجيع الاستثمارات</w:t>
      </w:r>
      <w:r>
        <w:rPr>
          <w:rStyle w:val="None"/>
          <w:rFonts w:ascii="Times New Roman" w:hAnsi="Times New Roman"/>
          <w:sz w:val="24"/>
          <w:szCs w:val="24"/>
          <w:rtl/>
          <w:lang w:val="ar-SA"/>
        </w:rPr>
        <w:t>.</w:t>
      </w:r>
    </w:p>
    <w:p w14:paraId="7995E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يتكون الاقتصاد الرقمي من مجموعة من المؤسسات الإلكترونية التي تتشابك مع بعضها البعض من خلال شبكة المعلومات الدولية عن طريق مواقع الإنترنت والبريد الإلكتروني، وذلك لتحقيق التشابكات الاقتصادية بين المؤسسات لتنفيذ التجارة الإلكترونية، أي تبادل السلع والخدمات والأموال عبر الإنترنت أو تحويل الأموال بين البائعين والمشتريين والبنوك باستخدام طرق الدفع عن طريق الإنترنت والأدوات الإلكترونية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0"/>
      </w:r>
      <w:r>
        <w:rPr>
          <w:rStyle w:val="None"/>
          <w:rFonts w:ascii="Times New Roman" w:hAnsi="Times New Roman"/>
          <w:sz w:val="24"/>
          <w:szCs w:val="24"/>
          <w:vertAlign w:val="superscript"/>
          <w:rtl/>
          <w:lang w:val="ar-SA"/>
        </w:rPr>
        <w:t>)</w:t>
      </w:r>
    </w:p>
    <w:p w14:paraId="068F2E2A" w14:textId="77777777" w:rsidR="00454428" w:rsidRDefault="00000000" w:rsidP="00C72BA8">
      <w:pPr>
        <w:pStyle w:val="ListParagraph"/>
        <w:numPr>
          <w:ilvl w:val="0"/>
          <w:numId w:val="90"/>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الدفع الإلكتروني </w:t>
      </w:r>
    </w:p>
    <w:p w14:paraId="3DEAB1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الدفع الإلكتروني من بين أهم الخدمات التي تتيحها البنوك لعملائها لإجراء عمليات البيع والشراء من خلال شبكة الإنترنت، ولقد عرفت انتشارًا فسيح في الآونة الأخيرة مع ظهور عمليات التجارة الإلكترونية فضلًا عن تطوير البنوك؛ لمواكبة هذه الثورة التكنولوجيا وما نتج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1"/>
      </w:r>
      <w:r>
        <w:rPr>
          <w:rStyle w:val="None"/>
          <w:rFonts w:ascii="Times New Roman" w:hAnsi="Times New Roman"/>
          <w:sz w:val="24"/>
          <w:szCs w:val="24"/>
          <w:vertAlign w:val="superscript"/>
          <w:rtl/>
          <w:lang w:val="ar-SA"/>
        </w:rPr>
        <w:t>)</w:t>
      </w:r>
    </w:p>
    <w:p w14:paraId="6F9A68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جدير بالذكر أن المملكة العربية السعودية امتلكت منذ منتصف الثمانينات شبكة وطنية واحدة للصرف والتحويل الإلكتروني وهي شبكات الحوالات الخارجية التابعة لبنك الراجحي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2"/>
      </w:r>
      <w:r>
        <w:rPr>
          <w:rStyle w:val="None"/>
          <w:rFonts w:ascii="Times New Roman" w:hAnsi="Times New Roman"/>
          <w:sz w:val="24"/>
          <w:szCs w:val="24"/>
          <w:vertAlign w:val="superscript"/>
          <w:rtl/>
          <w:lang w:val="ar-SA"/>
        </w:rPr>
        <w:t>)</w:t>
      </w:r>
    </w:p>
    <w:p w14:paraId="119B65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كشف البنك المركزي السعودي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عن تحقيق حصة المدفوعات الإلكترونية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مستهدفات برنامج تطوير القطاع المالي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نسبة </w:t>
      </w:r>
      <w:r>
        <w:rPr>
          <w:rStyle w:val="None"/>
          <w:rFonts w:ascii="Times New Roman" w:hAnsi="Times New Roman"/>
          <w:sz w:val="24"/>
          <w:szCs w:val="24"/>
          <w:rtl/>
          <w:lang w:val="ar-SA"/>
        </w:rPr>
        <w:t xml:space="preserve">79% </w:t>
      </w:r>
      <w:r>
        <w:rPr>
          <w:rStyle w:val="None"/>
          <w:rFonts w:ascii="Arial Unicode MS" w:hAnsi="Arial Unicode MS" w:cs="Times New Roman" w:hint="cs"/>
          <w:sz w:val="24"/>
          <w:szCs w:val="24"/>
          <w:rtl/>
          <w:lang w:val="ar-SA"/>
        </w:rPr>
        <w:t xml:space="preserve">من إجمالي عمليات الدفع المنفذة في قطاع التجزئة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الأفراد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بنهاية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وذلك مقارنةً بنسبة </w:t>
      </w:r>
      <w:r>
        <w:rPr>
          <w:rStyle w:val="None"/>
          <w:rFonts w:ascii="Times New Roman" w:hAnsi="Times New Roman"/>
          <w:sz w:val="24"/>
          <w:szCs w:val="24"/>
          <w:rtl/>
          <w:lang w:val="ar-SA"/>
        </w:rPr>
        <w:t xml:space="preserve">70% </w:t>
      </w:r>
      <w:r>
        <w:rPr>
          <w:rStyle w:val="None"/>
          <w:rFonts w:ascii="Arial Unicode MS" w:hAnsi="Arial Unicode MS" w:cs="Times New Roman" w:hint="cs"/>
          <w:sz w:val="24"/>
          <w:szCs w:val="24"/>
          <w:rtl/>
          <w:lang w:val="ar-SA"/>
        </w:rPr>
        <w:t xml:space="preserve">المسجلة في العام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ويتزامن هذا الإنجاز مع تحقيق أنظمة المدفوعات في المملكة نموًا كبيرًا خلال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حيث سجل عدد عمليات الدفع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غير النقدية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المنفذة نحو </w:t>
      </w:r>
      <w:r>
        <w:rPr>
          <w:rStyle w:val="None"/>
          <w:rFonts w:ascii="Times New Roman" w:hAnsi="Times New Roman"/>
          <w:sz w:val="24"/>
          <w:szCs w:val="24"/>
          <w:rtl/>
          <w:lang w:val="ar-SA"/>
        </w:rPr>
        <w:t xml:space="preserve">12.6 </w:t>
      </w:r>
      <w:r>
        <w:rPr>
          <w:rStyle w:val="None"/>
          <w:rFonts w:ascii="Arial Unicode MS" w:hAnsi="Arial Unicode MS" w:cs="Times New Roman" w:hint="cs"/>
          <w:sz w:val="24"/>
          <w:szCs w:val="24"/>
          <w:rtl/>
          <w:lang w:val="ar-SA"/>
        </w:rPr>
        <w:t xml:space="preserve">مليار عملية، مقارنة بـ </w:t>
      </w:r>
      <w:r>
        <w:rPr>
          <w:rStyle w:val="None"/>
          <w:rFonts w:ascii="Times New Roman" w:hAnsi="Times New Roman"/>
          <w:sz w:val="24"/>
          <w:szCs w:val="24"/>
          <w:rtl/>
          <w:lang w:val="ar-SA"/>
        </w:rPr>
        <w:t xml:space="preserve">10.8 </w:t>
      </w:r>
      <w:r>
        <w:rPr>
          <w:rStyle w:val="None"/>
          <w:rFonts w:ascii="Arial Unicode MS" w:hAnsi="Arial Unicode MS" w:cs="Times New Roman" w:hint="cs"/>
          <w:sz w:val="24"/>
          <w:szCs w:val="24"/>
          <w:rtl/>
          <w:lang w:val="ar-SA"/>
        </w:rPr>
        <w:t xml:space="preserve">مليارات عملية للعام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وتشهد المملكة تقدمًا ملحوظًا ونموًا متسارعًا لتبني وسائل المدفوعات الإلكترونية، والذي يأتي كنتيجة للجهود والمبادرات الإستراتيجية العديدة التي أطلقها البنك المركزي السعودي بالتعاون مع القطاع </w:t>
      </w:r>
      <w:r>
        <w:rPr>
          <w:rStyle w:val="None"/>
          <w:rFonts w:ascii="Arial Unicode MS" w:hAnsi="Arial Unicode MS" w:cs="Times New Roman" w:hint="cs"/>
          <w:sz w:val="24"/>
          <w:szCs w:val="24"/>
          <w:rtl/>
          <w:lang w:val="ar-SA"/>
        </w:rPr>
        <w:lastRenderedPageBreak/>
        <w:t xml:space="preserve">المالي؛ لدعم نمو قطاع المدفوعات وتحفيز استخدام خيارات الدفع الإلكترونية المتنوعة في المملكة، التي من شأنها أن تساهم في تحقيق مستهدفات رؤية السعودية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لتقليل الاعتماد على النقد وتعزيز نمو رقمنة المدفوعات</w:t>
      </w:r>
      <w:r>
        <w:rPr>
          <w:rStyle w:val="None"/>
          <w:rFonts w:ascii="Times New Roman" w:hAnsi="Times New Roman"/>
          <w:sz w:val="24"/>
          <w:szCs w:val="24"/>
          <w:rtl/>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3"/>
      </w:r>
      <w:r>
        <w:rPr>
          <w:rStyle w:val="None"/>
          <w:rFonts w:ascii="Times New Roman" w:hAnsi="Times New Roman"/>
          <w:sz w:val="24"/>
          <w:szCs w:val="24"/>
          <w:vertAlign w:val="superscript"/>
          <w:rtl/>
          <w:lang w:val="ar-SA"/>
        </w:rPr>
        <w:t>)</w:t>
      </w:r>
    </w:p>
    <w:p w14:paraId="119A999E" w14:textId="77777777" w:rsidR="00454428" w:rsidRDefault="00000000" w:rsidP="00C72BA8">
      <w:pPr>
        <w:pStyle w:val="ListParagraph"/>
        <w:numPr>
          <w:ilvl w:val="0"/>
          <w:numId w:val="90"/>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التسوق الإلكتروني</w:t>
      </w:r>
    </w:p>
    <w:p w14:paraId="7303FE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التسويق الإلكتروني عملية تفاعلية تختص بتبادل السلع والخدمات والأفكار بين عدة أطراف مشاركة عبر وسائل إلكترونية، ومع التطور التكنولوجي الهائل الذي نعيش فيه، فقد أوجدت الشبكة العنكبوتية مفهومًا جديدًا للتسوق، وهو الفضاء السوقي الذي يعكس التواجد الإلكتروني الرقمي للسوق، ويعتبر التسوق الإلكتروني شكلًا من أشكال التجارة الإلكترونية بين المنظمة والمستهلك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4"/>
      </w:r>
      <w:r>
        <w:rPr>
          <w:rStyle w:val="None"/>
          <w:rFonts w:ascii="Times New Roman" w:hAnsi="Times New Roman"/>
          <w:sz w:val="24"/>
          <w:szCs w:val="24"/>
          <w:vertAlign w:val="superscript"/>
          <w:rtl/>
          <w:lang w:val="ar-SA"/>
        </w:rPr>
        <w:t>)</w:t>
      </w:r>
    </w:p>
    <w:p w14:paraId="7B4135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يعرف التسوق الإلكتروني بأنه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وسيلة اتصال سريعة وسهلة وقليلة التكلفة وذلك لتنفيذ هذه الأعمال التي تشكل الأنواع الرئيسية لعملية التسويق بشكله التقليدي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5"/>
      </w:r>
      <w:r>
        <w:rPr>
          <w:rStyle w:val="None"/>
          <w:rFonts w:ascii="Times New Roman" w:hAnsi="Times New Roman"/>
          <w:sz w:val="24"/>
          <w:szCs w:val="24"/>
          <w:vertAlign w:val="superscript"/>
          <w:rtl/>
          <w:lang w:val="ar-SA"/>
        </w:rPr>
        <w:t>)</w:t>
      </w:r>
    </w:p>
    <w:p w14:paraId="0FABB7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يقدر حجم سوق التجارة الإلكترونية في المملكة العربية السعودية بمبلغ </w:t>
      </w:r>
      <w:r>
        <w:rPr>
          <w:rStyle w:val="None"/>
          <w:rFonts w:ascii="Times New Roman" w:hAnsi="Times New Roman"/>
          <w:sz w:val="24"/>
          <w:szCs w:val="24"/>
          <w:rtl/>
          <w:lang w:val="ar-SA"/>
        </w:rPr>
        <w:t xml:space="preserve">13.61 </w:t>
      </w:r>
      <w:r>
        <w:rPr>
          <w:rStyle w:val="None"/>
          <w:rFonts w:ascii="Arial Unicode MS" w:hAnsi="Arial Unicode MS" w:cs="Times New Roman" w:hint="cs"/>
          <w:sz w:val="24"/>
          <w:szCs w:val="24"/>
          <w:rtl/>
          <w:lang w:val="ar-SA"/>
        </w:rPr>
        <w:t xml:space="preserve">مليار دولار أمريكي في 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ومن المتوقع أن يصل إلى </w:t>
      </w:r>
      <w:r>
        <w:rPr>
          <w:rStyle w:val="None"/>
          <w:rFonts w:ascii="Times New Roman" w:hAnsi="Times New Roman"/>
          <w:sz w:val="24"/>
          <w:szCs w:val="24"/>
          <w:rtl/>
          <w:lang w:val="ar-SA"/>
        </w:rPr>
        <w:t xml:space="preserve">27.37 </w:t>
      </w:r>
      <w:r>
        <w:rPr>
          <w:rStyle w:val="None"/>
          <w:rFonts w:ascii="Arial Unicode MS" w:hAnsi="Arial Unicode MS" w:cs="Times New Roman" w:hint="cs"/>
          <w:sz w:val="24"/>
          <w:szCs w:val="24"/>
          <w:rtl/>
          <w:lang w:val="ar-SA"/>
        </w:rPr>
        <w:t xml:space="preserve">مليار دولار أمريكي بحلول عام </w:t>
      </w:r>
      <w:r>
        <w:rPr>
          <w:rStyle w:val="None"/>
          <w:rFonts w:ascii="Times New Roman" w:hAnsi="Times New Roman"/>
          <w:sz w:val="24"/>
          <w:szCs w:val="24"/>
          <w:rtl/>
          <w:lang w:val="ar-SA"/>
        </w:rPr>
        <w:t>2029</w:t>
      </w:r>
      <w:r>
        <w:rPr>
          <w:rStyle w:val="None"/>
          <w:rFonts w:ascii="Arial Unicode MS" w:hAnsi="Arial Unicode MS" w:cs="Times New Roman" w:hint="cs"/>
          <w:sz w:val="24"/>
          <w:szCs w:val="24"/>
          <w:rtl/>
          <w:lang w:val="ar-SA"/>
        </w:rPr>
        <w:t xml:space="preserve">، بمعدل نمو سنوي مركب قدره </w:t>
      </w:r>
      <w:r>
        <w:rPr>
          <w:rStyle w:val="None"/>
          <w:rFonts w:ascii="Times New Roman" w:hAnsi="Times New Roman"/>
          <w:sz w:val="24"/>
          <w:szCs w:val="24"/>
          <w:rtl/>
          <w:lang w:val="ar-SA"/>
        </w:rPr>
        <w:t>15.01</w:t>
      </w:r>
      <w:r>
        <w:rPr>
          <w:rStyle w:val="None"/>
          <w:rFonts w:ascii="Arial Unicode MS" w:hAnsi="Arial Unicode MS" w:cs="Times New Roman" w:hint="cs"/>
          <w:sz w:val="24"/>
          <w:szCs w:val="24"/>
          <w:rtl/>
          <w:lang w:val="ar-SA"/>
        </w:rPr>
        <w:t xml:space="preserve">٪ خلال فترة التنبؤ </w:t>
      </w:r>
      <w:r>
        <w:rPr>
          <w:rStyle w:val="None"/>
          <w:rFonts w:ascii="Times New Roman" w:hAnsi="Times New Roman"/>
          <w:sz w:val="24"/>
          <w:szCs w:val="24"/>
          <w:rtl/>
          <w:lang w:val="ar-SA"/>
        </w:rPr>
        <w:t>(2024-2029)</w:t>
      </w:r>
      <w:r>
        <w:rPr>
          <w:rStyle w:val="None"/>
          <w:rFonts w:ascii="Arial Unicode MS" w:hAnsi="Arial Unicode MS" w:cs="Times New Roman" w:hint="cs"/>
          <w:sz w:val="24"/>
          <w:szCs w:val="24"/>
          <w:rtl/>
          <w:lang w:val="ar-SA"/>
        </w:rPr>
        <w:t xml:space="preserve">، تتمتع المملكة العربية السعودية باقتصاد متطور، ويعد انتشار الإنترنت أمرا مهما في البلاد؛ حيث يشير البنك الدولي إلى أن أكثر من </w:t>
      </w:r>
      <w:r>
        <w:rPr>
          <w:rStyle w:val="None"/>
          <w:rFonts w:ascii="Times New Roman" w:hAnsi="Times New Roman"/>
          <w:sz w:val="24"/>
          <w:szCs w:val="24"/>
          <w:rtl/>
          <w:lang w:val="ar-SA"/>
        </w:rPr>
        <w:t>100</w:t>
      </w:r>
      <w:r>
        <w:rPr>
          <w:rStyle w:val="None"/>
          <w:rFonts w:ascii="Arial Unicode MS" w:hAnsi="Arial Unicode MS" w:cs="Times New Roman" w:hint="cs"/>
          <w:sz w:val="24"/>
          <w:szCs w:val="24"/>
          <w:rtl/>
          <w:lang w:val="ar-SA"/>
        </w:rPr>
        <w:t>٪ من السكان يستخدمون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هذا يدل على أن الوعي بالتسوق عبر الإنترنت كبير ويساهم في نمو السوق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عززت التطورات المتزايدة في تقنيات الإنترنت عبر الهاتف المحمول والهواتف الذكية والنطاق العريض اعتماد الخدمات القائمة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6"/>
      </w:r>
      <w:r>
        <w:rPr>
          <w:rStyle w:val="None"/>
          <w:rFonts w:ascii="Times New Roman" w:hAnsi="Times New Roman"/>
          <w:sz w:val="24"/>
          <w:szCs w:val="24"/>
          <w:vertAlign w:val="superscript"/>
          <w:rtl/>
          <w:lang w:val="ar-SA"/>
        </w:rPr>
        <w:t>)</w:t>
      </w:r>
    </w:p>
    <w:p w14:paraId="49AA4FD5" w14:textId="77777777" w:rsidR="00454428" w:rsidRDefault="00000000" w:rsidP="00C72BA8">
      <w:pPr>
        <w:pStyle w:val="ListParagraph"/>
        <w:numPr>
          <w:ilvl w:val="0"/>
          <w:numId w:val="80"/>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الاستثمار </w:t>
      </w:r>
    </w:p>
    <w:p w14:paraId="25C585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الاستثمارات فائمة على وجود عنصر الابتكار والتي تضيف لها الميزة التنافسية لتمييز المنتجات عن غيرها في الأسواق، فمعظم الاقتصاديات المتطورة والقائمة على الاقتصاد المعرفي تلعب دورًا في خلق الثورة، وخلق منتجات جديدة تتميز بمواكبتها للتغيرات التكنولوجية والاجتماعي، مع وجود عناصر الابداع والابتكار والجدة؛ لتمييزها عن غيرها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7"/>
      </w:r>
      <w:r>
        <w:rPr>
          <w:rStyle w:val="None"/>
          <w:rFonts w:ascii="Times New Roman" w:hAnsi="Times New Roman"/>
          <w:sz w:val="24"/>
          <w:szCs w:val="24"/>
          <w:vertAlign w:val="superscript"/>
          <w:rtl/>
          <w:lang w:val="ar-SA"/>
        </w:rPr>
        <w:t>)</w:t>
      </w:r>
    </w:p>
    <w:p w14:paraId="258D57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الرابطة بين حماية حقوق الملكية الفكرية والاستثمار رابطة مهمة حيث يوجد رأيان وهما، الرأي الأول في صالح الدول المتقدمة يقول بالعلاقة الطردية بين نظام حماية الملكية الفكرية وتدفق رأس المال زيادة نقل التكنولوجيا من الدول المتقدمة إلى الدول النامية، ويظهر ذلك في أنه إذا كان نظام الحماية ضعيفًا فإن ذلك سيؤدي إلى ارتفاع احتمالية التقليد والتعدي؛ مما يجعل تلك الدول أثل جاذبية للاستثمار خاصة في مجالات الأدوية والمنتجات الصحية والمعدات الإلكترونية، فالحماية القوية تشج الشركات المتعددة الجنسيات على الترخيص بالإنتاج في تلك الدول على أساس انها لا تخش تقليد منتجاتها التي تحمل ملكية فكرية طالما أنها محمية؛ لأن تقوية نظم حماية حقوق الملكية الصناعية من شأنه أن يشجع عمليات نقل التكنولوجيا، سواء من خلال التصاريح أو الإفصاح عن الابتكارات ومن ثمة تزداد قدرة الشركة المحلية إلى الوصول إلى التكنولوجيا الجديدة والمتطورة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8"/>
      </w:r>
      <w:r>
        <w:rPr>
          <w:rStyle w:val="None"/>
          <w:rFonts w:ascii="Times New Roman" w:hAnsi="Times New Roman"/>
          <w:sz w:val="24"/>
          <w:szCs w:val="24"/>
          <w:vertAlign w:val="superscript"/>
          <w:rtl/>
          <w:lang w:val="ar-SA"/>
        </w:rPr>
        <w:t>)</w:t>
      </w:r>
    </w:p>
    <w:p w14:paraId="3A7204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والرأي الثاني في صالح الدول النامية؛ حيث نفي هذا الطرح مثبتًا من خلال الدراسات أن الاستثمار الأجنبي كان ضعيفًا حتى في الدول التي كان فيها نظام حقوق الملكية الصناعية قويًا، أي أن الدول النامية بالرغم مما حققته من تقدم كبير في مجال حقوق الملكية الصناعية إلا أن هذا لم يغري الشركات الأجنبية للاستثمار بها خاصة في الصناعات الحيوية، وبالتالي حرمتها من نصل التكنولوجيا إليها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9"/>
      </w:r>
      <w:r>
        <w:rPr>
          <w:rStyle w:val="None"/>
          <w:rFonts w:ascii="Times New Roman" w:hAnsi="Times New Roman"/>
          <w:sz w:val="24"/>
          <w:szCs w:val="24"/>
          <w:vertAlign w:val="superscript"/>
          <w:rtl/>
          <w:lang w:val="ar-SA"/>
        </w:rPr>
        <w:t>)</w:t>
      </w:r>
    </w:p>
    <w:p w14:paraId="4315E7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والتطرق لأمر الملكية الفكرية في مجال الاستثمار بالمملكة العربية السعودية، فاللائحة التنفيذية لنظام الاستثمار الأجنبي فقط تضمنت حماية الملكية الفكرية في المادة الأولى من اللائحة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حقوق الملكية الفكرية وفقًا للأنظمة ذات العلاقة في المملكة ومنها براءات الاختراع والتصاميم الصناعية والعلامات التجارية، والأسرار التجارية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0"/>
      </w:r>
      <w:r>
        <w:rPr>
          <w:rStyle w:val="None"/>
          <w:rFonts w:ascii="Times New Roman" w:hAnsi="Times New Roman"/>
          <w:sz w:val="24"/>
          <w:szCs w:val="24"/>
          <w:vertAlign w:val="superscript"/>
          <w:rtl/>
          <w:lang w:val="ar-SA"/>
        </w:rPr>
        <w:t>)</w:t>
      </w:r>
    </w:p>
    <w:p w14:paraId="3A59D8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 أن كل القوانين المتعلقة بحقوق الملكية الفكرية تقوم على تشجيع الاستثمارات على اختلاف أنواعها وطنية كانت أم أجنبية وذلك من خلال العلاقة بين أنظمة حماية حقوق الملكية الفكرية والاستثمار ولعل الملاحظ ان أهمية حقوق الملكية الفكرية تبرز في مجالات الاستثمار المختلفة؛ حيث إن الكثير من هذه الاستثمارات تحتوي على شكل أو أكثر من أشكال حقوق الملكية الفكرية والأسرار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1"/>
      </w:r>
      <w:r>
        <w:rPr>
          <w:rStyle w:val="None"/>
          <w:rFonts w:ascii="Times New Roman" w:hAnsi="Times New Roman"/>
          <w:sz w:val="24"/>
          <w:szCs w:val="24"/>
          <w:vertAlign w:val="superscript"/>
          <w:rtl/>
          <w:lang w:val="ar-SA"/>
        </w:rPr>
        <w:t>)</w:t>
      </w:r>
    </w:p>
    <w:p w14:paraId="23D411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 إن الاستثمار وحقوق الملكية الفكرية هي علاقة تكميلية؛ لأن الملكية الفكرية هي عنصر هام في جب الاستثمارات سواء المحلية أو الأجنبية؛ لأنها تمنح المستثمرين الثقة في أن ابتكاراتهم ستكون محمية قانونًا من الاعتداءات أو التقليد، بالإضافة إلى أن حقوق الملكية الفكرية ترفع القيمة الاقتصادية للمشروعات؛ وذلك من خلال حماية العلامات التجارية وبراءات الاختراع؛ مما يدعم القدرة التنافسية في الأسواق</w:t>
      </w:r>
      <w:r>
        <w:rPr>
          <w:rStyle w:val="None"/>
          <w:rFonts w:ascii="Times New Roman" w:hAnsi="Times New Roman"/>
          <w:sz w:val="24"/>
          <w:szCs w:val="24"/>
          <w:rtl/>
          <w:lang w:val="ar-SA"/>
        </w:rPr>
        <w:t>.</w:t>
      </w:r>
    </w:p>
    <w:p w14:paraId="19BDA02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دمج التكنولوجيا في حماية المصنفات</w:t>
      </w:r>
      <w:r>
        <w:rPr>
          <w:rStyle w:val="None"/>
          <w:rFonts w:ascii="Times New Roman" w:hAnsi="Times New Roman"/>
          <w:b/>
          <w:bCs/>
          <w:sz w:val="28"/>
          <w:szCs w:val="28"/>
          <w:rtl/>
          <w:lang w:val="ar-SA"/>
        </w:rPr>
        <w:t>:</w:t>
      </w:r>
    </w:p>
    <w:p w14:paraId="1AB4D3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تصاعد التحديات التي فرضتها البيئة الرقمية على حماية المصنفات الفكرية من الاستخدام غير المشروع؛ برزت الحاجة إلى حلول تقنية مبتكرة تتماشى مع طبيعة هذا الفضاء المتغير، قد أدى ذلك إلى دمج التكنولوجيا بشكل متزايد في آليات حماية المصنفات، من خلال استخدام تقنيات متعددة، تتيح للمبدعين مراقبة أعمالهم الرقمية، والتعرُّف على طرق تداولها، ويعكس هذا الدمج بين التكنولوجيا والإبداع الفكري تطوُّرًا نوعيًا في مفهوم الحماية؛ حيث يتجاوز الأطر التقليدية ليرتبط ارتباطًا وثيقًا ببنية البيئة الرقمية نفسها</w:t>
      </w:r>
      <w:r>
        <w:rPr>
          <w:rStyle w:val="None"/>
          <w:rFonts w:ascii="Times New Roman" w:hAnsi="Times New Roman"/>
          <w:sz w:val="24"/>
          <w:szCs w:val="24"/>
          <w:rtl/>
          <w:lang w:val="ar-SA"/>
        </w:rPr>
        <w:t>.</w:t>
      </w:r>
    </w:p>
    <w:p w14:paraId="26301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عالم التكنولوجيا والاتصالات أصبح في تطوُّر مستمر، وأهم ما أفرزته تطوُّرات في الكمبيوتر وشبكة الإنترنت شملت أيضًا حقوق الملكية الفكرية، وتتضمن المواقع الإلكترونية عناصر خاضعة للحماية، بموجب قوانين الملكية الفكرية، سواء تمثلت في براءة اختراع، أو علامات تجارية، أو حقوق المؤلفين والحقوق المجاورة لها، ويشكل ما يتم نشره في البيئة الرقمية الافتراضية حقوقًا لمالكها، ولا يجوز استغلالها إلا بموافقة مالكها، وتُعَدُّ المصنفات الرقمية من حقوق الملكية الفكرية للمؤلف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F24DD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أشار جانب من الفقه إلى تعريف المصنفات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المصنفات الإبداعية العقلية التي تنتمي إلى بيئة تقنية المعلومات، والتي يتم التعامل معها بشكل رقمي، والتي تظهر في برامج الكمبيوتر، وقواعد البيانات، والدوائر المتكاملة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44B3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خلال الرقابة الإلكترونية تستطيع الجهات الرقابية المسئولة وفق القوانين ممارسة وظيفها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وهذه الرقابة تقوم بها سلطات الضبط في إطار سعيها للمحافظة على الأمن العام، ومنع وقوع الجرائم بشكل عام، وهي من قبيل الضبط الإداري العام، على أنَّه ينبغي أنْ تتم وفق الضوابط التشريعية، وأنْ تخضع لرقابة القضاء حماية للحقوق والحريات العامة من أي انحراف قد يقع من سلطات الضبط، والحقيقة أنَّ الأمر يتوقف على تحقيق التوازن بين حماية الحقوق والحريات كمصلحة خاصة، وحق المجتمع في الأمن، ومنع الجريمة كمصلحة عامة، وتغليب المصلحة العامة على المصالح الخاصة للأفراد عند التعارض بينهما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5DEC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أكد نظام حماية حقوق المؤلف على سلطات الضبط في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يتولى الموظفون المختصون بالوزارة ضبط المخالفات، وزيارة المنشآت الإعلامية، والتجارية، والمستودعات، والمؤسسات العامة </w:t>
      </w:r>
      <w:r>
        <w:rPr>
          <w:rStyle w:val="None"/>
          <w:rFonts w:ascii="Arial Unicode MS" w:hAnsi="Arial Unicode MS" w:cs="Times New Roman" w:hint="cs"/>
          <w:sz w:val="24"/>
          <w:szCs w:val="24"/>
          <w:rtl/>
          <w:lang w:val="ar-SA"/>
        </w:rPr>
        <w:lastRenderedPageBreak/>
        <w:t>والخاصة التي تستخدم المصنفات الفكرية في أنشطتها، والتحقيق فيها، ويكون لهم صفة الضبط القضائي، وتحريز أي أدلة ثبوتية،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وتحدد اللائحة التنفيذية الإجراءات، والقواعد التي يلتزم بها هؤلاء الموظفون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4E56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قد شهدت تطوُّرًا كبيرًا؛ نتيجةً للتقدم في تكنولوجيا المعلومات والاتصالات؛ ممَّا أنتج واقعًا جديدًا للملكية الفكرية، فأصبحت المحتويات المنشورة عبر الإنترنت،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المواقع الإلكترونية والتطبيقات والمصنفات الرقمية، تمثل حقوقًا فكريةً محفوظةً لأصحابها، وتشمل براءات الاختراع، والعلامات التجارية، وحقوق المؤلف، وغيرها</w:t>
      </w:r>
      <w:r>
        <w:rPr>
          <w:rStyle w:val="None"/>
          <w:rFonts w:ascii="Times New Roman" w:hAnsi="Times New Roman"/>
          <w:sz w:val="24"/>
          <w:szCs w:val="24"/>
          <w:rtl/>
          <w:lang w:val="ar-SA"/>
        </w:rPr>
        <w:t>.</w:t>
      </w:r>
    </w:p>
    <w:p w14:paraId="624E1E8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ولمواكبة هذا التطوُّر التكنولوجي، ظهرت الحاجة إلى آليات رقابية إلكترونية تمارسها الجهات المختصة؛ لضبط الأنشطة الرقمية، ومتابعة المصنفات والمواقع؛ وذلك بهدف الحفاظ على الأمن المعلوماتي ومنع الجرائم السيبرانية؛ حيث تتم ممارسة تلك الرقابة في إطار الضبط الإداري العام، مع الالتزام بالضوابط القانونية والخضوع لرقابة القضاء؛ لتحقيق التوازن بين حماية الحقوق والحريات الفردية من جهة، وصيانة الأمن العام، والمصلحة العامة من جهة أخرى</w:t>
      </w:r>
      <w:r>
        <w:rPr>
          <w:rStyle w:val="None"/>
          <w:rFonts w:ascii="Times New Roman" w:hAnsi="Times New Roman"/>
          <w:sz w:val="24"/>
          <w:szCs w:val="24"/>
          <w:rtl/>
          <w:lang w:val="ar-SA"/>
        </w:rPr>
        <w:t>.</w:t>
      </w:r>
    </w:p>
    <w:p w14:paraId="69F5CA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البيئة الرقمية قد أحدثت تحوُّلًا جذريًا في مسار تطوُّر الملكية الفكرية، من حيث طبيعة المصنفات وأشكال التعبير عنها، وطرق إنتاجها، ونشرها، وتداولها، وقد أدى التطوُّر التكنولوجي السريع إلى توسيع مفاهيم الملكية الفكرية وظهور صور جديدة للإبداع الفكري؛ ممَّا أثر على مختلف الأصعدة العلمية والثقافية، فلم تَعُدْ المصنفات محصورة في الوسائط التقليدية، بل أصبحت منتشرةً بشكل أكبر في فضاء رقمي واسع يتجاوز الحدود الجغرافية؛ ممَّا أسهم في عموم المعرفة وتسريع حركة الإبداع</w:t>
      </w:r>
      <w:r>
        <w:rPr>
          <w:rStyle w:val="None"/>
          <w:rFonts w:ascii="Times New Roman" w:hAnsi="Times New Roman"/>
          <w:sz w:val="24"/>
          <w:szCs w:val="24"/>
          <w:rtl/>
          <w:lang w:val="ar-SA"/>
        </w:rPr>
        <w:t>.</w:t>
      </w:r>
    </w:p>
    <w:p w14:paraId="1562B57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6D7C31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E62FED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6D6BF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7C17C5"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A8846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1EB76B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135755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AE43D7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115C48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B2277B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4588D0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4278A62" w14:textId="77777777" w:rsidR="00454428" w:rsidRDefault="00000000" w:rsidP="00C72BA8">
      <w:pPr>
        <w:pStyle w:val="a"/>
        <w:rPr>
          <w:rStyle w:val="None"/>
          <w:lang w:val="ar-SA"/>
        </w:rPr>
      </w:pPr>
      <w:bookmarkStart w:id="103" w:name="_Toc56"/>
      <w:r>
        <w:rPr>
          <w:rStyle w:val="None"/>
          <w:rFonts w:ascii="Arial Unicode MS" w:eastAsia="Arial Unicode MS" w:hAnsi="Arial Unicode MS" w:hint="cs"/>
          <w:rtl/>
          <w:lang w:val="ar-SA"/>
        </w:rPr>
        <w:t>المبحث الثاني</w:t>
      </w:r>
      <w:bookmarkEnd w:id="103"/>
    </w:p>
    <w:p w14:paraId="7BF48BAB" w14:textId="77777777" w:rsidR="00454428" w:rsidRDefault="00000000" w:rsidP="00C72BA8">
      <w:pPr>
        <w:pStyle w:val="a"/>
        <w:rPr>
          <w:rStyle w:val="None"/>
          <w:lang w:val="ar-SA"/>
        </w:rPr>
      </w:pPr>
      <w:bookmarkStart w:id="104" w:name="_Toc57"/>
      <w:r>
        <w:rPr>
          <w:rStyle w:val="None"/>
          <w:rFonts w:ascii="Arial Unicode MS" w:eastAsia="Arial Unicode MS" w:hAnsi="Arial Unicode MS" w:hint="cs"/>
          <w:rtl/>
          <w:lang w:val="ar-SA"/>
        </w:rPr>
        <w:t>إشكاليات حماية حقوق الملكية الفكرية في البيئة الرقمية</w:t>
      </w:r>
      <w:bookmarkEnd w:id="104"/>
    </w:p>
    <w:p w14:paraId="6F9F16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السنوات الأخيرة اهتمامًا واسعًا بموضوع الملكية الفكرية، خاصةً مع تزايد عملية التطوُّر التكنولوجي الهائل، الأمر الذي أدى إلى ظهور مشكلات عديدة، ولم يعرفها العالم لولا الانفجار الكبير لتكنولوجيا المعلومات والاتصالات، ومن بين هذه المشكلات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استغلال الملكية الفكرية دون إذا صاحب الحق فيها عبر الوسائل الإلكترونية المتاحة، وبالاعتماد على شبكة الإنترنت الموجودة في كل مكان؛ ممَّا شكل انتهاكًا صريحًا لحقوق أصحاب الملكيات الفكرية سواء من الناحية المادية أو المعنوية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6"/>
      </w:r>
      <w:r>
        <w:rPr>
          <w:rStyle w:val="None"/>
          <w:rFonts w:ascii="Times New Roman" w:hAnsi="Times New Roman"/>
          <w:sz w:val="24"/>
          <w:szCs w:val="24"/>
          <w:vertAlign w:val="superscript"/>
          <w:rtl/>
          <w:lang w:val="ar-SA"/>
        </w:rPr>
        <w:t>)</w:t>
      </w:r>
    </w:p>
    <w:p w14:paraId="453133F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سوف نتناول في هذا المبحث مطلبين، فيما يلي</w:t>
      </w:r>
      <w:r>
        <w:rPr>
          <w:rStyle w:val="None"/>
          <w:rFonts w:ascii="Times New Roman" w:hAnsi="Times New Roman"/>
          <w:sz w:val="24"/>
          <w:szCs w:val="24"/>
          <w:rtl/>
          <w:lang w:val="ar-SA"/>
        </w:rPr>
        <w:t>:</w:t>
      </w:r>
    </w:p>
    <w:p w14:paraId="0BA306EA" w14:textId="77777777" w:rsidR="00454428" w:rsidRDefault="00000000" w:rsidP="00C72BA8">
      <w:pPr>
        <w:pStyle w:val="ListParagraph"/>
        <w:numPr>
          <w:ilvl w:val="0"/>
          <w:numId w:val="92"/>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أدوات تداول الإنتاج الفكري الرقمي وتحدياتها التقنية</w:t>
      </w:r>
      <w:r>
        <w:rPr>
          <w:rStyle w:val="None"/>
          <w:rFonts w:ascii="Times New Roman" w:hAnsi="Times New Roman"/>
          <w:sz w:val="24"/>
          <w:szCs w:val="24"/>
          <w:rtl/>
          <w:lang w:val="ar-SA"/>
        </w:rPr>
        <w:t>.</w:t>
      </w:r>
    </w:p>
    <w:p w14:paraId="084CE85F" w14:textId="77777777" w:rsidR="00454428" w:rsidRDefault="00000000" w:rsidP="00C72BA8">
      <w:pPr>
        <w:pStyle w:val="ListParagraph"/>
        <w:numPr>
          <w:ilvl w:val="0"/>
          <w:numId w:val="92"/>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خصائص الإنتاج الفكري الرقمي وحدود الحماية القانونية</w:t>
      </w:r>
      <w:r>
        <w:rPr>
          <w:rStyle w:val="None"/>
          <w:rFonts w:ascii="Times New Roman" w:hAnsi="Times New Roman"/>
          <w:sz w:val="24"/>
          <w:szCs w:val="24"/>
          <w:rtl/>
          <w:lang w:val="ar-SA"/>
        </w:rPr>
        <w:t>.</w:t>
      </w:r>
    </w:p>
    <w:p w14:paraId="097B422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58A6A4F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C148CA7"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64971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D06396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2D6218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4BD024F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26B5B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715870A"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3FEA83D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2D1B172"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191151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15E1FEED"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19FD8418"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DC156D3" w14:textId="77777777" w:rsidR="00454428" w:rsidRDefault="00000000" w:rsidP="00C72BA8">
      <w:pPr>
        <w:pStyle w:val="a"/>
        <w:rPr>
          <w:rStyle w:val="None"/>
          <w:lang w:val="ar-SA"/>
        </w:rPr>
      </w:pPr>
      <w:bookmarkStart w:id="105" w:name="_Toc58"/>
      <w:r>
        <w:rPr>
          <w:rStyle w:val="None"/>
          <w:rFonts w:ascii="Arial Unicode MS" w:eastAsia="Arial Unicode MS" w:hAnsi="Arial Unicode MS" w:hint="cs"/>
          <w:rtl/>
          <w:lang w:val="ar-SA"/>
        </w:rPr>
        <w:t>المطلب الأول</w:t>
      </w:r>
      <w:bookmarkEnd w:id="105"/>
    </w:p>
    <w:p w14:paraId="6D2CA8C7" w14:textId="77777777" w:rsidR="00454428" w:rsidRDefault="00000000" w:rsidP="00C72BA8">
      <w:pPr>
        <w:pStyle w:val="a"/>
        <w:rPr>
          <w:rStyle w:val="None"/>
          <w:lang w:val="ar-SA"/>
        </w:rPr>
      </w:pPr>
      <w:bookmarkStart w:id="106" w:name="_Toc59"/>
      <w:r>
        <w:rPr>
          <w:rStyle w:val="None"/>
          <w:rFonts w:ascii="Arial Unicode MS" w:eastAsia="Arial Unicode MS" w:hAnsi="Arial Unicode MS" w:hint="cs"/>
          <w:rtl/>
          <w:lang w:val="ar-SA"/>
        </w:rPr>
        <w:t>أدوات تداول الإنتاج الفكري الرقمي وتحدياتها التقنية</w:t>
      </w:r>
      <w:bookmarkEnd w:id="106"/>
    </w:p>
    <w:p w14:paraId="6553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تعيش الإنسانية اليومَ في منافسة مذهلة نحو عالم الفكر والمعرفة، ولقد تغيرت معايير قياس تقدم الأمم وتطوُّرها من حيث حكم المعلومات المتاحة الأفكار المبتكرة التي تنتجها، بدلًا من القوة المالية، والعسكرية؛ ممَّا أدى إلى تقدم كبير ومتزايد في الإنتاج الفكري والإبداعي؛ لذلك يعتبر موضوع حماية الملكية الفكرية من الموضوعات الصعبة والشائكة التي تشغل رجال السياسة؛ وذلك لأنَّ نتاج الفكر والإبداع، وحمايته عن طريق الملكية الفكرية يُعَدُّ من أهم ركائز الاقتصاد المعاصر، فلا يقوم الاقتصاد بدون هذه الركيزة المهمة، والاستثمارات الأجنبية لا تنجذب إلى بلد لا تمتلك حقوق الملكية الفكرية؛ لذا سعت معظم الدول إلى إدراج الملكية الفكرية ضمن السياسات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5729E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أدوات تداول الإنتاج الفكري الرقمي</w:t>
      </w:r>
      <w:r>
        <w:rPr>
          <w:rStyle w:val="None"/>
          <w:rFonts w:ascii="Times New Roman" w:hAnsi="Times New Roman"/>
          <w:b/>
          <w:bCs/>
          <w:sz w:val="28"/>
          <w:szCs w:val="28"/>
          <w:rtl/>
          <w:lang w:val="ar-SA"/>
        </w:rPr>
        <w:t>:</w:t>
      </w:r>
    </w:p>
    <w:p w14:paraId="5CEEC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كان يتم نشره سابقًا عبر الوسائل التقليدية، أما حاليًا في العصر الحديث فقد اختلف تمامًا؛ حيث أصبحت المصنفات تنشر وتوزع عبر وسائل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المنصات الرقمية، وهي المواقع الإلكترونية، ومنصات التواصل الاجتماعي، والمكتبات الرقمية، والبريد الإلكتروني، وهذه الأدوات قد وفرت قدرًا كبيرًا من السرعة والانتشار على مستوى العالم وليس على مستوى المحلي، والسهولة في الوصول إلى أي محتوى</w:t>
      </w:r>
      <w:r>
        <w:rPr>
          <w:rStyle w:val="None"/>
          <w:rFonts w:ascii="Times New Roman" w:hAnsi="Times New Roman"/>
          <w:sz w:val="24"/>
          <w:szCs w:val="24"/>
          <w:rtl/>
          <w:lang w:val="ar-SA"/>
        </w:rPr>
        <w:t>.</w:t>
      </w:r>
    </w:p>
    <w:p w14:paraId="4F4E72EE" w14:textId="77777777" w:rsidR="00454428" w:rsidRDefault="00000000" w:rsidP="00C72BA8">
      <w:pPr>
        <w:pStyle w:val="ListParagraph"/>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المنصات الرقمية للنشر والتوزيع</w:t>
      </w:r>
      <w:r>
        <w:rPr>
          <w:rStyle w:val="None"/>
          <w:rFonts w:ascii="Times New Roman" w:hAnsi="Times New Roman"/>
          <w:b/>
          <w:bCs/>
          <w:sz w:val="24"/>
          <w:szCs w:val="24"/>
          <w:rtl/>
          <w:lang w:val="ar-SA"/>
        </w:rPr>
        <w:t>:</w:t>
      </w:r>
    </w:p>
    <w:p w14:paraId="0F9BE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ارتفاع نسبة مستهلكي الإنترنت تؤدي إلى إنماء وتطوُّر محتوى المواقع المنتشرة فيه،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شيوع مواقع التجارة الإلكترونية من أجل التسويق والخدمات، فلا يكاد يخلو موقع من نشاط استثماري ومالي؛ حيث يعتبر البث الرقمي، وصيغ الاتصالات الرقمية مستحدثاتٍ جديدةً لاستعمالات المصنفات المحمية بحقوق الملكية الفكرية، وبالنظر إليها من الناحية الاقتصادية، فهي تمثل مجموعة من الخدمات جلها تجارية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B8B5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يحتوي الفضاء الرقمي عدة مصنفات رقمية، منها المحمية قانونًا وأخرى لم تصدر بعد قوانين لأجل حمايتها، وهذه الأخيرة تُعَدُّ عرضةً للاعتداء عليها؛ لأنَّها لا تتطلب ذكاءً بشريًا كبيرًا، وذلك نظرًا لطبيعتها الرقمية وتعدد أشكال عرضه على شاشات الحواسيب وصفحات الإنترنت، وتعرَّف المؤلفات المتعددة الوسائط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ناقل معلوماتي جديد يجمع في الوقت ذاته الصوت، والنص، والصورة، والبيانات القادمة بدورها من وسائط مختلفة، إذًا هي أعمال فكرية معروضة بطريقة رقمية حديثة في شكل صورة، ونص، وصوت، سواء أكانت الصورة متحركةً أم ثابتةً فيه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1DAD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فموقع الويب هو توصيف للمعلومات التي تعرض على صفحات الويب الخاصة بالشركة، وموقع الويب هو من نتاجات الإنترنت بعد استخدامها لأغراض تجارية؛ حيث أصبح ممثلًا لقدرات الشركة في التصميم، والعرض، والإعلان، والإقناع، وتقديم الخدمات، والتفاعل، والبيع، والشراء، وغيرها؛ ممَّا يمكن تلخيصه بكونه طريقةً متميزةً خاصةً بالشركة في تقديم الأعمال؛ ولأنَّه طريقة خاصة بتقديم الأعمال، فإنَّه يمكن أنْ يتمتع بالحماية القانونية، كما أنَّ موقع الويب يحمل اسم الشركة؛ ممَّا يجعله يتمتع بالحماية القانونية الخاصة بالعلامة التجارية؛ ولأنَّه يمكن أنْ يعرض منتجات 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كالألعاب، والكتب، والبرمجيات، فإنَّه يمكن أنْ يحظى بالحماية القانونية الخاصة بحق النشر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9E54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وتتوفر في الويب مجموعة من الأدوات التي تمكن الباحث من الإبحار في محتوياتها، وتشكل هذه الأدوات وساطةً بين الباحث ومحتوى الويب، ومن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نجد محركات البحث التي تُعَدُّ كأدوات بحث تعمل من خلال استراتيجيات محددة أو استراتيجيات مفتوحة، وذلك للبحث في حقول أو وثائق نصية، والأكثر من ذلك أنَّها يمكن أنْ تبحث عن أشياء، في بيئة محددة هي بيئة شبكة الإنترنت، وذلك يعني أنَّها تبحث في ملايين المواقع ومليارات الكلمات في وقت محدد، وتتميز بسرعة الاستجابة، وعادةً ما تكون إجابتها مواقع على الإنترنت تتوافر فيها كل المصطلحات التي تم البحث عنها أو بعضها، أو مواقع محددة سلفًا من خلال ما يعرف بقائمة أو دليل البحث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28C2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وبالإضافة إلى أنَّ النشر الإلكتروني قد تخطى كافة القيود النوعية للمحتوى المنشور من نصوص وصوت وفيديو، هذا فضلًا عن كسر الحواجز المكانية المعروفة في سياق النشر التقليدي، فأصبح بالإمكان تحميل مكتبة رقمية كاملة، إما على جهاز الحاسب الشخصي، أو القارئ الإلكتروني، أو حتى الهاتف المحمول الذكي، وأحيانًا تكون بعض المنشورات الإلكترونية نسخًا إلكترونيةً من منشورات مطبوعة، وهناك فئة أخرى ولدت رقميًا أو إلكترونيًا، كما تندرج تحت هذه الفئة الدوريات العلمية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AC04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والإنترنت بوصفه طريقة اتصال سهلة وسريعة يتيح تبادل المعلومات ونقلها بكافة صورها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مكتوبة، ومرئية، ومسموعة، وباعتباره ليس مجرد صفحات للمعلومات، بل مكانًا للتسوق، وموضعًا للأعمال والخدمات، وفضاءً غير متناهٍ من الصفحات؛ لنشر الأخبار، والمعالجات، والمؤلفات، والأبحاث، والمواد، فإنَّ محتوى مواقعه يتضمن الإعلان التجاري، والمادة المؤلفة، والبث المرئي، والتسجيل الصوتي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2999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نظام خدمة الويب يرتكز على فكرة تخزين معلومات، مع القدرة على إقامة صلات وعلاقات ترابطية مباشرة بين مستخدميها؛ وبغرض تفادي كل الإشكالات التي من شأنها إعاقة التعامل عبر مواقع الويب لجأت بعض التشريعات الحديثة لاستخدام ما يسمى بجهات التصديق والتوثيق الإلكتروني، والتي تتكفل بتخزين وإثبات </w:t>
      </w:r>
      <w:r>
        <w:rPr>
          <w:rStyle w:val="None"/>
          <w:rFonts w:ascii="Arial Unicode MS" w:hAnsi="Arial Unicode MS" w:cs="Times New Roman" w:hint="cs"/>
          <w:sz w:val="24"/>
          <w:szCs w:val="24"/>
          <w:rtl/>
          <w:lang w:val="ar-SA"/>
        </w:rPr>
        <w:lastRenderedPageBreak/>
        <w:t xml:space="preserve">المعاملات الإلكترونية المبرمة بين الأطراف، مع إخبار المتعاملين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الزبائن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بكل ما يحيط أو يخدش مصداقية المواقع المستعملة؛ ممَّا يزيد ذلك في منسوب الاستقرار القانوني والمعلوماتي للمعاملات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E16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المنصات الرقمية هي الوسيط الأساسي لتداول الإنتاج الفكري بجميع أشكاله؛ إذ تتيح المنصات الرقمية النشر الفوري والتوزيع للإنتاج الفكري الأدبي والفني، فقد تحولت هذه المنصات لوسائل النشر بديل الوسائل التقليدية، كما فتحت المنصات الرقمية المجال للنشر والتوزيع على مستوى العالم</w:t>
      </w:r>
      <w:r>
        <w:rPr>
          <w:rStyle w:val="None"/>
          <w:rFonts w:ascii="Times New Roman" w:hAnsi="Times New Roman"/>
          <w:sz w:val="24"/>
          <w:szCs w:val="24"/>
          <w:rtl/>
          <w:lang w:val="ar-SA"/>
        </w:rPr>
        <w:t>.</w:t>
      </w:r>
    </w:p>
    <w:p w14:paraId="76F83101" w14:textId="77777777" w:rsidR="00454428" w:rsidRDefault="00000000" w:rsidP="00C72BA8">
      <w:pPr>
        <w:pStyle w:val="ListParagraph"/>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المكتبات الرقمية</w:t>
      </w:r>
      <w:r>
        <w:rPr>
          <w:rStyle w:val="None"/>
          <w:rFonts w:ascii="Times New Roman" w:hAnsi="Times New Roman"/>
          <w:b/>
          <w:bCs/>
          <w:sz w:val="24"/>
          <w:szCs w:val="24"/>
          <w:rtl/>
          <w:lang w:val="ar-SA"/>
        </w:rPr>
        <w:t>:</w:t>
      </w:r>
    </w:p>
    <w:p w14:paraId="2A7CF5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المكتبات الرقمية مؤسساتٍ تقدم المصادر،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العاملون المتخصصون للقيام بعمليات الاختيار، والبناء، وإتاحة الوصول الفكري، والتفسير، والتوزيع، وصون سلامة وكمال مجموعات من الأعمال الرقمية، وضمان استمرارها مع الزمن؛ وذلك بهدف إتاحتها للاستخدام من جانب مجتمع أو أكثر من المستفيدين بالأساليب والطرق السريعة والاقتصادية أيضًا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EC2F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المكتبات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أوعية المعلومات المحسوبة رقميًا، والمرتبة بطريقة خاصة تناسب طريقة الاستخدام من خلال شبكات المعلومات التي تمكن من الوصول إلى المعلومات مهما بعدت المسافات، وتؤكد تجهيزات المكتبات الرقمية على تيسير، وتزويد المعلومات وبثها واستخدامها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6"/>
      </w:r>
      <w:r>
        <w:rPr>
          <w:rStyle w:val="None"/>
          <w:rFonts w:ascii="Times New Roman" w:hAnsi="Times New Roman"/>
          <w:sz w:val="24"/>
          <w:szCs w:val="24"/>
          <w:vertAlign w:val="superscript"/>
          <w:rtl/>
          <w:lang w:val="ar-SA"/>
        </w:rPr>
        <w:t>)</w:t>
      </w:r>
    </w:p>
    <w:p w14:paraId="7DEAD5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بداية ظهور المكتبات الرقمية جاءت نتيجةَ تعدد استخدام تطبيقات التكنولوجيات الحديثة في مجال المكتبات والمعلومات، وأبرزها تكنولوجيا الاتصال، التي تأتي في مقدمتها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التي أحدثت تغييرات وتطوُّرات في إجراءات العمل الفني في المكتبات، وفي نوعية الخدمات التي تقدمها للمستفيدين، ولعل الطفرة التي أحدثتها هذه الشبكة في مجال النشر والإعلان قد جعلتها أحد الموارد المهمة التي توفر كميات هائلة من مصادر المعلومات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7"/>
      </w:r>
      <w:r>
        <w:rPr>
          <w:rStyle w:val="None"/>
          <w:rFonts w:ascii="Times New Roman" w:hAnsi="Times New Roman"/>
          <w:sz w:val="24"/>
          <w:szCs w:val="24"/>
          <w:vertAlign w:val="superscript"/>
          <w:rtl/>
          <w:lang w:val="ar-SA"/>
        </w:rPr>
        <w:t>)</w:t>
      </w:r>
    </w:p>
    <w:p w14:paraId="350F5B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فتم الاتجاه إلى المكتبة الرقمية أو الإلكترونية؛ نتيجةً لارتفاع أسعار المصنفات التقليدية، وما يلي يبيّن أهمية المكتبة الرقمية</w:t>
      </w:r>
      <w:r>
        <w:rPr>
          <w:rStyle w:val="None"/>
          <w:rFonts w:ascii="Times New Roman" w:hAnsi="Times New Roman"/>
          <w:sz w:val="24"/>
          <w:szCs w:val="24"/>
          <w:rtl/>
          <w:lang w:val="ar-SA"/>
        </w:rPr>
        <w:t xml:space="preserve">: </w:t>
      </w:r>
    </w:p>
    <w:p w14:paraId="292EE4DB"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الحصول على الكتب القديمة من حيث التاريخ، والتي لم تَعُدْ تنتج في دور النشر</w:t>
      </w:r>
      <w:r>
        <w:rPr>
          <w:rStyle w:val="None"/>
          <w:rFonts w:ascii="Times New Roman" w:hAnsi="Times New Roman"/>
          <w:sz w:val="24"/>
          <w:szCs w:val="24"/>
          <w:rtl/>
          <w:lang w:val="ar-SA"/>
        </w:rPr>
        <w:t>.</w:t>
      </w:r>
    </w:p>
    <w:p w14:paraId="070E6267"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البحث والحصول على المعلومات بسهولة</w:t>
      </w:r>
      <w:r>
        <w:rPr>
          <w:rStyle w:val="None"/>
          <w:rFonts w:ascii="Times New Roman" w:hAnsi="Times New Roman"/>
          <w:sz w:val="24"/>
          <w:szCs w:val="24"/>
          <w:rtl/>
          <w:lang w:val="ar-SA"/>
        </w:rPr>
        <w:t>.</w:t>
      </w:r>
    </w:p>
    <w:p w14:paraId="4DE1CFC6"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توافر المعلومات</w:t>
      </w:r>
      <w:r>
        <w:rPr>
          <w:rStyle w:val="None"/>
          <w:rFonts w:ascii="Times New Roman" w:hAnsi="Times New Roman"/>
          <w:sz w:val="24"/>
          <w:szCs w:val="24"/>
          <w:rtl/>
          <w:lang w:val="ar-SA"/>
        </w:rPr>
        <w:t>.</w:t>
      </w:r>
    </w:p>
    <w:p w14:paraId="6AECCE45"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التمكن من تقصير المسافات، واختزالها، وإلغاء الحاجز الزمني والمكاني</w:t>
      </w:r>
      <w:r>
        <w:rPr>
          <w:rStyle w:val="None"/>
          <w:rFonts w:ascii="Times New Roman" w:hAnsi="Times New Roman"/>
          <w:sz w:val="24"/>
          <w:szCs w:val="24"/>
          <w:rtl/>
          <w:lang w:val="ar-SA"/>
        </w:rPr>
        <w:t>.</w:t>
      </w:r>
    </w:p>
    <w:p w14:paraId="19B22A20"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تقليل التكلفة المالية بالإضافة للجهد والوقت</w:t>
      </w:r>
      <w:r>
        <w:rPr>
          <w:rStyle w:val="None"/>
          <w:rFonts w:ascii="Times New Roman" w:hAnsi="Times New Roman"/>
          <w:sz w:val="24"/>
          <w:szCs w:val="24"/>
          <w:rtl/>
          <w:lang w:val="ar-SA"/>
        </w:rPr>
        <w:t>.</w:t>
      </w:r>
    </w:p>
    <w:p w14:paraId="6306C73E"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الاطلاع على المعلومات المختلفة من قبل أكثر من شخص، وفي وقت واحد دون أنْ يؤدي ذلك إلى حدوث تضارب</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8"/>
      </w:r>
      <w:r>
        <w:rPr>
          <w:rStyle w:val="None"/>
          <w:rFonts w:ascii="Times New Roman" w:hAnsi="Times New Roman"/>
          <w:sz w:val="24"/>
          <w:szCs w:val="24"/>
          <w:vertAlign w:val="superscript"/>
          <w:rtl/>
          <w:lang w:val="ar-SA"/>
        </w:rPr>
        <w:t>)</w:t>
      </w:r>
    </w:p>
    <w:p w14:paraId="161689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المكتبات الرقمية وسيلةً حديثةً للنشر والتوزيع للمصنفات الفكرية؛ لأنَّ هذه المكتبات الرقمية يتيح الوصول إلى المحتوى العلمي، من خلال المكتبات الرقمية المفتوحة، كما ساهمت في التوسيع من نشر الكثير من الإنتاج الفكري، بالإضافة إلى أنَّها أصبحت أداةً رئيسيةً في نشر وتوزيع الناتج الفكري، كما توجد شروط قانونية للنشر في المكتبات الرقمية؛ لحماية حقوق المؤلفين</w:t>
      </w:r>
      <w:r>
        <w:rPr>
          <w:rStyle w:val="None"/>
          <w:rFonts w:ascii="Times New Roman" w:hAnsi="Times New Roman"/>
          <w:sz w:val="24"/>
          <w:szCs w:val="24"/>
          <w:rtl/>
          <w:lang w:val="ar-SA"/>
        </w:rPr>
        <w:t>.</w:t>
      </w:r>
    </w:p>
    <w:p w14:paraId="79A647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فالمكتبات الرقمية تحمي المصنفات الرقمية، من خلال الاتفاقيات الدولية الخاصة بحقوق المؤلف، فالاتفاقيات أكدت على حماية المصنفات عبر الوسائل الإلكترونية، ومنع نسخها أو تداولها دون إذن من صاحب الحق، وهذا ما نصت عليه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اتفاقية الويبو بشأن حق المؤلف</w:t>
      </w:r>
      <w:r>
        <w:rPr>
          <w:rStyle w:val="None"/>
          <w:rFonts w:ascii="Times New Roman" w:hAnsi="Times New Roman"/>
          <w:sz w:val="24"/>
          <w:szCs w:val="24"/>
          <w:rtl/>
          <w:lang w:val="ar-SA"/>
        </w:rPr>
        <w:t>.</w:t>
      </w:r>
    </w:p>
    <w:p w14:paraId="7B0B0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يتم ضبط عملية الاتاحة من خلال اتفاقيات التراخيص، التي تؤدي دورًا رئيسًا في تحقيق حماية حق المؤلف ضد الانتهاكات التي قد تحدث عند استخدام مصادر المعلومات الرقمية، ويذكر أنَّ هناك ثلاث فئاتٍ من التراخيص التي تحدد استخدام قواعد البيانات، وهي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9"/>
      </w:r>
      <w:r>
        <w:rPr>
          <w:rStyle w:val="None"/>
          <w:rFonts w:ascii="Times New Roman" w:hAnsi="Times New Roman"/>
          <w:sz w:val="24"/>
          <w:szCs w:val="24"/>
          <w:vertAlign w:val="superscript"/>
          <w:rtl/>
          <w:lang w:val="ar-SA"/>
        </w:rPr>
        <w:t>)</w:t>
      </w:r>
    </w:p>
    <w:p w14:paraId="704E672E"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المستخدم الواحد</w:t>
      </w:r>
      <w:r>
        <w:rPr>
          <w:rStyle w:val="None"/>
          <w:rFonts w:ascii="Times New Roman" w:hAnsi="Times New Roman"/>
          <w:b/>
          <w:bCs/>
          <w:sz w:val="24"/>
          <w:szCs w:val="24"/>
          <w:rtl/>
          <w:lang w:val="ar-SA"/>
        </w:rPr>
        <w:t>:</w:t>
      </w:r>
      <w:r>
        <w:rPr>
          <w:rStyle w:val="None"/>
          <w:rFonts w:cs="Times New Roman"/>
          <w:sz w:val="24"/>
          <w:szCs w:val="24"/>
          <w:rtl/>
          <w:lang w:val="ar-SA"/>
        </w:rPr>
        <w:t xml:space="preserve"> لا يسمح هذا النوع من التراخيص بربط قاعدة البيانات بشبكة لتستخدم من قبل أشخاص متعددين في الوقت نفسه، فهو ترخيص للاستخدام على جهاز واحد فقط</w:t>
      </w:r>
      <w:r>
        <w:rPr>
          <w:rStyle w:val="None"/>
          <w:rFonts w:ascii="Times New Roman" w:hAnsi="Times New Roman"/>
          <w:sz w:val="24"/>
          <w:szCs w:val="24"/>
          <w:rtl/>
          <w:lang w:val="ar-SA"/>
        </w:rPr>
        <w:t>.</w:t>
      </w:r>
    </w:p>
    <w:p w14:paraId="0AD9407B"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الموقع</w:t>
      </w:r>
      <w:r>
        <w:rPr>
          <w:rStyle w:val="None"/>
          <w:rFonts w:ascii="Times New Roman" w:hAnsi="Times New Roman"/>
          <w:b/>
          <w:bCs/>
          <w:sz w:val="24"/>
          <w:szCs w:val="24"/>
          <w:rtl/>
          <w:lang w:val="ar-SA"/>
        </w:rPr>
        <w:t>:</w:t>
      </w:r>
      <w:r>
        <w:rPr>
          <w:rStyle w:val="None"/>
          <w:rFonts w:cs="Times New Roman"/>
          <w:sz w:val="24"/>
          <w:szCs w:val="24"/>
          <w:rtl/>
          <w:lang w:val="ar-SA"/>
        </w:rPr>
        <w:t xml:space="preserve"> يضع هذا النوع من التراخيص قيودًا جغرافيةً على الاستخدام، فلا يسمح باستخدام قاعدة البيانات إلا في المرخص بالاستخدام فيه</w:t>
      </w:r>
      <w:r>
        <w:rPr>
          <w:rStyle w:val="None"/>
          <w:rFonts w:ascii="Times New Roman" w:hAnsi="Times New Roman"/>
          <w:sz w:val="24"/>
          <w:szCs w:val="24"/>
          <w:rtl/>
          <w:lang w:val="ar-SA"/>
        </w:rPr>
        <w:t>.</w:t>
      </w:r>
    </w:p>
    <w:p w14:paraId="4B8B70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إنَّ تراخيص المحتويات الرقمية أصبحت جزءًا متوقعًا من إدارة المجموعات، وخصوصًا أنَّ هناك ميزانياتٍ للمجموعات أصبحت تخصص باطراد، لدوريات لم تَعُدْ متاحةً إلا في شكل رقمي، ولقد أصبح كثير من أمناء المكتبات منهمكين فعلًا في ترخيص معلومات إلكترونية رقمية، إنَّ ترخيص المحتويات الإلكترونية بدلًا من اقتناء النسخ المطبوعة، فإنَّ ترخيص معلومات رقمية غالبًا ما يتضمن التفاوض على اتفاقية ترخيص أو عقد مع مالك المعلومات الرقمية لاستخدامها في المكتبة، وعلى الأقل فهو يتضمن فهم وتفسير،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هذه الاتفاقيات سواء كان التفاوض عليها من قبل </w:t>
      </w:r>
      <w:r>
        <w:rPr>
          <w:rStyle w:val="None"/>
          <w:rFonts w:ascii="Arial Unicode MS" w:hAnsi="Arial Unicode MS" w:cs="Times New Roman" w:hint="cs"/>
          <w:sz w:val="24"/>
          <w:szCs w:val="24"/>
          <w:rtl/>
          <w:lang w:val="ar-SA"/>
        </w:rPr>
        <w:lastRenderedPageBreak/>
        <w:t>اتحاد أو هيئة بالنيابة عن المكتبات المنضوية تحتها أو كانت غير قابلة للتفاوض، أو تم التفاوض عليها من قبل المكتبة منفردة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0"/>
      </w:r>
      <w:r>
        <w:rPr>
          <w:rStyle w:val="None"/>
          <w:rFonts w:ascii="Times New Roman" w:hAnsi="Times New Roman"/>
          <w:sz w:val="24"/>
          <w:szCs w:val="24"/>
          <w:vertAlign w:val="superscript"/>
          <w:rtl/>
          <w:lang w:val="ar-SA"/>
        </w:rPr>
        <w:t>)</w:t>
      </w:r>
    </w:p>
    <w:p w14:paraId="3F63B7FF" w14:textId="77777777" w:rsidR="00454428" w:rsidRDefault="00000000" w:rsidP="00C72BA8">
      <w:pPr>
        <w:pStyle w:val="ListParagraph"/>
        <w:numPr>
          <w:ilvl w:val="0"/>
          <w:numId w:val="9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وسائل الاتصال الاجتماعي</w:t>
      </w:r>
      <w:r>
        <w:rPr>
          <w:rStyle w:val="None"/>
          <w:rFonts w:ascii="Times New Roman" w:hAnsi="Times New Roman"/>
          <w:b/>
          <w:bCs/>
          <w:sz w:val="24"/>
          <w:szCs w:val="24"/>
          <w:rtl/>
          <w:lang w:val="ar-SA"/>
        </w:rPr>
        <w:t>:</w:t>
      </w:r>
    </w:p>
    <w:p w14:paraId="6F967B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تشكل مواقع التواصل الاجتماعي في وقتنا الحالي الميدان الأوسع لتبادل ونشر المعلومات سواء العامة أو المتخصصة؛ لما تمتاز به من سهولة وسرعة في الكتابة، والنقل، والنشر، فأصبح العديد من الأشخاص سواء العامة أو المتخصصين يلجؤون إلى فتح حساب في هذه المواقع، وينشرون مؤلفاتهم أو أعمالهم الفنية</w:t>
      </w:r>
      <w:r>
        <w:rPr>
          <w:rStyle w:val="None"/>
          <w:rFonts w:ascii="Times New Roman" w:hAnsi="Times New Roman"/>
          <w:sz w:val="24"/>
          <w:szCs w:val="24"/>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211"/>
      </w:r>
      <w:r>
        <w:rPr>
          <w:rStyle w:val="None"/>
          <w:rFonts w:ascii="Times New Roman" w:hAnsi="Times New Roman"/>
          <w:vertAlign w:val="superscript"/>
          <w:rtl/>
          <w:lang w:val="ar-SA"/>
        </w:rPr>
        <w:t>)</w:t>
      </w:r>
    </w:p>
    <w:p w14:paraId="7B04B4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انتشرت بشكل كبير وسائل التواصل الاجتماعي، وأصبحت هي الوسيلة الوحيدة التي فرضت سيطرتها على جميع المجتمعات، وأصبح مستخدموها يتجاوزن المليارات، وأصبحت وسيلةً شديدةَ التأثير في المجتمع بشكل كبير وخطير؛ وذلك لأنَّها أصحبت تستخدم أساليب جذب لا حصر لها، فهي تستوعب متابعيها من جميع الفئات ومن جميع الأعمار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2"/>
      </w:r>
      <w:r>
        <w:rPr>
          <w:rStyle w:val="None"/>
          <w:rFonts w:ascii="Times New Roman" w:hAnsi="Times New Roman"/>
          <w:sz w:val="24"/>
          <w:szCs w:val="24"/>
          <w:vertAlign w:val="superscript"/>
          <w:rtl/>
          <w:lang w:val="ar-SA"/>
        </w:rPr>
        <w:t>)</w:t>
      </w:r>
    </w:p>
    <w:p w14:paraId="7E9DC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بالتواصل الاجتماعي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منصات عبر الإنترنت تسمح للأفراد بالتواصل مع بعضهم البعض، ومشاركة المحتوى، والأفكار، والصور، ومقاطع الفيديو، وتشمل هذه المواقع،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فيسبوك، وتويتر، وانستغرام، ويوتيوب، بالإضافة إلى منصات أخرى تتنوع في الغرض والجمهور المستهدف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F994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وسائل التواصل الاجتماعي من أهم الوسائل الحديثة التي يستخدمها الكثير في نشر المصنفات الفكرية، سواء من قبل المؤلفين أو آخرين، كما ساهمت وسائل التواصل الاجتماعي في تسهيل نشر الأعمال الأدبية والفنية على مستوى واسع، فهذا يتيح للمؤلفين من نشر مصنفاتهم على نطاق واسع بعكس النشر التقليدي</w:t>
      </w:r>
      <w:r>
        <w:rPr>
          <w:rStyle w:val="None"/>
          <w:rFonts w:ascii="Times New Roman" w:hAnsi="Times New Roman"/>
          <w:sz w:val="24"/>
          <w:szCs w:val="24"/>
          <w:rtl/>
          <w:lang w:val="ar-SA"/>
        </w:rPr>
        <w:t>.</w:t>
      </w:r>
    </w:p>
    <w:p w14:paraId="50E76B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بالرغم من كل مزايا وسائل التواصل الاجتماعي من نشر المصنفات الفكرية عبر الإنترنت، فإنَّه يثير بعض التحديات القانونية التي تتعلق بحماية حقوق الملكية الفكرية؛ لأنَّ من الممكن أنْ يقوم أحد الأشخاص بنشر أحد المصنفات وينسبها لنفسه، فهذا يعتبر انتهاكًا للحقوق المليكة الفكرية، فلا بُدَّ من مواكبة التشريعات لهذه التحديات</w:t>
      </w:r>
      <w:r>
        <w:rPr>
          <w:rStyle w:val="None"/>
          <w:rFonts w:ascii="Times New Roman" w:hAnsi="Times New Roman"/>
          <w:sz w:val="24"/>
          <w:szCs w:val="24"/>
          <w:rtl/>
          <w:lang w:val="ar-SA"/>
        </w:rPr>
        <w:t>.</w:t>
      </w:r>
    </w:p>
    <w:p w14:paraId="591582EB" w14:textId="77777777" w:rsidR="00454428" w:rsidRDefault="00000000" w:rsidP="00C72BA8">
      <w:pPr>
        <w:pStyle w:val="ListParagraph"/>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البريد الإلكتروني</w:t>
      </w:r>
      <w:r>
        <w:rPr>
          <w:rStyle w:val="None"/>
          <w:rFonts w:ascii="Times New Roman" w:hAnsi="Times New Roman"/>
          <w:b/>
          <w:bCs/>
          <w:sz w:val="24"/>
          <w:szCs w:val="24"/>
          <w:rtl/>
          <w:lang w:val="ar-SA"/>
        </w:rPr>
        <w:t>:</w:t>
      </w:r>
    </w:p>
    <w:p w14:paraId="294C5F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يُعَدُّ البريد الإلكتروني أحد أهم الوسائل المستحدثة في تكنولوجيا الاتصالات؛ إذ إنَّه من أهم تطبيقات الإنترنت وأكثرها استخدامًا، وقد فرض نفسه إلى جانب الوسائل التقليدية للاتصال بفضل سرعته الفائقة وتكلفته البسيطة وسهولة استخدامه ومرونته، فالبريد الإلكتروني يحتل مكانًا ضروريًا في الحياة اليومية لكل مستخدم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20784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البريد الإلكتروني أهم وسائل تكنولوجيا المعلومات، والتي تمتاز بأنَّها وسيلة صامتة سريعة ودقيقة في نقل المعلومات والملفات كما هي موجودة، ولا اعتبار لعنصر الزمان والمكان، فلا تحتاج لتسريب المعلومات من الشركة أنْ تسرق الأوراق الأصلية إنما مجرد صورة عنها وترسل من مكان العمل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576A2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البريد الإلكتروني أداة فعَّالة، ويستخدم في مجالات الحياة اليومية من استقبال وإرسال الرسائل عبر البريد الإلكتروني، كما يمكن إرسال ملفات أو صور، أو أي مستندات، فالبريد الإلكتروني أداة أساسية في التعاملات،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تسجيل الحسابات، وتلقي الإشعارات عند تسجيل في الخدمات</w:t>
      </w:r>
      <w:r>
        <w:rPr>
          <w:rStyle w:val="None"/>
          <w:rFonts w:ascii="Times New Roman" w:hAnsi="Times New Roman"/>
          <w:sz w:val="24"/>
          <w:szCs w:val="24"/>
          <w:rtl/>
          <w:lang w:val="ar-SA"/>
        </w:rPr>
        <w:t>.</w:t>
      </w:r>
    </w:p>
    <w:p w14:paraId="53355BB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يعرَّف البريد الإلكتروني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اختصار للمصطلح </w:t>
      </w:r>
      <w:r>
        <w:rPr>
          <w:rStyle w:val="None"/>
          <w:rFonts w:ascii="Times New Roman" w:hAnsi="Times New Roman"/>
          <w:sz w:val="24"/>
          <w:szCs w:val="24"/>
        </w:rPr>
        <w:t>Electronic mail</w:t>
      </w:r>
      <w:r>
        <w:rPr>
          <w:rStyle w:val="None"/>
          <w:rFonts w:ascii="Arial Unicode MS" w:hAnsi="Arial Unicode MS" w:cs="Times New Roman" w:hint="cs"/>
          <w:sz w:val="24"/>
          <w:szCs w:val="24"/>
          <w:rtl/>
          <w:lang w:val="ar-SA"/>
        </w:rPr>
        <w:t xml:space="preserve"> ويقوم على إرسال الصور والبرامج والملفات من شخص إلى آخر عن طريق بريده الإلكتروني بدلًا من البريد العادي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6"/>
      </w:r>
      <w:r>
        <w:rPr>
          <w:rStyle w:val="None"/>
          <w:rFonts w:ascii="Times New Roman" w:hAnsi="Times New Roman"/>
          <w:sz w:val="24"/>
          <w:szCs w:val="24"/>
          <w:vertAlign w:val="superscript"/>
          <w:rtl/>
          <w:lang w:val="ar-SA"/>
        </w:rPr>
        <w:t>).</w:t>
      </w:r>
    </w:p>
    <w:p w14:paraId="410B81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يُعَدُّ البريد الإلكتروني وسيلةً للإرسال، والاستقبال، والتبادل عبر نظم الاتصالات الإلكترونية، أهمها شبكة الإنترنت، وهي وسيلة سريعة لتبادل الرسائل تغني عن استخدام البريد التقليدي، وتخزن الرسائل الإلكترونية في الحاسب الخادم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3CA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البريد الإلكتروني يمكن أنْ يستخدم في تبادل المصنفات الفكرية ونشرها من خلاله؛ حيث يقوم المؤلفون بإرسال مؤلفاتهم إلى جهات متعددة لنشرها؛ ممَّا أدى إلى سهولة عملية النشر والتوزيع الرقمي، فالبريد الإلكتروني أفضل وسيلة من وسائل النشر عكس الوسائل التقليدية</w:t>
      </w:r>
      <w:r>
        <w:rPr>
          <w:rStyle w:val="None"/>
          <w:rFonts w:ascii="Times New Roman" w:hAnsi="Times New Roman"/>
          <w:sz w:val="24"/>
          <w:szCs w:val="24"/>
          <w:rtl/>
          <w:lang w:val="ar-SA"/>
        </w:rPr>
        <w:t>.</w:t>
      </w:r>
    </w:p>
    <w:p w14:paraId="021BBB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خدمة البريد الإلكتروني هي أهم الخدمات المتاحة على شبكات الإنترنت، كما أنَّها تتسم بالسرعة في إرسال الملفات بين الأفراد، فتتيح هذه الخدمة نقل الملفات،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الصور، أو ملفات الصوت والفيديو، من الممكن يتم الاعتداء على الملفات التي يتم إرسالها عبر البريد الإلكتروني الخاصة بالمصنفات الفكرية، فالنظام يحمي هذه المصنفات التي يتم إرسالها عبر البريد الإلكتروني</w:t>
      </w:r>
      <w:r>
        <w:rPr>
          <w:rStyle w:val="None"/>
          <w:rFonts w:ascii="Times New Roman" w:hAnsi="Times New Roman"/>
          <w:sz w:val="24"/>
          <w:szCs w:val="24"/>
          <w:rtl/>
          <w:lang w:val="ar-SA"/>
        </w:rPr>
        <w:t>.</w:t>
      </w:r>
    </w:p>
    <w:p w14:paraId="7CEF48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فقد حدد النظام في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بالغرامة المالية لا تزيد على مائتين وخمسين ألف ريالٍ، أو إغلاق المنشأة المتعدية على الاعتداء على حق المؤلف، ومصادرة جميع نسخ المصنف، والمواد المستخدمة في هذا الاعتداء، أو السجن لمدة لا تزيد على ستة أشهر، ومن الممكن أنْ تكون العقوبة السجن والغرامة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8"/>
      </w:r>
      <w:r>
        <w:rPr>
          <w:rStyle w:val="None"/>
          <w:rFonts w:ascii="Times New Roman" w:hAnsi="Times New Roman"/>
          <w:sz w:val="24"/>
          <w:szCs w:val="24"/>
          <w:vertAlign w:val="superscript"/>
          <w:rtl/>
          <w:lang w:val="ar-SA"/>
        </w:rPr>
        <w:t>)</w:t>
      </w:r>
    </w:p>
    <w:p w14:paraId="02CFA4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الرسائل الإلكترونية من وسائل الإثبات التي أقرها المشرع، فالرسائل الإلكترونية لها حجية قانونية في مجال حماية حقوق المؤلف؛ إذ يمكن استخدامها لإثبات مليكة المصنفات الأدبية، أو الفنية عند تداولها عبر الوسائل الإلكترونية، فهذا يضمن الحقوق الفكرية لأصاحبها ويمنع الاعتداء عليها أو نسبها إلى الغير</w:t>
      </w:r>
      <w:r>
        <w:rPr>
          <w:rStyle w:val="None"/>
          <w:rFonts w:ascii="Times New Roman" w:hAnsi="Times New Roman"/>
          <w:sz w:val="24"/>
          <w:szCs w:val="24"/>
          <w:rtl/>
          <w:lang w:val="ar-SA"/>
        </w:rPr>
        <w:t>.</w:t>
      </w:r>
    </w:p>
    <w:p w14:paraId="72E668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أقر المنظم السعودي أنَّ للدليل الإلكتروني الحجية القانونية في المعاملات الإلكترونية، وفقًا لما جاء به نظام الإثبات السعودي في المادة </w:t>
      </w:r>
      <w:r>
        <w:rPr>
          <w:rStyle w:val="None"/>
          <w:rFonts w:ascii="Times New Roman" w:hAnsi="Times New Roman"/>
          <w:sz w:val="24"/>
          <w:szCs w:val="24"/>
          <w:rtl/>
          <w:lang w:val="ar-SA"/>
        </w:rPr>
        <w:t>55 "</w:t>
      </w:r>
      <w:r>
        <w:rPr>
          <w:rStyle w:val="None"/>
          <w:rFonts w:ascii="Arial Unicode MS" w:hAnsi="Arial Unicode MS" w:cs="Times New Roman" w:hint="cs"/>
          <w:sz w:val="24"/>
          <w:szCs w:val="24"/>
          <w:rtl/>
          <w:lang w:val="ar-SA"/>
        </w:rPr>
        <w:t>يكون للإثبات بالدليل الرقمي حكم الإثبات بالكتابة الوارد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3DA109" w14:textId="77777777" w:rsidR="00454428" w:rsidRDefault="00000000" w:rsidP="00C72BA8">
      <w:pPr>
        <w:pStyle w:val="ListParagraph"/>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 xml:space="preserve">: </w:t>
      </w:r>
    </w:p>
    <w:p w14:paraId="33578E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البيانات من بين المصنفات ذات الصلة بالحاسوب، وهي إحدى صور الإنتاج الفكري التي لها علاقة بالتطوُّر التكنولوجي الحديث؛ إذْ تحتل مكانةً مهمةً في صناعة المعلومات، وهي ثاني مصنف رقمي بعد برامج الحاسوب؛ حيث ترتبط به وجودًا؛ كونها الآلية التي من خلالها يتم تنظيم معلومات الحاسوب؛ لأنَّ ظهورها ارتبط بظهور برامج الحاسوب، وهي منتجات ذات طبيعة 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0"/>
      </w:r>
      <w:r>
        <w:rPr>
          <w:rStyle w:val="None"/>
          <w:rFonts w:ascii="Times New Roman" w:hAnsi="Times New Roman"/>
          <w:sz w:val="24"/>
          <w:szCs w:val="24"/>
          <w:vertAlign w:val="superscript"/>
          <w:rtl/>
          <w:lang w:val="ar-SA"/>
        </w:rPr>
        <w:t>)</w:t>
      </w:r>
    </w:p>
    <w:p w14:paraId="41156D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بقاعدة البيانات أنَّها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تجمُّع للبيانات يتميز بالابتكار في الترتيب والعرض، ويعكس مجهودًا شخصيًا جديرًا بالحماية، سواء كان هذا التجميع بلغة أو رمز أو بأي شكل آخر على أنْ يكون مخزنًا بواسطة الحاسب الآلي، وقابلًا للاسترجاع بواسطته أو بأية وسيلة إلكترونية 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03AB2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 العلماء في التعريف القانوني لقواعد البيانات كونها مصنفًا معلوماتيًا من الأشكال المستحدثة في بيئة حق المؤلف، التي تطوَّرت تطوُّرًا مطردًا مع الثورة المعلوماتية الهائلة التي يشهدها التقدم التكنولوجي، واختلاف العناصر التي تم الاعتماد عليها من أجل تعريفها، وسوف نوضح تعريف قواعد البيانات طبقًا للاتفاقيات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2"/>
      </w:r>
      <w:r>
        <w:rPr>
          <w:rStyle w:val="None"/>
          <w:rFonts w:ascii="Times New Roman" w:hAnsi="Times New Roman"/>
          <w:sz w:val="24"/>
          <w:szCs w:val="24"/>
          <w:vertAlign w:val="superscript"/>
          <w:rtl/>
          <w:lang w:val="ar-SA"/>
        </w:rPr>
        <w:t>)</w:t>
      </w:r>
    </w:p>
    <w:p w14:paraId="1DCB12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تعرَّف قاعدة البيانات من معاهدة الويبو المادة الخامسة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مجموعات البيانات أو المواد الأخرى بالحماية بصفتها هذه، أيًا كان شكلها، إذا كانت تعتبر ابتكاراتٍ فكريةً؛ بسبب اختيار محتوياتها أو ترتيبها، ولا تشمل هذه الحماية البيانات أو المواد في حد ذاتها، ولا تخل بأي حق للمؤلف قائم في البيانات أو المواد الواردة في المجموعة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92807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نصت المادة الثانية الفقرة الخامسة من اتفاقية برن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تتمتع مجموعات المصنفات الأدبية أو الفنية لدوائر المعارف والمختارات الأدبية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تعتبر ابتكارًا فكريًا؛ بسبب اختيار وترتيب محتوياتها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بهذه الصفة، وذلك دون المساس بحقوق المؤلفين فيما يختص بكل مصنف يشكل جزءًا من هذه المجموعات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9570A4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بُدَّ من التأكيد على أنَّه في عصر الإنترنت وشبكات الأعمال، فإنَّ قواعد البيانات الإلكترونية أصبحت من الأصول ذات القيمة العالية، فإنَّ الرقابة على الأصول أصبحت تتضمن التدقيق والمراجعة على هذه القواعد وسلامتها وحمايتها؛ لأنَّ الخسارة في هذه الأصول الإلكترونية لا تقل أهميةً في عالم الأعمال الإلكترونية عن الخسارة في الأصول المادية، وإذا كانت القرصنة أو الاستخدام غير المرخص لقواعد البيانات يحمل أخطارًا في كون بعض الشركات مجال عملها هو إدخال قواعد البيانات الجديدة، أو تطوير قواعد البيانات الحالية؛ ممَّا يجعل مثل الاستخدام غير المرخص مصدرًا للمخاطرة في عدم قدرة الشركة المطورة على استرداد ما استثمرت في تطوير قواعد البيانات،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قواعد البيانات قد تحصل على فرص أفضل في استمرار تطويرها بمساهمة أعداد كبيرة من المستخدمين في حالة عدم المبالغة والتشدد في التأكيد على الحماية القانونية، فإنَّ الموازنة في الحقوق والفرص ضرورية؛ من أجل الاستفادة المتبادلة، ومن أجل الابتكار لقواعد البيانات والتحسينات اللاحقة عليها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3236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قواعد البيانات من المصنفات التي أفرزها التطوُّر التكنولوجي الحديث بظهور المعلوماتية والإنترنت، خصوصًا مع التقدم الملحوظ في شتى مجالات الحياة الذي أدى لكثرة المعلومات وتنوعها، فباتت البيانات الوسيلة الوحيدة المثالية لاحتواء هذه المعلومات وما يطرأ عليها من تعديلات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6"/>
      </w:r>
      <w:r>
        <w:rPr>
          <w:rStyle w:val="None"/>
          <w:rFonts w:ascii="Times New Roman" w:hAnsi="Times New Roman"/>
          <w:sz w:val="24"/>
          <w:szCs w:val="24"/>
          <w:vertAlign w:val="superscript"/>
          <w:rtl/>
          <w:lang w:val="ar-SA"/>
        </w:rPr>
        <w:t>)</w:t>
      </w:r>
    </w:p>
    <w:p w14:paraId="1069B3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قاعد البيانات تتمتع بالحماية طبقًا لنص المادة العاشرة من اللائحة التنفيذية لنظام حقوق المؤلف، التي تنص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بالحماية قواعد البيانات الأصلية بفضل انتقاء وترتيب محتوياتها كإبداعات ذهنية، ولا تمتد هذه الحماية للبيانات أو المواد ذاتها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1F636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التحديات التقنية في تداول الإنتاج الفكري الرقمي</w:t>
      </w:r>
      <w:r>
        <w:rPr>
          <w:rStyle w:val="None"/>
          <w:rFonts w:ascii="Times New Roman" w:hAnsi="Times New Roman"/>
          <w:b/>
          <w:bCs/>
          <w:sz w:val="28"/>
          <w:szCs w:val="28"/>
          <w:rtl/>
          <w:lang w:val="ar-SA"/>
        </w:rPr>
        <w:t>:</w:t>
      </w:r>
    </w:p>
    <w:p w14:paraId="4934E8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عصر الرقمنة المتسارع أصبحت البيئة الرقمية محط اهتمام العديد من الأفراد والمؤسسات؛ حيث تعتبر مصدرًا رئيسيًا لتبادل المعلومات والتفاعل الاجتماعي، ومع ذلك يرتبط هذا العصر بتحديات متزايدة تتعلق بحماية الخصوصية والبيانات الشخصية في البيئة الرقمية، فمع تزايد حجم البيانات وتنوعها، يتزايد أيضًا التهديد للخصوصية الفردية وسرية المعلومات، وتتطلب حماية البيانات الشخصية في البيئة الرقمية اهتمامًا مستمرًا وجهودًا مشتركة من </w:t>
      </w:r>
      <w:r>
        <w:rPr>
          <w:rStyle w:val="None"/>
          <w:rFonts w:ascii="Arial Unicode MS" w:hAnsi="Arial Unicode MS" w:cs="Times New Roman" w:hint="cs"/>
          <w:sz w:val="24"/>
          <w:szCs w:val="24"/>
          <w:rtl/>
          <w:lang w:val="ar-SA"/>
        </w:rPr>
        <w:lastRenderedPageBreak/>
        <w:t xml:space="preserve">الأفراد، والمؤسسات، والجهات التشريعية، فالتحول الرقمي يفتح الباب أمام تبادل المعلومات بشكل واسع؛ ممَّا يجعل الحاجة إلى آليات فعَّالة لحماية الخصوصية أمرًا ضروريًا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BD6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تشهد نظم المعلومات ثورةً هائلةً أدت إلى تغييرات جذرية متسارعة؛ حيث ظهرت تطبيقات جديدة، أبرزها ما يعرف بتقنيات الذكاء الاصطناعي، الذي يُعَدُّ حقلًا جديدًا؛ إذْ يشير الواقع إلى أنَّ استخدامات الذكاء الاصطناعي تمتد لتتدخل في تكنولوجيا وصناعة المواد الطبية والأدوية، والصناعات المتقدمة، وتكنولوجيا المعلومات والإدارة، وصناعة الأسلحة ووسائل الدفاع، وغيرها من المجالات التي لا يمكن حصرها أو عدها، ويمثل الذكاء الاصطناعي تحديًا جديدًا للقانون في مستويات عدة، وهذا من حيث إمكانية تطبيق القواعد القانونية الموجودة على جميع المسائل القانونية التي يمكن أنْ يثيرها الذكاء الاصطناعي كنظام الملكية الفكرية، ونظام المسئولية العقدية أو التقصيرية إلى جانب المسئولية الجزائية، وحماية المعطيات الشخصية، والمنافسة وغيرها من المسائل التي عالجها النظام بحكم كون الإنسان فاعلًا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22B52A" w14:textId="77777777" w:rsidR="00454428" w:rsidRDefault="00000000" w:rsidP="00C72BA8">
      <w:pPr>
        <w:pStyle w:val="ListParagraph"/>
        <w:numPr>
          <w:ilvl w:val="0"/>
          <w:numId w:val="9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الاعتداء على حقوق الملكية الفكرية الرقمية</w:t>
      </w:r>
      <w:r>
        <w:rPr>
          <w:rStyle w:val="None"/>
          <w:rFonts w:ascii="Times New Roman" w:hAnsi="Times New Roman"/>
          <w:sz w:val="24"/>
          <w:szCs w:val="24"/>
          <w:rtl/>
          <w:lang w:val="ar-SA"/>
        </w:rPr>
        <w:t>:</w:t>
      </w:r>
    </w:p>
    <w:p w14:paraId="498CEE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نظرًا لضخامة الإنتاج الفكري المنشور عبر الإنترنت، فإنَّه من الصعوبة التحقق من الملكية الفكرية لأي محتوى إلكتروني على المواقع المختلفة،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اكتشاف التعديات على حقوق الملكية الفكرية في البيئة الرقمية يواجه صعوبة إلا في الأعمال التي تلقى قبولًا كبيرًا، وانتشارًا واسعًا، فيسهل اكتشاف الانتهاكات على حقوق الملكية الفكرية</w:t>
      </w:r>
      <w:r>
        <w:rPr>
          <w:rStyle w:val="None"/>
          <w:rFonts w:ascii="Times New Roman" w:hAnsi="Times New Roman"/>
          <w:sz w:val="24"/>
          <w:szCs w:val="24"/>
          <w:rtl/>
          <w:lang w:val="ar-SA"/>
        </w:rPr>
        <w:t>.</w:t>
      </w:r>
    </w:p>
    <w:p w14:paraId="3EABD0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تطوُّر تكنولوجيا المعلومات والاتصالات أثر على ابتكار المصنفات الأدبية والفنية والانتفاع بها، وتحويل الملفات التقليدية وإنتاج الأفكار لتوضع في فضاء الإنترنت؛ ممَّا يؤثر على الحماية الممنوحة بموجب حق المؤلف، هذا أدى إلى ظهور مشكلات قانونية مختلفة؛ نتيجة استخدام شبكة الإنترنت التي تحتوي على مواقع متعددة؛ حيث إنَّ لها كثيرًا من محركات للبحث عن المصنفات الرقمية؛ ممَّا يسهل عملية التنزيل أو النسخ غير المرخص به؛ حيث يتم نشر المصنف بطريقة غير مشروعة وبأقل تكلفة وأقل جهد؛ ممَّا يجعل ذلك اعتداءً على حقوق الناشر،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اعتداء على حقوق المؤلف 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0"/>
      </w:r>
      <w:r>
        <w:rPr>
          <w:rStyle w:val="None"/>
          <w:rFonts w:ascii="Times New Roman" w:hAnsi="Times New Roman"/>
          <w:sz w:val="24"/>
          <w:szCs w:val="24"/>
          <w:vertAlign w:val="superscript"/>
          <w:rtl/>
          <w:lang w:val="ar-SA"/>
        </w:rPr>
        <w:t>)</w:t>
      </w:r>
    </w:p>
    <w:p w14:paraId="6057D3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الاعتداء هو تجاوز الحدود المسموح بها، كما يُعَدُّ انتهاك شيء محمي قانونًا أو الاستعمال بدون وجه حق لشيء ما دون استئذان صاحبه أو مالكه، والاعتداء على حقوق المؤلف هي الاستغلال أو الاستعمال غير المشروع لحق من حقوق المؤلف دون إذن من صاحبها أي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1"/>
      </w:r>
      <w:r>
        <w:rPr>
          <w:rStyle w:val="None"/>
          <w:rFonts w:ascii="Times New Roman" w:hAnsi="Times New Roman"/>
          <w:sz w:val="24"/>
          <w:szCs w:val="24"/>
          <w:vertAlign w:val="superscript"/>
          <w:rtl/>
          <w:lang w:val="ar-SA"/>
        </w:rPr>
        <w:t>)</w:t>
      </w:r>
    </w:p>
    <w:p w14:paraId="2447F93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فمن أشكال التعدي على الملكية الفكرية في البيئة الرقمية نشر المصنفات الرقمية، دون الحصول على إذن والنسخ واللصق، وإعادة النسخ، وتعديل المصنف، ومِنْ ثَمَّ توزيعه أو إعادة توزيعه التحميل على أجهزة الحاسوب للتعديل، أي تعدي غير قانوني على المصنفات، أو أي استخدام أو تداول غير قانوني والاستفادة من الاستخدامات المتعددة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2"/>
      </w:r>
      <w:r>
        <w:rPr>
          <w:rStyle w:val="None"/>
          <w:rFonts w:ascii="Times New Roman" w:hAnsi="Times New Roman"/>
          <w:sz w:val="24"/>
          <w:szCs w:val="24"/>
          <w:vertAlign w:val="superscript"/>
          <w:rtl/>
          <w:lang w:val="ar-SA"/>
        </w:rPr>
        <w:t>)</w:t>
      </w:r>
    </w:p>
    <w:p w14:paraId="783020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الاعتداء على حقوق الملكية الفكرية في عصر البيئة الرقمية من أهم التحديات التي تواجه المؤلفين؛ حيث أصبح في متناول الجميع الاطلاع، والنسخ، وإعادة النشر، والتوزيع عبر الشبكات الرقمية، يتم هذا دون إذن من صاحبها، كما يشمل هذا الاعتداء صورًا متعددة،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قرصنة البرامج، وتحميل الكتب أو أي محتوى آخر دون ترخيص، فهذه الاعتداءات تجد صعوبةً في الرقابة عليها خلال الشبكات الرقمية</w:t>
      </w:r>
      <w:r>
        <w:rPr>
          <w:rStyle w:val="None"/>
          <w:rFonts w:ascii="Times New Roman" w:hAnsi="Times New Roman"/>
          <w:sz w:val="24"/>
          <w:szCs w:val="24"/>
          <w:rtl/>
          <w:lang w:val="ar-SA"/>
        </w:rPr>
        <w:t>.</w:t>
      </w:r>
    </w:p>
    <w:p w14:paraId="694F217B" w14:textId="77777777" w:rsidR="00454428" w:rsidRDefault="00000000" w:rsidP="00C72BA8">
      <w:pPr>
        <w:pStyle w:val="ListParagraph"/>
        <w:numPr>
          <w:ilvl w:val="0"/>
          <w:numId w:val="9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ضعف الحماية ضد القرصنة والانتهاك</w:t>
      </w:r>
      <w:r>
        <w:rPr>
          <w:rStyle w:val="None"/>
          <w:rFonts w:ascii="Times New Roman" w:hAnsi="Times New Roman"/>
          <w:b/>
          <w:bCs/>
          <w:sz w:val="24"/>
          <w:szCs w:val="24"/>
          <w:rtl/>
          <w:lang w:val="ar-SA"/>
        </w:rPr>
        <w:t>:</w:t>
      </w:r>
    </w:p>
    <w:p w14:paraId="1BC462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مصطلح القرصنة انتشارًا كبيرًا في لغة العصر الحديث؛ ليعبر عن الاعتداء الصارخ، والذي يقع على الدعامات المادية للمصنف الفكري، أو على وعائه،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التسجيلات السمعية والبصرية، ويُستخدم هذا التعبير في مجال البرمجيات؛ ليشمل الاختراقات التي يقوم بها البعض للأنظمة المعلوماتية؛ بهدف الاستيلاء على المعلومات أو البيانات السرية، أو زرع فيروسات في أنظمة الكمبيوتر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3"/>
      </w:r>
      <w:r>
        <w:rPr>
          <w:rStyle w:val="None"/>
          <w:rFonts w:ascii="Times New Roman" w:hAnsi="Times New Roman"/>
          <w:sz w:val="24"/>
          <w:szCs w:val="24"/>
          <w:vertAlign w:val="superscript"/>
          <w:rtl/>
          <w:lang w:val="ar-SA"/>
        </w:rPr>
        <w:t>)</w:t>
      </w:r>
    </w:p>
    <w:p w14:paraId="57FBC5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جعلت التطوُّرات التكنولوجية والتقنية المتسارعة حق النسخ مثار جدل في ظل تقنيات النشر الرقمي للمصنفات عبر الوسائط الرقمية المتعددة كشبكة الإنترنت؛ حتى بتنا أمام وصف النسخ الرقمي لجميع المصنفات التي تتواجب في البيئة الرقمية، ونتيجةً للتقنيات الرقمية في مجال المعلومات وسبل الاتصالات وُجدت الوسائط الإلكترونية لتجوب بالمصنفات المحمية الفضاء الكوني، عبر مواقع الشبكة العنكبوتية العالمية التي تتيح لمستخدميها تصفح المصنفات والاستفادة منها، غير أنَّ المستخدمين يتجاوزون هذا الغرض، ويقومون بنسخ أية مصنفات منشورة إلكترونيًا، وذلك لاستغلالها بشكل أو بآخر دون الحصول على موافقة مسبقة من مؤلفي هذه المصنفات بوصفهم أصحاب الحقوق الأدبية والمالية؛ ممَّا يشكل اعتداءً على حقوقهم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4"/>
      </w:r>
      <w:r>
        <w:rPr>
          <w:rStyle w:val="None"/>
          <w:rFonts w:ascii="Times New Roman" w:hAnsi="Times New Roman"/>
          <w:sz w:val="24"/>
          <w:szCs w:val="24"/>
          <w:vertAlign w:val="superscript"/>
          <w:rtl/>
          <w:lang w:val="ar-SA"/>
        </w:rPr>
        <w:t>)</w:t>
      </w:r>
    </w:p>
    <w:p w14:paraId="70DBE7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فالقرصنة تعني الاستخدام أو النسخ غير القانوني لأنظمة التشغيل أو برامج الحاسوب المختلفة دون وجه حق، وقد تكون للقرصنة طبيعة تجسسية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سياسية، أو عسكرية، أو اقتصادية، أو إدارية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تهدف إلى الاستيلاء على بعض حقوق الملكية الأدبية والصناعية، ومن أشكال القرصنة تقليد البرامج، وسرقة البرامج الأصلية، بالإضافة إلى نسخ البرامج وبيعها دون دفع أموال للحصول على ترخيص بذلك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5"/>
      </w:r>
      <w:r>
        <w:rPr>
          <w:rStyle w:val="None"/>
          <w:rFonts w:ascii="Times New Roman" w:hAnsi="Times New Roman"/>
          <w:sz w:val="24"/>
          <w:szCs w:val="24"/>
          <w:vertAlign w:val="superscript"/>
          <w:rtl/>
          <w:lang w:val="ar-SA"/>
        </w:rPr>
        <w:t>)</w:t>
      </w:r>
    </w:p>
    <w:p w14:paraId="3F3D95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ظاهرة القرصنة الإلكترونية أصبحت تشكل خطرًا كبيرًا على حقوق الملكية الأدبية والفنية، بالإضافة إلى عرقلة الإبداع الفكري والابتكار؛ بسبب التعدي على حقوق الملكية الفكرية والنظام المعلوماتي، وهذا يؤثر سلبًا على النمو والاستثمار في العديد من المجالات الاقتصادية والاجتماعية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6"/>
      </w:r>
      <w:r>
        <w:rPr>
          <w:rStyle w:val="None"/>
          <w:rFonts w:ascii="Times New Roman" w:hAnsi="Times New Roman"/>
          <w:sz w:val="24"/>
          <w:szCs w:val="24"/>
          <w:vertAlign w:val="superscript"/>
          <w:rtl/>
          <w:lang w:val="ar-SA"/>
        </w:rPr>
        <w:t>)</w:t>
      </w:r>
    </w:p>
    <w:p w14:paraId="388D08C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القرصنة من أخطر أشكال الانتهاكات على حقوق الملكية الفكرية في البيئة الرقمية، فهي تشمل انتهاكات على البرامج، والتطبيقات، والكتب الإلكترونية، والإنتاج الفكري، وغيرها من المحتويات، تتم هذه الانتهاكات دون موافقة صاحب المصنف، كما يتم نسب هذا المصنف أو الإبداع الفكري لنفسه، فتمثل القرصنة من أهم التحديات التي تواجه المؤلفين والمبتكرين في البيئة الرقمية</w:t>
      </w:r>
      <w:r>
        <w:rPr>
          <w:rStyle w:val="None"/>
          <w:rFonts w:ascii="Times New Roman" w:hAnsi="Times New Roman"/>
          <w:sz w:val="24"/>
          <w:szCs w:val="24"/>
          <w:rtl/>
          <w:lang w:val="ar-SA"/>
        </w:rPr>
        <w:t>.</w:t>
      </w:r>
    </w:p>
    <w:p w14:paraId="15971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الأمن السيبراني أحد عناصر الأمن القومي غير التقليدية؛ لأنَّ أحد مستخدمي الفضاء الإلكتروني بإمكانه أنْ يوقع خسائرَ فادحةً بالطرف الآخر، وأنْ يتسبب في شل البينة المعلوماتية والاتصالية الخاصة به، وهو ما يسبب خسائر عسكرية واقتصادية فادحة، من خلال قطع أنظمة الاتصال بين الوحدات العسكرية وبعضها البعض، أو تضليل معلوماتها، أو سرقة معلومات سرية عنها، أو من خلال التلاعب بالبيانات الاقتصادية والمالية وتزييفها أو مسحها من أجهزة الحواسب، أو سرقة البيانات الشخصية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7"/>
      </w:r>
      <w:r>
        <w:rPr>
          <w:rStyle w:val="None"/>
          <w:rFonts w:ascii="Times New Roman" w:hAnsi="Times New Roman"/>
          <w:sz w:val="24"/>
          <w:szCs w:val="24"/>
          <w:vertAlign w:val="superscript"/>
          <w:rtl/>
          <w:lang w:val="ar-SA"/>
        </w:rPr>
        <w:t>)</w:t>
      </w:r>
    </w:p>
    <w:p w14:paraId="07308DAB" w14:textId="4D5B05EA" w:rsidR="00454428" w:rsidRPr="00C72BA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القرصنة لها أشكال عديدة من الاعتداءات، يوجد قرصنة على حقوق الملكية الفكرية تتمثل في الاستيلاء أو النسخ، أو التوزيع غير المشروع للمصنفات المحمية بحقوق المؤلف سواء المادية أو الأدبية؛ بسبب تحقيق مكاسب مالية أو تجارية غير مشروعة، أما القرصنة المرتبطة بالتجسس والأمن السيبراني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اختراق لأنظمة الحاسب الآلي أو اختراق برامج؛ بهدف تجسس عسكري، أو سياسي، أو سرقة بيانات حكومية ومؤسسات</w:t>
      </w:r>
      <w:r>
        <w:rPr>
          <w:rStyle w:val="None"/>
          <w:rFonts w:ascii="Times New Roman" w:hAnsi="Times New Roman"/>
          <w:sz w:val="24"/>
          <w:szCs w:val="24"/>
          <w:rtl/>
          <w:lang w:val="ar-SA"/>
        </w:rPr>
        <w:t>.</w:t>
      </w:r>
    </w:p>
    <w:p w14:paraId="6CB79A15" w14:textId="77777777" w:rsidR="00454428" w:rsidRDefault="00000000" w:rsidP="00C72BA8">
      <w:pPr>
        <w:pStyle w:val="ListParagraph"/>
        <w:numPr>
          <w:ilvl w:val="0"/>
          <w:numId w:val="100"/>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التورنت</w:t>
      </w:r>
      <w:r>
        <w:rPr>
          <w:rStyle w:val="None"/>
          <w:rFonts w:ascii="Times New Roman" w:hAnsi="Times New Roman"/>
          <w:b/>
          <w:bCs/>
          <w:sz w:val="28"/>
          <w:szCs w:val="28"/>
          <w:rtl/>
          <w:lang w:val="ar-SA"/>
        </w:rPr>
        <w:t xml:space="preserve">: </w:t>
      </w:r>
    </w:p>
    <w:p w14:paraId="5A9F03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القرصنة عبر التورنت من أبرز صور القرصنة الرقمية في العصر الحديث، فتوفر منصات المشاركة اللامركزية تداول الملفات المحمية بحقوق الملكية الفكرية بسهولة وسرعة بين المستخدمين دون رقابة مباشرة، وقد ساعد هذا النمط في إلحاق أضرار ملحوظة بالمبدعين والشركات المنتجة من خلال تقليل الإيرادات المتوقعة للأعمال الفنية والبرمجية، والتأثير بالسلب على فرص العمل وحوافز الابتكار في هذه القطاعات، كما تزداد صعوبة مواجهة هذه الظاهرة بسبب طبيعتها العابرة للحدود واعتمادها على تقنيات يصعب تتبعها أو التحكم فيها قانونيًا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8"/>
      </w:r>
      <w:r>
        <w:rPr>
          <w:rStyle w:val="None"/>
          <w:rFonts w:ascii="Times New Roman" w:hAnsi="Times New Roman"/>
          <w:sz w:val="24"/>
          <w:szCs w:val="24"/>
          <w:vertAlign w:val="superscript"/>
          <w:rtl/>
          <w:lang w:val="ar-SA"/>
        </w:rPr>
        <w:t>)</w:t>
      </w:r>
    </w:p>
    <w:p w14:paraId="21685A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تظهر القرصنة عبر التورنت كأحد الصور الواضحة لهذه الجرائم الرقمية؛ حيث يتجه بعض المستخدمين إلى شبكات مشاركة الملفات غير القانونية للحصول على محتوى محمي بحقوق النشر بدون تصريح، وفي البيئات التي </w:t>
      </w:r>
      <w:r>
        <w:rPr>
          <w:rStyle w:val="None"/>
          <w:rFonts w:ascii="Arial Unicode MS" w:hAnsi="Arial Unicode MS" w:cs="Times New Roman" w:hint="cs"/>
          <w:sz w:val="24"/>
          <w:szCs w:val="24"/>
          <w:rtl/>
          <w:lang w:val="ar-SA"/>
        </w:rPr>
        <w:lastRenderedPageBreak/>
        <w:t>تتسم بصرامة في تطبيق قوانين الملكية الفكرية، من الممكن أن تزداد القيود على الوصول إلى المحتوى الرقمي نتيجة إلزام المنصات بحذف المواد المخالفة وتحميلها مسؤوليات قانونية، وهو ما قد يدفع بعض الناس إلى اللجوء لبدائل غير مشروعة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منصات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B5DE7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فيعتمد نظام تورنت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على توزيع الملفات عبر شبكة نظير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نظير؛ بحيث يتم تقسيم الملفات إلى أجزاء صغيرة يمكن تنزيلها من عدة مستخدمين في الوقت نفسه، والذي يسرع عملية التحميل ويقلل الاعتماد على خادم مركزي، ويظل الأشخاص الذين يملكون الملف كاملًا المعروفون بـ </w:t>
      </w:r>
      <w:r>
        <w:rPr>
          <w:rStyle w:val="None"/>
          <w:rFonts w:ascii="Times New Roman" w:hAnsi="Times New Roman"/>
          <w:sz w:val="24"/>
          <w:szCs w:val="24"/>
          <w:lang w:val="nl-NL"/>
        </w:rPr>
        <w:t>(Seeders)</w:t>
      </w:r>
      <w:r>
        <w:rPr>
          <w:rStyle w:val="None"/>
          <w:rFonts w:ascii="Arial Unicode MS" w:hAnsi="Arial Unicode MS" w:cs="Times New Roman" w:hint="cs"/>
          <w:sz w:val="24"/>
          <w:szCs w:val="24"/>
          <w:rtl/>
          <w:lang w:val="ar-SA"/>
        </w:rPr>
        <w:t>، مسؤولين عن نشره للآخرين، بينما يقوم المستخدمون الجدد بتنزيل أجزاء الملف من عدة مصادر في نفس الوقت، وتجعل هذه الآلية من الصعب تتبع وتحديد المصدر الأصلي للملف، وهو ما يزيد من تعقيد مكافحة الانتهاكات الرقمية للملكية الفكرية عبر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C771508" w14:textId="77777777" w:rsidR="00454428" w:rsidRDefault="00000000" w:rsidP="00C72BA8">
      <w:pPr>
        <w:pStyle w:val="ListParagraph"/>
        <w:numPr>
          <w:ilvl w:val="0"/>
          <w:numId w:val="100"/>
        </w:numPr>
        <w:spacing w:line="360" w:lineRule="auto"/>
        <w:jc w:val="both"/>
        <w:rPr>
          <w:rFonts w:ascii="Times New Roman" w:hAnsi="Times New Roman" w:hint="default"/>
          <w:b/>
          <w:bCs/>
          <w:sz w:val="28"/>
          <w:szCs w:val="28"/>
          <w:rtl/>
        </w:rPr>
      </w:pPr>
      <w:r>
        <w:rPr>
          <w:rStyle w:val="NoneA"/>
          <w:rFonts w:ascii="Times New Roman" w:hAnsi="Times New Roman"/>
          <w:b/>
          <w:bCs/>
          <w:sz w:val="28"/>
          <w:szCs w:val="28"/>
        </w:rPr>
        <w:t>IPTV piracy</w:t>
      </w:r>
    </w:p>
    <w:p w14:paraId="1F6E85D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w:t>
      </w:r>
      <w:r>
        <w:rPr>
          <w:rStyle w:val="None"/>
          <w:rFonts w:ascii="Times New Roman" w:hAnsi="Times New Roman"/>
          <w:sz w:val="24"/>
          <w:szCs w:val="24"/>
        </w:rPr>
        <w:t xml:space="preserve">IPTV </w:t>
      </w:r>
      <w:r>
        <w:rPr>
          <w:rStyle w:val="None"/>
          <w:rFonts w:ascii="Arial Unicode MS" w:hAnsi="Arial Unicode MS" w:cs="Times New Roman" w:hint="cs"/>
          <w:sz w:val="24"/>
          <w:szCs w:val="24"/>
          <w:rtl/>
          <w:lang w:val="ar-SA"/>
        </w:rPr>
        <w:t xml:space="preserve"> هو نظام بث تلفزيوني عبر الإنترنت يتيح نقل المحتوى مباشرة إلى المستخدمين عبر الشبكة بدلاً من البث التقليدي عبر الأقمار الصناعية أو الكابل، ويُستخدم أحيانًا بشكل غير قانوني لبث محتوى محمي بحقوق النشر؛ مما يؤدي إلى زيادة حالات قرصنة البث المباشر، ويستخدم المنتهكون شبكات افتراضية خاصة</w:t>
      </w:r>
      <w:r>
        <w:rPr>
          <w:rStyle w:val="None"/>
          <w:rFonts w:ascii="Times New Roman" w:hAnsi="Times New Roman"/>
          <w:sz w:val="24"/>
          <w:szCs w:val="24"/>
          <w:lang w:val="pt-PT"/>
        </w:rPr>
        <w:t xml:space="preserve"> (VPN) </w:t>
      </w:r>
      <w:r>
        <w:rPr>
          <w:rStyle w:val="None"/>
          <w:rFonts w:ascii="Arial Unicode MS" w:hAnsi="Arial Unicode MS" w:cs="Times New Roman" w:hint="cs"/>
          <w:sz w:val="24"/>
          <w:szCs w:val="24"/>
          <w:rtl/>
          <w:lang w:val="ar-SA"/>
        </w:rPr>
        <w:t>وخوادم بروكسي للالتفاف على القيود التي تفرضها المواقع الإلكترونية وأصحاب حقوق النشر، والذي يجعل تتبعهم وملاحقتهم القانونية أكثر صعوبة، كما أن استخدام شبكات</w:t>
      </w:r>
      <w:r>
        <w:rPr>
          <w:rStyle w:val="None"/>
          <w:rFonts w:ascii="Times New Roman" w:hAnsi="Times New Roman"/>
          <w:sz w:val="24"/>
          <w:szCs w:val="24"/>
        </w:rPr>
        <w:t xml:space="preserve">P2P </w:t>
      </w:r>
      <w:r>
        <w:rPr>
          <w:rStyle w:val="None"/>
          <w:rFonts w:ascii="Arial Unicode MS" w:hAnsi="Arial Unicode MS" w:cs="Times New Roman" w:hint="cs"/>
          <w:sz w:val="24"/>
          <w:szCs w:val="24"/>
          <w:rtl/>
          <w:lang w:val="ar-SA"/>
        </w:rPr>
        <w:t xml:space="preserve"> المشفرة وتقنيات التحايل على حماية الحقوق الرقمية يسهل مشاركة وإعادة إنتاج المحتوى المحمي دون إذن؛ ما يزيد من تعقيد إنفاذ قوانين الملكية الفكرية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6E102E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فتتيح خدمات </w:t>
      </w:r>
      <w:r>
        <w:rPr>
          <w:rStyle w:val="None"/>
          <w:rFonts w:ascii="Times New Roman" w:hAnsi="Times New Roman"/>
          <w:sz w:val="24"/>
          <w:szCs w:val="24"/>
        </w:rPr>
        <w:t>IPTV</w:t>
      </w:r>
      <w:r>
        <w:rPr>
          <w:rStyle w:val="None"/>
          <w:rFonts w:ascii="Arial Unicode MS" w:hAnsi="Arial Unicode MS" w:cs="Times New Roman" w:hint="cs"/>
          <w:sz w:val="24"/>
          <w:szCs w:val="24"/>
          <w:rtl/>
          <w:lang w:val="ar-SA"/>
        </w:rPr>
        <w:t xml:space="preserve"> غير القانونية للمستخدمين الوصول إلى البث المباشر لمباريات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كأس العالم عبر خوادم غير مرخصة، وفي الغالب تقدم هذه الخدمات كباقات اشتراك بسعر أقل من الخدمات الرسمية؛ ما يجذب المستخدمين الذين يريدون متابعة المباريات دون دفع التكلفة الكاملة، فتتوفر أجهزة استقبال تلفزيوني معدلة على نطاق واسع، والذي يسمح بالوصول إلى القنوات المميزة دون الاشتراك الرسمي، ويصعب مكافحة هذا النوع من القرصنة لأن توزيع البرامج والأجهزة واسع الانتشار ويجعل تتبع المستخدمين من قبل جهات إنفاذ القانون أمر معقد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7DE7831D" w14:textId="77777777" w:rsidR="00454428" w:rsidRDefault="00000000" w:rsidP="00C72BA8">
      <w:pPr>
        <w:pStyle w:val="ListParagraph"/>
        <w:numPr>
          <w:ilvl w:val="0"/>
          <w:numId w:val="100"/>
        </w:numPr>
        <w:spacing w:before="120" w:after="120" w:line="360" w:lineRule="auto"/>
        <w:jc w:val="both"/>
        <w:rPr>
          <w:rFonts w:ascii="Times New Roman" w:hAnsi="Times New Roman" w:hint="default"/>
          <w:b/>
          <w:bCs/>
          <w:sz w:val="28"/>
          <w:szCs w:val="28"/>
          <w:rtl/>
        </w:rPr>
      </w:pPr>
      <w:r>
        <w:rPr>
          <w:rStyle w:val="None"/>
          <w:rFonts w:ascii="Times New Roman" w:hAnsi="Times New Roman"/>
          <w:b/>
          <w:bCs/>
          <w:sz w:val="28"/>
          <w:szCs w:val="28"/>
        </w:rPr>
        <w:t>NFTS</w:t>
      </w:r>
      <w:r>
        <w:rPr>
          <w:rStyle w:val="None"/>
          <w:rFonts w:ascii="Times New Roman" w:hAnsi="Times New Roman"/>
          <w:b/>
          <w:bCs/>
          <w:sz w:val="28"/>
          <w:szCs w:val="28"/>
          <w:rtl/>
          <w:lang w:val="ar-SA"/>
        </w:rPr>
        <w:t xml:space="preserve">: </w:t>
      </w:r>
    </w:p>
    <w:p w14:paraId="359DDC4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الرموز غير القابلة للاستبدال </w:t>
      </w:r>
      <w:r>
        <w:rPr>
          <w:rStyle w:val="None"/>
          <w:rFonts w:ascii="Times New Roman" w:hAnsi="Times New Roman"/>
          <w:sz w:val="24"/>
          <w:szCs w:val="24"/>
          <w:rtl/>
          <w:lang w:val="ar-SA"/>
        </w:rPr>
        <w:t>(</w:t>
      </w:r>
      <w:r>
        <w:rPr>
          <w:rStyle w:val="None"/>
          <w:rFonts w:ascii="Times New Roman" w:hAnsi="Times New Roman"/>
          <w:sz w:val="24"/>
          <w:szCs w:val="24"/>
          <w:lang w:val="en-US"/>
        </w:rPr>
        <w:t>NFTs</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الابتكارات الرقمية المرتبطة بالملكية الفكرية في الفضاء الرقمي، فهي تمثل أصول رقمية مميزة يمكن مبادلاتها على منصات البلوك تشين؛ مما يوفر ملكية رقمية واضحة </w:t>
      </w:r>
      <w:r>
        <w:rPr>
          <w:rStyle w:val="None"/>
          <w:rFonts w:ascii="Arial Unicode MS" w:hAnsi="Arial Unicode MS" w:cs="Times New Roman" w:hint="cs"/>
          <w:sz w:val="24"/>
          <w:szCs w:val="24"/>
          <w:rtl/>
          <w:lang w:val="ar-SA"/>
        </w:rPr>
        <w:lastRenderedPageBreak/>
        <w:t>للمبدعين، لكنه في الوقت نفسه يفتح الباب أمام الانتهاكات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نسخ أو تداول الأعمال المحمية بحقوق الطبع والنشر دون إذن، ويصعب رصد مثل هذه الانتهاكات بسبب الطبيعة اللامركزية للبلوك تشين، الذي يجعل حماية الحقوق القانونية للمبدعين تحدي متزايد في عالم الـ </w:t>
      </w:r>
      <w:r>
        <w:rPr>
          <w:rStyle w:val="None"/>
          <w:rFonts w:ascii="Times New Roman" w:hAnsi="Times New Roman"/>
          <w:sz w:val="24"/>
          <w:szCs w:val="24"/>
          <w:lang w:val="en-US"/>
        </w:rPr>
        <w:t>NFTs</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4179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أدى ظهور الرموز غير القابلة للاستبدال</w:t>
      </w:r>
      <w:r>
        <w:rPr>
          <w:rStyle w:val="None"/>
          <w:rFonts w:ascii="Times New Roman" w:hAnsi="Times New Roman"/>
          <w:sz w:val="24"/>
          <w:szCs w:val="24"/>
          <w:lang w:val="en-US"/>
        </w:rPr>
        <w:t xml:space="preserve"> (NFTs) </w:t>
      </w:r>
      <w:r>
        <w:rPr>
          <w:rStyle w:val="None"/>
          <w:rFonts w:ascii="Arial Unicode MS" w:hAnsi="Arial Unicode MS" w:cs="Times New Roman" w:hint="cs"/>
          <w:sz w:val="24"/>
          <w:szCs w:val="24"/>
          <w:rtl/>
          <w:lang w:val="ar-SA"/>
        </w:rPr>
        <w:t>كفئة أصول رقمية تطرح أسئلة جوهرية حول طبيعة الملكية الرقمية وحماية حقوق النشر وإمكانية إنفاذ حقوق الملكية الفكرية في الأنظمة اللامركزية، فالقوانين التقليدية المصممة للأعمال المادية وأنظمة التوزيع المركزية تواجه صعوبة في التعامل مع هذه الأصول، ومع الطبيعة غير القابلة للتغيير لهذه التقنية تصبح الآليات التقليدية لتنفيذ حقوق التأليف والنشر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إزالة المحتوى أو إشعارات الإزالة محدودة الفاعلية؛ مما يزيد من تحديات حماية حقوق المبدعين في بيئة الـ</w:t>
      </w:r>
      <w:r>
        <w:rPr>
          <w:rStyle w:val="None"/>
          <w:rFonts w:ascii="Times New Roman" w:hAnsi="Times New Roman"/>
          <w:sz w:val="24"/>
          <w:szCs w:val="24"/>
          <w:lang w:val="en-US"/>
        </w:rPr>
        <w:t xml:space="preserve"> NFTs </w:t>
      </w:r>
      <w:r>
        <w:rPr>
          <w:rStyle w:val="None"/>
          <w:rFonts w:ascii="Arial Unicode MS" w:hAnsi="Arial Unicode MS" w:cs="Times New Roman" w:hint="cs"/>
          <w:sz w:val="24"/>
          <w:szCs w:val="24"/>
          <w:rtl/>
          <w:lang w:val="ar-SA"/>
        </w:rPr>
        <w:t>الرقمية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4"/>
      </w:r>
      <w:r>
        <w:rPr>
          <w:rStyle w:val="None"/>
          <w:rFonts w:ascii="Times New Roman" w:hAnsi="Times New Roman"/>
          <w:sz w:val="24"/>
          <w:szCs w:val="24"/>
          <w:vertAlign w:val="superscript"/>
          <w:rtl/>
          <w:lang w:val="ar-SA"/>
        </w:rPr>
        <w:t>)</w:t>
      </w:r>
    </w:p>
    <w:p w14:paraId="1856A592" w14:textId="77777777" w:rsidR="00454428" w:rsidRDefault="00000000" w:rsidP="00C72BA8">
      <w:pPr>
        <w:pStyle w:val="ListParagraph"/>
        <w:numPr>
          <w:ilvl w:val="0"/>
          <w:numId w:val="10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قصور القوانين التقليدية عن مواكبة البيئة الرقمية</w:t>
      </w:r>
      <w:r>
        <w:rPr>
          <w:rStyle w:val="None"/>
          <w:rFonts w:ascii="Times New Roman" w:hAnsi="Times New Roman"/>
          <w:b/>
          <w:bCs/>
          <w:sz w:val="24"/>
          <w:szCs w:val="24"/>
          <w:rtl/>
          <w:lang w:val="ar-SA"/>
        </w:rPr>
        <w:t>:</w:t>
      </w:r>
    </w:p>
    <w:p w14:paraId="4F1A87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المؤلفين في البيئة الرقمية المتشابكة يوجههم العديد من المشاكل؛ بسبب سهولة الوصول إلى هذه المؤلفات واستنساخها، في ظل تأخر وانعدام القوانين وعدم مواكبتها للسرعة التي تتطوَّر بها التكنولوجيا في البيئة الرقمية، وعدم قدرتها على التكيف مع الوضع الحالي، بل ويرى عدد من الخبراء أنَّ القوانين الحالية لحقوق التأليف والحقوق المجاورة لم تَعُدْ قابلة للتطبيق في بيئة الإنترنت؛ لذا أصبح حتمًا على جميع الهيئات الفاعلة، التفكير في حلول ومعالجات قانونية تتماشى مع روح عصر الثورة الصناعية، والتحول إلى الرقمية من أجل حماية الملكية الفكرية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CBA7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جرمت القوانين التقليدية بعض الأفعال التي تمثل اعتداء على حقوق الملكية الفكرية، ومن أمثلة الجرائم التي تتم عبر شبكة الإنترنت</w:t>
      </w:r>
      <w:r>
        <w:rPr>
          <w:rStyle w:val="None"/>
          <w:rFonts w:ascii="Times New Roman" w:hAnsi="Times New Roman"/>
          <w:sz w:val="24"/>
          <w:szCs w:val="24"/>
          <w:rtl/>
          <w:lang w:val="ar-SA"/>
        </w:rPr>
        <w:t>:</w:t>
      </w:r>
    </w:p>
    <w:p w14:paraId="6ADC96AB"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تقليد المصنف المنشور في الخارج، أو في داخل البلاد، أو تصديره إلى الخارج؛ للحصول على ربح مالي نتيجة هذا الاستغلال</w:t>
      </w:r>
      <w:r>
        <w:rPr>
          <w:rStyle w:val="None"/>
          <w:rFonts w:ascii="Times New Roman" w:hAnsi="Times New Roman"/>
          <w:sz w:val="24"/>
          <w:szCs w:val="24"/>
          <w:rtl/>
          <w:lang w:val="ar-SA"/>
        </w:rPr>
        <w:t>.</w:t>
      </w:r>
    </w:p>
    <w:p w14:paraId="2B8D1C74"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تضيع أو تجميع أو استيراد؛ بغرض البيع أو تأجير أدوات معدة للتحايل على أية حماية تقنية يستخدمها صاحب حقوق المؤلف، وقد ازدادت أهمية الحماية بعد انتشار القنوات الفضائية، والأقمار الصناعية وما صاحبها من تطوُّر في وسائل القرصنة</w:t>
      </w:r>
      <w:r>
        <w:rPr>
          <w:rStyle w:val="None"/>
          <w:rFonts w:ascii="Times New Roman" w:hAnsi="Times New Roman"/>
          <w:sz w:val="24"/>
          <w:szCs w:val="24"/>
          <w:rtl/>
          <w:lang w:val="ar-SA"/>
        </w:rPr>
        <w:t>.</w:t>
      </w:r>
    </w:p>
    <w:p w14:paraId="5F894B0E"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الاعتداء على محتوى المصنف عن طريق الاقباس غير المشروع الذي يُعَدُّ أحد أهم أشكال الاعتداء على محتوى المصنف، ويتحقق بنقل جزء من مصنف مشمول بالحماية دون الإشارة إلى هذا المصنف وإلى اسم مؤلفه، </w:t>
      </w:r>
      <w:r>
        <w:rPr>
          <w:rStyle w:val="None"/>
          <w:rFonts w:cs="Times New Roman"/>
          <w:sz w:val="24"/>
          <w:szCs w:val="24"/>
          <w:rtl/>
          <w:lang w:val="ar-SA"/>
        </w:rPr>
        <w:lastRenderedPageBreak/>
        <w:t>ويلاحظ كذلك أنَّ الاقتباس يظهر دائمًا في أحوال النقل الجزئي، ذلك أنَّ نقل المصنف بأكمله لا يعتبر اقتباسًا، وإنما يشكل جريمةً تقليد للمصنف الأصلي</w:t>
      </w:r>
      <w:r>
        <w:rPr>
          <w:rStyle w:val="None"/>
          <w:rFonts w:ascii="Times New Roman" w:hAnsi="Times New Roman"/>
          <w:sz w:val="24"/>
          <w:szCs w:val="24"/>
          <w:rtl/>
          <w:lang w:val="ar-SA"/>
        </w:rPr>
        <w:t>.</w:t>
      </w:r>
    </w:p>
    <w:p w14:paraId="31114BC7"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إلى جانب الاقتباسات غير المشروعة يظهر الاعتداء على محتوى المصنف في ترجمة المصنفات دون الحصول على إذن من مؤلفها؛ حيث يتم ترجمة أصول الكتب الأجنبية دون الحصول على ترخيص أصحابها عن طريق نقل محتويات هذه الكتب وترجمتها إلى لغة أخرى بما يترتب على ذلك من منافسة غير مشروعة للكتب الأصلية</w:t>
      </w:r>
      <w:r>
        <w:rPr>
          <w:rStyle w:val="None"/>
          <w:rFonts w:ascii="Times New Roman" w:hAnsi="Times New Roman"/>
          <w:sz w:val="24"/>
          <w:szCs w:val="24"/>
          <w:rtl/>
          <w:lang w:val="ar-SA"/>
        </w:rPr>
        <w:t>.</w:t>
      </w:r>
    </w:p>
    <w:p w14:paraId="7F94D626" w14:textId="77777777" w:rsidR="00454428" w:rsidRDefault="00000000" w:rsidP="00C72BA8">
      <w:pPr>
        <w:pStyle w:val="ListParagraph"/>
        <w:numPr>
          <w:ilvl w:val="0"/>
          <w:numId w:val="9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الاعتداء على العنوان من أبرز أشكال الاعتداء المباشر الذي يقع على المصنف الرقمي، ويتحقق ذلك عند ظهور مصنف جديد يشمل ذات العنوان لمصنف سبق عليه، وهذا معناه أنَّ المعتدي سلك سبلًا غير مشروعة حتى يستفيد ممَّا حظي به المصنف المعتدَى عليه من ذيوع وانتشار، بالإضافة إلى بيع المصنفات المقلدة، أو عرضها للبيع، أو التداول والإيجار مع العلم بكونها مقلدة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E86D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وبالنظر للجرائم السابقة فرغم أنَّها نفس الجرائم التي تقع على حقوق الملكية الفكرية في البيئة الرقمية إلا أنَّ وسائل وأشكال الاعتداء عليها تختلف،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ارتكابها في البيئة الرقمية لا يتوافق مع نموذج التجريم الوارد في القاعدة القانونية في القانون، وهذا يعني وجود حاجة إلى إصدار قوانين لحماية الملكية الفكرية تتناسب مع طبيعة وخصائص البيئة الرقمية</w:t>
      </w:r>
      <w:r>
        <w:rPr>
          <w:rStyle w:val="None"/>
          <w:rFonts w:ascii="Times New Roman" w:hAnsi="Times New Roman"/>
          <w:sz w:val="24"/>
          <w:szCs w:val="24"/>
          <w:rtl/>
          <w:lang w:val="ar-SA"/>
        </w:rPr>
        <w:t>.</w:t>
      </w:r>
    </w:p>
    <w:p w14:paraId="6EB3732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شبكة الإنترنت أحدثت نقلة مهمة في مجال النشر، والتوزيع، وعرض المصنفات الرقمية؛ لأنَّ عملية النشر على منصات الواقع الافتراضي تتم بسرعة ودقة، وبتكاليف منخفضة عكس نشر في الوسائل التقليدية، ولكن من الضروري تحديث التشريعات الوطنية؛ لكي توائم مع الواقع الافتراضي الحديث؛ بهدف حماية حقوق الملكية الفكرية الرقمية</w:t>
      </w:r>
      <w:r>
        <w:rPr>
          <w:rStyle w:val="None"/>
          <w:rFonts w:ascii="Times New Roman" w:hAnsi="Times New Roman"/>
          <w:sz w:val="24"/>
          <w:szCs w:val="24"/>
          <w:rtl/>
          <w:lang w:val="ar-SA"/>
        </w:rPr>
        <w:t>.</w:t>
      </w:r>
    </w:p>
    <w:p w14:paraId="7556AA7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8D7642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A296DC1"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4264533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DD83C9E"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436D9A8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091A1014"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16956FF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Pr>
      </w:pPr>
    </w:p>
    <w:p w14:paraId="0B9A4D9F"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9A08688" w14:textId="77777777" w:rsidR="00454428" w:rsidRDefault="00000000" w:rsidP="00C72BA8">
      <w:pPr>
        <w:pStyle w:val="a"/>
        <w:rPr>
          <w:rStyle w:val="None"/>
          <w:lang w:val="ar-SA"/>
        </w:rPr>
      </w:pPr>
      <w:bookmarkStart w:id="107" w:name="_Toc60"/>
      <w:r>
        <w:rPr>
          <w:rStyle w:val="None"/>
          <w:rFonts w:ascii="Arial Unicode MS" w:eastAsia="Arial Unicode MS" w:hAnsi="Arial Unicode MS" w:hint="cs"/>
          <w:rtl/>
          <w:lang w:val="ar-SA"/>
        </w:rPr>
        <w:lastRenderedPageBreak/>
        <w:t>المطلب الثاني</w:t>
      </w:r>
      <w:bookmarkEnd w:id="107"/>
    </w:p>
    <w:p w14:paraId="5E55EAF8" w14:textId="77777777" w:rsidR="00454428" w:rsidRDefault="00000000" w:rsidP="00C72BA8">
      <w:pPr>
        <w:pStyle w:val="a"/>
        <w:rPr>
          <w:rStyle w:val="None"/>
          <w:lang w:val="ar-SA"/>
        </w:rPr>
      </w:pPr>
      <w:bookmarkStart w:id="108" w:name="_Toc61"/>
      <w:r>
        <w:rPr>
          <w:rStyle w:val="None"/>
          <w:rFonts w:ascii="Arial Unicode MS" w:eastAsia="Arial Unicode MS" w:hAnsi="Arial Unicode MS" w:hint="cs"/>
          <w:rtl/>
          <w:lang w:val="ar-SA"/>
        </w:rPr>
        <w:t>خصائص الإنتاج الفكري الرقمي وحدود الحماية القانونية</w:t>
      </w:r>
      <w:bookmarkEnd w:id="108"/>
    </w:p>
    <w:p w14:paraId="21240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المتغيرات الرقمية في تقنيات المعرفة قد أثرت بشكل فاعل في مختلف قواعد النظام الإبداعي والفكري، وفي العلاقات القانونية الناتجة من الإبداع الفكري، وكان أثرها الأوضح في حقل الملكية الفكرية، وتحديدًا فيما يتصل بتوفير الحماية للمصنفات الجديدة التي أفرزتها البيئة الرقمية، بالإضافة إلى ما يتصل بتوفير الحماية للمصنفات الفكرية والإبداعية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7"/>
      </w:r>
      <w:r>
        <w:rPr>
          <w:rStyle w:val="None"/>
          <w:rFonts w:ascii="Times New Roman" w:hAnsi="Times New Roman"/>
          <w:sz w:val="24"/>
          <w:szCs w:val="24"/>
          <w:vertAlign w:val="superscript"/>
          <w:rtl/>
          <w:lang w:val="ar-SA"/>
        </w:rPr>
        <w:t>)</w:t>
      </w:r>
    </w:p>
    <w:p w14:paraId="7DD0B5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يتميز بالعديد من الخصائص، ومنها السرعة والانتشار عبر الفضاء الإلكتروني لنشر محتوياتهم، وقلة التكاليف بالنسبة للمؤلف من نشر مؤلفاته مقارنة بالنشر التقليدي، واستخدام الوسائط المتعددة عن طريق الحاسب الآلي عبر المنصات الرقمية، أو التواصل الاجتماعي</w:t>
      </w:r>
      <w:r>
        <w:rPr>
          <w:rStyle w:val="None"/>
          <w:rFonts w:ascii="Times New Roman" w:hAnsi="Times New Roman"/>
          <w:sz w:val="24"/>
          <w:szCs w:val="24"/>
          <w:rtl/>
          <w:lang w:val="ar-SA"/>
        </w:rPr>
        <w:t>.</w:t>
      </w:r>
    </w:p>
    <w:p w14:paraId="4ADC367E"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الإنتاج الفكري الرقمي</w:t>
      </w:r>
      <w:r>
        <w:rPr>
          <w:rStyle w:val="None"/>
          <w:rFonts w:ascii="Times New Roman" w:hAnsi="Times New Roman"/>
          <w:b/>
          <w:bCs/>
          <w:sz w:val="28"/>
          <w:szCs w:val="28"/>
          <w:rtl/>
          <w:lang w:val="ar-SA"/>
        </w:rPr>
        <w:t>:</w:t>
      </w:r>
    </w:p>
    <w:p w14:paraId="7D236DB1" w14:textId="77777777" w:rsidR="00454428" w:rsidRDefault="00000000" w:rsidP="00C72BA8">
      <w:pPr>
        <w:pStyle w:val="ListParagraph"/>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السرعة والانتشار</w:t>
      </w:r>
      <w:r>
        <w:rPr>
          <w:rStyle w:val="None"/>
          <w:rFonts w:ascii="Times New Roman" w:hAnsi="Times New Roman"/>
          <w:b/>
          <w:bCs/>
          <w:sz w:val="24"/>
          <w:szCs w:val="24"/>
          <w:rtl/>
          <w:lang w:val="ar-SA"/>
        </w:rPr>
        <w:t>:</w:t>
      </w:r>
    </w:p>
    <w:p w14:paraId="53340B0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تطوُّر تقنيات المعلومات والنمو المتزايد لمصادر المعلومات وما أحدثته من تغيير في العالم؛ حيث أصبح النشر الإلكتروني أحد أهم مصادر المعلومات الإلكترونية في العصر الحديث، ووسيلة نشر فعَّالة تتميز بقلة التكلفة والسرعة والانتشار، فهو يوفر خدمات عديدة وكم هائل من المعلومات في شكل كتب ومقالات ومجالات النشر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8"/>
      </w:r>
      <w:r>
        <w:rPr>
          <w:rStyle w:val="None"/>
          <w:rFonts w:ascii="Times New Roman" w:hAnsi="Times New Roman"/>
          <w:sz w:val="24"/>
          <w:szCs w:val="24"/>
          <w:vertAlign w:val="superscript"/>
          <w:rtl/>
          <w:lang w:val="ar-SA"/>
        </w:rPr>
        <w:t>)</w:t>
      </w:r>
    </w:p>
    <w:p w14:paraId="0E98AC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التقدم الذي شهده العالم على أثر التطوُّر التكنولوجي إلى تدفق المعلومات؛ حيث أصبح الوصول إليها سهل دون أنْ تقف الحدود الجغرافية عائف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السهل نشر المصنفات في أي مكان، كما أدت السرعة من أهم خاصية النشر الإلكتروني؛ حيث يتم إنتاج وتوزيع ونشر المصنفات الأدبية والفنية بشكل سريع، بالإضافة إلى يمكن تعديل المحتوى بشكل فوري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9"/>
      </w:r>
      <w:r>
        <w:rPr>
          <w:rStyle w:val="None"/>
          <w:rFonts w:ascii="Times New Roman" w:hAnsi="Times New Roman"/>
          <w:sz w:val="24"/>
          <w:szCs w:val="24"/>
          <w:vertAlign w:val="superscript"/>
          <w:rtl/>
          <w:lang w:val="ar-SA"/>
        </w:rPr>
        <w:t>)</w:t>
      </w:r>
    </w:p>
    <w:p w14:paraId="122B9A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من خصائصه السرعة الفائقة في النشر وإمكانية الحصول عليه في أي مكان في العالم، وذلك بمجرد نشره على المواقع، هذا باختلاف الطرق التقليدية والنشر الورقي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تُعَدُّ تقنية النشر الإلكتروني توظفًا لقدرات الحاسب في سرعته ودقته وجودة مخرجاته، وذلك من خلال التقنيات التكنولوجيا الحديثة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1"/>
      </w:r>
      <w:r>
        <w:rPr>
          <w:rStyle w:val="None"/>
          <w:rFonts w:ascii="Times New Roman" w:hAnsi="Times New Roman"/>
          <w:sz w:val="24"/>
          <w:szCs w:val="24"/>
          <w:vertAlign w:val="superscript"/>
          <w:rtl/>
          <w:lang w:val="ar-SA"/>
        </w:rPr>
        <w:t>)</w:t>
      </w:r>
    </w:p>
    <w:p w14:paraId="2DC019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التطوُّر التكنولوجي في العصر الحديث أدى إلى تحول رهيب في وسائل نشر المعلومات؛ حيث أصبح نشر أي إنتاج فكري أو إبداع عن طريق البيئة الرقمية، فهي تتميز بالسرعة والانتشار على مستوى العالم، بالإضافة إلى إمكانية تعديل المحتوى الفكري، ونشره مرةً أخرى في البيئة الرقمية</w:t>
      </w:r>
      <w:r>
        <w:rPr>
          <w:rStyle w:val="None"/>
          <w:rFonts w:ascii="Times New Roman" w:hAnsi="Times New Roman"/>
          <w:sz w:val="24"/>
          <w:szCs w:val="24"/>
          <w:rtl/>
          <w:lang w:val="ar-SA"/>
        </w:rPr>
        <w:t>.</w:t>
      </w:r>
    </w:p>
    <w:p w14:paraId="3DA94247" w14:textId="77777777" w:rsidR="00454428" w:rsidRDefault="00000000" w:rsidP="00C72BA8">
      <w:pPr>
        <w:pStyle w:val="ListParagraph"/>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تقليل التكاليف</w:t>
      </w:r>
      <w:r>
        <w:rPr>
          <w:rStyle w:val="None"/>
          <w:rFonts w:ascii="Times New Roman" w:hAnsi="Times New Roman"/>
          <w:b/>
          <w:bCs/>
          <w:sz w:val="24"/>
          <w:szCs w:val="24"/>
          <w:rtl/>
          <w:lang w:val="ar-SA"/>
        </w:rPr>
        <w:t>:</w:t>
      </w:r>
    </w:p>
    <w:p w14:paraId="216081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هذه أهم عناصر التكلفة في صناعة الكتاب ونشره، والتي كانت السبب الأول في ارتفاع سعر الكتب، ففي النشر الإلكتروني عبر البيئة الرقمية لا توجد مثل هذه التكاليف؛ حيث يتم الشحن عبر شبكة الإنترنت، والطباعة تتم من قبل المستخدم إذا أراد طباعته، بدلًا من قراءتها على الشاشة، هذا الأمر يغير المبدأ التقليدي للنشر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2"/>
      </w:r>
      <w:r>
        <w:rPr>
          <w:rStyle w:val="None"/>
          <w:rFonts w:ascii="Times New Roman" w:hAnsi="Times New Roman"/>
          <w:sz w:val="24"/>
          <w:szCs w:val="24"/>
          <w:vertAlign w:val="superscript"/>
          <w:rtl/>
          <w:lang w:val="ar-SA"/>
        </w:rPr>
        <w:t>)</w:t>
      </w:r>
    </w:p>
    <w:p w14:paraId="0E6701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الخصائص الإنتاج الفكري أيضًا تقليل تكلفة بالنسبة للنشر؛ لعدم وجود تكلفة الطباعة على الورق، والتجليد، والتغليف للناشر، مع وجود تكلفة زهيدة جدًا للطباعة لأقراص الليزر، وتكلفتها لا تقارن بتكلفه طباعة الكتب، وخاصةً المجلدات الكبيرة والموسوعات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3"/>
      </w:r>
      <w:r>
        <w:rPr>
          <w:rStyle w:val="None"/>
          <w:rFonts w:ascii="Times New Roman" w:hAnsi="Times New Roman"/>
          <w:sz w:val="24"/>
          <w:szCs w:val="24"/>
          <w:vertAlign w:val="superscript"/>
          <w:rtl/>
          <w:lang w:val="ar-SA"/>
        </w:rPr>
        <w:t>)</w:t>
      </w:r>
    </w:p>
    <w:p w14:paraId="20B829FC"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توفير تكلفة النشر التقليدي ونفقات الطباعة؛ حيث يمكن إدخال كميات هائلة من المعلومات في شريحة صغيرة، مثل قرص </w:t>
      </w:r>
      <w:r>
        <w:rPr>
          <w:rStyle w:val="None"/>
          <w:rFonts w:ascii="Times New Roman" w:hAnsi="Times New Roman"/>
          <w:sz w:val="24"/>
          <w:szCs w:val="24"/>
          <w:rtl/>
        </w:rPr>
        <w:t>CD</w:t>
      </w:r>
      <w:r>
        <w:rPr>
          <w:rStyle w:val="None"/>
          <w:rFonts w:ascii="Arial Unicode MS" w:hAnsi="Arial Unicode MS" w:cs="Times New Roman" w:hint="cs"/>
          <w:sz w:val="24"/>
          <w:szCs w:val="24"/>
          <w:rtl/>
          <w:lang w:val="ar-SA"/>
        </w:rPr>
        <w:t>، الذي يسع لآلاف الكتب، وقد تكون من أمهات الكتب التي تتكوَّن من أعداد هائلة من الصفحات الورقية، فهذا يعتبر توفير في التكلفة بالنسبة للنشر الإلكتروني في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4"/>
      </w:r>
      <w:r>
        <w:rPr>
          <w:rStyle w:val="None"/>
          <w:rFonts w:ascii="Times New Roman" w:hAnsi="Times New Roman"/>
          <w:sz w:val="24"/>
          <w:szCs w:val="24"/>
          <w:vertAlign w:val="superscript"/>
          <w:rtl/>
          <w:lang w:val="ar-SA"/>
        </w:rPr>
        <w:t>)</w:t>
      </w:r>
    </w:p>
    <w:p w14:paraId="542F5DB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تقليل التكلفة من أهم اهتمامات الإنتاج الفكري في البيئة الرقمية مقارنةً بالوسائل التقليدية؛ لأنَّها تغني عن التكاليف الباهظة للنشر التقليدي من ورق وطباعة، فالمصنفات الرقمية يتم النشر فيها عبر المنصات الإلكترونية؛ ممَّا يتيح للمؤلفين نشر مؤلفاتهم على مستوى واسع في جميع أنحاء العالم، فهذا يسهم في نشر مؤلفاتهم وسهولة الوصول إليها</w:t>
      </w:r>
      <w:r>
        <w:rPr>
          <w:rStyle w:val="None"/>
          <w:rFonts w:ascii="Times New Roman" w:hAnsi="Times New Roman"/>
          <w:sz w:val="24"/>
          <w:szCs w:val="24"/>
          <w:rtl/>
          <w:lang w:val="ar-SA"/>
        </w:rPr>
        <w:t>.</w:t>
      </w:r>
    </w:p>
    <w:p w14:paraId="382C40E1" w14:textId="77777777" w:rsidR="00454428" w:rsidRDefault="00000000" w:rsidP="00C72BA8">
      <w:pPr>
        <w:pStyle w:val="ListParagraph"/>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استخدام الوسائط المتعددة</w:t>
      </w:r>
      <w:r>
        <w:rPr>
          <w:rStyle w:val="None"/>
          <w:rFonts w:ascii="Times New Roman" w:hAnsi="Times New Roman"/>
          <w:b/>
          <w:bCs/>
          <w:sz w:val="24"/>
          <w:szCs w:val="24"/>
          <w:rtl/>
          <w:lang w:val="ar-SA"/>
        </w:rPr>
        <w:t>:</w:t>
      </w:r>
    </w:p>
    <w:p w14:paraId="14C1B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الوسائط المتعددة لا يمكن لها أنْ تعمل إلا مع جهاز الحاسوب، وقد اتسع انتشار الوسائط المتعددة في التسعينات مع تطوير أجهزة الحاسوب الآلي، والتي تتمتع بواصفات عالية كبرمجيات الصوت والصورة؛ ممَّا شجع العديد من المؤسسات والأفراد؛ لتمضي قدمًا في إنتاج برامج متنوعة وثرية للمستخدمين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5"/>
      </w:r>
      <w:r>
        <w:rPr>
          <w:rStyle w:val="None"/>
          <w:rFonts w:ascii="Times New Roman" w:hAnsi="Times New Roman"/>
          <w:sz w:val="24"/>
          <w:szCs w:val="24"/>
          <w:vertAlign w:val="superscript"/>
          <w:rtl/>
          <w:lang w:val="ar-SA"/>
        </w:rPr>
        <w:t>)</w:t>
      </w:r>
    </w:p>
    <w:p w14:paraId="67CBEC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تتوفر إمكانية تقديم المحتوى في صورة برنامج تفاعلي بالصوت، والصورة، والرسوم المتحركة، والفيديو، وبذلك ترتفع الفائدة الحقيقة للمحتوى، وتستثمر هذه الميزة في المناهج التعليمية والموسوعات العلمية وغيرها الكثير من المؤلفات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6"/>
      </w:r>
      <w:r>
        <w:rPr>
          <w:rStyle w:val="None"/>
          <w:rFonts w:ascii="Times New Roman" w:hAnsi="Times New Roman"/>
          <w:sz w:val="24"/>
          <w:szCs w:val="24"/>
          <w:vertAlign w:val="superscript"/>
          <w:rtl/>
          <w:lang w:val="ar-SA"/>
        </w:rPr>
        <w:t>)</w:t>
      </w:r>
    </w:p>
    <w:p w14:paraId="153833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فتعرَّف الوسائط المتعددة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نسيج من النص والجرافيك، والصوت، والرسوم المتحركة، والفيديو، وعند إضافة التبادلية إلى المشروع تصبح الوسائط المتعددة التبادلية، وعند إضافة طريقة للتجول داخل المشروع يصبح مشروعًا للوسائط المتعددة الفائقة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7"/>
      </w:r>
      <w:r>
        <w:rPr>
          <w:rStyle w:val="None"/>
          <w:rFonts w:ascii="Times New Roman" w:hAnsi="Times New Roman"/>
          <w:sz w:val="24"/>
          <w:szCs w:val="24"/>
          <w:vertAlign w:val="superscript"/>
          <w:rtl/>
          <w:lang w:val="ar-SA"/>
        </w:rPr>
        <w:t>)</w:t>
      </w:r>
    </w:p>
    <w:p w14:paraId="280C91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يتميز الإنتاج الفكري في البيئة الرقمية بأنَّه يمكن استخدام العديد من الوسائل المتاحة في عرض مصنفاتهم، فيمكن عرض مصنفاتهم،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النصوص المكتوبة، أو الصور، أو مقاطع فيديو؛ حيث يؤدي هذا إلى وصول المحتوى إلى المستخدم بسهولة، لن يوجد العديد من الوسائط،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وسائل التواصل الاجتماعي، أو عن طريق البريد الإلكتروني، أو نشر المؤلفات في المكاتب الرقمية</w:t>
      </w:r>
      <w:r>
        <w:rPr>
          <w:rStyle w:val="None"/>
          <w:rFonts w:ascii="Times New Roman" w:hAnsi="Times New Roman"/>
          <w:sz w:val="24"/>
          <w:szCs w:val="24"/>
          <w:rtl/>
          <w:lang w:val="ar-SA"/>
        </w:rPr>
        <w:t>.</w:t>
      </w:r>
    </w:p>
    <w:p w14:paraId="0533286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حدود الحماية القانونية</w:t>
      </w:r>
      <w:r>
        <w:rPr>
          <w:rStyle w:val="None"/>
          <w:rFonts w:ascii="Times New Roman" w:hAnsi="Times New Roman"/>
          <w:b/>
          <w:bCs/>
          <w:sz w:val="28"/>
          <w:szCs w:val="28"/>
          <w:rtl/>
          <w:lang w:val="ar-SA"/>
        </w:rPr>
        <w:t>:</w:t>
      </w:r>
    </w:p>
    <w:p w14:paraId="16A11D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يتسم الإبداع الفكري بميزة حضارية فريدة، ومن هنا ينبع الاهتمام بحمايته وتشجيعه لذلك، وقامت الدول بوضع العديد من التشريعات والاتفاقيات الدولية؛ لتوفير الحماية القانونية والقضائية للملكية الفكرية، كما أسست من أجل ذلك المنظمة العالمية لحماية الملكية الفكرية، التي تقود بدور ريادي في هذا المجال، ويدل على ذلك عدد الدول الأعضاء في هذه المنظمة، وكذلك العدد الكبير من المعاهدات الدولية التي تديرها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DE759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الهدف الأساسي في الملكية الفكرية هي الحماية القائمة على أساس مراعاة مصلحة الإنسان في جهده الذهني، وما يترتب عليه من مصالح مادية ومعنوية، مصلحة المجتمع في حماية وتطوير موارد المعلوماتية وإتاحتها للمجتمع، فيجب على قواعد الملكية الفكرية الإلكترونية أنْ تحقق التوازن بين مصطلحَيْ حركة الإبداع والابتكار في العالم التقني، ومصلحة ضرورة النفاذ الحر للمعلومات باعتبار المعرفة ملك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F63328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لا شك أنَّ حماية الملكية الفكرية الرقمية تتطلب تقسيمَ الملكية مادية خبرتها متمثلة في الإنسان، وبين الملكية المستخدمة في الشبكات الرقمية، ويتطلب التطوُّر التكنولوجي في مجال الحوسبة الرقمية في الكشف عن أهمية نظم الملكية الفكرية عامة، والبحث في إمكانية تطبيق التشريعات القائمة على الملكية الفكرية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96BA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وذلك عن طريق قانون الملكية الفكرية الذي يهدف إلى حماية الإنتاج الذهني، والإبداع والابتكار، وحماية أصحاب الحقوق </w:t>
      </w:r>
      <w:r>
        <w:rPr>
          <w:rStyle w:val="None"/>
          <w:rFonts w:ascii="Arial Unicode MS" w:hAnsi="Arial Unicode MS" w:cs="Times New Roman" w:hint="cs"/>
          <w:sz w:val="24"/>
          <w:szCs w:val="24"/>
          <w:rtl/>
          <w:lang w:val="ar-SA"/>
        </w:rPr>
        <w:lastRenderedPageBreak/>
        <w:t>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7B40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الإنتاج الفكري في البيئة الرقمية خاصًا بالمؤلف، فلا بُدَّ من الحماية والدعم لحقوق المؤلف، وهذ ما دفع الدول إلى تحديث تشريعاتها الوطنية؛ لكي تتلاءم مع التكنولوجيا الحديثة؛ لحماية حقوق المؤلف المادية والمعنوية، فقد أصبح الحاجة لإعادة تنظيم الحماية القانونية مع التطوُّر التكنولوجي</w:t>
      </w:r>
      <w:r>
        <w:rPr>
          <w:rStyle w:val="None"/>
          <w:rFonts w:ascii="Times New Roman" w:hAnsi="Times New Roman"/>
          <w:sz w:val="24"/>
          <w:szCs w:val="24"/>
          <w:rtl/>
          <w:lang w:val="ar-SA"/>
        </w:rPr>
        <w:t>.</w:t>
      </w:r>
    </w:p>
    <w:p w14:paraId="4366DC0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شك أنَّ توفير الحماية الفعَّالة لحقوق الملكية الفكرية يضمن استمرارية الإبداع الفكري، والمساهمة، والابتكار لدى الباحثين، المؤلفين، المبدعين، المبتكرين، ويحثهم على المزيد من الإنتاج وإتاحة المعلومات وتداولها؛ ليؤدي في نهاية المطاف إلى رفع مستوى الإبداع الوطني في شتى المجالات الأدبية والعلمية، والفنية، وإحداث نقلات نوعية في حياة الأمم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C13A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توفير الحماية لحقوق الملكية الفكرية على مستوى العالم له أهمية بالغة في ضمان حقوق المبتكرين، والمبدعين، والمخترعين، وأصحاب الملكية الفكرية بشكل عام، وتلك الحماية تُعَدُّ شرطًا رئيسيًا لتشجعيهم على الابتكار والإبداع وتنمية أفكارهم،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تلعب الحماية الدولية لحقوق الملكية الفكرية دورًا مهمًّا في إنشاء بيئة استثمار رائعة، وإزالة الحواجز والمعوقات أمام تبادل المنتجات الفكرية والعلمية والتكنولوجية عبر دول العالم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95D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زاد الاهتمام بحقوق الملكية الفكرية لحاجة المبدعين لحماية إبداعهم لما يتم بذله من جهود شاقة، وطاقة عقلية شديدة وبحث متواصل، فكل المبدعين الذين يبذلون جهودًا كبيرة يستوجب علينا حمايتهم، ووضع قيود لمصلحتهم ومصلحة المجتمع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F31C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فقوانين الملكية الفكرية في مجملها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تلك المتعلقة بحماية حقوق الملكية الصناعية، أو حماية الملكية الأدبية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تهدف إلى حماية أصحاب حقوق الملكية الفكرية من كل أشكال التعدي والقرصنة، التي قد يتعرضون لها من قِبل الغير، والذي سيؤثر لا محالة فقط على أصحاب الحقوق وإنما على شخص المستهلك، فحقوق الملكية الفكرية تمثل الأساس الذي يجري بموجبه تقاسم الإبداع، وتشجيع القدرة على الإبداع وتعزيز شعور المستهلك بالثقة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AA8B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ومع التطوُّرات التكنولوجية والثورات العلمية التي يشهدها العالم في المجالات الصناعية والعلمية أصبحت الملكية الفكرية أكثر عُرضةً للاختراق؛ لما تتميز به تلك الوسائل التكنولوجية من قدرة فائقة على جمع ومعالجة وسهولة تبادل المعلومات عبر الوسائل الإلكترونية، الأمر الذي دفع المجتمع الدولي على حمايتها سواءً على الصعيد الوطني أو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DA6D2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ولذلك فإنَّ حماية المبدعين والمخترعين تُعَدُّ ضرورةً أساسيةً لاستمرارية عملية الإبداع والابتكار بجميع أشكاله، وتُعَدُّ شرطًا لازمًا لعملية الاختراع والتجديد، كما أنَّها ضرورية لتنظيم عملية المنافسة بشكل عادل، وتعزيز الأداء الاقتصادي الصحي؛ حيث تضمن حماية الحقوق للملكية الفكرية جذب التكنولوجيا، وتشجيع الاستثمارات الوطنية والأجنبية، وتعزيز لقدرة المنتجات على المنافسة؛ لذا يصبح توفير الحماية الفكرية والصناعية أمرًا ضروريًا في عملية التنمية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7"/>
      </w:r>
      <w:r>
        <w:rPr>
          <w:rStyle w:val="None"/>
          <w:rFonts w:ascii="Times New Roman" w:hAnsi="Times New Roman"/>
          <w:sz w:val="24"/>
          <w:szCs w:val="24"/>
          <w:vertAlign w:val="superscript"/>
          <w:rtl/>
          <w:lang w:val="ar-SA"/>
        </w:rPr>
        <w:t>)</w:t>
      </w:r>
    </w:p>
    <w:p w14:paraId="53D3A31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حماية الإنتاج الفكري الرقمي لحقوق المؤلف</w:t>
      </w:r>
      <w:r>
        <w:rPr>
          <w:rStyle w:val="None"/>
          <w:rFonts w:ascii="Times New Roman" w:hAnsi="Times New Roman"/>
          <w:b/>
          <w:bCs/>
          <w:sz w:val="28"/>
          <w:szCs w:val="28"/>
          <w:rtl/>
          <w:lang w:val="ar-SA"/>
        </w:rPr>
        <w:t>:</w:t>
      </w:r>
    </w:p>
    <w:p w14:paraId="7923A52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حقوق المؤلف مصطلحًا قانونيًّا يصف الحقوق الممنوحة للمبدعين في مجال الأعمال الأدبية والفنية، وتشكل تلك الحقوق فرعًا رئيسًا من فروع الملكية الفكرية، ويشمل ذلك حماية المصنفات المبتكرة في الآداب،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القصائد الشعرية، أو برامج الحاسب، وقواعد البيانات، والأعمال الموسيقية،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النوتات الموسيقية، والفنون الجميلة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كالرسم، والنحت، والخرائط، والصور الفوتوغرافية، والأعمال السمعية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الأفلام، وأفلام الفيديو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784C60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المؤلف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إنسان أَعْمَلَ فكره وأحدث ابتكارًا معبرًا، وعليه فالمعيار المتبع لاعتبار الشخص مؤلفًا هو معيار الإبداع والابتكار؛ حيث تتم حماية كافة مظاهر التعبير بغض النظر عن الفكرة ذاتها، سواء أكان شكل التعبير عن هذه الفكرة كتابًا أو رسمًا أو صوتًا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ADDF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فيختلف مفهوم الابتكار في حد ذاته بين مصنف وآخر، فالمصنف الأدبي يكون الابتكار فيه عن طريق دقة العبارات، وتناسقها، وجِدة الأفكار والمفاهيم، مع أنَّه لا يجب بالضرورة أنْ يكون ما ورد بالمصنف الأدبي يعبر عن شيء جديد، وإنما الجدة هنا، هي جدة الصياغة والتعبير عن الفكرة، ويختلف أمر الابتكار في المطبوعات الأدبية عن باقي المصنفات المحمية بحكم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كالتمثيل، والغناء، والموسيقى، التي يعتمد فيها الابتكار على الأداء والإحساس</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5772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فالابتكار هو الطابع الشخصي الذي يعطيه المؤلف لمصنفه، ذلك الطابع الذي يسمح بتمييز المصنف عن سواه من المصنفات المنتمية إلى نفس النوع، ويكون من شأن هذا الطابع أنْ يبرز شخصية المؤلف، إما في مقومات الفكرة التي عرضها، أو في الطريقة التي اتخذها لعرض هذه الفكرة، أي بعبارة أخرى يقصد بالابتكار بصمة المؤلف الشخصية على المصنف الناتج عن مجهوده الذهني، والتي تسمح للجمهور بالنطق باسمه بمجرد مطالعة المصنف إذا كان من المشهورين، أو القول بانتهاء نسبة هذا المصنف إلى مؤلف لديه قدرة ابتكارية على التعبير عن أفكاره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DD638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برزت حقوق النشر والتأليف على أنَّها من أهم الأساليب لتنظيم التدفق الدولي للأفكار والمنتجات المبنية على أساس المعرفة، وستشكل آليةً مركزيةً لصناعات المعرفة في العصر الحديث، والواقع هو أنَّ حقوق النشر والتأليف محفوظة إلى حد بعيد في أيدي الأمم الصناعية الكبرى وفي أيدي مؤسسات الإعلام الكبرى المتعددة الجوانب، فلقد توسع مفهوم حقوق النشر والتأليف الذي كان معدًا لحماية المؤلفين ودور نشر الكتب؛ بحيث يشمل الآن منتجات أخرى من منتجات المعرفة،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برامج الحاسب الآلي، والأفلام، وغيرها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320EB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قوانين حماية حق المؤلف العربية عمومًا تتضمن النص على حماية الكتب وغيرها من المواد المكتوبة، والمصنفات التي تُلقى شفاهةً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كالمحاضرات، والخطب، والمواعظ، والمصنفات المسرحية، والمسرحيات الغنائية والموسيقية، والتمثيل الإيمائي، والمصنفات الموسيقية، والمصنفات السينمائية والإذاعية السمعية والبصرية، وأعمال الرسم، والتصوير، والنحت، والحفر، والعمارة، والفنون التطبيقية، والزخرفية، والصور التوضيحية، والخرائط، والتصميمات، والمخططات، والأعمال المجسمة المتعلقة بالجغرافيا، والخرائط السطحية للأرض، وبرامج الحاسوب</w:t>
      </w:r>
      <w:r>
        <w:rPr>
          <w:rStyle w:val="None"/>
          <w:rFonts w:ascii="Times New Roman" w:hAnsi="Times New Roman"/>
          <w:sz w:val="24"/>
          <w:szCs w:val="24"/>
          <w:rtl/>
          <w:lang w:val="ar-SA"/>
        </w:rPr>
        <w:t>.</w:t>
      </w:r>
    </w:p>
    <w:p w14:paraId="216B45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فالتطوُّر الهائل في المجال التكنولوجي، والذي وصل أوجه بوجود شبكة الإنترنت قد ألقى بظلاله على عملية إبداع المصنفات، وكذلك على المفهوم التقليدي لهذه المصنفات، وهو الأمر الذي تجسد بظهور شكل جديد من المصنفات توصف بالرقمية، وهي عديدة ومتنوعة فمنها ما يتعلق بالجانب الأدبي، أو العلمي، أو الترفيهي، ومتى ما ولدت تلك المصنفات وظهرت، فإنَّها تثبت حقوقًا أدبيةً وماليةً لمؤلفها، وهنا تبرز أهمية حماية الإنتاج الفكري بالنسبة لمؤلفي هذه المصنفات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632E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وهذا ما نصت عليه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من اتفاقية الويبو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27C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حقوق المؤلف فرع من فروع الملكية الفكرية، فلا بُدَّ من حماية حقوقهم في العديد من المجالات، التي تتعلق بالمصنفات المكتوبة، أو الشفوية، أو السمعية، أو البصرية عبر طريق البيئة الرقمية، فقد اتسعت نطاق المصنفات الفكرية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والبرامج، والمحتويات الإلكترونية، كل هذه التطوُّرات الرقمية فرضت تحدياتٍ قانونيةً جديدةً تتعلق بحماية هذه المصنفات من الاعتداءات الرقمية</w:t>
      </w:r>
      <w:r>
        <w:rPr>
          <w:rStyle w:val="None"/>
          <w:rFonts w:ascii="Times New Roman" w:hAnsi="Times New Roman"/>
          <w:sz w:val="24"/>
          <w:szCs w:val="24"/>
          <w:rtl/>
          <w:lang w:val="ar-SA"/>
        </w:rPr>
        <w:t>.</w:t>
      </w:r>
    </w:p>
    <w:p w14:paraId="6F8E1C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بُدَّ من حماية الإنتاج الفكري الرقمي لحقوق المؤلف؛ لأنَّه أحد مظاهر الإبداع في الوقت الحاضر، فقد حرصت الاتفاقيات الدولية، والقوانين الوطنية على حماية حقوق المؤلف؛ لا بُدَّ من تحديث هذه الاتفاقيات والتشريعات الوطنية؛ حتى تواكب التطوُّرات التقنية، ضد الانتهاكات على حقوق المؤلف الرقمي من النسخ، أو نشر، أو توزيعها بطرق غير قانونية عبر الشبكات الإلكترونية</w:t>
      </w:r>
      <w:r>
        <w:rPr>
          <w:rStyle w:val="None"/>
          <w:rFonts w:ascii="Times New Roman" w:hAnsi="Times New Roman"/>
          <w:sz w:val="24"/>
          <w:szCs w:val="24"/>
          <w:rtl/>
          <w:lang w:val="ar-SA"/>
        </w:rPr>
        <w:t>.</w:t>
      </w:r>
    </w:p>
    <w:p w14:paraId="39E348F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C9D5DCA"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7C23D317" w14:textId="77777777" w:rsidR="00454428" w:rsidRDefault="00000000" w:rsidP="00C72BA8">
      <w:pPr>
        <w:pStyle w:val="a"/>
        <w:rPr>
          <w:rStyle w:val="None"/>
          <w:lang w:val="ar-SA"/>
        </w:rPr>
      </w:pPr>
      <w:bookmarkStart w:id="109" w:name="_Toc62"/>
      <w:r>
        <w:rPr>
          <w:rStyle w:val="None"/>
          <w:rFonts w:ascii="Arial Unicode MS" w:eastAsia="Arial Unicode MS" w:hAnsi="Arial Unicode MS" w:hint="cs"/>
          <w:rtl/>
          <w:lang w:val="ar-SA"/>
        </w:rPr>
        <w:t>الفصل الثاني</w:t>
      </w:r>
      <w:bookmarkEnd w:id="109"/>
    </w:p>
    <w:p w14:paraId="056608DA" w14:textId="77777777" w:rsidR="00454428" w:rsidRDefault="00000000" w:rsidP="00C72BA8">
      <w:pPr>
        <w:pStyle w:val="a"/>
        <w:rPr>
          <w:rStyle w:val="None"/>
          <w:lang w:val="ar-SA"/>
        </w:rPr>
      </w:pPr>
      <w:bookmarkStart w:id="110" w:name="_Toc63"/>
      <w:r>
        <w:rPr>
          <w:rStyle w:val="None"/>
          <w:rFonts w:ascii="Arial Unicode MS" w:eastAsia="Arial Unicode MS" w:hAnsi="Arial Unicode MS" w:hint="cs"/>
          <w:rtl/>
          <w:lang w:val="ar-SA"/>
        </w:rPr>
        <w:t>الإطار القانوني لحماية الملكية الفكرية في الاتفاقيات الدولية والقوانين الوطنية</w:t>
      </w:r>
      <w:bookmarkEnd w:id="110"/>
    </w:p>
    <w:p w14:paraId="366E51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موضوع الملكية الفكرية من الموضوعات المهمة التي تسعى معظم الدول إلى إدراجه ضمن السياسات الوطنية، باعتبارها ذات صلة بالتطوُّر الاقتصادي، والثقافي، والاجتماعي، فقامت بسن التشريعات التي تضمن وتصون هذه الحقوق من الضياع والانتهاك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5"/>
      </w:r>
      <w:r>
        <w:rPr>
          <w:rStyle w:val="None"/>
          <w:rFonts w:ascii="Times New Roman" w:hAnsi="Times New Roman"/>
          <w:sz w:val="24"/>
          <w:szCs w:val="24"/>
          <w:vertAlign w:val="superscript"/>
          <w:rtl/>
          <w:lang w:val="ar-SA"/>
        </w:rPr>
        <w:t>)</w:t>
      </w:r>
    </w:p>
    <w:p w14:paraId="4137F3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وسعت الدول العربية كغيرها على غرار بقية دول العالم إلى توفير الحماية الكاملة لجميع جوانب الملكية الفكرية، وقد بذلت جهودًا متواصلةً على المستوى الوطني إما بسَنِّ التشريعات المناسبة لتحقيق الأهداف، أو بتوفير إطار تنظيمي ومؤسسي لتمكين حماية الملكية الفكرية</w:t>
      </w:r>
      <w:r>
        <w:rPr>
          <w:rStyle w:val="None"/>
          <w:rFonts w:ascii="Times New Roman" w:hAnsi="Times New Roman"/>
          <w:sz w:val="24"/>
          <w:szCs w:val="24"/>
          <w:rtl/>
          <w:lang w:val="ar-SA"/>
        </w:rPr>
        <w:t>.</w:t>
      </w:r>
    </w:p>
    <w:p w14:paraId="1A86962E" w14:textId="77777777" w:rsidR="00454428" w:rsidRDefault="00000000" w:rsidP="00C72BA8">
      <w:pPr>
        <w:pStyle w:val="ListParagraph"/>
        <w:numPr>
          <w:ilvl w:val="0"/>
          <w:numId w:val="105"/>
        </w:numPr>
        <w:spacing w:before="120" w:after="120" w:line="360" w:lineRule="auto"/>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الدولية والتعاون العابر للحدود</w:t>
      </w:r>
      <w:r>
        <w:rPr>
          <w:rStyle w:val="None"/>
          <w:rFonts w:ascii="Times New Roman" w:hAnsi="Times New Roman"/>
          <w:sz w:val="24"/>
          <w:szCs w:val="24"/>
          <w:rtl/>
          <w:lang w:val="ar-SA"/>
        </w:rPr>
        <w:t>.</w:t>
      </w:r>
    </w:p>
    <w:p w14:paraId="383C1A29" w14:textId="77777777" w:rsidR="00454428" w:rsidRDefault="00000000" w:rsidP="00C72BA8">
      <w:pPr>
        <w:pStyle w:val="ListParagraph"/>
        <w:numPr>
          <w:ilvl w:val="0"/>
          <w:numId w:val="105"/>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النظام القانونية للمصنف الرقمي</w:t>
      </w:r>
      <w:r>
        <w:rPr>
          <w:rStyle w:val="None"/>
          <w:rFonts w:ascii="Times New Roman" w:hAnsi="Times New Roman"/>
          <w:sz w:val="24"/>
          <w:szCs w:val="24"/>
          <w:rtl/>
          <w:lang w:val="ar-SA"/>
        </w:rPr>
        <w:t>.</w:t>
      </w:r>
    </w:p>
    <w:p w14:paraId="74C45A41"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BC754C5"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90BC54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39C5270"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4F13997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0FB5B5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5ED073B" w14:textId="77777777" w:rsidR="00454428" w:rsidRDefault="00000000" w:rsidP="00C72BA8">
      <w:pPr>
        <w:pStyle w:val="a"/>
        <w:rPr>
          <w:rStyle w:val="None"/>
          <w:lang w:val="ar-SA"/>
        </w:rPr>
      </w:pPr>
      <w:bookmarkStart w:id="111" w:name="_Toc64"/>
      <w:r>
        <w:rPr>
          <w:rStyle w:val="None"/>
          <w:rFonts w:ascii="Arial Unicode MS" w:eastAsia="Arial Unicode MS" w:hAnsi="Arial Unicode MS" w:hint="cs"/>
          <w:rtl/>
          <w:lang w:val="ar-SA"/>
        </w:rPr>
        <w:t>المبحث الأول</w:t>
      </w:r>
      <w:bookmarkEnd w:id="111"/>
    </w:p>
    <w:p w14:paraId="613B335B" w14:textId="77777777" w:rsidR="00454428" w:rsidRDefault="00000000" w:rsidP="00C72BA8">
      <w:pPr>
        <w:pStyle w:val="a"/>
        <w:rPr>
          <w:rStyle w:val="None"/>
          <w:lang w:val="ar-SA"/>
        </w:rPr>
      </w:pPr>
      <w:bookmarkStart w:id="112" w:name="_Toc65"/>
      <w:r>
        <w:rPr>
          <w:rStyle w:val="None"/>
          <w:rFonts w:ascii="Arial Unicode MS" w:eastAsia="Arial Unicode MS" w:hAnsi="Arial Unicode MS" w:hint="cs"/>
          <w:rtl/>
          <w:lang w:val="ar-SA"/>
        </w:rPr>
        <w:t>الحماية الدولية والتعاون العابر للحدود</w:t>
      </w:r>
      <w:bookmarkEnd w:id="112"/>
    </w:p>
    <w:p w14:paraId="372E0A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الأعمال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كانت أدبيةً، أم فنيةً، أم 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حاجة إلى حماية وطنية ودولية لفائدة مؤلفها لا سيما أنَّ وسائل النسخ العصرية تعرِّض المؤلفين إلى ضياع مجهوداتهم، وفقدان حقوقهم وتثبيط معنوياتهم، وجدير بالإشارة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تعتبر ظاهرةً حديثةً، مقارنةً بالموضوعات الأخرى التي عالجها القانون منذ ظهور وبسط نفوذه، كما أنَّ ظاهرة الأدب، والفن، والاكتشافات، والاختراعات سواء نظرنا إليها من حيث الذاتية، أو من حيث الوظائف والاهداف فإنَّها كلها تُعَدُّ واحدةً من التجليات الأساسية للعقل البشري وجب حمايتها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6"/>
      </w:r>
      <w:r>
        <w:rPr>
          <w:rStyle w:val="None"/>
          <w:rFonts w:ascii="Times New Roman" w:hAnsi="Times New Roman"/>
          <w:sz w:val="24"/>
          <w:szCs w:val="24"/>
          <w:vertAlign w:val="superscript"/>
          <w:rtl/>
          <w:lang w:val="ar-SA"/>
        </w:rPr>
        <w:t>)</w:t>
      </w:r>
    </w:p>
    <w:p w14:paraId="7C5554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ظهرت العديد من الاتفاقيات الدولية خاصةً بحماية حقوق الملكية الفكرية، والتي أقرت في نصوص المواد إلى حماية حقوق المؤلف سواء الأدبية أو الفنية، وهذا ما سوف نتناوله في هذا المبحث</w:t>
      </w:r>
      <w:r>
        <w:rPr>
          <w:rStyle w:val="None"/>
          <w:rFonts w:ascii="Times New Roman" w:hAnsi="Times New Roman"/>
          <w:sz w:val="24"/>
          <w:szCs w:val="24"/>
          <w:rtl/>
          <w:lang w:val="ar-SA"/>
        </w:rPr>
        <w:t>.</w:t>
      </w:r>
    </w:p>
    <w:p w14:paraId="70A4D0D6" w14:textId="77777777" w:rsidR="00454428" w:rsidRDefault="00000000" w:rsidP="00C72BA8">
      <w:pPr>
        <w:pStyle w:val="ListParagraph"/>
        <w:numPr>
          <w:ilvl w:val="0"/>
          <w:numId w:val="2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اتفاقية بيرن وتريبس والاتفاقيات الأخرى</w:t>
      </w:r>
      <w:r>
        <w:rPr>
          <w:rStyle w:val="None"/>
          <w:rFonts w:ascii="Times New Roman" w:hAnsi="Times New Roman"/>
          <w:sz w:val="24"/>
          <w:szCs w:val="24"/>
          <w:rtl/>
          <w:lang w:val="ar-SA"/>
        </w:rPr>
        <w:t>.</w:t>
      </w:r>
    </w:p>
    <w:p w14:paraId="7DEC9102" w14:textId="77777777" w:rsidR="00454428" w:rsidRDefault="00000000" w:rsidP="00C72BA8">
      <w:pPr>
        <w:pStyle w:val="ListParagraph"/>
        <w:numPr>
          <w:ilvl w:val="0"/>
          <w:numId w:val="2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التحديات الدولية في تنفيذ الحماية الرقمية</w:t>
      </w:r>
      <w:r>
        <w:rPr>
          <w:rStyle w:val="None"/>
          <w:rFonts w:ascii="Times New Roman" w:hAnsi="Times New Roman"/>
          <w:sz w:val="24"/>
          <w:szCs w:val="24"/>
          <w:rtl/>
          <w:lang w:val="ar-SA"/>
        </w:rPr>
        <w:t>.</w:t>
      </w:r>
    </w:p>
    <w:p w14:paraId="7783EFE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B96C28A"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01B1F158"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845BD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4AC41AA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03F577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90ACE5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E9B9BBB"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B2159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4F35F0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792791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93B915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D437C5D"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106D9BE"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5EDC45AF" w14:textId="77777777" w:rsidR="00454428" w:rsidRDefault="00000000" w:rsidP="00C72BA8">
      <w:pPr>
        <w:pStyle w:val="a"/>
        <w:rPr>
          <w:rStyle w:val="None"/>
          <w:lang w:val="ar-SA"/>
        </w:rPr>
      </w:pPr>
      <w:bookmarkStart w:id="113" w:name="_Toc66"/>
      <w:r>
        <w:rPr>
          <w:rStyle w:val="None"/>
          <w:rFonts w:ascii="Arial Unicode MS" w:eastAsia="Arial Unicode MS" w:hAnsi="Arial Unicode MS" w:hint="cs"/>
          <w:rtl/>
          <w:lang w:val="ar-SA"/>
        </w:rPr>
        <w:t>المطلب الأول</w:t>
      </w:r>
      <w:bookmarkEnd w:id="113"/>
    </w:p>
    <w:p w14:paraId="436A277C" w14:textId="77777777" w:rsidR="00454428" w:rsidRDefault="00000000" w:rsidP="00C72BA8">
      <w:pPr>
        <w:pStyle w:val="a"/>
        <w:rPr>
          <w:rStyle w:val="None"/>
          <w:lang w:val="ar-SA"/>
        </w:rPr>
      </w:pPr>
      <w:bookmarkStart w:id="114" w:name="_Toc67"/>
      <w:r>
        <w:rPr>
          <w:rStyle w:val="None"/>
          <w:rFonts w:ascii="Arial Unicode MS" w:eastAsia="Arial Unicode MS" w:hAnsi="Arial Unicode MS" w:hint="cs"/>
          <w:rtl/>
          <w:lang w:val="ar-SA"/>
        </w:rPr>
        <w:t>اتفاقية بيرن وتريبس والاتفاقيات الأخرى</w:t>
      </w:r>
      <w:bookmarkEnd w:id="114"/>
    </w:p>
    <w:p w14:paraId="5A79A2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bookmarkStart w:id="115" w:name="_Hlk207458717"/>
      <w:r>
        <w:rPr>
          <w:rStyle w:val="None"/>
          <w:rFonts w:ascii="Arial Unicode MS" w:hAnsi="Arial Unicode MS" w:cs="Times New Roman" w:hint="cs"/>
          <w:sz w:val="24"/>
          <w:szCs w:val="24"/>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27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8"/>
      </w:r>
      <w:r>
        <w:rPr>
          <w:rStyle w:val="None"/>
          <w:rFonts w:ascii="Times New Roman" w:hAnsi="Times New Roman"/>
          <w:sz w:val="24"/>
          <w:szCs w:val="24"/>
          <w:vertAlign w:val="superscript"/>
          <w:rtl/>
          <w:lang w:val="ar-SA"/>
        </w:rPr>
        <w:t>)</w:t>
      </w:r>
    </w:p>
    <w:p w14:paraId="076A5B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الاتفاقيات الدولية تلعب دورًا مهمًّا في حماية الملكية الفكرية، وقد تطوَّر التنظيم الدولي تطوُّرًا بارزًا؛ حيث كان يقتصر على اتفاقيات واتحادات دولية تهدف لحماية حقوق الملكية الفكرية الدولية، تطوَّر الوضع وأدى إلى ظهور منظمات دولية كفيلة بحماية حقوق الملكية الفكرية الدولية؛ حيث جاءت هذه الأخيرة لضمان الحقوق لأصحابها وتحفيزًا لهم، وكذا بغية الحفاظ على الاستمرارية في عملية الإبداع والابتكار، الأمر الذي يؤثر بشكل إيجابي على المردود الاقتصادي للدول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9"/>
      </w:r>
      <w:r>
        <w:rPr>
          <w:rStyle w:val="None"/>
          <w:rFonts w:ascii="Times New Roman" w:hAnsi="Times New Roman"/>
          <w:sz w:val="24"/>
          <w:szCs w:val="24"/>
          <w:vertAlign w:val="superscript"/>
          <w:rtl/>
          <w:lang w:val="ar-SA"/>
        </w:rPr>
        <w:t>)</w:t>
      </w:r>
    </w:p>
    <w:p w14:paraId="164999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وأضحت الحاجة إلى الحماية الدولية لحقوق الملكية الفكرية مسألةً ضروريةً ومعترفًا بها في آن واحد، عليه بدأ التفكير في حمايتها على الصعيد الدولي حوالي منتصف القرن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في شكل اتفاقيات ثنائية تتولى الاعتراف المتبادل هذه الحقوق، ولكنها لم تكن شاملةً بما فيه الكفاية، كما لم تكن من نمط موحد، فأضفت الحاجة إلى نظام موحد إلى إعداد اتفاقيات عديدة أولها اتفاقية برن لحماية الحقوق الملكية الأدبية والفكرية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0"/>
      </w:r>
      <w:r>
        <w:rPr>
          <w:rStyle w:val="None"/>
          <w:rFonts w:ascii="Times New Roman" w:hAnsi="Times New Roman"/>
          <w:sz w:val="24"/>
          <w:szCs w:val="24"/>
          <w:vertAlign w:val="superscript"/>
          <w:rtl/>
          <w:lang w:val="ar-SA"/>
        </w:rPr>
        <w:t>)</w:t>
      </w:r>
    </w:p>
    <w:p w14:paraId="20A52D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إبرام الاتفاقيات الدولية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ذات الصلة بالملكية الفكرية عمومًا وحق المؤلف خصوصًا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تعبيرًا عن الحاجة إلى ضرورة تنظيم حقوق المؤلف وحمايتها على الصعيد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1"/>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وهناك اتفاقيات دولية تعمل على حماية الحقوق المليكة الفكرية، وتتمثل في التالي</w:t>
      </w:r>
      <w:r>
        <w:rPr>
          <w:rStyle w:val="None"/>
          <w:rFonts w:ascii="Times New Roman" w:hAnsi="Times New Roman"/>
          <w:sz w:val="24"/>
          <w:szCs w:val="24"/>
          <w:rtl/>
          <w:lang w:val="ar-SA"/>
        </w:rPr>
        <w:t>:</w:t>
      </w:r>
    </w:p>
    <w:p w14:paraId="7BCA3A4C" w14:textId="77777777" w:rsidR="00454428" w:rsidRDefault="00000000" w:rsidP="00C72BA8">
      <w:pPr>
        <w:pStyle w:val="ListParagraph"/>
        <w:numPr>
          <w:ilvl w:val="0"/>
          <w:numId w:val="107"/>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p>
    <w:p w14:paraId="182B7C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يعود الاهتمام بحماية حقوق المؤلف إلى منتصف القرن الثامن عشر؛ حيث وجدت بعض الاتفاقيات الدولية الثنائية، التي كانت قاصرةً في حماية عناصر حق المؤلف، ولهذا تم إبرام اتفاقية برن في </w:t>
      </w:r>
      <w:r>
        <w:rPr>
          <w:rStyle w:val="None"/>
          <w:rFonts w:ascii="Times New Roman" w:hAnsi="Times New Roman"/>
          <w:sz w:val="24"/>
          <w:szCs w:val="24"/>
          <w:rtl/>
          <w:lang w:val="ar-SA"/>
        </w:rPr>
        <w:t>9/9/1886</w:t>
      </w:r>
      <w:r>
        <w:rPr>
          <w:rStyle w:val="None"/>
          <w:rFonts w:ascii="Arial Unicode MS" w:hAnsi="Arial Unicode MS" w:cs="Times New Roman" w:hint="cs"/>
          <w:sz w:val="24"/>
          <w:szCs w:val="24"/>
          <w:rtl/>
          <w:lang w:val="ar-SA"/>
        </w:rPr>
        <w:t xml:space="preserve">؛ لحماية الأعمال أو المصنفات الأدبية والفنية للمؤلف، ونصت المادة الأولى من الاتفاقية بأنَّه تشكل الدول التي تسري عليها هذه الاتفاقية اتحادًا سُمِّيَ اتحاد برن؛ لحماية حقوق المؤلف على المصنفات الأدبية والفنية، وقد تمت مراجعة هذه الاتفاقية عدة مرات؛ لمواكبة التطوُّرات التكنولوجية المتسارعة في مجال وسائط نقل ونسخ أعمال المؤلف، فتمت مراجعة اتفاقية برن في برلين عام </w:t>
      </w:r>
      <w:r>
        <w:rPr>
          <w:rStyle w:val="None"/>
          <w:rFonts w:ascii="Times New Roman" w:hAnsi="Times New Roman"/>
          <w:sz w:val="24"/>
          <w:szCs w:val="24"/>
          <w:rtl/>
          <w:lang w:val="ar-SA"/>
        </w:rPr>
        <w:t>1908</w:t>
      </w:r>
      <w:r>
        <w:rPr>
          <w:rStyle w:val="None"/>
          <w:rFonts w:ascii="Arial Unicode MS" w:hAnsi="Arial Unicode MS" w:cs="Times New Roman" w:hint="cs"/>
          <w:sz w:val="24"/>
          <w:szCs w:val="24"/>
          <w:rtl/>
          <w:lang w:val="ar-SA"/>
        </w:rPr>
        <w:t xml:space="preserve">، ثم في روما </w:t>
      </w:r>
      <w:r>
        <w:rPr>
          <w:rStyle w:val="None"/>
          <w:rFonts w:ascii="Times New Roman" w:hAnsi="Times New Roman"/>
          <w:sz w:val="24"/>
          <w:szCs w:val="24"/>
          <w:rtl/>
          <w:lang w:val="ar-SA"/>
        </w:rPr>
        <w:t>1928</w:t>
      </w:r>
      <w:r>
        <w:rPr>
          <w:rStyle w:val="None"/>
          <w:rFonts w:ascii="Arial Unicode MS" w:hAnsi="Arial Unicode MS" w:cs="Times New Roman" w:hint="cs"/>
          <w:sz w:val="24"/>
          <w:szCs w:val="24"/>
          <w:rtl/>
          <w:lang w:val="ar-SA"/>
        </w:rPr>
        <w:t xml:space="preserve">، ثم في بروكسل عام </w:t>
      </w:r>
      <w:r>
        <w:rPr>
          <w:rStyle w:val="None"/>
          <w:rFonts w:ascii="Times New Roman" w:hAnsi="Times New Roman"/>
          <w:sz w:val="24"/>
          <w:szCs w:val="24"/>
          <w:rtl/>
          <w:lang w:val="ar-SA"/>
        </w:rPr>
        <w:t>1948</w:t>
      </w:r>
      <w:r>
        <w:rPr>
          <w:rStyle w:val="None"/>
          <w:rFonts w:ascii="Arial Unicode MS" w:hAnsi="Arial Unicode MS" w:cs="Times New Roman" w:hint="cs"/>
          <w:sz w:val="24"/>
          <w:szCs w:val="24"/>
          <w:rtl/>
          <w:lang w:val="ar-SA"/>
        </w:rPr>
        <w:t xml:space="preserve">، ثم في ستوكهولم عام </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وآخرها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حيث تم وضع ملحق بالاتفاقية؛ وذلك لمواجهة التطوُّرات التكنولوجية في مجال حق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2"/>
      </w:r>
      <w:r>
        <w:rPr>
          <w:rStyle w:val="None"/>
          <w:rFonts w:ascii="Times New Roman" w:hAnsi="Times New Roman"/>
          <w:sz w:val="24"/>
          <w:szCs w:val="24"/>
          <w:vertAlign w:val="superscript"/>
          <w:rtl/>
          <w:lang w:val="ar-SA"/>
        </w:rPr>
        <w:t>)</w:t>
      </w:r>
    </w:p>
    <w:p w14:paraId="576491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مبادئ حقوق المؤلف في اتفاقية برن</w:t>
      </w:r>
      <w:r>
        <w:rPr>
          <w:rStyle w:val="None"/>
          <w:rFonts w:ascii="Times New Roman" w:hAnsi="Times New Roman"/>
          <w:b/>
          <w:bCs/>
          <w:sz w:val="24"/>
          <w:szCs w:val="24"/>
          <w:rtl/>
          <w:lang w:val="ar-SA"/>
        </w:rPr>
        <w:t>:</w:t>
      </w:r>
    </w:p>
    <w:p w14:paraId="483FE8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تنبني حماية حق المؤلف في اتفاقية برن على عدد من المبادئ الواجب على الدول الأعضاء مراعاتها، وهي مبدأ المعاملة الوطنية، ومبدأ المعاملة بالمثل، ومبدأ الحماية التلقائية واستفلالها، ومبدأ الحماية في بلد المنشأ، ومبدأ تقيد الحماية التلقائية واستقلالها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3"/>
      </w:r>
      <w:r>
        <w:rPr>
          <w:rStyle w:val="None"/>
          <w:rFonts w:ascii="Times New Roman" w:hAnsi="Times New Roman"/>
          <w:sz w:val="24"/>
          <w:szCs w:val="24"/>
          <w:vertAlign w:val="superscript"/>
          <w:rtl/>
          <w:lang w:val="ar-SA"/>
        </w:rPr>
        <w:t>)</w:t>
      </w:r>
    </w:p>
    <w:p w14:paraId="56D2CBED" w14:textId="77777777" w:rsidR="00454428" w:rsidRDefault="00000000" w:rsidP="00C72BA8">
      <w:pPr>
        <w:pStyle w:val="ListParagraph"/>
        <w:numPr>
          <w:ilvl w:val="0"/>
          <w:numId w:val="25"/>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المعاملة الوطنية</w:t>
      </w:r>
      <w:r>
        <w:rPr>
          <w:rStyle w:val="None"/>
          <w:rFonts w:ascii="Times New Roman" w:hAnsi="Times New Roman"/>
          <w:b/>
          <w:bCs/>
          <w:sz w:val="24"/>
          <w:szCs w:val="24"/>
          <w:rtl/>
          <w:lang w:val="ar-SA"/>
        </w:rPr>
        <w:t>:</w:t>
      </w:r>
    </w:p>
    <w:p w14:paraId="6FE619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نصت أغلب الاتفاقيات الدولية المتعلقة بحماية المصنفات كاتفاقية برن على مبدأ المعاملة الوطنية أي أنَّ الدولة العضو في الاتفاقية تلتزم بمعاملة مؤلف المصنفات الأجنبي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والذي ينتمي إلى دولة أخرى عضو في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بذات المعاملة التي يعامل بها المصنفات الوطنية، غير أنَّ هذه المساواة في المعاملة لا تعني المساواة الكاملة الحقيقية في مختلف الدول؛ لأنَّ نطاق الحماية الدولية للمصنفات يختلف من دولة إلى أخرى، فهو مبدأ نسبي أي أنَّ المساواة في المعاملة هي مساواة نسبية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4"/>
      </w:r>
      <w:r>
        <w:rPr>
          <w:rStyle w:val="None"/>
          <w:rFonts w:ascii="Times New Roman" w:hAnsi="Times New Roman"/>
          <w:sz w:val="24"/>
          <w:szCs w:val="24"/>
          <w:vertAlign w:val="superscript"/>
          <w:rtl/>
          <w:lang w:val="ar-SA"/>
        </w:rPr>
        <w:t>)</w:t>
      </w:r>
    </w:p>
    <w:p w14:paraId="696F9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ويطلق عليه أيضًا تسوية الأجانب بالوطنيين؛ إذ يتمتع المؤلفون في دول الاتحاد غير دولة المصنف بالحقوق التي تخولها قوانين تلك الدول حاليًا، أو قد يخولها مستقبلًا لرعاياها بالإضافة إلى الحقوق المقررة بصفة خاصة في هذه الاتفاقية، وذلك بالنسبة للمصنفات التي يتمتعون على أساسها بالحماية بمقتضى هذه الاتفاقية، ومعناه المساواة في الحماية القانونية لمصنف الأجنبي مع المصنف الوطني، وقد أورد دليل اتفاقية برن مثالًا توضيحيًا في ذلك، مفاده أنَّه إذا وقع تزييف لمصنف مؤلف سنغالي نشر لأول مرة في ساحل العاج؛ فإنَّ هذا المؤلَّف أو مَن آلَ إليه حق المؤلف يجب أنْ يعامل في فرنسا كما لو كان الأمر يتعلق بمصنف إبداعه وألفه مواطن فرنسي ونشر هذا المصنف في فرنسا، ومبدأ المعاملة الوطنية مبدأ نسبي التطبيق يختلف أعماله من بلد إلى آخر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5"/>
      </w:r>
      <w:r>
        <w:rPr>
          <w:rStyle w:val="None"/>
          <w:rFonts w:ascii="Times New Roman" w:hAnsi="Times New Roman"/>
          <w:sz w:val="24"/>
          <w:szCs w:val="24"/>
          <w:vertAlign w:val="superscript"/>
          <w:rtl/>
          <w:lang w:val="ar-SA"/>
        </w:rPr>
        <w:t>)</w:t>
      </w:r>
    </w:p>
    <w:p w14:paraId="798DD8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مبدأ المعاملة الوطنية في اتفاقية برن لحماية المصنفات الأدبية والفنية؛ حيث يلتزم هذا المبدأ الدول الأعضاء بمنح مواطنيها الحماية التي تمنحها الدول الأخرى، وبموجب هذا المبدأ يتمتع المؤلف الأجنبي بالحماية التلقائية في الدول المتعاقدة في الاتفاقية، كما يمنح المؤلف الوطني الحقوق والامتيازات على مصنفة، فإنَّ هذا المبدأ يهدف إلى ضمان العادلة والمساواة للمؤلفين داخل نطاق هذه الاتفاقية</w:t>
      </w:r>
      <w:r>
        <w:rPr>
          <w:rStyle w:val="None"/>
          <w:rFonts w:ascii="Times New Roman" w:hAnsi="Times New Roman"/>
          <w:sz w:val="24"/>
          <w:szCs w:val="24"/>
          <w:rtl/>
          <w:lang w:val="ar-SA"/>
        </w:rPr>
        <w:t>.</w:t>
      </w:r>
    </w:p>
    <w:p w14:paraId="51B0130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AD70CEB" w14:textId="77777777" w:rsidR="00454428" w:rsidRDefault="00000000" w:rsidP="00C72BA8">
      <w:pPr>
        <w:pStyle w:val="ListParagraph"/>
        <w:numPr>
          <w:ilvl w:val="0"/>
          <w:numId w:val="25"/>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الحماية التلقائية واستقلالها</w:t>
      </w:r>
      <w:r>
        <w:rPr>
          <w:rStyle w:val="None"/>
          <w:rFonts w:ascii="Times New Roman" w:hAnsi="Times New Roman"/>
          <w:b/>
          <w:bCs/>
          <w:sz w:val="24"/>
          <w:szCs w:val="24"/>
          <w:rtl/>
          <w:lang w:val="ar-SA"/>
        </w:rPr>
        <w:t>:</w:t>
      </w:r>
    </w:p>
    <w:p w14:paraId="57178C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تناولت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اتفاقية برن مبدأ آخر من المبادئ التي ترتكز عليها حماية المصنفات الأدبية، والفنية، والعلمية، وهو مبدأ الحماية التلقائية واستقلالها، وقد فرق هذا المبدأ بين مسألتين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6"/>
      </w:r>
      <w:r>
        <w:rPr>
          <w:rStyle w:val="None"/>
          <w:rFonts w:ascii="Times New Roman" w:hAnsi="Times New Roman"/>
          <w:sz w:val="24"/>
          <w:szCs w:val="24"/>
          <w:vertAlign w:val="superscript"/>
          <w:rtl/>
          <w:lang w:val="ar-SA"/>
        </w:rPr>
        <w:t>)</w:t>
      </w:r>
    </w:p>
    <w:p w14:paraId="3D79EC1A" w14:textId="77777777" w:rsidR="00454428" w:rsidRDefault="00000000" w:rsidP="00C72BA8">
      <w:pPr>
        <w:pStyle w:val="ListParagraph"/>
        <w:numPr>
          <w:ilvl w:val="0"/>
          <w:numId w:val="10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الأولى</w:t>
      </w:r>
      <w:r>
        <w:rPr>
          <w:rStyle w:val="None"/>
          <w:rFonts w:ascii="Times New Roman" w:hAnsi="Times New Roman"/>
          <w:b/>
          <w:bCs/>
          <w:sz w:val="24"/>
          <w:szCs w:val="24"/>
          <w:rtl/>
          <w:lang w:val="ar-SA"/>
        </w:rPr>
        <w:t>:</w:t>
      </w:r>
      <w:r>
        <w:rPr>
          <w:rStyle w:val="None"/>
          <w:rFonts w:cs="Times New Roman"/>
          <w:sz w:val="24"/>
          <w:szCs w:val="24"/>
          <w:rtl/>
          <w:lang w:val="ar-SA"/>
        </w:rPr>
        <w:t xml:space="preserve"> التمتع بالحقوق وممارستها تعني أحقية المؤلف المصنف في أنْ يكون له حق استئثاري على مصنفه، دون النظر إلى القيمة الثقافية، ولا مدى جدارة المصنف بالتمتع بالحماية من عدمها، وكل ذلك لا يحول دون تمتع مؤلف المصنف بحقوقه الكاملة التي تقررها له الاتفاقيات الدولية، وقوانين الملكية الفكرية الوطنية المختلفة، كما أنَّ تقرير حق المؤلف لا يتوقف على مدى التزام المؤلف باستيفاء بنص الإجراءات الشكلية كالتسجيل والإيداع مثلًا</w:t>
      </w:r>
      <w:r>
        <w:rPr>
          <w:rStyle w:val="None"/>
          <w:rFonts w:ascii="Times New Roman" w:hAnsi="Times New Roman"/>
          <w:sz w:val="24"/>
          <w:szCs w:val="24"/>
          <w:rtl/>
          <w:lang w:val="ar-SA"/>
        </w:rPr>
        <w:t>.</w:t>
      </w:r>
    </w:p>
    <w:p w14:paraId="09637A77" w14:textId="77777777" w:rsidR="00454428" w:rsidRDefault="00000000" w:rsidP="00C72BA8">
      <w:pPr>
        <w:pStyle w:val="ListParagraph"/>
        <w:numPr>
          <w:ilvl w:val="0"/>
          <w:numId w:val="10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الثانية</w:t>
      </w:r>
      <w:r>
        <w:rPr>
          <w:rStyle w:val="None"/>
          <w:rFonts w:ascii="Times New Roman" w:hAnsi="Times New Roman"/>
          <w:b/>
          <w:bCs/>
          <w:sz w:val="24"/>
          <w:szCs w:val="24"/>
          <w:rtl/>
          <w:lang w:val="ar-SA"/>
        </w:rPr>
        <w:t>:</w:t>
      </w:r>
      <w:r>
        <w:rPr>
          <w:rStyle w:val="None"/>
          <w:rFonts w:cs="Times New Roman"/>
          <w:sz w:val="24"/>
          <w:szCs w:val="24"/>
          <w:rtl/>
          <w:lang w:val="ar-SA"/>
        </w:rPr>
        <w:t xml:space="preserve"> تتمثل في أنْ تمتع المؤلف بحقوقه، واستعمالها، واستمرارها أمر مستقل تمامًا عن الحماية ونطاقها في الدول المطولة توفير الحماية فيها،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لأي دولة من دول الاتحاد أنْ تعرض ما تشاء من الإجراءات والشكليات التي تحدد نطاق حماية الحق وكيفية ممارسته</w:t>
      </w:r>
      <w:r>
        <w:rPr>
          <w:rStyle w:val="None"/>
          <w:rFonts w:ascii="Times New Roman" w:hAnsi="Times New Roman"/>
          <w:sz w:val="24"/>
          <w:szCs w:val="24"/>
          <w:rtl/>
          <w:lang w:val="ar-SA"/>
        </w:rPr>
        <w:t>.</w:t>
      </w:r>
    </w:p>
    <w:p w14:paraId="485DD29D" w14:textId="77777777" w:rsidR="00454428" w:rsidRDefault="00000000" w:rsidP="00C72BA8">
      <w:pPr>
        <w:pStyle w:val="ListParagraph"/>
        <w:numPr>
          <w:ilvl w:val="0"/>
          <w:numId w:val="25"/>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الحماية في بلد المنشأ</w:t>
      </w:r>
      <w:r>
        <w:rPr>
          <w:rStyle w:val="None"/>
          <w:rFonts w:ascii="Times New Roman" w:hAnsi="Times New Roman"/>
          <w:b/>
          <w:bCs/>
          <w:sz w:val="24"/>
          <w:szCs w:val="24"/>
          <w:rtl/>
          <w:lang w:val="ar-SA"/>
        </w:rPr>
        <w:t>:</w:t>
      </w:r>
    </w:p>
    <w:p w14:paraId="5265B1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يؤدي هذا المبدأ على ما ورد في المادة الخامسة الفقرة الثانية من اتفاقية برن، التي أعطت للدولة العضو في الاتحاد الحق في أنْ تضع ما تشاء من الإجراءات والشروط؛ لحماية حقوق المؤلف، وتحديد كيفية استعمال ونطاق هذه الحقوق، أما الفقرة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فتؤكد على أنَّ مسألة الحماية في الدولة التي نشأ فيها المصنف بلد المنشأ مسألة يحكمها، وينظمها التشريع الوطني في ذلك البلد، وهو أمر لا غبار عليه متى كان المؤلف أحد رعايا تلك الدولة وصدر مصنفه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7"/>
      </w:r>
      <w:r>
        <w:rPr>
          <w:rStyle w:val="None"/>
          <w:rFonts w:ascii="Times New Roman" w:hAnsi="Times New Roman"/>
          <w:sz w:val="24"/>
          <w:szCs w:val="24"/>
          <w:vertAlign w:val="superscript"/>
          <w:rtl/>
          <w:lang w:val="ar-SA"/>
        </w:rPr>
        <w:t>)</w:t>
      </w:r>
    </w:p>
    <w:p w14:paraId="225339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ذكرت في المادة الخامسة الفقرة الثانية من الاتفاقية أنَّ للدول الأعضاء وضعَ الشروط والإجراءات التي تراها مناسبةً تكفل حماية حقوق المؤلف، كما ذكرت المادة الثالثة من ذات المادة أنَّ المصنف يخضع لتنظيم بلد المنشأ، </w:t>
      </w:r>
      <w:r>
        <w:rPr>
          <w:rStyle w:val="None"/>
          <w:rFonts w:ascii="Arial Unicode MS" w:hAnsi="Arial Unicode MS" w:cs="Times New Roman" w:hint="cs"/>
          <w:sz w:val="24"/>
          <w:szCs w:val="24"/>
          <w:rtl/>
          <w:lang w:val="ar-SA"/>
        </w:rPr>
        <w:lastRenderedPageBreak/>
        <w:t>أما الفقرة الرابعة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ذكرت أنَّ المصنف الذي ينشأ في أي بلد من بلدان الأعضاء يحظى بنفس المعاملة التي يتمتع بها مؤلف المصنفات في بلدانهم الأصلية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DD133C" w14:textId="77777777" w:rsidR="00454428" w:rsidRDefault="00000000" w:rsidP="00C72BA8">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مبدأ حماية في بلد المنشأ من المبادئ الأساسية في اتفاقية برن لحماية الملكية الفكرية، فالمصنف يتمتع بالحماية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 في البلد التي نشر أو أنتج لأول مرة أي بلد المنشأ، وقد أكدت اتفاقية برن لحماية المصنفات هذا المبدأ؛ لأنَّها نصت في موادها القانونية بالاعتراف بالحماية القانونية في خارج البلاد</w:t>
      </w:r>
      <w:r>
        <w:rPr>
          <w:rStyle w:val="None"/>
          <w:rFonts w:ascii="Times New Roman" w:hAnsi="Times New Roman"/>
          <w:sz w:val="24"/>
          <w:szCs w:val="24"/>
          <w:rtl/>
          <w:lang w:val="ar-SA"/>
        </w:rPr>
        <w:t>.</w:t>
      </w:r>
    </w:p>
    <w:p w14:paraId="5537D39D" w14:textId="77777777" w:rsidR="00454428" w:rsidRDefault="00454428" w:rsidP="00C72BA8">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lang w:val="ar-SA"/>
        </w:rPr>
      </w:pPr>
    </w:p>
    <w:p w14:paraId="59BE20C0" w14:textId="77777777" w:rsidR="00454428" w:rsidRDefault="00454428" w:rsidP="00C72BA8">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p>
    <w:p w14:paraId="6DFB431C" w14:textId="77777777" w:rsidR="00454428" w:rsidRDefault="00454428" w:rsidP="00C72BA8">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lang w:val="ar-SA"/>
        </w:rPr>
      </w:pPr>
    </w:p>
    <w:p w14:paraId="5B4A6F73" w14:textId="77777777" w:rsidR="00454428" w:rsidRDefault="00000000" w:rsidP="00C72BA8">
      <w:pPr>
        <w:pStyle w:val="ListParagraph"/>
        <w:numPr>
          <w:ilvl w:val="0"/>
          <w:numId w:val="25"/>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تقييد الحماية</w:t>
      </w:r>
      <w:r>
        <w:rPr>
          <w:rStyle w:val="None"/>
          <w:rFonts w:ascii="Times New Roman" w:hAnsi="Times New Roman"/>
          <w:b/>
          <w:bCs/>
          <w:sz w:val="24"/>
          <w:szCs w:val="24"/>
          <w:rtl/>
          <w:lang w:val="ar-SA"/>
        </w:rPr>
        <w:t>:</w:t>
      </w:r>
    </w:p>
    <w:p w14:paraId="51A266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مبدأ تقييد الحماية قد نصت عليه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 xml:space="preserve">فقرة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وقد تقرر هذا المبدأ من المفهوم الذي يقضي بأنَّ المؤلفين التابعين لبلاد لا تزال خارج الاتحاد، يسعون للاستفادة من المزايا التي توفرها الاتفاقات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اعتبار الأجنبي كالوطني في المعاملة، مع أنَّ بلدان هؤلاء المؤلفين تقرر حماية أقل لمؤلفي بلدان الاتحاد، وهي أيضًا حماية أقل من تلك التي تكفلها لهم اتفاقية برن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9"/>
      </w:r>
      <w:r>
        <w:rPr>
          <w:rStyle w:val="None"/>
          <w:rFonts w:ascii="Times New Roman" w:hAnsi="Times New Roman"/>
          <w:sz w:val="24"/>
          <w:szCs w:val="24"/>
          <w:vertAlign w:val="superscript"/>
          <w:rtl/>
          <w:lang w:val="ar-SA"/>
        </w:rPr>
        <w:t>)</w:t>
      </w:r>
    </w:p>
    <w:p w14:paraId="5E3E0A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الزمت الاتفاقية في إطار المادة السادسة 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دول الاتحاد، التي تضع قيودًا على حماية حقوق المؤلفين أنْ تقوم بإخطار مدير عام المنظمة العالمية للملكية الفكرية بهذه القيود بموجب إعلان كتابي تحدد فيه الدول، التي ستقيد الحماية في مواجهتها، والقيود التي تخضع لها حقوق المؤلفين من رعايا هذه الدول أو تلك، وبدوره يقوم المدير العام للمنظمة بإبلاغ هذا الإعلان إلى جميع بلدان الاتحاد، وقد جاءت هذه المادة كنتيجة منطقية مترتبة على مبدأ المعاملة بالمثل لما لهذا المبدأ من آثار سلبية على العلاقات الدولية عمومًا، وعلى العلاقات بين دول الاتحاد على وجه الخصوص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0"/>
      </w:r>
      <w:r>
        <w:rPr>
          <w:rStyle w:val="None"/>
          <w:rFonts w:ascii="Times New Roman" w:hAnsi="Times New Roman"/>
          <w:sz w:val="24"/>
          <w:szCs w:val="24"/>
          <w:vertAlign w:val="superscript"/>
          <w:rtl/>
          <w:lang w:val="ar-SA"/>
        </w:rPr>
        <w:t>)</w:t>
      </w:r>
    </w:p>
    <w:p w14:paraId="0D36EE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تُعَدُّ اتفاقية برن لحماية حقوق المؤلف الأدبية والفنية، التي وقعت لأول مرة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كما تعتبر من أهم الاتفاقيات الدولية في مجال حماية حقوق المؤلف؛ حيث تلتزم كل دولة عضو من هذه الاتفاقية بحماية مؤلفي الدول الأخرى، بالإضافة إلى أنَّها تشمل حماية المصنفات الأدبية والفنية بجميع أشكالها، كما خضعت الاتفاقية لتعديلات كثيرة، وكان آخر تعديل عليها عام في باريس عام </w:t>
      </w:r>
      <w:r>
        <w:rPr>
          <w:rStyle w:val="None"/>
          <w:rFonts w:ascii="Times New Roman" w:hAnsi="Times New Roman"/>
          <w:sz w:val="24"/>
          <w:szCs w:val="24"/>
          <w:rtl/>
          <w:lang w:val="ar-SA"/>
        </w:rPr>
        <w:t>1971.</w:t>
      </w:r>
    </w:p>
    <w:p w14:paraId="0F5D50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اتفاقية برن للمصنفات الأدبية والفنية تواجهها عدة تحديات في ظل البيئة الرقمية؛ حيث إنَّ النصوص القانونية في الاتفاقية لم تذكر موضوع النشر الإلكتروني عبر الوسائط الرقمية، فهذا يؤدي إلى صعوبة في </w:t>
      </w:r>
      <w:r>
        <w:rPr>
          <w:rStyle w:val="None"/>
          <w:rFonts w:ascii="Arial Unicode MS" w:hAnsi="Arial Unicode MS" w:cs="Times New Roman" w:hint="cs"/>
          <w:sz w:val="24"/>
          <w:szCs w:val="24"/>
          <w:rtl/>
          <w:lang w:val="ar-SA"/>
        </w:rPr>
        <w:lastRenderedPageBreak/>
        <w:t>مراقبة النسخ وتوزيعها عبر الإنترنت، بالإضافة إلى غياب نصوص قانونية صريحة تنظم تداول الملفات الرقيمة؛ بسبب الانتهاكات العابرة للحدود</w:t>
      </w:r>
      <w:r>
        <w:rPr>
          <w:rStyle w:val="None"/>
          <w:rFonts w:ascii="Times New Roman" w:hAnsi="Times New Roman"/>
          <w:sz w:val="24"/>
          <w:szCs w:val="24"/>
          <w:rtl/>
          <w:lang w:val="ar-SA"/>
        </w:rPr>
        <w:t>.</w:t>
      </w:r>
    </w:p>
    <w:p w14:paraId="09EA0C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 تم اعتماد الاتفاقية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وآخر تعديل على الاتفاقية كان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فقد شمل التعديل على وضع أطر قانونية لحماية حقوق المؤلف على المستوى الدولي، فقد مر أكثر من </w:t>
      </w:r>
      <w:r>
        <w:rPr>
          <w:rStyle w:val="None"/>
          <w:rFonts w:ascii="Times New Roman" w:hAnsi="Times New Roman"/>
          <w:sz w:val="24"/>
          <w:szCs w:val="24"/>
          <w:rtl/>
          <w:lang w:val="ar-SA"/>
        </w:rPr>
        <w:t xml:space="preserve">50 </w:t>
      </w:r>
      <w:r>
        <w:rPr>
          <w:rStyle w:val="None"/>
          <w:rFonts w:ascii="Arial Unicode MS" w:hAnsi="Arial Unicode MS" w:cs="Times New Roman" w:hint="cs"/>
          <w:sz w:val="24"/>
          <w:szCs w:val="24"/>
          <w:rtl/>
          <w:lang w:val="ar-SA"/>
        </w:rPr>
        <w:t>عامًا على آخر تعديل، إلا أنَّ نصوصها القانونية أصبحت غير شاملة لمواكبة التطوُّرات التكنولوجية الرقمية، فلا بُدَّ من إعادة النظر في تعديل الاتفاقية؛ لكي تتلاءم مع التشريعات الحديثة</w:t>
      </w:r>
      <w:r>
        <w:rPr>
          <w:rStyle w:val="None"/>
          <w:rFonts w:ascii="Times New Roman" w:hAnsi="Times New Roman"/>
          <w:sz w:val="24"/>
          <w:szCs w:val="24"/>
          <w:rtl/>
          <w:lang w:val="ar-SA"/>
        </w:rPr>
        <w:t>.</w:t>
      </w:r>
    </w:p>
    <w:p w14:paraId="72F30015" w14:textId="77777777" w:rsidR="00454428" w:rsidRDefault="00000000" w:rsidP="00C72BA8">
      <w:pPr>
        <w:pStyle w:val="ListParagraph"/>
        <w:numPr>
          <w:ilvl w:val="0"/>
          <w:numId w:val="11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اتفاقية الجوانب المتصلة بالتجارة من حقوق المليكة الفكرية </w:t>
      </w:r>
      <w:r>
        <w:rPr>
          <w:rStyle w:val="None"/>
          <w:rFonts w:ascii="Times New Roman" w:hAnsi="Times New Roman"/>
          <w:b/>
          <w:bCs/>
          <w:sz w:val="24"/>
          <w:szCs w:val="24"/>
          <w:rtl/>
          <w:lang w:val="ar-SA"/>
        </w:rPr>
        <w:t>(</w:t>
      </w:r>
      <w:r>
        <w:rPr>
          <w:rStyle w:val="None"/>
          <w:rFonts w:cs="Times New Roman"/>
          <w:b/>
          <w:bCs/>
          <w:sz w:val="24"/>
          <w:szCs w:val="24"/>
          <w:rtl/>
          <w:lang w:val="ar-SA"/>
        </w:rPr>
        <w:t>تريبس</w:t>
      </w:r>
      <w:r>
        <w:rPr>
          <w:rStyle w:val="None"/>
          <w:rFonts w:ascii="Times New Roman" w:hAnsi="Times New Roman"/>
          <w:b/>
          <w:bCs/>
          <w:sz w:val="24"/>
          <w:szCs w:val="24"/>
          <w:rtl/>
          <w:lang w:val="ar-SA"/>
        </w:rPr>
        <w:t>):</w:t>
      </w:r>
    </w:p>
    <w:p w14:paraId="6F571B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تضمنت أحكام اتفاقية التربس مجموعةً من القواعد لحماية بعض المصنفات والموضوعات المتعلقة بحقوق التأليف والحقوق المجاورة، والتي تميزت في بعض الأحيان بالحداثة عما سبقها من اتفاقيات مماثلة، ومن ضمن تلك الأمور على سبيل المثال النص على حماية برامج الحاسب الآلي، وقواعد البيانات، فقد تضمنت الاتفاقية حماية برامج الحاسب الآلي سواء كانت بلُغة المصدر أو بلُغة الآلة، باعتبارها من الأعمال الأدبية وفق مفهوم أحكام اتفاقية بيرن لحماية المصنفات الأدبية والفنية لعام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وقد نصت الاتفاقية كذلك على حماية البيانات المجمعة، أو ما يسمى بقواعد البيانات إذا كانت تشكل عملًا مبتكرًا؛ نتيجة انتقاء أو ترتيب محتوياتها، وأنَّ الحماية لا تشمل البيانات أو المواد في حد ذاتها مع عدم الإخلال بحقوق المؤلفين المتعلقة بتلك البيانات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1"/>
      </w:r>
      <w:r>
        <w:rPr>
          <w:rStyle w:val="None"/>
          <w:rFonts w:ascii="Times New Roman" w:hAnsi="Times New Roman"/>
          <w:sz w:val="24"/>
          <w:szCs w:val="24"/>
          <w:vertAlign w:val="superscript"/>
          <w:rtl/>
          <w:lang w:val="ar-SA"/>
        </w:rPr>
        <w:t>)</w:t>
      </w:r>
    </w:p>
    <w:p w14:paraId="7BB540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مثلت اتفاقية التربس تحوُّلًا تقدميًا، وقفزةً فكريةً في تاريخ الملكية الفكرية؛ إذ ربطت الملكية الفكرية ومبادئ التجارة، ووفرت آليةً لمعالجة النزاعات بين الدول حول الملكية الفكرية على أساس متعدد الأطراف، وقد وقعت على هذه الاتفاقية </w:t>
      </w:r>
      <w:r>
        <w:rPr>
          <w:rStyle w:val="None"/>
          <w:rFonts w:ascii="Times New Roman" w:hAnsi="Times New Roman"/>
          <w:sz w:val="24"/>
          <w:szCs w:val="24"/>
          <w:rtl/>
          <w:lang w:val="ar-SA"/>
        </w:rPr>
        <w:t xml:space="preserve">125 </w:t>
      </w:r>
      <w:r>
        <w:rPr>
          <w:rStyle w:val="None"/>
          <w:rFonts w:ascii="Arial Unicode MS" w:hAnsi="Arial Unicode MS" w:cs="Times New Roman" w:hint="cs"/>
          <w:sz w:val="24"/>
          <w:szCs w:val="24"/>
          <w:rtl/>
          <w:lang w:val="ar-SA"/>
        </w:rPr>
        <w:t>دولةً، وبتضمين بنود هذه الاتفاقية البنود الخاصة باتفاقية بيرن، وبعض التعديلات التي أدخلت عليها في اتفاقية روما، وبتضمينها أيضًا بعض التشريعات بخصوص المسائل المتنازع عليها، أتت مستجيبة ومتوافقة مع رأي البعض الذي يرى ضرورة وجود توازن بين مصلحة منتجي ومستهلكي المعلومات، وضرورة الاهتمام بموضوع حقوق المستخدمين في الوصول إلى المعلومات العامة المتاحة على الشبكات والوسائط الإلكترونية الأخرى</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381D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وهكذا جمعت اتفاقية تريبس أحكامَ الاتفاقيات الدولية الرئيسية في شأن الملكية الفكرية في وثيقة واحدة فحققت الترابط فيما بينها بعدما كانت هذه الأحكام متفرقةً ومبعثرةً في هذه الاتفاقيات الدولية، وألزمت جميع الدول الأعضاء في منظمة التجارة العالمية بتطبيق أحكام هذه الاتفاقيات بغض النظر عن انضمامها إلى هذه الاتفاقيات الدولية أو عدم الانضمام إليها، ولقد ترتب على ذلك زيادة عدد الدول التي تلتزم بتطبيق أحكام الاتفاقيات الدولية الرئيسية التي أحالت إليها اتفاقية التريبس؛ إذ ألزمت الاتفاقية جميع الأعضاء في منظمة التجارة العالمية باحترام هذه الأحكام وتطبيقها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5A8D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اتفاقية تريبس هي من أهم الاتفاقيات الدولية لحماية حقوق الملكية الفكرية، وتهدف الاتفاقية إلى وضح حد أدنى من المعايير الدولية لحماية حقوق الملكية الفكرية، بالإضافة إلى حقوق المؤلف والعلامات التجارية والتصاميم الصناعية، كما وردت في نصوص المواد للاتفاقية، كما تلتزم الدول الأعضاء بتوفير هذه الحماية، تعتبر اتفاقية تريبس هي حلقة الوصل بين الملكية الفكرية بالنظام التجاري الدولي</w:t>
      </w:r>
      <w:r>
        <w:rPr>
          <w:rStyle w:val="None"/>
          <w:rFonts w:ascii="Times New Roman" w:hAnsi="Times New Roman"/>
          <w:sz w:val="24"/>
          <w:szCs w:val="24"/>
          <w:rtl/>
          <w:lang w:val="ar-SA"/>
        </w:rPr>
        <w:t>.</w:t>
      </w:r>
    </w:p>
    <w:p w14:paraId="6AEF59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اتفاقية تريبس لم تتناول نصوصًا قانونيةً بخصوص البيئة الرقمية لحماية حقوق الملكية الفكرية؛ وذلك بسبب اعتمادها قبل ظهور الإنترنت، ولكنها تضمن نصوص يمكن تطبيقها على البيئة الرقمية، فإنَّ التطوُّرات التكنولوجية قد بينت قصور نصوص اتفاقية تريبس لحماية المصنفات الرقمية</w:t>
      </w:r>
      <w:r>
        <w:rPr>
          <w:rStyle w:val="None"/>
          <w:rFonts w:ascii="Times New Roman" w:hAnsi="Times New Roman"/>
          <w:sz w:val="24"/>
          <w:szCs w:val="24"/>
          <w:rtl/>
          <w:lang w:val="ar-SA"/>
        </w:rPr>
        <w:t>.</w:t>
      </w:r>
    </w:p>
    <w:p w14:paraId="7B4936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اتفاقية تريبس التي تم اعتمادها عام </w:t>
      </w:r>
      <w:r>
        <w:rPr>
          <w:rStyle w:val="None"/>
          <w:rFonts w:ascii="Times New Roman" w:hAnsi="Times New Roman"/>
          <w:sz w:val="24"/>
          <w:szCs w:val="24"/>
          <w:rtl/>
          <w:lang w:val="ar-SA"/>
        </w:rPr>
        <w:t xml:space="preserve">1994 </w:t>
      </w:r>
      <w:r>
        <w:rPr>
          <w:rStyle w:val="None"/>
          <w:rFonts w:ascii="Arial Unicode MS" w:hAnsi="Arial Unicode MS" w:cs="Times New Roman" w:hint="cs"/>
          <w:sz w:val="24"/>
          <w:szCs w:val="24"/>
          <w:rtl/>
          <w:lang w:val="ar-SA"/>
        </w:rPr>
        <w:t xml:space="preserve">ولم يتم أي تعديل على الاتفاقية، ولكن قد وضعت إطارًا قانونيًّا يشمل حماية حقوق الملكية الفكرية على المستوى الدولي، إلا أنَّه بعد مرور أكثر من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عام على اعتمادها وعدم تحديث نصوصها القانونية، خاصة في مجال حماية حقوق المؤلف في البيئة الرقمية، كان لا بُدَّ من إعادة النظر في الاتفاقية مرة أخرى وتعديلها؛ لكي تواكب التطوُّرات الحديثة والتشريعات الحديثة لحماية حقوق الملكية الفكرية في البيئة الرقمية</w:t>
      </w:r>
      <w:r>
        <w:rPr>
          <w:rStyle w:val="None"/>
          <w:rFonts w:ascii="Times New Roman" w:hAnsi="Times New Roman"/>
          <w:sz w:val="24"/>
          <w:szCs w:val="24"/>
          <w:rtl/>
          <w:lang w:val="ar-SA"/>
        </w:rPr>
        <w:t>.</w:t>
      </w:r>
    </w:p>
    <w:p w14:paraId="42A9882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CD9E8A8" w14:textId="77777777" w:rsidR="00454428" w:rsidRDefault="00000000" w:rsidP="00C72BA8">
      <w:pPr>
        <w:pStyle w:val="ListParagraph"/>
        <w:numPr>
          <w:ilvl w:val="0"/>
          <w:numId w:val="10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اتفاقية </w:t>
      </w:r>
      <w:r>
        <w:rPr>
          <w:rStyle w:val="None"/>
          <w:rFonts w:ascii="Times New Roman" w:hAnsi="Times New Roman"/>
          <w:b/>
          <w:bCs/>
          <w:sz w:val="24"/>
          <w:szCs w:val="24"/>
          <w:rtl/>
          <w:lang w:val="ar-SA"/>
        </w:rPr>
        <w:t>(</w:t>
      </w:r>
      <w:r>
        <w:rPr>
          <w:rStyle w:val="None"/>
          <w:rFonts w:cs="Times New Roman"/>
          <w:b/>
          <w:bCs/>
          <w:sz w:val="24"/>
          <w:szCs w:val="24"/>
          <w:rtl/>
          <w:lang w:val="ar-SA"/>
        </w:rPr>
        <w:t>روما</w:t>
      </w:r>
      <w:r>
        <w:rPr>
          <w:rStyle w:val="None"/>
          <w:rFonts w:ascii="Times New Roman" w:hAnsi="Times New Roman"/>
          <w:b/>
          <w:bCs/>
          <w:sz w:val="24"/>
          <w:szCs w:val="24"/>
          <w:rtl/>
          <w:lang w:val="ar-SA"/>
        </w:rPr>
        <w:t xml:space="preserve">) </w:t>
      </w:r>
      <w:r>
        <w:rPr>
          <w:rStyle w:val="None"/>
          <w:rFonts w:cs="Times New Roman"/>
          <w:b/>
          <w:bCs/>
          <w:sz w:val="24"/>
          <w:szCs w:val="24"/>
          <w:rtl/>
          <w:lang w:val="ar-SA"/>
        </w:rPr>
        <w:t xml:space="preserve">الخاصة بحماية فناني الأداء ومنتجي التسجيلات الصوتية </w:t>
      </w:r>
      <w:r>
        <w:rPr>
          <w:rStyle w:val="None"/>
          <w:rFonts w:ascii="Times New Roman" w:hAnsi="Times New Roman"/>
          <w:b/>
          <w:bCs/>
          <w:sz w:val="24"/>
          <w:szCs w:val="24"/>
          <w:rtl/>
          <w:lang w:val="ar-SA"/>
        </w:rPr>
        <w:t>(</w:t>
      </w:r>
      <w:r>
        <w:rPr>
          <w:rStyle w:val="None"/>
          <w:rFonts w:cs="Times New Roman"/>
          <w:b/>
          <w:bCs/>
          <w:sz w:val="24"/>
          <w:szCs w:val="24"/>
          <w:rtl/>
          <w:lang w:val="ar-SA"/>
        </w:rPr>
        <w:t>الفونوغرامات</w:t>
      </w:r>
      <w:r>
        <w:rPr>
          <w:rStyle w:val="None"/>
          <w:rFonts w:ascii="Times New Roman" w:hAnsi="Times New Roman"/>
          <w:b/>
          <w:bCs/>
          <w:sz w:val="24"/>
          <w:szCs w:val="24"/>
          <w:rtl/>
          <w:lang w:val="ar-SA"/>
        </w:rPr>
        <w:t xml:space="preserve">) </w:t>
      </w:r>
      <w:r>
        <w:rPr>
          <w:rStyle w:val="None"/>
          <w:rFonts w:cs="Times New Roman"/>
          <w:b/>
          <w:bCs/>
          <w:sz w:val="24"/>
          <w:szCs w:val="24"/>
          <w:rtl/>
          <w:lang w:val="ar-SA"/>
        </w:rPr>
        <w:t>هيئات الإذاعة</w:t>
      </w:r>
      <w:r>
        <w:rPr>
          <w:rStyle w:val="None"/>
          <w:rFonts w:ascii="Times New Roman" w:hAnsi="Times New Roman"/>
          <w:b/>
          <w:bCs/>
          <w:sz w:val="24"/>
          <w:szCs w:val="24"/>
          <w:rtl/>
          <w:lang w:val="ar-SA"/>
        </w:rPr>
        <w:t>:</w:t>
      </w:r>
    </w:p>
    <w:p w14:paraId="4EBF6BB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المنظمة العالمية للملكية الفكرية الاتفاقية الخاصة بحماية فناني الأداء ومنتجي التسجيلات الصوتية وهيئات الإذاعة ومقرها روما في عام </w:t>
      </w:r>
      <w:r>
        <w:rPr>
          <w:rStyle w:val="None"/>
          <w:rFonts w:ascii="Times New Roman" w:hAnsi="Times New Roman"/>
          <w:sz w:val="24"/>
          <w:szCs w:val="24"/>
          <w:rtl/>
          <w:lang w:val="ar-SA"/>
        </w:rPr>
        <w:t>1961</w:t>
      </w:r>
      <w:r>
        <w:rPr>
          <w:rStyle w:val="None"/>
          <w:rFonts w:ascii="Arial Unicode MS" w:hAnsi="Arial Unicode MS" w:cs="Times New Roman" w:hint="cs"/>
          <w:sz w:val="24"/>
          <w:szCs w:val="24"/>
          <w:rtl/>
          <w:lang w:val="ar-SA"/>
        </w:rPr>
        <w:t xml:space="preserve">م عُقِدَت اتفاقية روما، وبلغ عدد أعضائها حتى عام </w:t>
      </w:r>
      <w:r>
        <w:rPr>
          <w:rStyle w:val="None"/>
          <w:rFonts w:ascii="Times New Roman" w:hAnsi="Times New Roman"/>
          <w:sz w:val="24"/>
          <w:szCs w:val="24"/>
          <w:rtl/>
          <w:lang w:val="ar-SA"/>
        </w:rPr>
        <w:t>2000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xml:space="preserve">(87) </w:t>
      </w:r>
      <w:r>
        <w:rPr>
          <w:rStyle w:val="None"/>
          <w:rFonts w:ascii="Arial Unicode MS" w:hAnsi="Arial Unicode MS" w:cs="Times New Roman" w:hint="cs"/>
          <w:sz w:val="24"/>
          <w:szCs w:val="24"/>
          <w:rtl/>
          <w:lang w:val="ar-SA"/>
        </w:rPr>
        <w:t>دولةً، ومضمون الاتفاقية هو حماية فناني الأداء من استنتاج أو بث أعمالهم دون موافقتهم كما جاء في المادة السابعة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4"/>
      </w:r>
      <w:r>
        <w:rPr>
          <w:rStyle w:val="None"/>
          <w:rFonts w:ascii="Times New Roman" w:hAnsi="Times New Roman"/>
          <w:sz w:val="24"/>
          <w:szCs w:val="24"/>
          <w:vertAlign w:val="superscript"/>
          <w:rtl/>
          <w:lang w:val="ar-SA"/>
        </w:rPr>
        <w:t>)</w:t>
      </w:r>
    </w:p>
    <w:p w14:paraId="209440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من تلك الاتفاقية على</w:t>
      </w:r>
      <w:r>
        <w:rPr>
          <w:rStyle w:val="None"/>
          <w:rFonts w:ascii="Times New Roman" w:hAnsi="Times New Roman"/>
          <w:sz w:val="24"/>
          <w:szCs w:val="24"/>
          <w:rtl/>
          <w:lang w:val="ar-SA"/>
        </w:rPr>
        <w:t>:</w:t>
      </w:r>
    </w:p>
    <w:p w14:paraId="728A5CDE" w14:textId="77777777" w:rsidR="00454428" w:rsidRDefault="00000000" w:rsidP="00C72BA8">
      <w:pPr>
        <w:pStyle w:val="ListParagraph"/>
        <w:numPr>
          <w:ilvl w:val="0"/>
          <w:numId w:val="112"/>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الحماية المنصوص عليها في هذه الاتفاقية لصالح فناني الأداء لإمكانية منع ما يلي</w:t>
      </w:r>
      <w:r>
        <w:rPr>
          <w:rStyle w:val="None"/>
          <w:rFonts w:ascii="Times New Roman" w:hAnsi="Times New Roman"/>
          <w:sz w:val="24"/>
          <w:szCs w:val="24"/>
          <w:rtl/>
          <w:lang w:val="ar-SA"/>
        </w:rPr>
        <w:t>:</w:t>
      </w:r>
    </w:p>
    <w:p w14:paraId="41199C05" w14:textId="77777777" w:rsidR="00454428" w:rsidRDefault="00000000" w:rsidP="00C72BA8">
      <w:pPr>
        <w:pStyle w:val="ListParagraph"/>
        <w:numPr>
          <w:ilvl w:val="0"/>
          <w:numId w:val="114"/>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إذاعة أدائهم غير المثبت دون موافقتهم، إلا إذا كان الأداء المستعجل في الإذاعة أو النقل إلى الجمهور هو نفسه أداء أذيع في السابق أو أجري بالاستناد إلى تثبيت</w:t>
      </w:r>
      <w:r>
        <w:rPr>
          <w:rStyle w:val="None"/>
          <w:rFonts w:ascii="Times New Roman" w:hAnsi="Times New Roman"/>
          <w:sz w:val="24"/>
          <w:szCs w:val="24"/>
          <w:rtl/>
          <w:lang w:val="ar-SA"/>
        </w:rPr>
        <w:t>.</w:t>
      </w:r>
    </w:p>
    <w:p w14:paraId="0E8350E6" w14:textId="77777777" w:rsidR="00454428" w:rsidRDefault="00000000" w:rsidP="00C72BA8">
      <w:pPr>
        <w:pStyle w:val="ListParagraph"/>
        <w:numPr>
          <w:ilvl w:val="0"/>
          <w:numId w:val="114"/>
        </w:numPr>
        <w:spacing w:before="120" w:after="120" w:line="360" w:lineRule="auto"/>
        <w:jc w:val="both"/>
        <w:rPr>
          <w:rFonts w:cs="Times New Roman" w:hint="default"/>
          <w:sz w:val="24"/>
          <w:szCs w:val="24"/>
          <w:rtl/>
          <w:lang w:val="ar-SA"/>
        </w:rPr>
      </w:pPr>
      <w:r>
        <w:rPr>
          <w:rStyle w:val="None"/>
          <w:rFonts w:cs="Times New Roman"/>
          <w:sz w:val="24"/>
          <w:szCs w:val="24"/>
          <w:rtl/>
          <w:lang w:val="ar-SA"/>
        </w:rPr>
        <w:t>تثبيت أدائهم غير المثبت دون موافقتهم</w:t>
      </w:r>
      <w:r>
        <w:rPr>
          <w:rStyle w:val="None"/>
          <w:rFonts w:ascii="Times New Roman" w:hAnsi="Times New Roman"/>
          <w:sz w:val="24"/>
          <w:szCs w:val="24"/>
          <w:rtl/>
          <w:lang w:val="ar-SA"/>
        </w:rPr>
        <w:t>.</w:t>
      </w:r>
    </w:p>
    <w:p w14:paraId="5EC33C4D" w14:textId="77777777" w:rsidR="00454428" w:rsidRDefault="00000000" w:rsidP="00C72BA8">
      <w:pPr>
        <w:pStyle w:val="ListParagraph"/>
        <w:numPr>
          <w:ilvl w:val="0"/>
          <w:numId w:val="114"/>
        </w:numPr>
        <w:spacing w:before="120" w:after="120" w:line="360" w:lineRule="auto"/>
        <w:jc w:val="both"/>
        <w:rPr>
          <w:rFonts w:cs="Times New Roman" w:hint="default"/>
          <w:sz w:val="24"/>
          <w:szCs w:val="24"/>
          <w:rtl/>
          <w:lang w:val="ar-SA"/>
        </w:rPr>
      </w:pPr>
      <w:r>
        <w:rPr>
          <w:rStyle w:val="None"/>
          <w:rFonts w:cs="Times New Roman"/>
          <w:sz w:val="24"/>
          <w:szCs w:val="24"/>
          <w:rtl/>
          <w:lang w:val="ar-SA"/>
        </w:rPr>
        <w:t>استنساخ أي تثبيت لأدائهم دون موافقتهم</w:t>
      </w:r>
      <w:r>
        <w:rPr>
          <w:rStyle w:val="None"/>
          <w:rFonts w:ascii="Times New Roman" w:hAnsi="Times New Roman"/>
          <w:sz w:val="24"/>
          <w:szCs w:val="24"/>
          <w:rtl/>
          <w:lang w:val="ar-SA"/>
        </w:rPr>
        <w:t>.</w:t>
      </w:r>
    </w:p>
    <w:p w14:paraId="02ED5162" w14:textId="77777777" w:rsidR="00454428" w:rsidRDefault="00000000" w:rsidP="00C72BA8">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التثبيت الأصلي نفسه دون موافقتهم</w:t>
      </w:r>
      <w:r>
        <w:rPr>
          <w:rStyle w:val="None"/>
          <w:rFonts w:ascii="Times New Roman" w:hAnsi="Times New Roman"/>
          <w:sz w:val="24"/>
          <w:szCs w:val="24"/>
          <w:rtl/>
          <w:lang w:val="ar-SA"/>
        </w:rPr>
        <w:t>.</w:t>
      </w:r>
    </w:p>
    <w:p w14:paraId="6557D64B" w14:textId="77777777" w:rsidR="00454428" w:rsidRDefault="00000000" w:rsidP="00C72BA8">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الاستنساخ لأغراض تختلف عن الأغراض التي وافقوا عليها</w:t>
      </w:r>
      <w:r>
        <w:rPr>
          <w:rStyle w:val="None"/>
          <w:rFonts w:ascii="Times New Roman" w:hAnsi="Times New Roman"/>
          <w:sz w:val="24"/>
          <w:szCs w:val="24"/>
          <w:rtl/>
          <w:lang w:val="ar-SA"/>
        </w:rPr>
        <w:t>.</w:t>
      </w:r>
    </w:p>
    <w:p w14:paraId="75C4F634" w14:textId="77777777" w:rsidR="00454428" w:rsidRDefault="00000000" w:rsidP="00C72BA8">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إذا أجري التثبيت الأصلي وفقًا لأحكام المادة </w:t>
      </w:r>
      <w:r>
        <w:rPr>
          <w:rStyle w:val="None"/>
          <w:rFonts w:ascii="Times New Roman" w:hAnsi="Times New Roman"/>
          <w:sz w:val="24"/>
          <w:szCs w:val="24"/>
          <w:rtl/>
          <w:lang w:val="ar-SA"/>
        </w:rPr>
        <w:t>(15)</w:t>
      </w:r>
      <w:r>
        <w:rPr>
          <w:rStyle w:val="None"/>
          <w:rFonts w:cs="Times New Roman"/>
          <w:sz w:val="24"/>
          <w:szCs w:val="24"/>
          <w:rtl/>
          <w:lang w:val="ar-SA"/>
        </w:rPr>
        <w:t>، وجرى استنساخه لأغراض تختلف عن الأغراض المشار إليها في تلك الأحكام</w:t>
      </w:r>
      <w:r>
        <w:rPr>
          <w:rStyle w:val="None"/>
          <w:rFonts w:ascii="Times New Roman" w:hAnsi="Times New Roman"/>
          <w:sz w:val="24"/>
          <w:szCs w:val="24"/>
          <w:rtl/>
          <w:lang w:val="ar-SA"/>
        </w:rPr>
        <w:t>.</w:t>
      </w:r>
    </w:p>
    <w:p w14:paraId="20261C82" w14:textId="77777777" w:rsidR="00454428" w:rsidRDefault="00000000" w:rsidP="00C72BA8">
      <w:pPr>
        <w:pStyle w:val="ListParagraph"/>
        <w:numPr>
          <w:ilvl w:val="0"/>
          <w:numId w:val="117"/>
        </w:numPr>
        <w:spacing w:before="120" w:after="120" w:line="360" w:lineRule="auto"/>
        <w:jc w:val="both"/>
        <w:rPr>
          <w:rFonts w:cs="Times New Roman" w:hint="default"/>
          <w:sz w:val="24"/>
          <w:szCs w:val="24"/>
          <w:rtl/>
          <w:lang w:val="ar-SA"/>
        </w:rPr>
      </w:pPr>
      <w:r>
        <w:rPr>
          <w:rStyle w:val="None"/>
          <w:rFonts w:cs="Times New Roman"/>
          <w:sz w:val="24"/>
          <w:szCs w:val="24"/>
          <w:rtl/>
          <w:lang w:val="ar-SA"/>
        </w:rPr>
        <w:t>يختص القانون الوطني للدولة المتعاقدة التي تطلب الحماية في أراضيها بتنظيم الحماية من إعادة بث أي أداء، وتثبيته بغرض إذاعته واستنساخ التثبيت بغرض إذاعته، شرط موافقة فنان الأداء على إذاعة أداته</w:t>
      </w:r>
      <w:r>
        <w:rPr>
          <w:rStyle w:val="None"/>
          <w:rFonts w:ascii="Times New Roman" w:hAnsi="Times New Roman"/>
          <w:sz w:val="24"/>
          <w:szCs w:val="24"/>
          <w:rtl/>
          <w:lang w:val="ar-SA"/>
        </w:rPr>
        <w:t xml:space="preserve">. </w:t>
      </w:r>
    </w:p>
    <w:p w14:paraId="71206531" w14:textId="77777777" w:rsidR="00454428" w:rsidRDefault="00000000" w:rsidP="00C72BA8">
      <w:pPr>
        <w:pStyle w:val="ListParagraph"/>
        <w:numPr>
          <w:ilvl w:val="0"/>
          <w:numId w:val="112"/>
        </w:numPr>
        <w:spacing w:before="120" w:after="120" w:line="360" w:lineRule="auto"/>
        <w:jc w:val="both"/>
        <w:rPr>
          <w:rFonts w:cs="Times New Roman" w:hint="default"/>
          <w:sz w:val="24"/>
          <w:szCs w:val="24"/>
          <w:rtl/>
          <w:lang w:val="ar-SA"/>
        </w:rPr>
      </w:pPr>
      <w:r>
        <w:rPr>
          <w:rStyle w:val="None"/>
          <w:rFonts w:cs="Times New Roman"/>
          <w:sz w:val="24"/>
          <w:szCs w:val="24"/>
          <w:rtl/>
          <w:lang w:val="ar-SA"/>
        </w:rPr>
        <w:t>تحدد شروط انتفاع هيئات الإذاعة بالتثبيتات التي تُجرَى لأغراض الإذاعة، وفقًا للقانون الوطني للدولة المتعاقدة التي تطلب الحماية في أراضيها</w:t>
      </w:r>
      <w:r>
        <w:rPr>
          <w:rStyle w:val="None"/>
          <w:rFonts w:ascii="Times New Roman" w:hAnsi="Times New Roman"/>
          <w:sz w:val="24"/>
          <w:szCs w:val="24"/>
          <w:rtl/>
          <w:lang w:val="ar-SA"/>
        </w:rPr>
        <w:t>.</w:t>
      </w:r>
    </w:p>
    <w:p w14:paraId="02D6EAF6" w14:textId="77777777" w:rsidR="00454428" w:rsidRDefault="00000000" w:rsidP="00C72BA8">
      <w:pPr>
        <w:pStyle w:val="ListParagraph"/>
        <w:numPr>
          <w:ilvl w:val="0"/>
          <w:numId w:val="112"/>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ذلك لا يجوز حرمان فناني الأداء من إمكانية تنظيم علاقاتهم مع هيئات الإذاعة على أساس تعاقدي نتيجة لتطبيق القانوني الوطني</w:t>
      </w:r>
      <w:r>
        <w:rPr>
          <w:rStyle w:val="None"/>
          <w:rFonts w:ascii="Times New Roman" w:hAnsi="Times New Roman"/>
          <w:sz w:val="24"/>
          <w:szCs w:val="24"/>
          <w:rtl/>
          <w:lang w:val="ar-SA"/>
        </w:rPr>
        <w:t>.</w:t>
      </w:r>
    </w:p>
    <w:p w14:paraId="0A0090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المادة العاشرة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تناولت أمر حماية المنتجين الذين أنتجوا تسجيلاتهم الصوتية مثبتة من استنساخها سواء كان ذلك الاستنساخ مباشر أو غير مباشر، أما المادة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خصت هيئات الإذاعة أو كفلت لها حماية بموجبها تمنح هيئات الإذاعة من بث برامجها أو استنساخها لأغراض تجارية إلا أنَّ هذه الاتفاقية وغيرها من الاتفاقيات المشابهة تخضع للمراقبة بشكل مستمر؛ ذلك لازدياد حالات الفرضية وتطوُّر أساليبها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C37D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تمنح اتفاقية روما الناشئة عن المنظمة العالمية للملكية الفكرية حمايةً قانونيةً لفناني الأداء ومنتجي التسجيلات الصوتية، فقد نصت في نصوص موادها على منع استنساخ مؤلفات الآخرين دون الحصول على موافقتهم، بالإضافة إلى أنَّها تركت الحرية لكل دولة متعاقدة في هذه الاتفاقية على تنظيم الحماية وفقًا لقنونها الوطني</w:t>
      </w:r>
      <w:r>
        <w:rPr>
          <w:rStyle w:val="None"/>
          <w:rFonts w:ascii="Times New Roman" w:hAnsi="Times New Roman"/>
          <w:sz w:val="24"/>
          <w:szCs w:val="24"/>
          <w:rtl/>
          <w:lang w:val="ar-SA"/>
        </w:rPr>
        <w:t>.</w:t>
      </w:r>
    </w:p>
    <w:p w14:paraId="30B2A6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القواعد العامة لاتفاقية روما يمكن تطبيقها على حماية حقوق فناني الأداء ومنتجي التسجيلات الصوتية، من نسخ أو نشر مؤلفات عبر شبكات الإنترنت، ولكن تحتاج الاتفاقية إلى تعديلها؛ لأنَّه تم تحديث التشريعات الوطنية على المستوى الدولي؛ لكي تتم ملاءمتها مع التطوُّرات التكنولوجية الحديثة؛ لحماية فناني الأداء والتسجيلات الصوتية في البيئة الرقمية</w:t>
      </w:r>
      <w:r>
        <w:rPr>
          <w:rStyle w:val="None"/>
          <w:rFonts w:ascii="Times New Roman" w:hAnsi="Times New Roman"/>
          <w:sz w:val="24"/>
          <w:szCs w:val="24"/>
          <w:rtl/>
          <w:lang w:val="ar-SA"/>
        </w:rPr>
        <w:t xml:space="preserve">. </w:t>
      </w:r>
    </w:p>
    <w:p w14:paraId="50A2D0D5" w14:textId="77777777" w:rsidR="00454428" w:rsidRDefault="00000000" w:rsidP="00C72BA8">
      <w:pPr>
        <w:pStyle w:val="ListParagraph"/>
        <w:numPr>
          <w:ilvl w:val="0"/>
          <w:numId w:val="1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منظمة الويبو </w:t>
      </w:r>
      <w:r>
        <w:rPr>
          <w:rStyle w:val="None"/>
          <w:rFonts w:ascii="Times New Roman" w:hAnsi="Times New Roman"/>
          <w:b/>
          <w:bCs/>
          <w:sz w:val="24"/>
          <w:szCs w:val="24"/>
          <w:rtl/>
          <w:lang w:val="ar-SA"/>
        </w:rPr>
        <w:t>(</w:t>
      </w:r>
      <w:r>
        <w:rPr>
          <w:rStyle w:val="None"/>
          <w:rFonts w:cs="Times New Roman"/>
          <w:b/>
          <w:bCs/>
          <w:sz w:val="24"/>
          <w:szCs w:val="24"/>
          <w:rtl/>
          <w:lang w:val="ar-SA"/>
        </w:rPr>
        <w:t>المنظمة العالمية للملكية الفكرية</w:t>
      </w:r>
      <w:r>
        <w:rPr>
          <w:rStyle w:val="None"/>
          <w:rFonts w:ascii="Times New Roman" w:hAnsi="Times New Roman"/>
          <w:b/>
          <w:bCs/>
          <w:sz w:val="24"/>
          <w:szCs w:val="24"/>
          <w:rtl/>
          <w:lang w:val="ar-SA"/>
        </w:rPr>
        <w:t>):</w:t>
      </w:r>
    </w:p>
    <w:p w14:paraId="113254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العصر الذي نعيشه عصر الإنترنت والتكنولوجيا الحديثة الذي أثر بشكل كبير في المنظومة التشريعية للملكية الفكرية عامةً وحقوق المؤلف خاصةً؛ ممَّا جعل المجتمع الدولي يجد قصورًا في حماية المبدعين والمفكرين في ظل التطوُّر السريع والحديث الذي يعتمد على الإنترنت والرقمنة، وحرصًا على استمرار الإبداع الفكري لهم وطمأنتهم؛ حيث سارع إلى إيجاد حل أو إتاحة ضمانات، وفرض قواعد رادعة تمنع المساس بالحقوق الفكرية بشتى أنواعها في ظل المواقع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6"/>
      </w:r>
      <w:r>
        <w:rPr>
          <w:rStyle w:val="None"/>
          <w:rFonts w:ascii="Times New Roman" w:hAnsi="Times New Roman"/>
          <w:sz w:val="24"/>
          <w:szCs w:val="24"/>
          <w:vertAlign w:val="superscript"/>
          <w:rtl/>
          <w:lang w:val="ar-SA"/>
        </w:rPr>
        <w:t>)</w:t>
      </w:r>
    </w:p>
    <w:p w14:paraId="52E7F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تعتبر المنظمة العالمية للملكية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أهم المنظمات الدولية التي ظهرت في هذا المجال؛ حيث أصبحت هذه الأخيرة الجهة الدولية الوحيدة التي تدير سائر اتفاقيات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7"/>
      </w:r>
      <w:r>
        <w:rPr>
          <w:rStyle w:val="None"/>
          <w:rFonts w:ascii="Times New Roman" w:hAnsi="Times New Roman"/>
          <w:sz w:val="24"/>
          <w:szCs w:val="24"/>
          <w:vertAlign w:val="superscript"/>
          <w:rtl/>
          <w:lang w:val="ar-SA"/>
        </w:rPr>
        <w:t>)</w:t>
      </w:r>
    </w:p>
    <w:p w14:paraId="281EE8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وتأسست هذه المنظمة طبقًا لاتفاقية استوكهولهم عام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ومقرها الرئيسي جنيف بسويسرا، وتهدف هذه المنظمة إلى حماية حقوق الملكية الفكرية في كل دول العالم، وتطوير آليات الحماية للملكية الفكرية، وتقديم الدراسات والمعلومات الخاصة بتقديم خدمات مراجعة وثائق طلب حماية الملكية الفكرية، والمساعدة في تحديث التشريعات الوطنية للدول الأعضاء، ونقل التكنولوجيا المرتبطة بالملكية الصناعية إلى الدول النامية، وإدارة الاتفاقيات المتعددة الأطراف المتعلقة بالأوجه القانونية، والإدارية للمليكة الفكرية في شقيها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الملكية الصناعية، وحق المؤلف، والحقوق المجاورة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8"/>
      </w:r>
      <w:r>
        <w:rPr>
          <w:rStyle w:val="None"/>
          <w:rFonts w:ascii="Times New Roman" w:hAnsi="Times New Roman"/>
          <w:sz w:val="24"/>
          <w:szCs w:val="24"/>
          <w:vertAlign w:val="superscript"/>
          <w:rtl/>
          <w:lang w:val="ar-SA"/>
        </w:rPr>
        <w:t>)</w:t>
      </w:r>
    </w:p>
    <w:p w14:paraId="44CE74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ونشأت المنظمة العالمية للملكية الفكرية، والتي يشار إليها بالاختصار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كتطوُّر للمكتب الدولي للملكية الفكرية؛ إذْ تم نقله إلى جنيف العاصمة السويسرية عام </w:t>
      </w:r>
      <w:r>
        <w:rPr>
          <w:rStyle w:val="None"/>
          <w:rFonts w:ascii="Times New Roman" w:hAnsi="Times New Roman"/>
          <w:sz w:val="24"/>
          <w:szCs w:val="24"/>
          <w:rtl/>
          <w:lang w:val="ar-SA"/>
        </w:rPr>
        <w:t>1960</w:t>
      </w:r>
      <w:r>
        <w:rPr>
          <w:rStyle w:val="None"/>
          <w:rFonts w:ascii="Arial Unicode MS" w:hAnsi="Arial Unicode MS" w:cs="Times New Roman" w:hint="cs"/>
          <w:sz w:val="24"/>
          <w:szCs w:val="24"/>
          <w:rtl/>
          <w:lang w:val="ar-SA"/>
        </w:rPr>
        <w:t xml:space="preserve">م، وفي عام </w:t>
      </w:r>
      <w:r>
        <w:rPr>
          <w:rStyle w:val="None"/>
          <w:rFonts w:ascii="Times New Roman" w:hAnsi="Times New Roman"/>
          <w:sz w:val="24"/>
          <w:szCs w:val="24"/>
          <w:rtl/>
          <w:lang w:val="ar-SA"/>
        </w:rPr>
        <w:t>1974</w:t>
      </w:r>
      <w:r>
        <w:rPr>
          <w:rStyle w:val="None"/>
          <w:rFonts w:ascii="Arial Unicode MS" w:hAnsi="Arial Unicode MS" w:cs="Times New Roman" w:hint="cs"/>
          <w:sz w:val="24"/>
          <w:szCs w:val="24"/>
          <w:rtl/>
          <w:lang w:val="ar-SA"/>
        </w:rPr>
        <w:t>م أصبحت الويبو وكالةً متخصصةً من وكالات الأمم المتحدة، مكلفةً بإدارة شئون الملكية الفكرية، ولقد جاء في اتفاقية إنشاؤها أنَّ هدفها هو دعم وحماية الملكية الفكرية تشجيعًا للابتكار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F4F8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وتعتبر اتفاقية الويبو الأولى بشأن المؤلف من أحدث ما تم وضعه فيما يخص الحماية الدولية لحق المؤلف، بحيث أنَّها قد مدت نطاق الحماية المقررة في ظل الاتفاقيات الدولية السابقة لها لتشمل مصنفات أخرى لم تكن متمتعةً بالحماية، كما عالجت جملةً من الإشكالات المطروحة في مجال حماية حق المؤلف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8CE25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تعتبر المنظمة العالمية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إحدى أكبر منظمات الأمم المتحدة من خلال أنشطة مخاطبة الجمهور على النهوض بفهم أفضل لنظام الملكية الفكرية، ودوره في حفز الإبداع والابتكار، وقد أصبحت أنشطة التوعية بالملكية الفكرية من أولويات العديد من الدول الأعضاء التي تشاطرنا الاقتناع بأنَّ فهم الملكية الفكرية واحترامها إذا ما زاد واتسع ارتفعت فاعلية إسهامها في تحقيق الرخاء الاقتصادي والثقافي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1"/>
      </w:r>
      <w:r>
        <w:rPr>
          <w:rStyle w:val="None"/>
          <w:rFonts w:ascii="Times New Roman" w:hAnsi="Times New Roman"/>
          <w:sz w:val="24"/>
          <w:szCs w:val="24"/>
          <w:vertAlign w:val="superscript"/>
          <w:rtl/>
          <w:lang w:val="ar-SA"/>
        </w:rPr>
        <w:t>)</w:t>
      </w:r>
    </w:p>
    <w:p w14:paraId="478199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وتنص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المنظمة تدعم حماية الملكية الفكرية في جميع أنحاء العالم عن طريق التعاون بين الدول، وبالتعاون مع أي منظمة دولية أخرى حيثما كان ذلك ملائمًا، وضمان التعاون الإداري بين الاتحادات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EFB8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ويتضح من ذلك أنَّ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تعمل على دعم حماية حقوق الملكية الفكرية في جميع أنحاء العالم، سواء في البلدان المتقدمة النمو أو البلدان النامية، من خلال التعاون بين الدول وعند الاقتضاء بمساعدة المنظمات الدولية، وذلك في سبيل تشجيع النشاط الفكري؛ ممَّا يساعد في التنمية الثقافية والاجتماعية والاقتصادية</w:t>
      </w:r>
      <w:r>
        <w:rPr>
          <w:rStyle w:val="None"/>
          <w:rFonts w:ascii="Times New Roman" w:hAnsi="Times New Roman"/>
          <w:sz w:val="24"/>
          <w:szCs w:val="24"/>
          <w:rtl/>
          <w:lang w:val="ar-SA"/>
        </w:rPr>
        <w:t>.</w:t>
      </w:r>
    </w:p>
    <w:p w14:paraId="748754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لتحقيق الأغراض المبنية في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أنَّ المنظمة عن طريق أجهزتها المختصة، ومع مراعاة اختصاص كل من الاتحادات</w:t>
      </w:r>
      <w:r>
        <w:rPr>
          <w:rStyle w:val="None"/>
          <w:rFonts w:ascii="Times New Roman" w:hAnsi="Times New Roman"/>
          <w:sz w:val="24"/>
          <w:szCs w:val="24"/>
          <w:rtl/>
          <w:lang w:val="ar-SA"/>
        </w:rPr>
        <w:t>:</w:t>
      </w:r>
    </w:p>
    <w:p w14:paraId="06B099B2"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تعمل على دعم اتخاذ الإجراءات التي تهدف إلى تيسير الحماية الفعَّالة للملكية الفكرية في جميع أنحاء العالم، وإلى تنسيق التشريعات الوطنية في هذا المجال</w:t>
      </w:r>
      <w:r>
        <w:rPr>
          <w:rStyle w:val="None"/>
          <w:rFonts w:ascii="Times New Roman" w:hAnsi="Times New Roman"/>
          <w:sz w:val="24"/>
          <w:szCs w:val="24"/>
          <w:rtl/>
          <w:lang w:val="ar-SA"/>
        </w:rPr>
        <w:t xml:space="preserve">. </w:t>
      </w:r>
    </w:p>
    <w:p w14:paraId="4004F7D6"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تقوم بالمهام الإدارية لاتحاد باريس، وللاتحادات الخاصة المنشأة فيما يتعلق بذلك الاتحاد ولاتحاد برن</w:t>
      </w:r>
      <w:r>
        <w:rPr>
          <w:rStyle w:val="None"/>
          <w:rFonts w:ascii="Times New Roman" w:hAnsi="Times New Roman"/>
          <w:sz w:val="24"/>
          <w:szCs w:val="24"/>
          <w:rtl/>
          <w:lang w:val="ar-SA"/>
        </w:rPr>
        <w:t>.</w:t>
      </w:r>
    </w:p>
    <w:p w14:paraId="19A4B319"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يجوز لها أنْ تقبل تولي المهام الإدارية الناشئة عن تنفيذ أي اتفاق دولي آخر، يهدف إلى دعم حماية الملكية الفكرية أو المشاركة في مثل هذه المهام</w:t>
      </w:r>
      <w:r>
        <w:rPr>
          <w:rStyle w:val="None"/>
          <w:rFonts w:ascii="Times New Roman" w:hAnsi="Times New Roman"/>
          <w:sz w:val="24"/>
          <w:szCs w:val="24"/>
          <w:rtl/>
          <w:lang w:val="ar-SA"/>
        </w:rPr>
        <w:t>.</w:t>
      </w:r>
    </w:p>
    <w:p w14:paraId="5E777E34"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إبرام الاتفاقات الدولية التي تهدف إلى تدعيم حماية الملكية الفكرية</w:t>
      </w:r>
      <w:r>
        <w:rPr>
          <w:rStyle w:val="None"/>
          <w:rFonts w:ascii="Times New Roman" w:hAnsi="Times New Roman"/>
          <w:sz w:val="24"/>
          <w:szCs w:val="24"/>
          <w:rtl/>
          <w:lang w:val="ar-SA"/>
        </w:rPr>
        <w:t>.</w:t>
      </w:r>
    </w:p>
    <w:p w14:paraId="29316C9B"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تعرض تعاونها على الدول التي تطلب المساعدة القانونية الفنية في مجال الملكية الفكرية</w:t>
      </w:r>
      <w:r>
        <w:rPr>
          <w:rStyle w:val="None"/>
          <w:rFonts w:ascii="Times New Roman" w:hAnsi="Times New Roman"/>
          <w:sz w:val="24"/>
          <w:szCs w:val="24"/>
          <w:rtl/>
          <w:lang w:val="ar-SA"/>
        </w:rPr>
        <w:t>.</w:t>
      </w:r>
    </w:p>
    <w:p w14:paraId="6820365F"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تجمع المعلومات الخاصة بحماية الملكية الفكرية وتنشرها، وتجري الدراسات في هذا المجال وتشجعها، وتنشر نتائج تلك الدراسات</w:t>
      </w:r>
      <w:r>
        <w:rPr>
          <w:rStyle w:val="None"/>
          <w:rFonts w:ascii="Times New Roman" w:hAnsi="Times New Roman"/>
          <w:sz w:val="24"/>
          <w:szCs w:val="24"/>
          <w:rtl/>
          <w:lang w:val="ar-SA"/>
        </w:rPr>
        <w:t>.</w:t>
      </w:r>
    </w:p>
    <w:p w14:paraId="36D2BFF7"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توفر الخدمات التي تيسر الحماية الدولية للملكية الفكرية، وتنهض بأعباء التسجيل في هذا المجال، كما تنشر البيانات الخاصة بالتسجيلات حيثما كان ذلك ملائمًا</w:t>
      </w:r>
      <w:r>
        <w:rPr>
          <w:rStyle w:val="None"/>
          <w:rFonts w:ascii="Times New Roman" w:hAnsi="Times New Roman"/>
          <w:sz w:val="24"/>
          <w:szCs w:val="24"/>
          <w:rtl/>
          <w:lang w:val="ar-SA"/>
        </w:rPr>
        <w:t>.</w:t>
      </w:r>
    </w:p>
    <w:p w14:paraId="4E1B3E52"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تتخذ كل إجراء ملائم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2B6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أدت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منذ تأسيسها بموجب اتفاقية ستوكهولم لسنة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دورًا مهمًّا في مجال التعاون الدولي لحماية الملكية الفكرية، عبر علاقاتها مع المنظمات الدولية الأخرى التي تخصص بعضًا من أنشطتها لحماية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كمنظمة اليونسكو والمنظمة العالمية للتجارة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وكذلك من خلال علاقاتها مع المكاتب الإقليمية </w:t>
      </w:r>
      <w:r>
        <w:rPr>
          <w:rStyle w:val="None"/>
          <w:rFonts w:ascii="Arial Unicode MS" w:hAnsi="Arial Unicode MS" w:cs="Times New Roman" w:hint="cs"/>
          <w:sz w:val="24"/>
          <w:szCs w:val="24"/>
          <w:rtl/>
          <w:lang w:val="ar-SA"/>
        </w:rPr>
        <w:lastRenderedPageBreak/>
        <w:t xml:space="preserve">المتخصصة في هذا المجال، وكل ذلك من أجل تنسيق وتوحيد معايير الحماية الدولية، ولتطبيق مضمون الاتفاقيات الدولية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93A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وتصدت معاهدة الويبو لحق المؤلف الأولى لمسألة الجدول الرقمي المقررة لحق المؤلف على تخزين المصنفات ونقلها عبر الأنظمة الرقمية، كما تصدت كذلك للإشكالات التي ظهرت في مدى اعتبار التثبيت على الدعامات الإلكترونية من قبيل النسخ، وما إذا كان التحميل ولو للحظة محددة لأي مصنف، يُعَدُّ من قبيل الاعتداء على المصنفات محل الحماية، وعما إذا كان نسخ أحد هذه المصنفات الإلكترونية يتطلب الحصول على إذن أو ترخيص من صاحب هذا المؤلف أو المصنف، أو صاحب الحق المجاور؛ نظرًا لما يقتضيه النسخ التقليدي من الحصول على إذن مكتوب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8C285E" w14:textId="77777777" w:rsidR="00454428" w:rsidRDefault="00000000" w:rsidP="00C72BA8">
      <w:pPr>
        <w:pStyle w:val="ListParagraph"/>
        <w:numPr>
          <w:ilvl w:val="0"/>
          <w:numId w:val="12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معاهدة الويبو بشأن حق المؤلف عام </w:t>
      </w:r>
      <w:r>
        <w:rPr>
          <w:rStyle w:val="None"/>
          <w:rFonts w:ascii="Times New Roman" w:hAnsi="Times New Roman"/>
          <w:b/>
          <w:bCs/>
          <w:sz w:val="24"/>
          <w:szCs w:val="24"/>
          <w:rtl/>
          <w:lang w:val="ar-SA"/>
        </w:rPr>
        <w:t>1996:</w:t>
      </w:r>
    </w:p>
    <w:p w14:paraId="1FF58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رغم الدور المهم الذي لعبته الويبو في تقديم المشورة في إطار التنمية الموجهة في شأن حماية حقوق المؤلفين وما أسفر عنه هذا الدور، إلا أنَّه اتضح في نهاية الثمانينات عدم كفاية تلك التوجيهات والمشورة، وباتت الحاجة ملحةً لإنشاء معايير دولية ملزمة في هذا المجال، وقد أدت المشكلات الناجمة عن مستحدثات التطوُّر التقني والتكنولوجي وظهور الإنترنت إلى تسارع خطوات التعاون الدولي في مجال تنظيم حق المؤلف وبصفه خاصة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421C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أجل مواجهة المشكلات الناجمة عن التكنولوجيا الرقمية والإنترنت، خاصةً اعتمدت معاهدة الويبو ما يعرف باسم جدول الأعمال الرقمي المنصوص عليه في المادة أولى من الاتفاقية، وذلك عبر قواعد مقررة لحق المؤلف بشأن تخزين المصنفات ونقلها عبر الأنظمة الرقمية</w:t>
      </w:r>
      <w:r>
        <w:rPr>
          <w:rStyle w:val="None"/>
          <w:rFonts w:ascii="Times New Roman" w:hAnsi="Times New Roman"/>
          <w:sz w:val="24"/>
          <w:szCs w:val="24"/>
          <w:rtl/>
          <w:lang w:val="ar-SA"/>
        </w:rPr>
        <w:t xml:space="preserve">. </w:t>
      </w:r>
      <w:r>
        <w:rPr>
          <w:rStyle w:val="None"/>
          <w:rFonts w:ascii="Times New Roman" w:eastAsia="Times New Roman" w:hAnsi="Times New Roman" w:cs="Times New Roman"/>
          <w:sz w:val="24"/>
          <w:szCs w:val="24"/>
          <w:vertAlign w:val="superscript"/>
          <w:lang w:val="ar-SA"/>
        </w:rPr>
        <w:footnoteReference w:id="307"/>
      </w:r>
    </w:p>
    <w:p w14:paraId="685E7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تم اعتماد معاهدة الويبو بشأن حق المؤلف في جنيف في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عام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فقد نصت المادة الأولى 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المعاهدة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هذه المعاهدة اتفاق خاص بمعنى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اتفاقية برن لحماية المصنفات الأدبية والفنية، بالنسبة إلى الأطراف المتعاقدة من بلدان الاتحاد المنشأ بموجب تلك الاتفاقية، وليس لهذه المعاهدة أي صلة بمعاهدات أخرى خلاف اتفاقية برن، ولا تخل بأي حق أو التزام من الحقوق والالتزامات المترتبة على أي معاهدات أخرى</w:t>
      </w:r>
      <w:r>
        <w:rPr>
          <w:rStyle w:val="None"/>
          <w:rFonts w:ascii="Times New Roman" w:hAnsi="Times New Roman"/>
          <w:sz w:val="24"/>
          <w:szCs w:val="24"/>
          <w:rtl/>
          <w:lang w:val="ar-SA"/>
        </w:rPr>
        <w:t>".</w:t>
      </w:r>
    </w:p>
    <w:p w14:paraId="0A4343B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هذا الإطار جاءت اتفاقية الويبو لحق المؤلف لتوجب على الدول الأطراف ضرورةَ النص في قوانينها الداخلية على حماية حقوق التأليف بشكل عام، وحقوق التأليف على شبكة الإنترنت، والتي لم يتم التعبير عنها بشكل </w:t>
      </w:r>
      <w:r>
        <w:rPr>
          <w:rStyle w:val="None"/>
          <w:rFonts w:ascii="Arial Unicode MS" w:hAnsi="Arial Unicode MS" w:cs="Times New Roman" w:hint="cs"/>
          <w:sz w:val="24"/>
          <w:szCs w:val="24"/>
          <w:rtl/>
          <w:lang w:val="ar-SA"/>
        </w:rPr>
        <w:lastRenderedPageBreak/>
        <w:t xml:space="preserve">ملموس في الموقع الإلكتروني وهذا ما أكدته المادة الخامسة على أنَّ نطاق الحماية يشمل قواعد البيانات أيًا كان شكلها إذا كانت تعتبر ابتكاراتٍ فكريةً؛ بسبب اختيار محتوياتها أو ترتيبها في شكل ابتكار معين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88A2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من المعاهدة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تشمل الحماية الممنوحة بموجب حق المؤلف أوجه التعبير وليس الأفكار، أو الإجراءات، أو أساليب العمل، أو مفاهيم الرياضيات في حد ذاتها</w:t>
      </w:r>
      <w:r>
        <w:rPr>
          <w:rStyle w:val="None"/>
          <w:rFonts w:ascii="Times New Roman" w:hAnsi="Times New Roman"/>
          <w:sz w:val="24"/>
          <w:szCs w:val="24"/>
          <w:rtl/>
          <w:lang w:val="ar-SA"/>
        </w:rPr>
        <w:t xml:space="preserve">". </w:t>
      </w:r>
    </w:p>
    <w:p w14:paraId="01C795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معاهدة الويبو بشأن حق المؤلف عام </w:t>
      </w:r>
      <w:r>
        <w:rPr>
          <w:rStyle w:val="None"/>
          <w:rFonts w:ascii="Times New Roman" w:hAnsi="Times New Roman"/>
          <w:sz w:val="24"/>
          <w:szCs w:val="24"/>
          <w:rtl/>
          <w:lang w:val="ar-SA"/>
        </w:rPr>
        <w:t xml:space="preserve">1996 </w:t>
      </w:r>
      <w:r>
        <w:rPr>
          <w:rStyle w:val="None"/>
          <w:rFonts w:ascii="Arial Unicode MS" w:hAnsi="Arial Unicode MS" w:cs="Times New Roman" w:hint="cs"/>
          <w:sz w:val="24"/>
          <w:szCs w:val="24"/>
          <w:rtl/>
          <w:lang w:val="ar-SA"/>
        </w:rPr>
        <w:t>تهدف إلى تعزيز وتطوير حماية حقوق المؤلف في مواجهة التحديات المتعلقة بالبيئة الرقيمة، فقد جاءت هذه المعاهدة مكملةً لاتفاقية برن؛ حيث وسعت نطاق الحماية ليشمل المصنفات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برامج الحاسب الآلي، وقواعد البيانات، وغيرها، كما منحت للمؤلف حق التوزيع، والتأجير، والاستنساخ، كما ألزمت الدول الأطراف في المعاهدة على تحديث التشريعات القانونية؛ لكي تتواكب مع التطوُّر في البيئة الرقمية</w:t>
      </w:r>
      <w:r>
        <w:rPr>
          <w:rStyle w:val="None"/>
          <w:rFonts w:ascii="Times New Roman" w:hAnsi="Times New Roman"/>
          <w:sz w:val="24"/>
          <w:szCs w:val="24"/>
          <w:rtl/>
          <w:lang w:val="ar-SA"/>
        </w:rPr>
        <w:t>.</w:t>
      </w:r>
    </w:p>
    <w:p w14:paraId="60C6EE89" w14:textId="77777777" w:rsidR="00454428" w:rsidRDefault="00000000" w:rsidP="00C72BA8">
      <w:pPr>
        <w:pStyle w:val="ListParagraph"/>
        <w:numPr>
          <w:ilvl w:val="0"/>
          <w:numId w:val="10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p>
    <w:p w14:paraId="4AB9D6F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نظام التسجيل الدولي ليس بالنظام الحديث على المجتمع الدولي، وإنما يمكن إرجاع بدايته إلى اتفاقية باريس لعام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لحماية عناصر الملكية الصناعية، التي سمحت بتسجيل العلامات الأجنبية في السجلات الوطنية للدول الأعضاء في اتحاد باريس، وجاءت اتفاقية مدريد للتسجيل الدولي للعلامات التجارية 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xml:space="preserve">، والذي يُعَدُّ بمثابة التطوُّر العلمي والإجرائي لاتفاقية باريس كخطوة مهمة لحماية العلامات التجارية دوليًا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77858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هي معاهدة دولية للتسجيل الدولي للعلامات التجارية تتيح لمواطني ومقيمي الدول الأعضاء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الطبيعيين والمعنويين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اتخاذ إجراءات تمكّنهم من حماية علاماتهم التجارية في الدول الأعضاء المستهدفة، من خلال إيداع طلب واحد لدى المكتب الدولي للويبو عبر المكتب الوطني بلغة واحدة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الإنجليزية أو الفرنسية أو الإسبانية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وبتسديد مجموعة واحدة من الرسوم بعملة واحدة، وتكفل المعاهدة مزايا،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المحافظة على التسجيل وتجديده، وقيد نقل ملكية التسجيل الدولي للغير أو تبديل الاسم أو العنوان أو غيرها من البيانات بإجراء واحد يسري أثره في جميع الأطراف المتعاقدة المعينة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0"/>
      </w:r>
      <w:r>
        <w:rPr>
          <w:rStyle w:val="None"/>
          <w:rFonts w:ascii="Times New Roman" w:hAnsi="Times New Roman"/>
          <w:sz w:val="24"/>
          <w:szCs w:val="24"/>
          <w:vertAlign w:val="superscript"/>
          <w:rtl/>
          <w:lang w:val="ar-SA"/>
        </w:rPr>
        <w:t>)</w:t>
      </w:r>
    </w:p>
    <w:p w14:paraId="4249C1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فيما يتعلق بالعلامات التجارية غير التقليدية وموقف اتفاقية مدريد وبروتوكوله من تسجيلها وحمايتها، فيمكن القول 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بأنَّ المادة الثانية من بروتوكول اتفاق مدريد بشأن التسجيل الدولي للعلامات تشترط أنْ تكون العلامات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التي </w:t>
      </w:r>
      <w:r>
        <w:rPr>
          <w:rStyle w:val="None"/>
          <w:rFonts w:ascii="Arial Unicode MS" w:hAnsi="Arial Unicode MS" w:cs="Times New Roman" w:hint="cs"/>
          <w:sz w:val="24"/>
          <w:szCs w:val="24"/>
          <w:rtl/>
          <w:lang w:val="ar-SA"/>
        </w:rPr>
        <w:lastRenderedPageBreak/>
        <w:t>تلتمس الحماية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بموجب نظام مدريد، أنْ تكون مودعةً لدى مكتب دولة عضو في الاتفاقية، أو مسجلةً في سجل ذلك المكتب، والذي يشار إليه في الاتفاقية بعبارة مكنب المنشأ</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1"/>
      </w:r>
      <w:r>
        <w:rPr>
          <w:rStyle w:val="None"/>
          <w:rFonts w:ascii="Times New Roman" w:hAnsi="Times New Roman"/>
          <w:sz w:val="24"/>
          <w:szCs w:val="24"/>
          <w:vertAlign w:val="superscript"/>
          <w:rtl/>
          <w:lang w:val="ar-SA"/>
        </w:rPr>
        <w:t>)</w:t>
      </w:r>
    </w:p>
    <w:p w14:paraId="22967C4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اتفاقية مدريد تحمي العلامات التجارية غير التقليدية، وذلك بِناءً على نص المادة الثالثة، وذلك من خلال تقديم طلب التسجيل الدولي على النموذج المنصوص عليه في اللائحة التنفيذية للاتفاقية، وعلى الإدارة أنْ تدوِّن التاريخ، ورقم الإيداع، وتسجيل العلامة في بلد المنشأ، وعلى مودع العلامة أنْ يذكر السلع أو الخدمات التي يطلب حماية هذه العلامة، كما تحمي العلامة التجارية غير التقليدية بإعلان العلامة مع بيان ألوان العلامة، ومن حق صاحب العلامة أنْ يأخذ نسخ ملونة من العلامة</w:t>
      </w:r>
      <w:r>
        <w:rPr>
          <w:rStyle w:val="None"/>
          <w:rFonts w:ascii="Times New Roman" w:hAnsi="Times New Roman"/>
          <w:sz w:val="24"/>
          <w:szCs w:val="24"/>
          <w:rtl/>
          <w:lang w:val="ar-SA"/>
        </w:rPr>
        <w:t>.</w:t>
      </w:r>
    </w:p>
    <w:p w14:paraId="0229B4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أي نوع من العلامات التجارية أو الصناعية التي يمكن تسجليها وفقًا للقانون الواجب التطبيق في بلد الطرف المتعاقد في مكتب المنشأ يمكن أنْ يكون موضوعًا للتسجيل الدولي،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تقيد اللائحة التنفيذية المشتركة أنواع العلامات التي يمكن إيداع طلب دولي بشأنها، فهي تتطلب فقط أنْ تدرج إشارة في الطلب الدولي إلى أنواع معينة من العلامات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2"/>
      </w:r>
      <w:r>
        <w:rPr>
          <w:rStyle w:val="None"/>
          <w:rFonts w:ascii="Times New Roman" w:hAnsi="Times New Roman"/>
          <w:sz w:val="24"/>
          <w:szCs w:val="24"/>
          <w:vertAlign w:val="superscript"/>
          <w:rtl/>
          <w:lang w:val="ar-SA"/>
        </w:rPr>
        <w:t>)</w:t>
      </w:r>
    </w:p>
    <w:p w14:paraId="15110C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الهدف من اتفاقية مدريد بشأن التسجيل الدولي للعلامات التجارية توفير حماية أفضل للعلامات التجارية، وتيسيرًا لتسجيلها في جميع الدول الأعضاء في الاتحاد الدولي؛ لحماية حقوق الملكية الصناعية، وضع اتفاق مدريد كنظام للتسجيل الدولي للعلامات التجارية، وبمقتضاه يمكن لكل شخص تابع لإحدى الدول المتعاقدة أنْ يكفل حماية علامته التجارية المسجلة في بلده الأصلي في جميع دول الاتحاد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3"/>
      </w:r>
      <w:r>
        <w:rPr>
          <w:rStyle w:val="None"/>
          <w:rFonts w:ascii="Times New Roman" w:hAnsi="Times New Roman"/>
          <w:sz w:val="24"/>
          <w:szCs w:val="24"/>
          <w:vertAlign w:val="superscript"/>
          <w:rtl/>
          <w:lang w:val="ar-SA"/>
        </w:rPr>
        <w:t>)</w:t>
      </w:r>
    </w:p>
    <w:p w14:paraId="4A1B5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تشمل اتفاقية مدريد بشأن التسجيل الدولي للعلامات حماية العلامات من خلال تسجيلها دوليًا، ولكن يوجد بها قصور قانونية لعدم تناولها مواد قانونية تشمل التسجيل في البيئة الرقمية؛ وذلك بسبب عدم وجود الشبكات الإلكترونية؛ ولذلك لا بُدَّ من تحديث الاتفاقية؛ لكي تواكب التطوُّر الرهيب التكنولوجي في البيئة الرقمية</w:t>
      </w:r>
      <w:r>
        <w:rPr>
          <w:rStyle w:val="None"/>
          <w:rFonts w:ascii="Times New Roman" w:hAnsi="Times New Roman"/>
          <w:sz w:val="24"/>
          <w:szCs w:val="24"/>
          <w:rtl/>
          <w:lang w:val="ar-SA"/>
        </w:rPr>
        <w:t>.</w:t>
      </w:r>
    </w:p>
    <w:p w14:paraId="150D7352" w14:textId="77777777" w:rsidR="00454428" w:rsidRDefault="00000000" w:rsidP="00C72BA8">
      <w:pPr>
        <w:pStyle w:val="ListParagraph"/>
        <w:numPr>
          <w:ilvl w:val="0"/>
          <w:numId w:val="10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p>
    <w:p w14:paraId="400DC1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تم إبرام معاهدة التعاون بشأن البراءات عام </w:t>
      </w:r>
      <w:r>
        <w:rPr>
          <w:rStyle w:val="None"/>
          <w:rFonts w:ascii="Times New Roman" w:hAnsi="Times New Roman"/>
          <w:sz w:val="24"/>
          <w:szCs w:val="24"/>
          <w:rtl/>
          <w:lang w:val="ar-SA"/>
        </w:rPr>
        <w:t>1970</w:t>
      </w:r>
      <w:r>
        <w:rPr>
          <w:rStyle w:val="None"/>
          <w:rFonts w:ascii="Arial Unicode MS" w:hAnsi="Arial Unicode MS" w:cs="Times New Roman" w:hint="cs"/>
          <w:sz w:val="24"/>
          <w:szCs w:val="24"/>
          <w:rtl/>
          <w:lang w:val="ar-SA"/>
        </w:rPr>
        <w:t xml:space="preserve">، والمعدلة عام </w:t>
      </w:r>
      <w:r>
        <w:rPr>
          <w:rStyle w:val="None"/>
          <w:rFonts w:ascii="Times New Roman" w:hAnsi="Times New Roman"/>
          <w:sz w:val="24"/>
          <w:szCs w:val="24"/>
          <w:rtl/>
          <w:lang w:val="ar-SA"/>
        </w:rPr>
        <w:t>1979</w:t>
      </w:r>
      <w:r>
        <w:rPr>
          <w:rStyle w:val="None"/>
          <w:rFonts w:ascii="Arial Unicode MS" w:hAnsi="Arial Unicode MS" w:cs="Times New Roman" w:hint="cs"/>
          <w:sz w:val="24"/>
          <w:szCs w:val="24"/>
          <w:rtl/>
          <w:lang w:val="ar-SA"/>
        </w:rPr>
        <w:t xml:space="preserve">، ثم تم تعديلها مرة أخرى عام </w:t>
      </w:r>
      <w:r>
        <w:rPr>
          <w:rStyle w:val="None"/>
          <w:rFonts w:ascii="Times New Roman" w:hAnsi="Times New Roman"/>
          <w:sz w:val="24"/>
          <w:szCs w:val="24"/>
          <w:rtl/>
          <w:lang w:val="ar-SA"/>
        </w:rPr>
        <w:t>1984</w:t>
      </w:r>
      <w:r>
        <w:rPr>
          <w:rStyle w:val="None"/>
          <w:rFonts w:ascii="Arial Unicode MS" w:hAnsi="Arial Unicode MS" w:cs="Times New Roman" w:hint="cs"/>
          <w:sz w:val="24"/>
          <w:szCs w:val="24"/>
          <w:rtl/>
          <w:lang w:val="ar-SA"/>
        </w:rPr>
        <w:t xml:space="preserve">، ودخلت حيز التنفيذ عام </w:t>
      </w:r>
      <w:r>
        <w:rPr>
          <w:rStyle w:val="None"/>
          <w:rFonts w:ascii="Times New Roman" w:hAnsi="Times New Roman"/>
          <w:sz w:val="24"/>
          <w:szCs w:val="24"/>
          <w:rtl/>
          <w:lang w:val="ar-SA"/>
        </w:rPr>
        <w:t>1999</w:t>
      </w:r>
      <w:r>
        <w:rPr>
          <w:rStyle w:val="None"/>
          <w:rFonts w:ascii="Arial Unicode MS" w:hAnsi="Arial Unicode MS" w:cs="Times New Roman" w:hint="cs"/>
          <w:sz w:val="24"/>
          <w:szCs w:val="24"/>
          <w:rtl/>
          <w:lang w:val="ar-SA"/>
        </w:rPr>
        <w:t xml:space="preserve">، وتضم حاليًا </w:t>
      </w:r>
      <w:r>
        <w:rPr>
          <w:rStyle w:val="None"/>
          <w:rFonts w:ascii="Times New Roman" w:hAnsi="Times New Roman"/>
          <w:sz w:val="24"/>
          <w:szCs w:val="24"/>
          <w:rtl/>
          <w:lang w:val="ar-SA"/>
        </w:rPr>
        <w:t xml:space="preserve">156 </w:t>
      </w:r>
      <w:r>
        <w:rPr>
          <w:rStyle w:val="None"/>
          <w:rFonts w:ascii="Arial Unicode MS" w:hAnsi="Arial Unicode MS" w:cs="Times New Roman" w:hint="cs"/>
          <w:sz w:val="24"/>
          <w:szCs w:val="24"/>
          <w:rtl/>
          <w:lang w:val="ar-SA"/>
        </w:rPr>
        <w:t>دولةً متعاقدةً، وترجع أهميتها من  كون أي دولة عضو في هذه المعاهدة يحق للمواطن أو المقيم في إحدى دول أطراف المعاهدة تقديم طلب واحد فقط من أجل الحصول على حماية براءات الاختراع في أي من البدان الأعضاء في المعاهدة، وهذا يبسط إلى حد كبير الحماية في العديد من المناطق الأجنبية في وقت واحد؛ ممَّا يساعد مكتب الويبو في جينيف بتطليق العملية الإدارية بشكل أيسر وأدق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4"/>
      </w:r>
      <w:r>
        <w:rPr>
          <w:rStyle w:val="None"/>
          <w:rFonts w:ascii="Times New Roman" w:hAnsi="Times New Roman"/>
          <w:sz w:val="24"/>
          <w:szCs w:val="24"/>
          <w:vertAlign w:val="superscript"/>
          <w:rtl/>
          <w:lang w:val="ar-SA"/>
        </w:rPr>
        <w:t>)</w:t>
      </w:r>
    </w:p>
    <w:p w14:paraId="6AB39B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ومن أهم مزايا معاهدة التعاون بشأن البراءات هو أنَّه بِناءً على طلب وحيد وبلغة واحدة، ومهما كان عدد الدول المعينة فإنَّ المودع يمكنه أنْ يستفيد من بحث دولي يقوم به أحد المكاتب المستقبلة، ويمكنه أنْ يخضع طلبه فيما بعد إلى فحص تمهيدي دولي، وله الخيرة في ذلك؛ لكونه ليس إجباريًا، كما هو الحال في البحث الدولي على أنْ يسري طلبه هذا في كل البلدان المعنية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وهذا ما نصت عليه المادة الثالثة من الاتفاقية</w:t>
      </w:r>
      <w:r>
        <w:rPr>
          <w:rStyle w:val="None"/>
          <w:rFonts w:ascii="Times New Roman" w:hAnsi="Times New Roman"/>
          <w:sz w:val="24"/>
          <w:szCs w:val="24"/>
          <w:rtl/>
          <w:lang w:val="ar-SA"/>
        </w:rPr>
        <w:t>.</w:t>
      </w:r>
    </w:p>
    <w:p w14:paraId="077210F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01B83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 xml:space="preserve">مزايا الطلب الدولي وفقًا للاتفاقية </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16"/>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304B958" w14:textId="77777777" w:rsidR="00454428" w:rsidRDefault="00000000" w:rsidP="00C72BA8">
      <w:pPr>
        <w:pStyle w:val="ListParagraph"/>
        <w:numPr>
          <w:ilvl w:val="0"/>
          <w:numId w:val="12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الاستفادة من تاريخ الإيداع الأول أو الأسبقية، والتي تصل إلى </w:t>
      </w:r>
      <w:r>
        <w:rPr>
          <w:rStyle w:val="None"/>
          <w:rFonts w:ascii="Times New Roman" w:hAnsi="Times New Roman"/>
          <w:sz w:val="24"/>
          <w:szCs w:val="24"/>
          <w:rtl/>
          <w:lang w:val="ar-SA"/>
        </w:rPr>
        <w:t xml:space="preserve">30 </w:t>
      </w:r>
      <w:r>
        <w:rPr>
          <w:rStyle w:val="None"/>
          <w:rFonts w:cs="Times New Roman"/>
          <w:sz w:val="24"/>
          <w:szCs w:val="24"/>
          <w:rtl/>
          <w:lang w:val="ar-SA"/>
        </w:rPr>
        <w:t>شهرًا؛ لتحديد الدول المراد إيداع الطلب فيها لاحقًا لطلب الحماية</w:t>
      </w:r>
      <w:r>
        <w:rPr>
          <w:rStyle w:val="None"/>
          <w:rFonts w:ascii="Times New Roman" w:hAnsi="Times New Roman"/>
          <w:sz w:val="24"/>
          <w:szCs w:val="24"/>
        </w:rPr>
        <w:t>.</w:t>
      </w:r>
    </w:p>
    <w:p w14:paraId="47475AFB" w14:textId="77777777" w:rsidR="00454428" w:rsidRDefault="00000000" w:rsidP="00C72BA8">
      <w:pPr>
        <w:pStyle w:val="ListParagraph"/>
        <w:numPr>
          <w:ilvl w:val="0"/>
          <w:numId w:val="123"/>
        </w:numPr>
        <w:spacing w:before="120" w:after="120" w:line="360" w:lineRule="auto"/>
        <w:jc w:val="both"/>
        <w:rPr>
          <w:rFonts w:cs="Times New Roman" w:hint="default"/>
          <w:sz w:val="24"/>
          <w:szCs w:val="24"/>
          <w:rtl/>
          <w:lang w:val="ar-SA"/>
        </w:rPr>
      </w:pPr>
      <w:r>
        <w:rPr>
          <w:rStyle w:val="None"/>
          <w:rFonts w:cs="Times New Roman"/>
          <w:sz w:val="24"/>
          <w:szCs w:val="24"/>
          <w:rtl/>
          <w:lang w:val="ar-SA"/>
        </w:rPr>
        <w:t>حصول مقدم الطلب على تقرير بحث دولي يحتوي على قائمة بالوثائق المنشورة، وتقرير مكتوب، والذي يوضح مبدئيًا إمكانية حصول الطلب على براءة اختراع من عدمه، وهذا التقرير غير ملزم للدول الأعضاء</w:t>
      </w:r>
      <w:r>
        <w:rPr>
          <w:rStyle w:val="None"/>
          <w:rFonts w:ascii="Times New Roman" w:hAnsi="Times New Roman"/>
          <w:sz w:val="24"/>
          <w:szCs w:val="24"/>
        </w:rPr>
        <w:t>.</w:t>
      </w:r>
    </w:p>
    <w:p w14:paraId="177A2C3F" w14:textId="77777777" w:rsidR="00454428" w:rsidRDefault="00000000" w:rsidP="00C72BA8">
      <w:pPr>
        <w:pStyle w:val="ListParagraph"/>
        <w:numPr>
          <w:ilvl w:val="0"/>
          <w:numId w:val="1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يتيح لمقدم الطلب المزيد من الوقت لعمل الدراسات الاقتصادية والتقييم للاختراع أو البحث عن مستثمرين أو فرص تجارية، وكذلك لتعيين وكلاء محليين وتجهيز المتطلبات اللازمة للدخول للمرحلة الوطنية</w:t>
      </w:r>
      <w:r>
        <w:rPr>
          <w:rStyle w:val="None"/>
          <w:rFonts w:ascii="Times New Roman" w:hAnsi="Times New Roman"/>
          <w:sz w:val="24"/>
          <w:szCs w:val="24"/>
        </w:rPr>
        <w:t>.</w:t>
      </w:r>
    </w:p>
    <w:p w14:paraId="4500374A" w14:textId="77777777" w:rsidR="00454428" w:rsidRDefault="00000000" w:rsidP="00C72BA8">
      <w:pPr>
        <w:pStyle w:val="ListParagraph"/>
        <w:numPr>
          <w:ilvl w:val="0"/>
          <w:numId w:val="1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يمكن لمقدم الطلب تعديل الطلب حسب الملاحظات الواردة في تقرير البحث والتقدم بطلب فحص تمهيدي دولي</w:t>
      </w:r>
      <w:r>
        <w:rPr>
          <w:rStyle w:val="None"/>
          <w:rFonts w:ascii="Times New Roman" w:hAnsi="Times New Roman"/>
          <w:sz w:val="24"/>
          <w:szCs w:val="24"/>
        </w:rPr>
        <w:t>.</w:t>
      </w:r>
    </w:p>
    <w:p w14:paraId="3455F9E2" w14:textId="77777777" w:rsidR="00454428" w:rsidRDefault="00000000" w:rsidP="00C72BA8">
      <w:pPr>
        <w:pStyle w:val="ListParagraph"/>
        <w:numPr>
          <w:ilvl w:val="0"/>
          <w:numId w:val="123"/>
        </w:numPr>
        <w:spacing w:before="120" w:after="120" w:line="360" w:lineRule="auto"/>
        <w:jc w:val="both"/>
        <w:rPr>
          <w:rFonts w:cs="Times New Roman" w:hint="default"/>
          <w:sz w:val="24"/>
          <w:szCs w:val="24"/>
          <w:rtl/>
          <w:lang w:val="ar-SA"/>
        </w:rPr>
      </w:pPr>
      <w:r>
        <w:rPr>
          <w:rStyle w:val="None"/>
          <w:rFonts w:cs="Times New Roman"/>
          <w:sz w:val="24"/>
          <w:szCs w:val="24"/>
          <w:rtl/>
          <w:lang w:val="ar-SA"/>
        </w:rPr>
        <w:t>إمكانية حصول مقدم الطلب على تقرير فحص دولي تمهيدي إضافي؛ لتحليل تقرير البحث الدولي، وتقديم رأي مكتوب في احتمال حصول الطلب على براءة اختراع من عدمه؛ ممَّا قد يسرع من عملية فحص الطلب لدى المكاتب الوطنية</w:t>
      </w:r>
      <w:r>
        <w:rPr>
          <w:rStyle w:val="None"/>
          <w:rFonts w:ascii="Times New Roman" w:hAnsi="Times New Roman"/>
          <w:sz w:val="24"/>
          <w:szCs w:val="24"/>
        </w:rPr>
        <w:t>.</w:t>
      </w:r>
    </w:p>
    <w:p w14:paraId="6160316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425563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0D5948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CB0307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E40709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92C3A9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0D024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C252D7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4B09470E"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DF7BFE0" w14:textId="77777777" w:rsidR="00454428" w:rsidRDefault="00000000" w:rsidP="00C72BA8">
      <w:pPr>
        <w:pStyle w:val="a"/>
        <w:rPr>
          <w:rStyle w:val="None"/>
          <w:lang w:val="ar-SA"/>
        </w:rPr>
      </w:pPr>
      <w:bookmarkStart w:id="116" w:name="_Toc68"/>
      <w:r>
        <w:rPr>
          <w:rStyle w:val="None"/>
          <w:rFonts w:ascii="Arial Unicode MS" w:eastAsia="Arial Unicode MS" w:hAnsi="Arial Unicode MS" w:hint="cs"/>
          <w:rtl/>
          <w:lang w:val="ar-SA"/>
        </w:rPr>
        <w:lastRenderedPageBreak/>
        <w:t>المطلب الثاني</w:t>
      </w:r>
      <w:bookmarkEnd w:id="116"/>
    </w:p>
    <w:p w14:paraId="6488BB68" w14:textId="77777777" w:rsidR="00454428" w:rsidRDefault="00000000" w:rsidP="00C72BA8">
      <w:pPr>
        <w:pStyle w:val="a"/>
        <w:rPr>
          <w:rStyle w:val="None"/>
          <w:lang w:val="ar-SA"/>
        </w:rPr>
      </w:pPr>
      <w:bookmarkStart w:id="117" w:name="_Toc69"/>
      <w:r>
        <w:rPr>
          <w:rStyle w:val="None"/>
          <w:rFonts w:ascii="Arial Unicode MS" w:eastAsia="Arial Unicode MS" w:hAnsi="Arial Unicode MS" w:hint="cs"/>
          <w:rtl/>
          <w:lang w:val="ar-SA"/>
        </w:rPr>
        <w:t>التحديات الدولية في تنفيذ الحماية الرقمية</w:t>
      </w:r>
      <w:bookmarkEnd w:id="117"/>
    </w:p>
    <w:p w14:paraId="6C8A66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لا بُدَّ من حمايتها دوليًا؛ بسبب الانتهاكات في العصر الرقمي، ففي ظل الانتشار الواسع للإنترنت وتعدد وسائل النشر الإلكتروني، أصبح من السهل نسخ أي محتوى ونشره مرة أخرى دون إذن من صاحب الحق؛ ممَّا يهدد الحقوق الأدبية والمالية للمؤلفين</w:t>
      </w:r>
      <w:r>
        <w:rPr>
          <w:rStyle w:val="None"/>
          <w:rFonts w:ascii="Times New Roman" w:hAnsi="Times New Roman"/>
          <w:sz w:val="24"/>
          <w:szCs w:val="24"/>
          <w:rtl/>
          <w:lang w:val="ar-SA"/>
        </w:rPr>
        <w:t>.</w:t>
      </w:r>
    </w:p>
    <w:p w14:paraId="147C3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الفترة الماضية تسارع كبير في مجال التقدم التكنولوجي والتقني، وظهر ما يسمي بالفضاء الإلكتروني، ووسائل الاتصالات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كالإنترنت، وسائر صور الاتصال الإلكتروني، حتى أصبح العالم قريةً صغيرةً، وشمل هذا الفضاء الإلكتروني جميع مناحي الحياة الاقتصادية والاجتماعية، ووضع أكثر من مئتي دولةٍ في حالة اتصال دائم؛ حتى أصبحت القضية تشغل العالم بأسره، فالمجرم قد يكون بِقارَّة وينفذ جريمته بقارة أخرى عبر هذا الفضاء الإلكتروني، وقد تباينت الصور الإجرامية وتشعبت أنواعها، وهي جرائم مبتكرة ومستحدثة، وقد عاني الكثير من الدول من هذه الجرائم؛ ممَّا استدعى ضرورة تطوير البنية التشريعية الجنائية بطريقة ذكية؛ لضمان الأمن للمواطن والمؤسسة الدولة على حد سواء، عبر سَنِّ القوانين والتعاون الدولي في هذا المجال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D7697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هنا ظهرت المصنفات الرقمية، ولما كانت المصنفات تشكل الهُوِيَّة الوطنية، فالأمر يحتاج إلى وضع نصوص تشريعية واضحة؛ لتوفير الحماية القانونية لها، ومنع تعرضها للإهدار؛ بسبب الاحتفاظ بها في صورتها التقليدية، أو بسبب السطو عن طريق النسخ للمصنف الرقمي بدون إذن صاحبها وتداولها عبر الشبمة العنكبوتية، وهو أحد التحديات التي تواجه التطوُّر الرقمي الحاصل لأصاحب الحقوق على تلك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8"/>
      </w:r>
      <w:r>
        <w:rPr>
          <w:rStyle w:val="None"/>
          <w:rFonts w:ascii="Times New Roman" w:hAnsi="Times New Roman"/>
          <w:sz w:val="24"/>
          <w:szCs w:val="24"/>
          <w:vertAlign w:val="superscript"/>
          <w:rtl/>
          <w:lang w:val="ar-SA"/>
        </w:rPr>
        <w:t>)</w:t>
      </w:r>
    </w:p>
    <w:p w14:paraId="49A9A0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المادة الأولى من نظام حماية حق المؤلف 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يقصد به جميع المصنفات الأدبية، أو الفنية، أو العلمية التي يفترض أنَّها ابتكرت في الأراضي السعودية، وانتقلت من جيل إلى جيل، وتشكل جزءًا من التراث الثقافي أو الفني التقليدي السعودي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فهذه المادة أكدت على أنَّ المصنفات الفكرية تشكل الهُوِيَّة الوطنية، التي أنشأت داخل البلد، وتوريثها من جيل إلى جيل؛ لأنَّها تعبر عن الهُوِيَّة الوطنية للدولة</w:t>
      </w:r>
      <w:r>
        <w:rPr>
          <w:rStyle w:val="None"/>
          <w:rFonts w:ascii="Times New Roman" w:hAnsi="Times New Roman"/>
          <w:sz w:val="24"/>
          <w:szCs w:val="24"/>
          <w:rtl/>
          <w:lang w:val="ar-SA"/>
        </w:rPr>
        <w:t>.</w:t>
      </w:r>
    </w:p>
    <w:p w14:paraId="0B91A8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تواجه حماية الملكية الفكرية في البيئة الرقمية تحدي دولي؛ وذلك بسبب الانتهاكات على هذه الحقوق في البيئة الرقمية، كما اختلفت التشريعات بين الدول من حيث نطاق الحماية، وعلى الرغم من وجود اتفاقيات دولية كاتفاقية برن وتريبس، فلا بُدَّ من تحديث هذه التشريعات والاتفاقيات؛ لمواكبة التطوُّر التكنولوجي وحماية الملكية الفكرية في عصر البيئة الرقمية</w:t>
      </w:r>
      <w:r>
        <w:rPr>
          <w:rStyle w:val="None"/>
          <w:rFonts w:ascii="Times New Roman" w:hAnsi="Times New Roman"/>
          <w:sz w:val="24"/>
          <w:szCs w:val="24"/>
          <w:rtl/>
          <w:lang w:val="ar-SA"/>
        </w:rPr>
        <w:t>.</w:t>
      </w:r>
    </w:p>
    <w:p w14:paraId="6DF674D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ED853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D1C8D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اختلاف التشريعات الوطنية</w:t>
      </w:r>
      <w:r>
        <w:rPr>
          <w:rStyle w:val="None"/>
          <w:rFonts w:ascii="Times New Roman" w:hAnsi="Times New Roman"/>
          <w:b/>
          <w:bCs/>
          <w:sz w:val="24"/>
          <w:szCs w:val="24"/>
          <w:rtl/>
          <w:lang w:val="ar-SA"/>
        </w:rPr>
        <w:t>:</w:t>
      </w:r>
    </w:p>
    <w:p w14:paraId="1B7A1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مسألة الحماية القانونية للمصنفات الرقمية من أبرز التحديات التي تواجهها التشريعات في الوقت الحاضر، والتي تتطلب تطويرًا وتحديثًا مستمرًا يواجب التطوُّر التقني، الذي تُعَدُّ هذه المصنفات نتاجًا له، فهذه المصنفات منها ما هو منشور على الدعامة الإلكترونية، ومنها ما هو موجود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51439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التطوُّرات الرقمية تفرض ضرورة توحيد التشريعات الدولية؛ لتوفير إطار قانوني موحد يتناسب مع التحديات المتزايدة لحماية الجريمة الرقمية، فلا بُدَّ من توحيد التشريعات يُعَدُّ ضرورة حيوية في العديد من السياقات القانونية؛ لتعزيز العدالة وتوفير معايير واضحة للجميع، كما يضمن التوحيد، واستقامة، وتكامل النظام القانوني، بالإضافة إلى توحيد فاعلية القضاء والتنفيذ، عندما تكون التشريعات موحدةً ويصبح من السهل فهمها وتطبيقها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F81B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اختلاف التشريعات الوطنية تحديًا مهمًّا في سبيل حماية حقوق الملكية الفكرية في البيئة الرقمية؛ لأنْ يوجِد العديد من الأنظمة القانونية تعتمد على القانون القديم للحماية، فلا بُدَّ من تحديث التشريعات لمواكبة التطوُّر التكنولوجي في عصر البيئة الرقمية؛ لحماية حقوق الأفراد على مؤلفاتهم ومصنفاتهم؛ حتى تكون رادعةً على منتهكي حقوق الملكية الفكرية</w:t>
      </w:r>
      <w:r>
        <w:rPr>
          <w:rStyle w:val="None"/>
          <w:rFonts w:ascii="Times New Roman" w:hAnsi="Times New Roman"/>
          <w:sz w:val="24"/>
          <w:szCs w:val="24"/>
          <w:rtl/>
          <w:lang w:val="ar-SA"/>
        </w:rPr>
        <w:t>.</w:t>
      </w:r>
    </w:p>
    <w:p w14:paraId="4051F86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ظل التحول الرقمي تواجه المؤسسات العامة تحدياتٍ معقدةً تتعلق بالتنظيم الدولي وإدارة العمليات العابرة للحدود، يُعَدُّ تضارب القوانين بين الدول من أبرز العقبات؛ حيث تختلف تشريعات بشكل كبير؛ ممَّا يجعل الامتثال لمتطلبات متعددة أمرًا صعبًا، فلا بُدَّ من التنظيم الدولي والعابر للحدود في التحول الرقمي يتطلب تعاون دولي، ومرونة في التعامل مع التطوُّرات التكنولوجية السريعة، وإيجاد توزان بين المصالح الوطنية والمصالح العالمية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B453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الانتهاكات العابر للحدود لا تعترف بالحدود الجغرافية للدول ولا حتى للقارات؛ لأنَّه مع انتشار شبكة الاتصالات العالمية الإنترنت أمكن ربط أعداد هائلة من الحواسيب عبر العالم؛ بحيث يمكن أنْ يكون الجاني في بلد والمجني عليه في بلد آخر، فهذه الانتهاكات خلقت العديد من المشاكل حول تحديد الدولة صاحبة الاختصاص القضائي بهذه الجريمة، وكذلك القانون الواجب تطبيقه، بالإضافة إلى إشكاليات تتعلق بإجراءات الملاحقة القضائية، وغير ذلك من المشاكل التي تثيرها الجرائم العابرة للحدود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7E8B1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تُعَدُّ الانتهاكات الرقمية من الظواهر المستحدثة في العصر الرقمي، وتتميز بخصائص تجعل من عمليه إثباتها تحديًا كبيرًا ومن أبرزها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3"/>
      </w:r>
      <w:r>
        <w:rPr>
          <w:rStyle w:val="None"/>
          <w:rFonts w:ascii="Times New Roman" w:hAnsi="Times New Roman"/>
          <w:sz w:val="24"/>
          <w:szCs w:val="24"/>
          <w:vertAlign w:val="superscript"/>
          <w:rtl/>
          <w:lang w:val="ar-SA"/>
        </w:rPr>
        <w:t>)</w:t>
      </w:r>
    </w:p>
    <w:p w14:paraId="14DD44A6"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غير المادي</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تكون غير ملموسة؛ إذ ترتكب الجرائم الرقمية في بيئة افتراضية؛ ممَّا يعني غياب الأثر المادي</w:t>
      </w:r>
      <w:r>
        <w:rPr>
          <w:rStyle w:val="None"/>
          <w:rFonts w:ascii="Times New Roman" w:hAnsi="Times New Roman"/>
          <w:sz w:val="24"/>
          <w:szCs w:val="24"/>
          <w:rtl/>
          <w:lang w:val="ar-SA"/>
        </w:rPr>
        <w:t>.</w:t>
      </w:r>
    </w:p>
    <w:p w14:paraId="079F50A0"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العابر للحدود</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ما ترتكب الانتهاكات من خلال شبكة الإنترنت، التي لا تعترف بالحدود الجغرافية ما يصعب من إجراءات التتبع والتحقيق</w:t>
      </w:r>
      <w:r>
        <w:rPr>
          <w:rStyle w:val="None"/>
          <w:rFonts w:ascii="Times New Roman" w:hAnsi="Times New Roman"/>
          <w:sz w:val="24"/>
          <w:szCs w:val="24"/>
          <w:rtl/>
          <w:lang w:val="ar-SA"/>
        </w:rPr>
        <w:t>.</w:t>
      </w:r>
    </w:p>
    <w:p w14:paraId="05E4C612" w14:textId="77777777" w:rsidR="00454428" w:rsidRDefault="00000000" w:rsidP="00C72BA8">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سهولة طمس الأدلة</w:t>
      </w:r>
      <w:r>
        <w:rPr>
          <w:rStyle w:val="None"/>
          <w:rFonts w:ascii="Times New Roman" w:hAnsi="Times New Roman"/>
          <w:b/>
          <w:bCs/>
          <w:sz w:val="24"/>
          <w:szCs w:val="24"/>
          <w:rtl/>
          <w:lang w:val="ar-SA"/>
        </w:rPr>
        <w:t>:</w:t>
      </w:r>
      <w:r>
        <w:rPr>
          <w:rStyle w:val="None"/>
          <w:rFonts w:cs="Times New Roman"/>
          <w:sz w:val="24"/>
          <w:szCs w:val="24"/>
          <w:rtl/>
          <w:lang w:val="ar-SA"/>
        </w:rPr>
        <w:t xml:space="preserve"> في كثير من الحالات يستطيع الشخص محو آثار الجريمة الرقمية خلال ثوان؛ ممَّا يتطلب سرعةً عاليةً في جمع الأدلة الرقمية، وإزاء تلك الخصائص بات من الضروري إعادة النظر في القواعد التقليدية للإثبات؛ بحيث تتماشى مع الطبيعة التقنية للجرائم الرقمية</w:t>
      </w:r>
      <w:r>
        <w:rPr>
          <w:rStyle w:val="None"/>
          <w:rFonts w:ascii="Times New Roman" w:hAnsi="Times New Roman"/>
          <w:sz w:val="24"/>
          <w:szCs w:val="24"/>
          <w:rtl/>
          <w:lang w:val="ar-SA"/>
        </w:rPr>
        <w:t xml:space="preserve">. </w:t>
      </w:r>
    </w:p>
    <w:p w14:paraId="348F60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طبيعة الانتهاكات العابرة للحدود في مجال الملكية الفكرية أدى إلى سهولة النسخ، وإعادة النشر دون إذن من صاحب الحق، وصار بالإمكان ارتكاب هذه الانتهاكات غير المشروعة في دولة معينة، بينما يتحقق هذا الفعل في دولة أخرى، فتعتبر هذه الانتهاكات عابرةً للحدود؛ لحدوثها في العديد من متخلف الدول</w:t>
      </w:r>
      <w:r>
        <w:rPr>
          <w:rStyle w:val="None"/>
          <w:rFonts w:ascii="Times New Roman" w:hAnsi="Times New Roman"/>
          <w:sz w:val="24"/>
          <w:szCs w:val="24"/>
          <w:rtl/>
          <w:lang w:val="ar-SA"/>
        </w:rPr>
        <w:t>.</w:t>
      </w:r>
    </w:p>
    <w:p w14:paraId="7B62DA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الانتهاكات الرقمية حديثة في العصر الرقمي؛ لذلك يوجد تحدٍّ في إثبات هذه الانتهاكات؛ بسبب عدم وجود أثر مادي، كما يمكن أنْ ترتكب الجريمة في بلد أخرى غير البلد الأصل للمصنف، ومن الممكن إخفاء آثار الجريمة الرقمية في ثوانٍ، فهذا يجعلها صعبة الإثبات، ولكن يمكن أنْ تثبت في حالة إذا تم التعاون بين الدول، وتبادل المعلومات بينهم، وتتبع بيانات الجريمة من خلال الاتصالات بين الدول</w:t>
      </w:r>
      <w:r>
        <w:rPr>
          <w:rStyle w:val="None"/>
          <w:rFonts w:ascii="Times New Roman" w:hAnsi="Times New Roman"/>
          <w:sz w:val="24"/>
          <w:szCs w:val="24"/>
          <w:rtl/>
          <w:lang w:val="ar-SA"/>
        </w:rPr>
        <w:t xml:space="preserve">. </w:t>
      </w:r>
    </w:p>
    <w:p w14:paraId="1A62A68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ضعف التعاون والتنسيق الدولي</w:t>
      </w:r>
      <w:r>
        <w:rPr>
          <w:rStyle w:val="None"/>
          <w:rFonts w:ascii="Times New Roman" w:hAnsi="Times New Roman"/>
          <w:b/>
          <w:bCs/>
          <w:sz w:val="24"/>
          <w:szCs w:val="24"/>
          <w:rtl/>
        </w:rPr>
        <w:t>:</w:t>
      </w:r>
    </w:p>
    <w:p w14:paraId="559B20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يتعين على التشريعات الدولية دعم آليات فاعلية للتعاون بين الدول في مجال مكافحة الجريمة الرقمية، مع تبادل معلومات وخبرات لتحقيق نتائج أفضل، وتشجيع التعاون الدولي يُعَدُّ أمرًا أساسيًا لتحقيق التقدم ومواجهة التحديات العالمية، ويسهم التعاون في تعزيز الفهم المتبادل بين الدول وتقوية العلاقات الدبلوماسية؛ ممَّا يقلل من فرص الصراعات، ويعزّز السلم والاستقرار، ومن خلال التعاون الدولي يمكن تحقيق تبادل المعرفة والخبرات؛ ممَّا يعزّز الابتكار والتقنيات الجديدة، يعتبر التعاون الدولي عاملًا أساسيًا لتحقيق التوازن والاستقرار العالمي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4"/>
      </w:r>
      <w:r>
        <w:rPr>
          <w:rStyle w:val="None"/>
          <w:rFonts w:ascii="Times New Roman" w:hAnsi="Times New Roman"/>
          <w:sz w:val="24"/>
          <w:szCs w:val="24"/>
          <w:vertAlign w:val="superscript"/>
          <w:rtl/>
          <w:lang w:val="ar-SA"/>
        </w:rPr>
        <w:t>)</w:t>
      </w:r>
    </w:p>
    <w:p w14:paraId="3B2EFC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يتعرض المؤلفون في البيئة الرقمية للكثير من التحديات؛ لتوفير الحماية لأعمالهم؛ بسبب سهولة الحصول على هذه المصنفات في البيئة الرقمية، ويسر استنساخها، وهو ما يستوجب ضرورة تسارع خطوات التعاون الدولي في </w:t>
      </w:r>
      <w:r>
        <w:rPr>
          <w:rStyle w:val="None"/>
          <w:rFonts w:ascii="Arial Unicode MS" w:hAnsi="Arial Unicode MS" w:cs="Times New Roman" w:hint="cs"/>
          <w:sz w:val="24"/>
          <w:szCs w:val="24"/>
          <w:rtl/>
          <w:lang w:val="ar-SA"/>
        </w:rPr>
        <w:lastRenderedPageBreak/>
        <w:t>مجال تنظيم تلك الحقوق في محيط البيئة الرقمية، والمحتوى الرقمي؛ لأنَّ الصعوبات العملية المرتبطة بالإنترنت وبالتقنيات الحديثة تحتاج إلى حلول من خلال الاتفاقيات والمعاهدات الدولية والتنسيق بين الدول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5"/>
      </w:r>
      <w:r>
        <w:rPr>
          <w:rStyle w:val="None"/>
          <w:rFonts w:ascii="Times New Roman" w:hAnsi="Times New Roman"/>
          <w:sz w:val="24"/>
          <w:szCs w:val="24"/>
          <w:vertAlign w:val="superscript"/>
          <w:rtl/>
          <w:lang w:val="ar-SA"/>
        </w:rPr>
        <w:t>)</w:t>
      </w:r>
    </w:p>
    <w:p w14:paraId="14A7E7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فالتعاون الدولي يشكل قوةً كبيرةً في الحد من الانتهاكات سواء كانت داخل حدود الدول أخارجها، فالتعاون بين الدول يعمل على تبادل الخبرات والاستفادة من بعضهم البعض، ويعمل على تغذية المعلومات المتبادلة التي تساعد حماية الملكية الفكرية، ويشكل التعاون الدولي هنا دورًا مهمًا في المساعدة في الحد من الانتهاكات، ومساعدة الأجهزة في أداء أدوارها بشكل سريع يقوم على الدقة والمهارة</w:t>
      </w:r>
      <w:r>
        <w:rPr>
          <w:rStyle w:val="None"/>
          <w:rFonts w:ascii="Times New Roman" w:hAnsi="Times New Roman"/>
          <w:sz w:val="24"/>
          <w:szCs w:val="24"/>
          <w:rtl/>
          <w:lang w:val="ar-SA"/>
        </w:rPr>
        <w:t>.</w:t>
      </w:r>
    </w:p>
    <w:p w14:paraId="086DE5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فلا شك أنَّ التعاون الأمني أصبح شرطًا أساسيًّا ومطلبًا ضروريًّا لنجاح السياسة الجنائية في التصدي للجريمة المنظمة العابرة للحدود الوطنية، والتعاون الأمني يحقق غايات وأهداف لا يمكن الوصل إليها دون وجود هذا التعاون، هذا فضًلا عن أنَّ هذا التعاون له مجالاته المتعددة وميادينه المختلفة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6"/>
      </w:r>
      <w:r>
        <w:rPr>
          <w:rStyle w:val="None"/>
          <w:rFonts w:ascii="Times New Roman" w:hAnsi="Times New Roman"/>
          <w:sz w:val="24"/>
          <w:szCs w:val="24"/>
          <w:vertAlign w:val="superscript"/>
          <w:rtl/>
          <w:lang w:val="ar-SA"/>
        </w:rPr>
        <w:t>)</w:t>
      </w:r>
    </w:p>
    <w:p w14:paraId="7B0C38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التعاون الدولي ضرورة ملحة لمكافحة الانتهاكات العابرة للحدود؛ حيث أثبت الواقع العلمي أنَّ أي دولة لا تستطيع بجهودها المنفردة القضاء على الانتهاكات الإلكترونية، خاصةً مع التطوُّر الملموس والمذهل في الاتصالات وتكنولوجيا المعلومات، فإنْ كان من الضروري أنْ تمتلك الدول الإمكانية التشريعية والقضائية والفنية لمكافحة هذه الانتهاكات الإلكترونية؛ فإنَّ الأهم من ذلك أنْ تكون تلك القوانين متوائمةً ومتجانسةً بين مختلف الدول؛ إذْ هي تحمي مصلحةً مشتركةً، والتعاون الدولي في هذا المجال قد يأخذ عدة أوجه،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يتعلق بضرورة التعاون في إنقاذ القانون لملاحقة ومعاقبة المنتهكين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7"/>
      </w:r>
      <w:r>
        <w:rPr>
          <w:rStyle w:val="None"/>
          <w:rFonts w:ascii="Times New Roman" w:hAnsi="Times New Roman"/>
          <w:sz w:val="24"/>
          <w:szCs w:val="24"/>
          <w:vertAlign w:val="superscript"/>
          <w:rtl/>
          <w:lang w:val="ar-SA"/>
        </w:rPr>
        <w:t>)</w:t>
      </w:r>
    </w:p>
    <w:p w14:paraId="1EEBDD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التعاون الدولي هو عنصر مهم في تعزيز حماية الملكية الفكرية في البيئة الرقمية؛ وذلك بسبب سهولة نسخ المصنفات الرقمية، ونشرها، وتداولها مرة أخرى دون موافقة صاحب المصنف، ومن هنا لا بُدَّ التعاون والتنسيق بين الدول وتبادل المعلومات؛ لحماية المصنفات الرقمية، وحماية حقوق المؤلف المادية والأدبية</w:t>
      </w:r>
      <w:r>
        <w:rPr>
          <w:rStyle w:val="None"/>
          <w:rFonts w:ascii="Times New Roman" w:hAnsi="Times New Roman"/>
          <w:sz w:val="24"/>
          <w:szCs w:val="24"/>
          <w:rtl/>
          <w:lang w:val="ar-SA"/>
        </w:rPr>
        <w:t>.</w:t>
      </w:r>
    </w:p>
    <w:p w14:paraId="599D46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يرى الباحث أنَّ اختلاف التشريعات الوطنية، وضعف التعاون والتنسيق الدولي يعتبر عقبةً دوليةً أمام الانتهاكات الدولية أو الوطنية على المصنفات الرقمية، فلا بُدَّ من للدول تحديث تشريعاتها الوطنية، وعقد مؤتمرات دولية؛ بسبب هذه الانتهاكات، وعقد اتفاقيات ثنائية بين الدول؛ لتبادل المعلومات والبيانات بينهم البعض؛ حتى تتم ملاحقة هذه الجرائم قبل طمس الأدلة المستخدمة في الجريمة، وتتبع مرتكبي هذه الجرائم عبر الحدود، ومن الممكن أنْ يتم توحيد تشريعات دولية، من خلال اتفاقية توضح فيها التعاون بين الدول</w:t>
      </w:r>
      <w:r>
        <w:rPr>
          <w:rStyle w:val="None"/>
          <w:rFonts w:ascii="Times New Roman" w:hAnsi="Times New Roman"/>
          <w:sz w:val="24"/>
          <w:szCs w:val="24"/>
          <w:rtl/>
          <w:lang w:val="ar-SA"/>
        </w:rPr>
        <w:t>.</w:t>
      </w:r>
    </w:p>
    <w:p w14:paraId="01B3DA6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53FDAF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DC03EED" w14:textId="77777777" w:rsidR="00454428" w:rsidRDefault="00000000" w:rsidP="00C72BA8">
      <w:pPr>
        <w:pStyle w:val="a"/>
        <w:rPr>
          <w:rStyle w:val="None"/>
          <w:lang w:val="ar-SA"/>
        </w:rPr>
      </w:pPr>
      <w:bookmarkStart w:id="118" w:name="_Toc70"/>
      <w:r>
        <w:rPr>
          <w:rStyle w:val="None"/>
          <w:rFonts w:ascii="Arial Unicode MS" w:eastAsia="Arial Unicode MS" w:hAnsi="Arial Unicode MS" w:hint="cs"/>
          <w:rtl/>
          <w:lang w:val="ar-SA"/>
        </w:rPr>
        <w:t>المبحث الثاني</w:t>
      </w:r>
      <w:bookmarkEnd w:id="118"/>
    </w:p>
    <w:p w14:paraId="733AD3F9" w14:textId="77777777" w:rsidR="00454428" w:rsidRDefault="00000000" w:rsidP="00C72BA8">
      <w:pPr>
        <w:pStyle w:val="a"/>
        <w:rPr>
          <w:rStyle w:val="None"/>
          <w:lang w:val="ar-SA"/>
        </w:rPr>
      </w:pPr>
      <w:bookmarkStart w:id="119" w:name="_Toc71"/>
      <w:r>
        <w:rPr>
          <w:rStyle w:val="None"/>
          <w:rFonts w:ascii="Arial Unicode MS" w:eastAsia="Arial Unicode MS" w:hAnsi="Arial Unicode MS" w:hint="cs"/>
          <w:rtl/>
          <w:lang w:val="ar-SA"/>
        </w:rPr>
        <w:t>النظام القانونية للمصنف الرقمي</w:t>
      </w:r>
      <w:bookmarkEnd w:id="119"/>
    </w:p>
    <w:p w14:paraId="32E2FB6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قوانين الملكية الفكرية تهدف إلى حماية أصحاب الابتكار من كافة الاعتداءات على مؤلفاتهم وأعمالهم، ولا يمنع ذلك شمول تلك القوانين لأشخاص آخرين جديرين بالحماية وخاصةً المستهلكين، أي أنَّ استخدام حقوق الملكية الفكرية لا يهدف إلى حماية أصحابها فقط، بل يشمل المتضررين من سوء استخدام تلك الحقوق والمتمثل في شخص 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8"/>
      </w:r>
      <w:r>
        <w:rPr>
          <w:rStyle w:val="None"/>
          <w:rFonts w:ascii="Times New Roman" w:hAnsi="Times New Roman"/>
          <w:sz w:val="24"/>
          <w:szCs w:val="24"/>
          <w:vertAlign w:val="superscript"/>
          <w:rtl/>
          <w:lang w:val="ar-SA"/>
        </w:rPr>
        <w:t>)</w:t>
      </w:r>
    </w:p>
    <w:p w14:paraId="48D39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التشريعات القانونية هي الركيزة الرئيسية والمهمة في عملية حقوق المؤلفين، وتوفير الحماية لإبداعاتهم الفكرية من عمليات التخريب، والقرصنة، والاعتداءات، سواءً تعلق هذا بالمصنفات التقليدية، أو المصنفات التي فرضتها البيئة الجديدة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المصنفات الرقيمة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أو مصنفات البيئة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9"/>
      </w:r>
      <w:r>
        <w:rPr>
          <w:rStyle w:val="None"/>
          <w:rFonts w:ascii="Times New Roman" w:hAnsi="Times New Roman"/>
          <w:sz w:val="24"/>
          <w:szCs w:val="24"/>
          <w:vertAlign w:val="superscript"/>
          <w:rtl/>
          <w:lang w:val="ar-SA"/>
        </w:rPr>
        <w:t>)</w:t>
      </w:r>
    </w:p>
    <w:p w14:paraId="78BB53F7"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القانونية في النظام السعودي</w:t>
      </w:r>
      <w:r>
        <w:rPr>
          <w:rStyle w:val="None"/>
          <w:rFonts w:ascii="Times New Roman" w:hAnsi="Times New Roman"/>
          <w:sz w:val="24"/>
          <w:szCs w:val="24"/>
          <w:rtl/>
          <w:lang w:val="ar-SA"/>
        </w:rPr>
        <w:t>.</w:t>
      </w:r>
    </w:p>
    <w:p w14:paraId="45912DEE"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في التشريعين الفرنسي والأمريكي</w:t>
      </w:r>
      <w:r>
        <w:rPr>
          <w:rStyle w:val="None"/>
          <w:rFonts w:ascii="Times New Roman" w:hAnsi="Times New Roman"/>
          <w:sz w:val="24"/>
          <w:szCs w:val="24"/>
          <w:rtl/>
          <w:lang w:val="ar-SA"/>
        </w:rPr>
        <w:t>.</w:t>
      </w:r>
    </w:p>
    <w:p w14:paraId="6D9BDF65" w14:textId="77777777" w:rsidR="00454428" w:rsidRDefault="00000000" w:rsidP="00C72BA8">
      <w:pPr>
        <w:pStyle w:val="Body"/>
        <w:spacing w:before="120" w:after="120" w:line="360" w:lineRule="auto"/>
      </w:pPr>
      <w:r>
        <w:rPr>
          <w:rStyle w:val="None"/>
          <w:rFonts w:ascii="Arial Unicode MS" w:hAnsi="Arial Unicode MS"/>
          <w:sz w:val="24"/>
          <w:szCs w:val="24"/>
        </w:rPr>
        <w:br w:type="page"/>
      </w:r>
    </w:p>
    <w:p w14:paraId="0FD62107" w14:textId="77777777" w:rsidR="00454428" w:rsidRDefault="00000000" w:rsidP="00C72BA8">
      <w:pPr>
        <w:pStyle w:val="a"/>
        <w:rPr>
          <w:rStyle w:val="None"/>
          <w:lang w:val="ar-SA"/>
        </w:rPr>
      </w:pPr>
      <w:bookmarkStart w:id="120" w:name="_Toc72"/>
      <w:r>
        <w:rPr>
          <w:rStyle w:val="None"/>
          <w:rFonts w:ascii="Arial Unicode MS" w:eastAsia="Arial Unicode MS" w:hAnsi="Arial Unicode MS" w:hint="cs"/>
          <w:rtl/>
          <w:lang w:val="ar-SA"/>
        </w:rPr>
        <w:lastRenderedPageBreak/>
        <w:t>المطلب الأول</w:t>
      </w:r>
      <w:bookmarkEnd w:id="120"/>
    </w:p>
    <w:p w14:paraId="24BDBC45" w14:textId="77777777" w:rsidR="00454428" w:rsidRDefault="00000000" w:rsidP="00C72BA8">
      <w:pPr>
        <w:pStyle w:val="a"/>
        <w:rPr>
          <w:rStyle w:val="None"/>
          <w:lang w:val="ar-SA"/>
        </w:rPr>
      </w:pPr>
      <w:bookmarkStart w:id="121" w:name="_Toc73"/>
      <w:r>
        <w:rPr>
          <w:rStyle w:val="None"/>
          <w:rFonts w:ascii="Arial Unicode MS" w:eastAsia="Arial Unicode MS" w:hAnsi="Arial Unicode MS" w:hint="cs"/>
          <w:rtl/>
          <w:lang w:val="ar-SA"/>
        </w:rPr>
        <w:t>نطاق الحماية القانونية في النظام السعودي</w:t>
      </w:r>
      <w:bookmarkEnd w:id="121"/>
    </w:p>
    <w:p w14:paraId="1DEC7B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التطوُّرات الإلكترونية العديدة جعلت العالم بأكمله مثل 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Style w:val="None"/>
          <w:rFonts w:ascii="Times New Roman" w:hAnsi="Times New Roman"/>
          <w:sz w:val="24"/>
          <w:szCs w:val="24"/>
          <w:rtl/>
          <w:lang w:val="ar-SA"/>
        </w:rPr>
        <w:t>.</w:t>
      </w:r>
    </w:p>
    <w:p w14:paraId="145583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ففي ظل عدم وجود قانون لحفظ الحقوق فإنَّ الوطن أولًا يخسر أبناءه المبدعين، ويهاجرون منه ليس هجرة عمل وإنتاج، بل هجرة لجوء أبدي إلى وطن آخر؛ لأنَّ قانون حفظ الحقوق الفكرية ملازم دائمًا للمبدعين فلا يوجد المبدعون في بيئة لا تحترم حقوق عقول المتميزين فيها، ويشعروا بأنَّ إبداعاتهم ستسجل بأسماء آخرين غيرهم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0"/>
      </w:r>
      <w:r>
        <w:rPr>
          <w:rStyle w:val="None"/>
          <w:rFonts w:ascii="Times New Roman" w:hAnsi="Times New Roman"/>
          <w:sz w:val="24"/>
          <w:szCs w:val="24"/>
          <w:vertAlign w:val="superscript"/>
          <w:rtl/>
          <w:lang w:val="ar-SA"/>
        </w:rPr>
        <w:t>)</w:t>
      </w:r>
    </w:p>
    <w:p w14:paraId="2FB1B2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إقرار حقوق المؤلف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1"/>
      </w:r>
      <w:r>
        <w:rPr>
          <w:rStyle w:val="None"/>
          <w:rFonts w:ascii="Times New Roman" w:hAnsi="Times New Roman"/>
          <w:sz w:val="24"/>
          <w:szCs w:val="24"/>
          <w:vertAlign w:val="superscript"/>
          <w:rtl/>
          <w:lang w:val="ar-SA"/>
        </w:rPr>
        <w:t>)</w:t>
      </w:r>
    </w:p>
    <w:p w14:paraId="4F203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النظام القانوني في المملكة العربية السعودية أَوْلى اهتمامًا بالغًا بحماية حقوق المؤلف، فقد شملت نطاق الحماية القانونية في السعودية بجميع أنواع صور الملكية الفكرية، من حقوق المؤلف والحقوق المجاورة، والعلامات التجارية، وبراءات الاختراع، والتصاميم، كما اهتمت بحماية الملكية الفكرية الرقمية من خلال الأنظمة القانونية</w:t>
      </w:r>
      <w:r>
        <w:rPr>
          <w:rStyle w:val="None"/>
          <w:rFonts w:ascii="Times New Roman" w:hAnsi="Times New Roman"/>
          <w:sz w:val="24"/>
          <w:szCs w:val="24"/>
          <w:rtl/>
          <w:lang w:val="ar-SA"/>
        </w:rPr>
        <w:t>.</w:t>
      </w:r>
    </w:p>
    <w:p w14:paraId="223B0192"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حماية حقوق المؤلف</w:t>
      </w:r>
      <w:r>
        <w:rPr>
          <w:rStyle w:val="None"/>
          <w:rFonts w:ascii="Times New Roman" w:hAnsi="Times New Roman"/>
          <w:b/>
          <w:bCs/>
          <w:sz w:val="28"/>
          <w:szCs w:val="28"/>
          <w:rtl/>
          <w:lang w:val="ar-SA"/>
        </w:rPr>
        <w:t>:</w:t>
      </w:r>
    </w:p>
    <w:p w14:paraId="4CB80C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لقد وضع المنظم السعودي نظامًا قانونيًا خاصًا لحقوق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2/7/1424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30/8/2033</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 والذي حل محل النظام السابق الصادر بالمرسوم الملكي رقم م</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1410</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19/5/140</w:t>
      </w:r>
      <w:r>
        <w:rPr>
          <w:rStyle w:val="None"/>
          <w:rFonts w:ascii="Arial Unicode MS" w:hAnsi="Arial Unicode MS" w:cs="Times New Roman" w:hint="cs"/>
          <w:sz w:val="24"/>
          <w:szCs w:val="24"/>
          <w:rtl/>
          <w:lang w:val="ar-SA"/>
        </w:rPr>
        <w:t>هـ؛ لتحدد نطاق تلك الحقوق، وسبل حمايتها، كما يعترف النظام السعودي لمبدعي المصنفات الفكرية بنوعين من الحقوق الأدبية أو المعنوية والمالية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2"/>
      </w:r>
      <w:r>
        <w:rPr>
          <w:rStyle w:val="None"/>
          <w:rFonts w:ascii="Times New Roman" w:hAnsi="Times New Roman"/>
          <w:sz w:val="24"/>
          <w:szCs w:val="24"/>
          <w:vertAlign w:val="superscript"/>
          <w:rtl/>
          <w:lang w:val="ar-SA"/>
        </w:rPr>
        <w:t>)</w:t>
      </w:r>
    </w:p>
    <w:p w14:paraId="4BB878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يشمل النظام حماية المصنفات المبتكرة في مجالات العلوم، والأدب، والفنون، بغض النظر عن نوعها أو طريقة التعبير عنها أو أهميتها أو الغرض من تأليفها، ومن أمثلة هذه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3"/>
      </w:r>
      <w:r>
        <w:rPr>
          <w:rStyle w:val="None"/>
          <w:rFonts w:ascii="Times New Roman" w:hAnsi="Times New Roman"/>
          <w:sz w:val="24"/>
          <w:szCs w:val="24"/>
          <w:vertAlign w:val="superscript"/>
          <w:rtl/>
          <w:lang w:val="ar-SA"/>
        </w:rPr>
        <w:t>)</w:t>
      </w:r>
    </w:p>
    <w:p w14:paraId="7EF6E296"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الكتب والكتيبات والمواد المكتوبة الأخرى</w:t>
      </w:r>
      <w:r>
        <w:rPr>
          <w:rStyle w:val="None"/>
          <w:rFonts w:ascii="Times New Roman" w:hAnsi="Times New Roman"/>
          <w:sz w:val="24"/>
          <w:szCs w:val="24"/>
          <w:rtl/>
          <w:lang w:val="ar-SA"/>
        </w:rPr>
        <w:t>.</w:t>
      </w:r>
    </w:p>
    <w:p w14:paraId="605F9B5D"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المحاضرات، والخطب، والمواعظ، والأشعار</w:t>
      </w:r>
      <w:r>
        <w:rPr>
          <w:rStyle w:val="None"/>
          <w:rFonts w:ascii="Times New Roman" w:hAnsi="Times New Roman"/>
          <w:sz w:val="24"/>
          <w:szCs w:val="24"/>
          <w:rtl/>
          <w:lang w:val="ar-SA"/>
        </w:rPr>
        <w:t>.</w:t>
      </w:r>
    </w:p>
    <w:p w14:paraId="4ED816D3"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المسرحية والتمثيلية</w:t>
      </w:r>
      <w:r>
        <w:rPr>
          <w:rStyle w:val="None"/>
          <w:rFonts w:ascii="Times New Roman" w:hAnsi="Times New Roman"/>
          <w:sz w:val="24"/>
          <w:szCs w:val="24"/>
          <w:rtl/>
          <w:lang w:val="ar-SA"/>
        </w:rPr>
        <w:t>.</w:t>
      </w:r>
    </w:p>
    <w:p w14:paraId="52F086E6"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الموسيقية</w:t>
      </w:r>
      <w:r>
        <w:rPr>
          <w:rStyle w:val="None"/>
          <w:rFonts w:ascii="Times New Roman" w:hAnsi="Times New Roman"/>
          <w:sz w:val="24"/>
          <w:szCs w:val="24"/>
          <w:rtl/>
          <w:lang w:val="ar-SA"/>
        </w:rPr>
        <w:t>.</w:t>
      </w:r>
    </w:p>
    <w:p w14:paraId="7074151F"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السينمائية والاذاعية</w:t>
      </w:r>
      <w:r>
        <w:rPr>
          <w:rStyle w:val="None"/>
          <w:rFonts w:ascii="Times New Roman" w:hAnsi="Times New Roman"/>
          <w:sz w:val="24"/>
          <w:szCs w:val="24"/>
          <w:rtl/>
          <w:lang w:val="ar-SA"/>
        </w:rPr>
        <w:t>.</w:t>
      </w:r>
    </w:p>
    <w:p w14:paraId="305B31DC"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الرسوم والصور الفوتوغرافية</w:t>
      </w:r>
      <w:r>
        <w:rPr>
          <w:rStyle w:val="None"/>
          <w:rFonts w:ascii="Times New Roman" w:hAnsi="Times New Roman"/>
          <w:sz w:val="24"/>
          <w:szCs w:val="24"/>
          <w:rtl/>
          <w:lang w:val="ar-SA"/>
        </w:rPr>
        <w:t>.</w:t>
      </w:r>
    </w:p>
    <w:p w14:paraId="35949878" w14:textId="77777777" w:rsidR="00454428" w:rsidRDefault="00000000" w:rsidP="00C72BA8">
      <w:pPr>
        <w:pStyle w:val="ListParagraph"/>
        <w:numPr>
          <w:ilvl w:val="0"/>
          <w:numId w:val="125"/>
        </w:numPr>
        <w:spacing w:before="120" w:after="120" w:line="360" w:lineRule="auto"/>
        <w:jc w:val="both"/>
        <w:rPr>
          <w:rFonts w:cs="Times New Roman" w:hint="default"/>
          <w:sz w:val="24"/>
          <w:szCs w:val="24"/>
          <w:rtl/>
          <w:lang w:val="ar-SA"/>
        </w:rPr>
      </w:pPr>
      <w:r>
        <w:rPr>
          <w:rStyle w:val="None"/>
          <w:rFonts w:cs="Times New Roman"/>
          <w:sz w:val="24"/>
          <w:szCs w:val="24"/>
          <w:rtl/>
          <w:lang w:val="ar-SA"/>
        </w:rPr>
        <w:t>برمجيات الحاسب الآلي</w:t>
      </w:r>
      <w:r>
        <w:rPr>
          <w:rStyle w:val="None"/>
          <w:rFonts w:ascii="Times New Roman" w:hAnsi="Times New Roman"/>
          <w:sz w:val="24"/>
          <w:szCs w:val="24"/>
          <w:rtl/>
          <w:lang w:val="ar-SA"/>
        </w:rPr>
        <w:t>.</w:t>
      </w:r>
    </w:p>
    <w:p w14:paraId="20A9FB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حدد نظام حماية حقوق المؤلف لحماية المصنفات الفكرية لا بُدَّ من التحقق من الشروط والضوابط التي نص عليها النظام، فالنظام يحمي المصنفات المبتكرة في الآداب، والفنون، والعلوم أيًا كان نوع هذه المصنفات، أو الغرض من تأليفها، وأهميتها، كما يحمي النظام مصنفات الترجمة، أو التعديل، أو الشرح، بالإضافة إلى المصنفات الفلكلورية للتراث الشعبي، ولا تخل الحماية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يتمتع بها أصحاب هذه المصنفات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التي يتمتع بها مؤلفو المصنفات الأصلية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4"/>
      </w:r>
      <w:r>
        <w:rPr>
          <w:rStyle w:val="None"/>
          <w:rFonts w:ascii="Times New Roman" w:hAnsi="Times New Roman"/>
          <w:sz w:val="24"/>
          <w:szCs w:val="24"/>
          <w:vertAlign w:val="superscript"/>
          <w:rtl/>
          <w:lang w:val="ar-SA"/>
        </w:rPr>
        <w:t>)</w:t>
      </w:r>
    </w:p>
    <w:p w14:paraId="341D6C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 النظام على مدة حماية حقوق المؤلف؛ حيث تمتد الحماية للمصنفات الفردية إلى خمسين سنةً بعد وفاة المؤلف، وفي حالة المصنفات المشتركة من تاريخ وفاة آخر المؤلفين، أما المصنفات التي تصدر عن شخص اعتباري وتنشر باسم مجهول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مدة الحماية خمسين سنةً من تاريخ أول نشر، وتختلف مدة حماية للمصنفات السمعية والمرئية وبرمجيات الحاسب الآلي مدة خمسين سنةً، أمام المصنفات الفوتوغرافية وأعمال الفنون التطبيقية بعد خمس وعشرين سنةً من تاريخ النشر، كما تشمل الحماية حقوق مجاورة، مثل حقوق البث والإذاعة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5"/>
      </w:r>
      <w:r>
        <w:rPr>
          <w:rStyle w:val="None"/>
          <w:rFonts w:ascii="Times New Roman" w:hAnsi="Times New Roman"/>
          <w:sz w:val="24"/>
          <w:szCs w:val="24"/>
          <w:vertAlign w:val="superscript"/>
          <w:rtl/>
          <w:lang w:val="ar-SA"/>
        </w:rPr>
        <w:t>)</w:t>
      </w:r>
    </w:p>
    <w:p w14:paraId="67CB5C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أتاح المنظم السعودي إمكانية اتخاذ التدابير الوقائية؛ لمنع وقوع الاعتداء أو التخفيف منه في حال وقوعه، أو وقفه، لإجبار المعتدي على الامتناع عن القيام بأعمال العدوان على الحقوق الأدبية والمالية لأصحاب حقوق التأليف، فهذه الوسائل هي معاملة قانونية نص عليها النظام؛ لمواجهة الخطورة التي وقعت أو ستقع جرَّاء المخالفة التي ارتكبت، وتكون بمجموعة من الإجراءات التي يمكن اتخاذها جميعًا أو بعضها لوقف الضرر أو إزالته، وقد يطلق على هذه التدابير بالاحترازية، وتعتبر هذه التدابير الوسيلة الثانية للسياسة الجنائية في مكافحة الجرائم، التي تقع في حالة الاعتداء على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6"/>
      </w:r>
      <w:r>
        <w:rPr>
          <w:rStyle w:val="None"/>
          <w:rFonts w:ascii="Times New Roman" w:hAnsi="Times New Roman"/>
          <w:sz w:val="24"/>
          <w:szCs w:val="24"/>
          <w:vertAlign w:val="superscript"/>
          <w:rtl/>
          <w:lang w:val="ar-SA"/>
        </w:rPr>
        <w:t>)</w:t>
      </w:r>
    </w:p>
    <w:p w14:paraId="7FA3B5E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براءات الاختراع والتصميمات التخطيطية للدارات المتكاملة والأصناف النباتية والنماذج الصناعية</w:t>
      </w:r>
      <w:r>
        <w:rPr>
          <w:rStyle w:val="None"/>
          <w:rFonts w:ascii="Times New Roman" w:hAnsi="Times New Roman"/>
          <w:b/>
          <w:bCs/>
          <w:sz w:val="28"/>
          <w:szCs w:val="28"/>
          <w:rtl/>
          <w:lang w:val="ar-SA"/>
        </w:rPr>
        <w:t>:</w:t>
      </w:r>
    </w:p>
    <w:p w14:paraId="46862F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صدر نظام براءات الاختراع والتصميمات التخطيطية للدارات المتكاملة والأصناف النباتية والنماذج الصناعية المرسوم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24D4EC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تولى نظام براءات الاختراع والتصميمات التخطيطية للدارات المتكاملة والأصناف النباتية والنماذج الصناعية السعودي تعريف كلًا من التصميم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الترتيب الثلاثي الأبعاد لعناصر دارة متكاملة على أنْ يكون أحد تلك العناصر على الأقل نشطًا ولجميع الوصلات أو بعضها، أو الترتيب الثلاثي الأبعاد المعد لدارة متكاملة بغرض التصنيع</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الدارة المتكاملة فتعرَّف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منتج يكون الغرض منه أداء وظيفة إلكترونية تشكل فيه العناصر يكون أحدها على الأقل نشطًا وجميع الوصلات، أو بعضها شكلًا متكاملًا في قطعة من المادة أو عليها، سواء في شكله النهائي أو الوسيط</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7AA2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هذه التعريفات نجد أنَّ المنظم السعودي قد أوضح مفهوم التصميم التخطيطي للدارة المتكاملة من جهة تقنية، كما أشار إلى الوظيفة التي صممت الدارة المتكاملة من أجلها لتقرير موجبات الحماية ولم يوضحها بمعنى قانوني بحت باعتبار أنَّ التصميم التخطيطي للدارة المتكاملة أمرًا تقنيًا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8"/>
      </w:r>
      <w:r>
        <w:rPr>
          <w:rStyle w:val="None"/>
          <w:rFonts w:ascii="Times New Roman" w:hAnsi="Times New Roman"/>
          <w:sz w:val="24"/>
          <w:szCs w:val="24"/>
          <w:vertAlign w:val="superscript"/>
          <w:rtl/>
          <w:lang w:val="ar-SA"/>
        </w:rPr>
        <w:t>)</w:t>
      </w:r>
    </w:p>
    <w:p w14:paraId="56C6BE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وضح النظام السعودي الأحكام في شأن التصميمات التخطيطية للدارات المتكاملة إلى الإدارة العامة لبراءات الاختراع بمدينة الملك عبد العزيز للعلوم والتقنية، وكما بينت اللائحة التنفيذية أنَّ لهذه الإدارة استقبال طلبات الحماية، ومتابعة إجراءاتها، وإعداد وثائق الحماية، واقترح إصدار وتعديل النماذج اللازمة للقيام بأعمالها، وإصدار قرارات منح وثائق الحماية، ونشر معلومات بشأنها، واستخدام تقنية المعلومات، والدخول إلى قواعد المعلومات المحلية والعالمية عند التعامل مع طلبات الحماية ووثائق الحماية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9"/>
      </w:r>
      <w:r>
        <w:rPr>
          <w:rStyle w:val="None"/>
          <w:rFonts w:ascii="Times New Roman" w:hAnsi="Times New Roman"/>
          <w:sz w:val="24"/>
          <w:szCs w:val="24"/>
          <w:vertAlign w:val="superscript"/>
          <w:rtl/>
          <w:lang w:val="ar-SA"/>
        </w:rPr>
        <w:t>)</w:t>
      </w:r>
    </w:p>
    <w:p w14:paraId="217589F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نظام براءات الاختراع والتصميمات الصادر بالمرسوم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أهم الأنظمة القانونية التي تنظم حماية الحقوق الصناعية في المملكة، كما يهدف النظام إلى حماية الابتكارات التقنية والاختراعات، ويشمل النظام حماية براءات الاختراع، والتصميمات التخطيطية للدارات المتكاملة، والأصناف النباتية، والنماذج الصناعية، كما تشرف الهيئة السعودية للملكية الفكرية هذه الحقوق</w:t>
      </w:r>
      <w:r>
        <w:rPr>
          <w:rStyle w:val="None"/>
          <w:rFonts w:ascii="Times New Roman" w:hAnsi="Times New Roman"/>
          <w:sz w:val="24"/>
          <w:szCs w:val="24"/>
          <w:rtl/>
          <w:lang w:val="ar-SA"/>
        </w:rPr>
        <w:t>.</w:t>
      </w:r>
    </w:p>
    <w:p w14:paraId="353A4D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حدد المشرع في النظام على شروطًا لمنح براءة التصميم التخطيط في المادة الرابعة، وهي</w:t>
      </w:r>
      <w:r>
        <w:rPr>
          <w:rStyle w:val="None"/>
          <w:rFonts w:ascii="Times New Roman" w:hAnsi="Times New Roman"/>
          <w:sz w:val="24"/>
          <w:szCs w:val="24"/>
          <w:rtl/>
          <w:lang w:val="ar-SA"/>
        </w:rPr>
        <w:t>:</w:t>
      </w:r>
    </w:p>
    <w:p w14:paraId="18B45FE3" w14:textId="77777777" w:rsidR="00454428" w:rsidRDefault="00000000" w:rsidP="00C72BA8">
      <w:pPr>
        <w:pStyle w:val="ListParagraph"/>
        <w:numPr>
          <w:ilvl w:val="0"/>
          <w:numId w:val="127"/>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مخالفًا للشريعة الإسلامية</w:t>
      </w:r>
      <w:r>
        <w:rPr>
          <w:rStyle w:val="None"/>
          <w:rFonts w:ascii="Times New Roman" w:hAnsi="Times New Roman"/>
          <w:sz w:val="24"/>
          <w:szCs w:val="24"/>
        </w:rPr>
        <w:t>.</w:t>
      </w:r>
    </w:p>
    <w:p w14:paraId="5ACF43EE" w14:textId="77777777" w:rsidR="00454428" w:rsidRDefault="00000000" w:rsidP="00C72BA8">
      <w:pPr>
        <w:pStyle w:val="ListParagraph"/>
        <w:numPr>
          <w:ilvl w:val="0"/>
          <w:numId w:val="12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لا تمنح وثيقة الحماية إذا كان استغلالها تجاريًّا مضرًّا بالحياة، أو بالصحة البشرية، أو الحيوانية، أو النباتية، أو مضرًّا إضرارًا كبيرًا بالبيئة</w:t>
      </w:r>
      <w:r>
        <w:rPr>
          <w:rStyle w:val="None"/>
          <w:rFonts w:ascii="Times New Roman" w:hAnsi="Times New Roman"/>
          <w:sz w:val="24"/>
          <w:szCs w:val="24"/>
          <w:rtl/>
          <w:lang w:val="ar-SA"/>
        </w:rPr>
        <w:t>.</w:t>
      </w:r>
    </w:p>
    <w:p w14:paraId="5C6DF1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توضح هذه المادة شروط منح براءة التصميم، فإنَّها تضع قيودًا قانونيةً على منح وثيقة الحماية، إذا كان استغلال التصميم مخالفًا للشريعة الإسلامية، فهذا يعكس التزام النظام السعودي الالتزام بالشريعة، كما لا تمنح وثيقة الحماية إذا كان الاستغلال يضر بالصحة البشرية، أو الحيوانية، أو النباتية</w:t>
      </w:r>
      <w:r>
        <w:rPr>
          <w:rStyle w:val="None"/>
          <w:rFonts w:ascii="Times New Roman" w:hAnsi="Times New Roman"/>
          <w:sz w:val="24"/>
          <w:szCs w:val="24"/>
          <w:rtl/>
          <w:lang w:val="ar-SA"/>
        </w:rPr>
        <w:t>.</w:t>
      </w:r>
    </w:p>
    <w:p w14:paraId="00DE63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النظام على شروط منح براءة التصميم كالتالي</w:t>
      </w:r>
      <w:r>
        <w:rPr>
          <w:rStyle w:val="None"/>
          <w:rFonts w:ascii="Times New Roman" w:hAnsi="Times New Roman"/>
          <w:sz w:val="24"/>
          <w:szCs w:val="24"/>
          <w:rtl/>
          <w:lang w:val="ar-SA"/>
        </w:rPr>
        <w:t>:</w:t>
      </w:r>
    </w:p>
    <w:p w14:paraId="6EAE42A3" w14:textId="77777777" w:rsidR="00454428" w:rsidRDefault="00000000" w:rsidP="00C72BA8">
      <w:pPr>
        <w:pStyle w:val="ListParagraph"/>
        <w:numPr>
          <w:ilvl w:val="0"/>
          <w:numId w:val="129"/>
        </w:numPr>
        <w:spacing w:before="120" w:after="120" w:line="360" w:lineRule="auto"/>
        <w:jc w:val="both"/>
        <w:rPr>
          <w:rFonts w:cs="Times New Roman" w:hint="default"/>
          <w:sz w:val="24"/>
          <w:szCs w:val="24"/>
          <w:rtl/>
          <w:lang w:val="ar-SA"/>
        </w:rPr>
      </w:pPr>
      <w:r>
        <w:rPr>
          <w:rStyle w:val="None"/>
          <w:rFonts w:cs="Times New Roman"/>
          <w:sz w:val="24"/>
          <w:szCs w:val="24"/>
          <w:rtl/>
          <w:lang w:val="ar-SA"/>
        </w:rPr>
        <w:t>مدة حماية براءة الاختراع عشرون سنةً من تاريخ إيداع الطلب</w:t>
      </w:r>
      <w:r>
        <w:rPr>
          <w:rStyle w:val="None"/>
          <w:rFonts w:ascii="Times New Roman" w:hAnsi="Times New Roman"/>
          <w:sz w:val="24"/>
          <w:szCs w:val="24"/>
        </w:rPr>
        <w:t>.</w:t>
      </w:r>
    </w:p>
    <w:p w14:paraId="2E3F58BC" w14:textId="77777777" w:rsidR="00454428" w:rsidRDefault="00000000" w:rsidP="00C72BA8">
      <w:pPr>
        <w:pStyle w:val="ListParagraph"/>
        <w:numPr>
          <w:ilvl w:val="0"/>
          <w:numId w:val="129"/>
        </w:numPr>
        <w:spacing w:before="120" w:after="120" w:line="360" w:lineRule="auto"/>
        <w:jc w:val="both"/>
        <w:rPr>
          <w:rFonts w:cs="Times New Roman" w:hint="default"/>
          <w:sz w:val="24"/>
          <w:szCs w:val="24"/>
          <w:rtl/>
          <w:lang w:val="ar-SA"/>
        </w:rPr>
      </w:pPr>
      <w:r>
        <w:rPr>
          <w:rStyle w:val="None"/>
          <w:rFonts w:cs="Times New Roman"/>
          <w:sz w:val="24"/>
          <w:szCs w:val="24"/>
          <w:rtl/>
          <w:lang w:val="ar-SA"/>
        </w:rPr>
        <w:t>مدة حماية شهادة التصميم عشر سنوات من تاريخ إيداع الطلب، أو عشر سنوات من تاريخ بدء استغلاله تجاريًّا في أي مكان في العالم، وفي كل الأحوال لا يجوز أنْ تتعدى مدة الحماية خمس عشرة سنةً من تاريخ التوصل إلى التصميم</w:t>
      </w:r>
      <w:r>
        <w:rPr>
          <w:rStyle w:val="None"/>
          <w:rFonts w:ascii="Times New Roman" w:hAnsi="Times New Roman"/>
          <w:sz w:val="24"/>
          <w:szCs w:val="24"/>
        </w:rPr>
        <w:t>.</w:t>
      </w:r>
    </w:p>
    <w:p w14:paraId="4F3BEA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النظام قد وضع مدة الحماية القانونية للتصاميم، فهذا يعكس حرص المشرع السعودي على الابتكار؛ لذا قررت مدة حماية براءة الاختراع هي عشرون عامًا من تاريخ إيداع الطلب، أما شهادة التصميم التخطيطي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حمايتها مدة عشر سنوات من تاريخ إيداع الطلب، أو من بدء تاريخ استغلالها في أي مكان في العالم ولا تتجاوز مدته خمسة عشر عامًا</w:t>
      </w:r>
      <w:r>
        <w:rPr>
          <w:rStyle w:val="None"/>
          <w:rFonts w:ascii="Times New Roman" w:hAnsi="Times New Roman"/>
          <w:sz w:val="24"/>
          <w:szCs w:val="24"/>
          <w:rtl/>
          <w:lang w:val="ar-SA"/>
        </w:rPr>
        <w:t>.</w:t>
      </w:r>
    </w:p>
    <w:p w14:paraId="489A788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الأسماء التجارية</w:t>
      </w:r>
      <w:r>
        <w:rPr>
          <w:rStyle w:val="None"/>
          <w:rFonts w:ascii="Times New Roman" w:hAnsi="Times New Roman"/>
          <w:b/>
          <w:bCs/>
          <w:sz w:val="28"/>
          <w:szCs w:val="28"/>
          <w:rtl/>
          <w:lang w:val="ar-SA"/>
        </w:rPr>
        <w:t>:</w:t>
      </w:r>
    </w:p>
    <w:p w14:paraId="690EBA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للأسماء التجارية أهمية قانونية واقتصادية من ناحية الآثار المترتبة على الدولة، وعلى الرغم من الدور الفعَّال الذي يلعبه الاسم التجاري إلا أنَّه يختلط عند البعض مفهوم الاسم التجاري والرموز الأخرى المشابه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كالعلامة التجارية، والعنوان التجاري، والاسم التجاري الوطني، وأسماء المواقع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لذلك فقد صدر نظام الأسماء التجارية بالمرسوم الملكي رقم م</w:t>
      </w:r>
      <w:r>
        <w:rPr>
          <w:rStyle w:val="None"/>
          <w:rFonts w:ascii="Times New Roman" w:hAnsi="Times New Roman"/>
          <w:sz w:val="24"/>
          <w:szCs w:val="24"/>
          <w:rtl/>
          <w:lang w:val="ar-SA"/>
        </w:rPr>
        <w:t xml:space="preserve">/83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19/3/1446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50AD4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بُدَّ من توفير الحماية لحقوق الملكية الفكرية أصبح مقياسًا لتقدم الدول ونموها الاقتصادي، خاصةً حقوق الملكية الصناعية، ومنها الأسماء التجارية، والتي لها دور لا يقل أهمية عن العلامات التجارية في تمييز وتفضيل المنتجات أو المنشآت التجارية، وتُعَدُّ هذه الأسماء أحد وسائل المنافسة الفعَّالة؛ ممَّا أدى إلى تزايد الاعتداء عليها بما يؤثر على مصلحة المستهلك، فضلًا عما يلحق بصاحب الاسم من أضرار مادية ومعنوية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1"/>
      </w:r>
      <w:r>
        <w:rPr>
          <w:rStyle w:val="None"/>
          <w:rFonts w:ascii="Times New Roman" w:hAnsi="Times New Roman"/>
          <w:sz w:val="24"/>
          <w:szCs w:val="24"/>
          <w:vertAlign w:val="superscript"/>
          <w:rtl/>
          <w:lang w:val="ar-SA"/>
        </w:rPr>
        <w:t>)</w:t>
      </w:r>
    </w:p>
    <w:p w14:paraId="3B90C4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ويعرَّف الاسم التجاري في المادة الأولى وهو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الاسم الذي يستعمله التاجر في مزاولة أعماله التجارية لتمييزه عن غيره من التجار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كما يهدف النظام إلى تعزيز الثقة في البيئة التجارية من خلال تنظيم إجراءات حجز الأسماء التجارية وقديها في السجل التجاري، وتعزيز قيمتها، وضمان حمايتها والحقوق المتصلة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2"/>
      </w:r>
      <w:r>
        <w:rPr>
          <w:rStyle w:val="None"/>
          <w:rFonts w:ascii="Times New Roman" w:hAnsi="Times New Roman"/>
          <w:sz w:val="24"/>
          <w:szCs w:val="24"/>
          <w:vertAlign w:val="superscript"/>
          <w:rtl/>
          <w:lang w:val="ar-SA"/>
        </w:rPr>
        <w:t>)</w:t>
      </w:r>
    </w:p>
    <w:p w14:paraId="3BDCF02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وضحت المادة الرابعة على شروط وإجراءات حجز وقيد الاسم التجاري من خلال تقديم طلب، ويتعين على الجهة البت في الطب خلال عشرة أيامٍ من تاريخ تقديمه، وفي حالة تعدد الطلبات لذات الاسم التجاري، تمنح الأولوية للطلب الأسبق، وإذا رفض الطلب يجب أنْ يكون الرفض مسببًا ويتم إبلاغ صاحب الطلب، بالإضافة إلى أنَّ له الحق في التظلم من سبب رفض الطلب أمام الوزارة خلال ستين يومًا من تاريخ إبلاغه برفض الطلب</w:t>
      </w:r>
      <w:r>
        <w:rPr>
          <w:rStyle w:val="None"/>
          <w:rFonts w:ascii="Times New Roman" w:hAnsi="Times New Roman"/>
          <w:sz w:val="24"/>
          <w:szCs w:val="24"/>
          <w:rtl/>
          <w:lang w:val="ar-SA"/>
        </w:rPr>
        <w:t>.</w:t>
      </w:r>
    </w:p>
    <w:p w14:paraId="25F700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يحظر النظام السعودي استعمال الاسم التجاري المقيد في السجل التجاري من قبل الغير، ويحق لصاحب الاسم المطالبة بالتعويض في حالة استخدام اسمه التجاري من قبل الغير، كما يمنع حجز أو قيد الأسماء التجارية المخالفة للنظام العام أو الآداب العامة، كما تشمل المحظورات أيضًا الأسماء التي تتعلق بالسياسة، أو بالدين، أو العسكرية، بالإضافة إلى أنْ تلتزم الوزارة بإصدار قائمةٍ محدثةٍ بالأسماء الممنوع حجزها أو قيدها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3"/>
      </w:r>
      <w:r>
        <w:rPr>
          <w:rStyle w:val="None"/>
          <w:rFonts w:ascii="Times New Roman" w:hAnsi="Times New Roman"/>
          <w:sz w:val="24"/>
          <w:szCs w:val="24"/>
          <w:vertAlign w:val="superscript"/>
          <w:rtl/>
          <w:lang w:val="ar-SA"/>
        </w:rPr>
        <w:t>)</w:t>
      </w:r>
    </w:p>
    <w:p w14:paraId="0FE4E979"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مكافحة جرائم المعلوماتية</w:t>
      </w:r>
      <w:r>
        <w:rPr>
          <w:rStyle w:val="None"/>
          <w:rFonts w:ascii="Times New Roman" w:hAnsi="Times New Roman"/>
          <w:b/>
          <w:bCs/>
          <w:sz w:val="28"/>
          <w:szCs w:val="28"/>
          <w:rtl/>
          <w:lang w:val="ar-SA"/>
        </w:rPr>
        <w:t>:</w:t>
      </w:r>
    </w:p>
    <w:p w14:paraId="5BDD76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يشهد العصر الرقمي في العالم المعاصر تطوُّراتٍ متلاحقةً وقد عمدت معظم دول العالم لرسم خطط وبرامج للتحول الرقمي، وقد شغلت التطوُّرات المتسارعة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قطاع تقنية المعلومات والاتصالات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حيزًا لا يستهان به في ذهن الأفراد وأداء المنظمات الحيوية، ونادت معظم الآراء في مجال التقنية الرقمية بضرورة تلبية مجموعة من المقومات؛ لتحسين جودة العمل وتعزيز التنافسية وتحقيق التنمية المستدامة، وأخذت هذه الجرائم المعلوماتية في التوسع والانتشار، وأدى ذلك إلى تزايد خطرها مع انتشارها بشكل كبير؛ حيث أصبحت المملكة العربية أمام تحدي تمثل في ظهور الجرائم المعلوماتية التي تستهدف الجميع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4"/>
      </w:r>
      <w:r>
        <w:rPr>
          <w:rStyle w:val="None"/>
          <w:rFonts w:ascii="Times New Roman" w:hAnsi="Times New Roman"/>
          <w:sz w:val="24"/>
          <w:szCs w:val="24"/>
          <w:vertAlign w:val="superscript"/>
          <w:rtl/>
          <w:lang w:val="ar-SA"/>
        </w:rPr>
        <w:t>)</w:t>
      </w:r>
    </w:p>
    <w:p w14:paraId="5A052D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العديد من الدول على تطوير نظام المكافحة التشريعية لديها بإدخال نصوص تشريعية عقابية وإجرائية تتوافق مع ظاهرة الإجرام المعلوماتي والتقني، ولم تكتفِ بذلك فحسب، بل قامت بسَنِّ تشريعات خاصة مستقلة تتعلق بهذا الشأن خاصة على الجانب السعودي والعربي، ففي المملكة العربية السعودية صدر المرسوم الملكي رقم م</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8/3/1428</w:t>
      </w:r>
      <w:r>
        <w:rPr>
          <w:rStyle w:val="None"/>
          <w:rFonts w:ascii="Arial Unicode MS" w:hAnsi="Arial Unicode MS" w:cs="Times New Roman" w:hint="cs"/>
          <w:sz w:val="24"/>
          <w:szCs w:val="24"/>
          <w:rtl/>
          <w:lang w:val="ar-SA"/>
        </w:rPr>
        <w:t>هـ بشأن نظام مكافحة جرائم المعلوماتية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5"/>
      </w:r>
      <w:r>
        <w:rPr>
          <w:rStyle w:val="None"/>
          <w:rFonts w:ascii="Times New Roman" w:hAnsi="Times New Roman"/>
          <w:sz w:val="24"/>
          <w:szCs w:val="24"/>
          <w:vertAlign w:val="superscript"/>
          <w:rtl/>
          <w:lang w:val="ar-SA"/>
        </w:rPr>
        <w:t>)</w:t>
      </w:r>
    </w:p>
    <w:p w14:paraId="13B439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نظام مكافحة الجرائم المعلوماتية السعودي يجرم عددًا من الأفعال التي ترتكب عن طريق استخدام غير مشروع من خلال التقنية الرقمية، ومن بين هذا الأفعال التصنُّت، أو اعتراض البيانات المرسلة عبر الشبكات، والدخول </w:t>
      </w:r>
      <w:r>
        <w:rPr>
          <w:rStyle w:val="None"/>
          <w:rFonts w:ascii="Arial Unicode MS" w:hAnsi="Arial Unicode MS" w:cs="Times New Roman" w:hint="cs"/>
          <w:sz w:val="24"/>
          <w:szCs w:val="24"/>
          <w:rtl/>
          <w:lang w:val="ar-SA"/>
        </w:rPr>
        <w:lastRenderedPageBreak/>
        <w:t>غير المشروع إلى المواقع الإلكترونية، أو الأجهزة؛ بهدف التعديل، أو الاتلاف، أو التهديد، أو الابتزاز، أو الحصول على معلومات حساسة تخص أمن الدولة واقتصادها</w:t>
      </w:r>
      <w:r>
        <w:rPr>
          <w:rStyle w:val="None"/>
          <w:rFonts w:ascii="Times New Roman" w:hAnsi="Times New Roman"/>
          <w:sz w:val="24"/>
          <w:szCs w:val="24"/>
          <w:rtl/>
          <w:lang w:val="ar-SA"/>
        </w:rPr>
        <w:t>.</w:t>
      </w:r>
    </w:p>
    <w:p w14:paraId="040DDB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يهدف النظام إلى حماية المجتمع من خلال تجريم التحريض، أو المساعدة، أو الاتفاق على ارتكاب الجرائم المعلوماتية، وشدد النظام العقوبات عند اقتران الجريمة بظروف مشددة،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ارتكابها عن طريق عصابات منظمة، أو استغلال الوظيفة العامة، أو استغلال القصر في أفعال غير مشروعة</w:t>
      </w:r>
      <w:r>
        <w:rPr>
          <w:rStyle w:val="None"/>
          <w:rFonts w:ascii="Times New Roman" w:hAnsi="Times New Roman"/>
          <w:sz w:val="24"/>
          <w:szCs w:val="24"/>
          <w:rtl/>
          <w:lang w:val="ar-SA"/>
        </w:rPr>
        <w:t>.</w:t>
      </w:r>
    </w:p>
    <w:p w14:paraId="22B649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وكان الهدف من هذا النظام الحد من ارتكاب الجرائم المتعلقة بالتقنية الرقيمة، كما جاء في المادة الثانية من هذا النظام على</w:t>
      </w:r>
      <w:r>
        <w:rPr>
          <w:rStyle w:val="None"/>
          <w:rFonts w:ascii="Times New Roman" w:hAnsi="Times New Roman"/>
          <w:sz w:val="24"/>
          <w:szCs w:val="24"/>
          <w:rtl/>
          <w:lang w:val="ar-SA"/>
        </w:rPr>
        <w:t xml:space="preserve">: </w:t>
      </w:r>
    </w:p>
    <w:p w14:paraId="46306649" w14:textId="77777777" w:rsidR="00454428" w:rsidRDefault="00000000" w:rsidP="00C72BA8">
      <w:pPr>
        <w:pStyle w:val="ListParagraph"/>
        <w:numPr>
          <w:ilvl w:val="0"/>
          <w:numId w:val="131"/>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المساعدة على تحقيق الأمن المعلوماتي</w:t>
      </w:r>
      <w:r>
        <w:rPr>
          <w:rStyle w:val="None"/>
          <w:rFonts w:ascii="Times New Roman" w:hAnsi="Times New Roman"/>
          <w:sz w:val="24"/>
          <w:szCs w:val="24"/>
          <w:rtl/>
          <w:lang w:val="ar-SA"/>
        </w:rPr>
        <w:t>.</w:t>
      </w:r>
    </w:p>
    <w:p w14:paraId="49D0E3F9" w14:textId="77777777" w:rsidR="00454428" w:rsidRDefault="00000000" w:rsidP="00C72BA8">
      <w:pPr>
        <w:pStyle w:val="ListParagraph"/>
        <w:numPr>
          <w:ilvl w:val="0"/>
          <w:numId w:val="131"/>
        </w:numPr>
        <w:spacing w:before="120" w:after="120" w:line="360" w:lineRule="auto"/>
        <w:jc w:val="both"/>
        <w:rPr>
          <w:rFonts w:cs="Times New Roman" w:hint="default"/>
          <w:sz w:val="24"/>
          <w:szCs w:val="24"/>
          <w:rtl/>
          <w:lang w:val="ar-SA"/>
        </w:rPr>
      </w:pPr>
      <w:r>
        <w:rPr>
          <w:rStyle w:val="None"/>
          <w:rFonts w:cs="Times New Roman"/>
          <w:sz w:val="24"/>
          <w:szCs w:val="24"/>
          <w:rtl/>
          <w:lang w:val="ar-SA"/>
        </w:rPr>
        <w:t>حفظ الحقوق المترتبة على الاستخدام المشروع للحاسبات الآلية والشبكات المعلوماتية</w:t>
      </w:r>
      <w:r>
        <w:rPr>
          <w:rStyle w:val="None"/>
          <w:rFonts w:ascii="Times New Roman" w:hAnsi="Times New Roman"/>
          <w:sz w:val="24"/>
          <w:szCs w:val="24"/>
          <w:rtl/>
          <w:lang w:val="ar-SA"/>
        </w:rPr>
        <w:t xml:space="preserve">. </w:t>
      </w:r>
    </w:p>
    <w:p w14:paraId="6DC69F0C" w14:textId="77777777" w:rsidR="00454428" w:rsidRDefault="00000000" w:rsidP="00C72BA8">
      <w:pPr>
        <w:pStyle w:val="ListParagraph"/>
        <w:numPr>
          <w:ilvl w:val="0"/>
          <w:numId w:val="131"/>
        </w:numPr>
        <w:spacing w:before="120" w:after="120" w:line="360" w:lineRule="auto"/>
        <w:jc w:val="both"/>
        <w:rPr>
          <w:rFonts w:cs="Times New Roman" w:hint="default"/>
          <w:sz w:val="24"/>
          <w:szCs w:val="24"/>
          <w:rtl/>
          <w:lang w:val="ar-SA"/>
        </w:rPr>
      </w:pPr>
      <w:r>
        <w:rPr>
          <w:rStyle w:val="None"/>
          <w:rFonts w:cs="Times New Roman"/>
          <w:sz w:val="24"/>
          <w:szCs w:val="24"/>
          <w:rtl/>
          <w:lang w:val="ar-SA"/>
        </w:rPr>
        <w:t>حماية المصلحة العامة والأخلاق والآداب العامة</w:t>
      </w:r>
      <w:r>
        <w:rPr>
          <w:rStyle w:val="None"/>
          <w:rFonts w:ascii="Times New Roman" w:hAnsi="Times New Roman"/>
          <w:sz w:val="24"/>
          <w:szCs w:val="24"/>
          <w:rtl/>
          <w:lang w:val="ar-SA"/>
        </w:rPr>
        <w:t>.</w:t>
      </w:r>
    </w:p>
    <w:p w14:paraId="77D07628" w14:textId="77777777" w:rsidR="00454428" w:rsidRDefault="00000000" w:rsidP="00C72BA8">
      <w:pPr>
        <w:pStyle w:val="ListParagraph"/>
        <w:numPr>
          <w:ilvl w:val="0"/>
          <w:numId w:val="131"/>
        </w:numPr>
        <w:spacing w:before="120" w:after="120" w:line="360" w:lineRule="auto"/>
        <w:jc w:val="both"/>
        <w:rPr>
          <w:rFonts w:cs="Times New Roman" w:hint="default"/>
          <w:sz w:val="24"/>
          <w:szCs w:val="24"/>
          <w:rtl/>
          <w:lang w:val="ar-SA"/>
        </w:rPr>
      </w:pPr>
      <w:r>
        <w:rPr>
          <w:rStyle w:val="None"/>
          <w:rFonts w:cs="Times New Roman"/>
          <w:sz w:val="24"/>
          <w:szCs w:val="24"/>
          <w:rtl/>
          <w:lang w:val="ar-SA"/>
        </w:rPr>
        <w:t>حماية الاقتصاد الوطني</w:t>
      </w:r>
      <w:r>
        <w:rPr>
          <w:rStyle w:val="None"/>
          <w:rFonts w:ascii="Times New Roman" w:hAnsi="Times New Roman"/>
          <w:sz w:val="24"/>
          <w:szCs w:val="24"/>
          <w:rtl/>
          <w:lang w:val="ar-SA"/>
        </w:rPr>
        <w:t>.</w:t>
      </w:r>
    </w:p>
    <w:p w14:paraId="1351E4D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العلامات التجارية</w:t>
      </w:r>
      <w:r>
        <w:rPr>
          <w:rStyle w:val="None"/>
          <w:rFonts w:ascii="Times New Roman" w:hAnsi="Times New Roman"/>
          <w:b/>
          <w:bCs/>
          <w:sz w:val="28"/>
          <w:szCs w:val="28"/>
          <w:rtl/>
          <w:lang w:val="ar-SA"/>
        </w:rPr>
        <w:t>:</w:t>
      </w:r>
    </w:p>
    <w:p w14:paraId="47C45C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الاتقان في الصنع للحفاظ على العملاء، واستمرار جودة المنتجات، وصمودها أمام المنافسين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6"/>
      </w:r>
      <w:r>
        <w:rPr>
          <w:rStyle w:val="None"/>
          <w:rFonts w:ascii="Times New Roman" w:hAnsi="Times New Roman"/>
          <w:sz w:val="24"/>
          <w:szCs w:val="24"/>
          <w:vertAlign w:val="superscript"/>
          <w:rtl/>
          <w:lang w:val="ar-SA"/>
        </w:rPr>
        <w:t>)</w:t>
      </w:r>
    </w:p>
    <w:p w14:paraId="530D34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المملكة العربية السعودية على صدور نظام يخص العلامات التجارية الصادر بالمرسوم الملكي رقم م</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وقد عرفت العلامة التجارية في المادة الأولى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علامةً تجاريةً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 xml:space="preserve">. </w:t>
      </w:r>
    </w:p>
    <w:p w14:paraId="3CA5AB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فأهمية العلامة التجارية في تمييز الصانع أو التاجر عن المنتجات المشابهة لها لصناع أو تجار آخرين؛ حيث أصبحت العلامة التجارية وسيلةً دعائيةً؛ لزيادة الطلب على سلعة معينة، فيعتبر تزايد استهلاك تلك السلعة دليلًا على زيادة شُهرة العلامة التجارية؛ ممَّا يرتب عليه اعتبار العلامة التجارية حقًا لصاحبها ذات قيمة مالية طائلة في بعض </w:t>
      </w:r>
      <w:r>
        <w:rPr>
          <w:rStyle w:val="None"/>
          <w:rFonts w:ascii="Arial Unicode MS" w:hAnsi="Arial Unicode MS" w:cs="Times New Roman" w:hint="cs"/>
          <w:sz w:val="24"/>
          <w:szCs w:val="24"/>
          <w:rtl/>
          <w:lang w:val="ar-SA"/>
        </w:rPr>
        <w:lastRenderedPageBreak/>
        <w:t>الأحيان، وغَنِيٌّ عن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هذا الحق يحتاج إلى حماية في مواجهة التقليد، والتزوير، وشتى صور الاعتداء التي تقع على العلامة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A054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حدد في إجراءات تسجيل العلامات التجارية وشهرها، وتجديد العلامات التجارية وشطبها، وكيفية نقل ملكية العلامات التجارية والحجز عليها، وشروط ترخيص العلامات التجارية، وشروط والرسوم للحصول على العلامات التجارية، بالإضافة إلى الجرائم والعقوبات التي تقع على العلامات التجارية من قبل الغير</w:t>
      </w:r>
      <w:r>
        <w:rPr>
          <w:rStyle w:val="None"/>
          <w:rFonts w:ascii="Times New Roman" w:hAnsi="Times New Roman"/>
          <w:sz w:val="24"/>
          <w:szCs w:val="24"/>
          <w:rtl/>
          <w:lang w:val="ar-SA"/>
        </w:rPr>
        <w:t>.</w:t>
      </w:r>
    </w:p>
    <w:p w14:paraId="33CC70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العلاقة بين العلامة التجارية والملكية الفكرية هي علاقة مرتبطة ببعضهم البعض؛ لأنَّ العلامة التجارية هي إبداع في تصميم علامة تجارية لمنتج معين فتعتبر ملكية فكرية خاصة بالمنتج، ولا يجوز تقليد هذه العلامة لأي منتج آخر، مع التطوُّر التكنولوجي أصبحت العلامة التجارية والملكية الفكرية متداولة في البيئة الرقمية، فمن الممكن تصميم علامة معينة لموقع خاص بشركة، كما يمكن تداول علامة تجارية لمنتج في البيئة الرقمية، من الممكن أنْ تتعرض هذه العلامة للانتهاكات عبر البيئة الرقمية وتقليد العلامة، وتداولها على الإنترنت، في الحالة يمكن المساءلة القانونية لمنتهك هذه العلامة التجارية؛ لأنَّها ناتجة من إبداع فكري وهو صاحب العلامة</w:t>
      </w:r>
      <w:r>
        <w:rPr>
          <w:rStyle w:val="None"/>
          <w:rFonts w:ascii="Times New Roman" w:hAnsi="Times New Roman"/>
          <w:sz w:val="24"/>
          <w:szCs w:val="24"/>
          <w:rtl/>
          <w:lang w:val="ar-SA"/>
        </w:rPr>
        <w:t>.</w:t>
      </w:r>
    </w:p>
    <w:p w14:paraId="44FDAA31"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27700A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A61D5B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سادسًا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الهيئة السعودية للملكية الفكرية</w:t>
      </w:r>
      <w:r>
        <w:rPr>
          <w:rStyle w:val="None"/>
          <w:rFonts w:ascii="Times New Roman" w:hAnsi="Times New Roman"/>
          <w:b/>
          <w:bCs/>
          <w:sz w:val="28"/>
          <w:szCs w:val="28"/>
          <w:rtl/>
          <w:lang w:val="ar-SA"/>
        </w:rPr>
        <w:t>:</w:t>
      </w:r>
    </w:p>
    <w:p w14:paraId="5651E59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اهتمت المملكة العربية السعودية مجال حقوق الملكية الفكرية فقد صدر قرار من مجلس الوزراء عام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هـ على إنشاء هذه الهيئة، والتي تقوم على مبادئ معينة تهدف إلى حماية المصنفات الفكرية، فهي هيئة تعزّز الإنتاج الوطني المحلي؛ بحيث تحفز الإنسان على الابتكار والإبداع، وتعطيه الدافع إلى أنْ يبتكر منتجًا معينًا من الممكن أنْ يكون متداولًا في الأسواق، ويكون موضعًا للاستثمار، أو أنْ يكون منتجًا علميًا يطرح في المكتبات العلمية، وعلى ذلك فإنَّ الهيئة السعودية للملكية الفكرية تعمل على حماية هذه الإبداعات الوطنية، وتعطيها حقها القانوني بالحماية؛ حتى يثق الكاتب والمخترع والمبتكر بأنَّ الأنظمة السعودية قادرة على حماية حصيلة هذا التعب والجهد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8"/>
      </w:r>
      <w:r>
        <w:rPr>
          <w:rStyle w:val="None"/>
          <w:rFonts w:ascii="Times New Roman" w:hAnsi="Times New Roman"/>
          <w:sz w:val="24"/>
          <w:szCs w:val="24"/>
          <w:vertAlign w:val="superscript"/>
          <w:rtl/>
          <w:lang w:val="ar-SA"/>
        </w:rPr>
        <w:t>)</w:t>
      </w:r>
    </w:p>
    <w:p w14:paraId="1EE2A1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تهدف الهيئة إلى تنظيم مجالات الملكية الفكرية في المملكة، ودعمها، وتنميتها، ورعايتها، وحمايتها، وإنفاذها، والارتقاء بها وفق أفضل الممارسات العالمية، ولها في سبيل تحقيق أهدافها مهمات واختصاصات من أبرزها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9"/>
      </w:r>
      <w:r>
        <w:rPr>
          <w:rStyle w:val="None"/>
          <w:rFonts w:ascii="Times New Roman" w:hAnsi="Times New Roman"/>
          <w:sz w:val="24"/>
          <w:szCs w:val="24"/>
          <w:vertAlign w:val="superscript"/>
          <w:rtl/>
          <w:lang w:val="ar-SA"/>
        </w:rPr>
        <w:t>)</w:t>
      </w:r>
    </w:p>
    <w:p w14:paraId="774A95CA"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إعداد الاستراتيجية الوطنية للملكية الفكرية</w:t>
      </w:r>
      <w:r>
        <w:rPr>
          <w:rStyle w:val="None"/>
          <w:rFonts w:ascii="Times New Roman" w:hAnsi="Times New Roman"/>
          <w:sz w:val="24"/>
          <w:szCs w:val="24"/>
          <w:rtl/>
          <w:lang w:val="ar-SA"/>
        </w:rPr>
        <w:t>.</w:t>
      </w:r>
    </w:p>
    <w:p w14:paraId="03616D8F"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التوعية بأهمية الملكية الفكرية وحماية حقوقها</w:t>
      </w:r>
      <w:r>
        <w:rPr>
          <w:rStyle w:val="None"/>
          <w:rFonts w:ascii="Times New Roman" w:hAnsi="Times New Roman"/>
          <w:sz w:val="24"/>
          <w:szCs w:val="24"/>
          <w:rtl/>
          <w:lang w:val="ar-SA"/>
        </w:rPr>
        <w:t>.</w:t>
      </w:r>
    </w:p>
    <w:p w14:paraId="4BB4AE23"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إبداء الرأي بشأن الاتفاقيات الدولية المتعلقة بحقوق الملكية الفكرية</w:t>
      </w:r>
      <w:r>
        <w:rPr>
          <w:rStyle w:val="None"/>
          <w:rFonts w:ascii="Times New Roman" w:hAnsi="Times New Roman"/>
          <w:sz w:val="24"/>
          <w:szCs w:val="24"/>
          <w:rtl/>
          <w:lang w:val="ar-SA"/>
        </w:rPr>
        <w:t>.</w:t>
      </w:r>
    </w:p>
    <w:p w14:paraId="6D894E7A"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اقتراح الأنظمة واللوائح المتعلقة بحقوق الملكية الفكرية</w:t>
      </w:r>
      <w:r>
        <w:rPr>
          <w:rStyle w:val="None"/>
          <w:rFonts w:ascii="Times New Roman" w:hAnsi="Times New Roman"/>
          <w:sz w:val="24"/>
          <w:szCs w:val="24"/>
          <w:rtl/>
          <w:lang w:val="ar-SA"/>
        </w:rPr>
        <w:t>.</w:t>
      </w:r>
    </w:p>
    <w:p w14:paraId="47948F63"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الاستفادة من الملكية الفكرية؛ لبناء اقتصاد متقدم قائم على المعرفة</w:t>
      </w:r>
      <w:r>
        <w:rPr>
          <w:rStyle w:val="None"/>
          <w:rFonts w:ascii="Times New Roman" w:hAnsi="Times New Roman"/>
          <w:sz w:val="24"/>
          <w:szCs w:val="24"/>
          <w:rtl/>
          <w:lang w:val="ar-SA"/>
        </w:rPr>
        <w:t>.</w:t>
      </w:r>
    </w:p>
    <w:p w14:paraId="294DA68D"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sz w:val="24"/>
          <w:szCs w:val="24"/>
          <w:rtl/>
          <w:lang w:val="ar-SA"/>
        </w:rPr>
        <w:t>.</w:t>
      </w:r>
    </w:p>
    <w:p w14:paraId="22FB440B"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تسجيل حقوق الملكية الفكرية ومنحها وثائق الحماية وإنفاذها</w:t>
      </w:r>
      <w:r>
        <w:rPr>
          <w:rStyle w:val="None"/>
          <w:rFonts w:ascii="Times New Roman" w:hAnsi="Times New Roman"/>
          <w:sz w:val="24"/>
          <w:szCs w:val="24"/>
          <w:rtl/>
          <w:lang w:val="ar-SA"/>
        </w:rPr>
        <w:t>.</w:t>
      </w:r>
    </w:p>
    <w:p w14:paraId="1C6E2527" w14:textId="77777777" w:rsidR="00454428" w:rsidRDefault="00000000" w:rsidP="00C72BA8">
      <w:pPr>
        <w:pStyle w:val="ListParagraph"/>
        <w:numPr>
          <w:ilvl w:val="0"/>
          <w:numId w:val="133"/>
        </w:numPr>
        <w:spacing w:before="120" w:after="120" w:line="360" w:lineRule="auto"/>
        <w:jc w:val="both"/>
        <w:rPr>
          <w:rFonts w:cs="Times New Roman" w:hint="default"/>
          <w:sz w:val="24"/>
          <w:szCs w:val="24"/>
          <w:rtl/>
          <w:lang w:val="ar-SA"/>
        </w:rPr>
      </w:pPr>
      <w:r>
        <w:rPr>
          <w:rStyle w:val="None"/>
          <w:rFonts w:cs="Times New Roman"/>
          <w:sz w:val="24"/>
          <w:szCs w:val="24"/>
          <w:rtl/>
          <w:lang w:val="ar-SA"/>
        </w:rPr>
        <w:t>متابعة تنفيذ الالتزامات المترتبة على انضمام المملكة إلى الاتفاقيات الدولية المتعلقة بالمملكة الفكرية</w:t>
      </w:r>
      <w:r>
        <w:rPr>
          <w:rStyle w:val="None"/>
          <w:rFonts w:ascii="Times New Roman" w:hAnsi="Times New Roman"/>
          <w:sz w:val="24"/>
          <w:szCs w:val="24"/>
          <w:rtl/>
          <w:lang w:val="ar-SA"/>
        </w:rPr>
        <w:t>.</w:t>
      </w:r>
    </w:p>
    <w:p w14:paraId="489403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جاء في المادة الرابعة من التنظيم بخصوص تشكيل الهيئة على النحو الآتي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رئيس يعين بأمر من رئيس مجلس الوزراء بِناءً على اقتراح من مجلس الشؤون الاقتصادية والتنمية، والرئيس التنفيذي عضوًا، وأعضاء من عدد لا يقل عن خمسة من ممثلي الجهات الحكومية والقطاع الخاص أو من أي منها، ويرشح رئيس مجلس الشؤون الاقتصادية والتنمية بِناءً على اقتراح من رئيس مجلس إدارة الهيئة الأعضاء الخمسة المشار إليهم، ويصدر بتعيينهم أمر من رئيس مجلس الوزراء وتكون عضويتهم في المجلس لمدة ثلاث سنوات قابلة للتجديد مرة واحدة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0"/>
      </w:r>
      <w:r>
        <w:rPr>
          <w:rStyle w:val="None"/>
          <w:rFonts w:ascii="Times New Roman" w:hAnsi="Times New Roman"/>
          <w:sz w:val="24"/>
          <w:szCs w:val="24"/>
          <w:vertAlign w:val="superscript"/>
          <w:rtl/>
          <w:lang w:val="ar-SA"/>
        </w:rPr>
        <w:t>)</w:t>
      </w:r>
    </w:p>
    <w:p w14:paraId="71612B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نص المادة الرابعة من تنظيم الهيئة يحدد آلية تشكيل مجلس إدارتها، فهو يشمل ممثلين من الجهات الحكومية والقطاع الخاص، بالإضافة إلى أنَّه يتم تعيين رئيس بأمر من رئيس مجلس الوزراء والرئيس التنفيذي كعضو، فهذا التنوع بين الجهات الحكومية والقطاع الخاص يهدف إلى تنوع في الخبرات والاستفادة من الخبرات العملية، كما يهدف إلى اتخاذ القرارات المشتركة بينهم؛ لخدمة المجتمع</w:t>
      </w:r>
      <w:r>
        <w:rPr>
          <w:rStyle w:val="None"/>
          <w:rFonts w:ascii="Times New Roman" w:hAnsi="Times New Roman"/>
          <w:sz w:val="24"/>
          <w:szCs w:val="24"/>
          <w:rtl/>
          <w:lang w:val="ar-SA"/>
        </w:rPr>
        <w:t>.</w:t>
      </w:r>
    </w:p>
    <w:p w14:paraId="37C80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نظام حماية الملكية الفكرية في المملكة العربية السعودية يتسم بإطار قانوني شامل ومتكامل، من خلال الأنظمة القانونية التي تم شرحها، ويهدف النظام إلى حماية حقوق المؤلفين، والمخترعين، والمبدعين في مختلف مجالات، وتوضح هذه الأنظمة مدى التزام المملكة بتعزيز بيئة الابتكار،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نظام حماية حقوق المؤلف، ونظام براءات الاختراع، ونظام العلامات التجارية، بالإضافة إلى الهيئة السعودية للملكية الفكرية التي تقوم بدور محوري في تنفيذ هذه الأنظمة؛ لكي تحافظ على حقوق أصحاب المصنفات وتحفيز الاستثمار</w:t>
      </w:r>
      <w:r>
        <w:rPr>
          <w:rStyle w:val="None"/>
          <w:rFonts w:ascii="Times New Roman" w:hAnsi="Times New Roman"/>
          <w:sz w:val="24"/>
          <w:szCs w:val="24"/>
          <w:rtl/>
          <w:lang w:val="ar-SA"/>
        </w:rPr>
        <w:t>.</w:t>
      </w:r>
    </w:p>
    <w:p w14:paraId="0FC2D617"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409BE076"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6FED9DF"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9F9130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137D76DC"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4F45A053" w14:textId="77777777" w:rsidR="00454428" w:rsidRDefault="00000000" w:rsidP="00C72BA8">
      <w:pPr>
        <w:pStyle w:val="a"/>
        <w:rPr>
          <w:lang w:val="ar-SA"/>
        </w:rPr>
      </w:pPr>
      <w:bookmarkStart w:id="122" w:name="_Toc74"/>
      <w:r>
        <w:rPr>
          <w:rStyle w:val="None"/>
          <w:rFonts w:ascii="Arial Unicode MS" w:eastAsia="Arial Unicode MS" w:hAnsi="Arial Unicode MS" w:hint="cs"/>
          <w:rtl/>
          <w:lang w:val="ar-SA"/>
        </w:rPr>
        <w:t>المطلب الثاني</w:t>
      </w:r>
      <w:bookmarkEnd w:id="122"/>
    </w:p>
    <w:p w14:paraId="3D247827" w14:textId="77777777" w:rsidR="00454428" w:rsidRDefault="00000000" w:rsidP="00C72BA8">
      <w:pPr>
        <w:pStyle w:val="a"/>
        <w:rPr>
          <w:rStyle w:val="None"/>
          <w:lang w:val="ar-SA"/>
        </w:rPr>
      </w:pPr>
      <w:bookmarkStart w:id="123" w:name="_Toc75"/>
      <w:r>
        <w:rPr>
          <w:rStyle w:val="None"/>
          <w:rFonts w:ascii="Arial Unicode MS" w:eastAsia="Arial Unicode MS" w:hAnsi="Arial Unicode MS" w:hint="cs"/>
          <w:rtl/>
          <w:lang w:val="ar-SA"/>
        </w:rPr>
        <w:t>نطاق حماية الملكية الفكرية في التشريعيْنِ الفَرنسي والأمريكي</w:t>
      </w:r>
      <w:bookmarkEnd w:id="123"/>
    </w:p>
    <w:p w14:paraId="3B224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تُوفر حقوق الملكية الفكرية حمايةً للمنظمات والأفراد لتطوير واستغلال الفرص التجارية المتعلقة بأصولهم غير الملموسة؛ حيث تمنح براءات الاختراع الحق في منع الآخرين من صنع الاختراع، أو استخدامه، أو عرضه للبيع في جميع أنحاء الولايات المتحدة أو استيراده إليها؛ ممَّا يُتيح لصاحب براءة الاختراع فرصةَ جني ثمار أكبر من الابتكار الأساسي، أما براءات التصميم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فتتمثل في التصميم الزخرفي لقطعة التصنيع؛ ممَّا يسمح للشركات بتمييز منتجاتها بشكل أكبر عن منتجات منافسيها وتحسين فرص نجاحها التجاري، كما تُحفّز حقوق الطبع والنشر إنتاج الأعمال الأدبية والفنية الأخرى، من خلال منح المؤلفين الحق الحصري في تسويق هذه الأعمال وتوزيعها، وتُعزّز العلامات التجارية قيمة الابتكارات، سواءً المحمية ببراءات اختراع أو غير المحمية ببراءات 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2A78A4"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 xml:space="preserve">وتتضمن حماية الملكية الفكرية في الولايات المتحدة تسجيل العلامة التجارية أو براءة الاختراع أو حقوق الطبع والنشر؛ للحصول على أقصى قدر من الحقوق المتاحة لأصول العميل، وفي حالة العلامة التجارية أو براءة الاختراع، تتضمن العملية إعداد وتقديم طلب إلى مكتب الولايات المتحدة لبراءات الاختراع والعلامات التجارية، والرد على الإجراءات التي يتخذها المكتب حتى يتم تسجيل العلامة التجارية أو إصدار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62F3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فقبل الطفرة التكنولوجية وظهور المواد الرقمية والبيئة الافتراضية اقتصرت النظرة إلى حقوق الملكية الفكرية على براءات الاختراعات، وحقوق التأليف للأعمال الأدبية، وحقوق الملكية الفكرية للأعمال الفنية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اللوحات وغيرها من الأعمال، وقد كانت تلك النظرة طبيعيةً في ظل طبيعة العصور السابقة، وهذا ما يظهره تطوُّر القوانين المنظمة لحقوق الملكية الفكرية</w:t>
      </w:r>
      <w:r>
        <w:rPr>
          <w:rStyle w:val="None"/>
          <w:rFonts w:ascii="Times New Roman" w:hAnsi="Times New Roman"/>
          <w:sz w:val="24"/>
          <w:szCs w:val="24"/>
          <w:rtl/>
          <w:lang w:val="ar-SA"/>
        </w:rPr>
        <w:t>.</w:t>
      </w:r>
    </w:p>
    <w:p w14:paraId="253309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أدرجت الولايات المتحدة الملكية الفكرية في دستورها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في المادة الأولى القسم الثامن، الذي خوّل الكونجرس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ويؤكد التركيز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الفنون المفيدة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على القصد التجاري للتشريع والأساس النفعي الكامن وراءه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0C02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إنَّه في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قرر المؤتمر الدستوري وضع قانون اتحادي موحد لحقوق التأليف، والنشر، وبراءات الاختراع، وكانت النتيجة هي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الدستور، التي منحت الكونغرس سلطةَ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تعزيز تقدم العلوم </w:t>
      </w:r>
      <w:r>
        <w:rPr>
          <w:rStyle w:val="None"/>
          <w:rFonts w:ascii="Arial Unicode MS" w:hAnsi="Arial Unicode MS" w:cs="Times New Roman" w:hint="cs"/>
          <w:sz w:val="24"/>
          <w:szCs w:val="24"/>
          <w:rtl/>
          <w:lang w:val="ar-SA"/>
        </w:rPr>
        <w:lastRenderedPageBreak/>
        <w:t>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وقد تحايل هذا البند بعناية على مشاكل حقوق التأليف والنشر الخاصة ببائعي القرطاسية بموجب قوانين الترخيص، وقوانين حقوق التأليف والنشر للولايات، من خلال تمكين الهيئة التشريعية الوطنية من منح حق الملكية للمؤلفين وليس الناشرين، ولفترة محددة بدلًا من أنْ تكون دائمة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4"/>
      </w:r>
      <w:r>
        <w:rPr>
          <w:rStyle w:val="None"/>
          <w:rFonts w:ascii="Times New Roman" w:hAnsi="Times New Roman"/>
          <w:sz w:val="24"/>
          <w:szCs w:val="24"/>
          <w:vertAlign w:val="superscript"/>
          <w:rtl/>
          <w:lang w:val="ar-SA"/>
        </w:rPr>
        <w:t>)</w:t>
      </w:r>
    </w:p>
    <w:p w14:paraId="11C79F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وقبل سنّ دستور الولايات المتحدة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كان لكل من المستعمرات الثلاث عشرة الأصلية قانونها الخاص ببراءات الاختراع، وقد أدى هذا بطبيعة الحال إلى تراجع حاد في قيمة حقوق الطبع، والنشر، وبراءات الاختراع، ولحل هذه المشكلة وتسهيل التجارة بين الولايات بشكل كبير، رأى واضعو الدستور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قانون الملكية الفكرية يجب أنْ يكون من اختصاص الحكومة الفيدرالية، وليس حكومات الولايات؛ لذلك منح واضعو الدستور الكونجرس صلاحية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34EBB6"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عرض تطوُّر حقوق الملكية الفكرية في الولايات المتحدة عبر النقاط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56"/>
      </w:r>
      <w:r>
        <w:rPr>
          <w:rStyle w:val="None"/>
          <w:rFonts w:ascii="Times New Roman" w:hAnsi="Times New Roman"/>
          <w:sz w:val="24"/>
          <w:szCs w:val="24"/>
          <w:vertAlign w:val="superscript"/>
          <w:rtl/>
          <w:lang w:val="ar-SA"/>
        </w:rPr>
        <w:t>)</w:t>
      </w:r>
    </w:p>
    <w:p w14:paraId="334364F5"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1787:</w:t>
      </w:r>
      <w:r>
        <w:rPr>
          <w:rStyle w:val="None"/>
          <w:rFonts w:cs="Times New Roman"/>
          <w:sz w:val="24"/>
          <w:szCs w:val="24"/>
          <w:rtl/>
          <w:lang w:val="ar-SA"/>
        </w:rPr>
        <w:t xml:space="preserve"> وضع دستور الولايات المتحدة الأساس لمنح حقوق براءات الاختراع للمخترعين في المادة الأولى، القسم </w:t>
      </w:r>
      <w:r>
        <w:rPr>
          <w:rStyle w:val="None"/>
          <w:rFonts w:ascii="Times New Roman" w:hAnsi="Times New Roman"/>
          <w:sz w:val="24"/>
          <w:szCs w:val="24"/>
          <w:rtl/>
          <w:lang w:val="ar-SA"/>
        </w:rPr>
        <w:t>8</w:t>
      </w:r>
      <w:r>
        <w:rPr>
          <w:rStyle w:val="None"/>
          <w:rFonts w:cs="Times New Roman"/>
          <w:sz w:val="24"/>
          <w:szCs w:val="24"/>
          <w:rtl/>
          <w:lang w:val="ar-SA"/>
        </w:rPr>
        <w:t xml:space="preserve">، البند </w:t>
      </w:r>
      <w:r>
        <w:rPr>
          <w:rStyle w:val="None"/>
          <w:rFonts w:ascii="Times New Roman" w:hAnsi="Times New Roman"/>
          <w:sz w:val="24"/>
          <w:szCs w:val="24"/>
          <w:rtl/>
          <w:lang w:val="ar-SA"/>
        </w:rPr>
        <w:t>8.</w:t>
      </w:r>
    </w:p>
    <w:p w14:paraId="3B84DB8D"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1790:</w:t>
      </w:r>
      <w:r>
        <w:rPr>
          <w:rStyle w:val="None"/>
          <w:rFonts w:cs="Times New Roman"/>
          <w:sz w:val="24"/>
          <w:szCs w:val="24"/>
          <w:rtl/>
          <w:lang w:val="ar-SA"/>
        </w:rPr>
        <w:t xml:space="preserve"> بعد عام من التصديق على الدستور، صدر أول قانون لبراءات الاختراع في أمريكا، في </w:t>
      </w:r>
      <w:r>
        <w:rPr>
          <w:rStyle w:val="None"/>
          <w:rFonts w:ascii="Times New Roman" w:hAnsi="Times New Roman"/>
          <w:sz w:val="24"/>
          <w:szCs w:val="24"/>
          <w:rtl/>
          <w:lang w:val="ar-SA"/>
        </w:rPr>
        <w:t xml:space="preserve">10 </w:t>
      </w:r>
      <w:r>
        <w:rPr>
          <w:rStyle w:val="None"/>
          <w:rFonts w:cs="Times New Roman"/>
          <w:sz w:val="24"/>
          <w:szCs w:val="24"/>
          <w:rtl/>
          <w:lang w:val="ar-SA"/>
        </w:rPr>
        <w:t xml:space="preserve">أبريل </w:t>
      </w:r>
      <w:r>
        <w:rPr>
          <w:rStyle w:val="None"/>
          <w:rFonts w:ascii="Times New Roman" w:hAnsi="Times New Roman"/>
          <w:sz w:val="24"/>
          <w:szCs w:val="24"/>
          <w:rtl/>
          <w:lang w:val="ar-SA"/>
        </w:rPr>
        <w:t>1790.</w:t>
      </w:r>
    </w:p>
    <w:p w14:paraId="72E7942D"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في </w:t>
      </w:r>
      <w:r>
        <w:rPr>
          <w:rStyle w:val="None"/>
          <w:rFonts w:ascii="Times New Roman" w:hAnsi="Times New Roman"/>
          <w:b/>
          <w:bCs/>
          <w:sz w:val="24"/>
          <w:szCs w:val="24"/>
          <w:rtl/>
          <w:lang w:val="ar-SA"/>
        </w:rPr>
        <w:t xml:space="preserve">31 </w:t>
      </w:r>
      <w:r>
        <w:rPr>
          <w:rStyle w:val="None"/>
          <w:rFonts w:cs="Times New Roman"/>
          <w:b/>
          <w:bCs/>
          <w:sz w:val="24"/>
          <w:szCs w:val="24"/>
          <w:rtl/>
          <w:lang w:val="ar-SA"/>
        </w:rPr>
        <w:t xml:space="preserve">يوليو </w:t>
      </w:r>
      <w:r>
        <w:rPr>
          <w:rStyle w:val="None"/>
          <w:rFonts w:ascii="Times New Roman" w:hAnsi="Times New Roman"/>
          <w:b/>
          <w:bCs/>
          <w:sz w:val="24"/>
          <w:szCs w:val="24"/>
          <w:rtl/>
          <w:lang w:val="ar-SA"/>
        </w:rPr>
        <w:t>1790:</w:t>
      </w:r>
      <w:r>
        <w:rPr>
          <w:rStyle w:val="None"/>
          <w:rFonts w:cs="Times New Roman"/>
          <w:sz w:val="24"/>
          <w:szCs w:val="24"/>
          <w:rtl/>
          <w:lang w:val="ar-SA"/>
        </w:rPr>
        <w:t xml:space="preserve"> مُنحت أول براءة اختراع أمريكية لصموئيل هوبكنز لتحسين </w:t>
      </w:r>
      <w:r>
        <w:rPr>
          <w:rStyle w:val="None"/>
          <w:rFonts w:ascii="Times New Roman" w:hAnsi="Times New Roman"/>
          <w:sz w:val="24"/>
          <w:szCs w:val="24"/>
          <w:rtl/>
          <w:lang w:val="ar-SA"/>
        </w:rPr>
        <w:t>"</w:t>
      </w:r>
      <w:r>
        <w:rPr>
          <w:rStyle w:val="None"/>
          <w:rFonts w:cs="Times New Roman"/>
          <w:sz w:val="24"/>
          <w:szCs w:val="24"/>
          <w:rtl/>
          <w:lang w:val="ar-SA"/>
        </w:rPr>
        <w:t>صناعة رماد البوتاس ورماد اللؤلؤ باستخدام جهاز وعملية جديدين</w:t>
      </w:r>
      <w:r>
        <w:rPr>
          <w:rStyle w:val="None"/>
          <w:rFonts w:ascii="Times New Roman" w:hAnsi="Times New Roman"/>
          <w:sz w:val="24"/>
          <w:szCs w:val="24"/>
          <w:rtl/>
          <w:lang w:val="ar-SA"/>
        </w:rPr>
        <w:t>".</w:t>
      </w:r>
    </w:p>
    <w:p w14:paraId="392C6807"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منح قانون حقوق الطبع والنشر لعام </w:t>
      </w:r>
      <w:r>
        <w:rPr>
          <w:rStyle w:val="None"/>
          <w:rFonts w:ascii="Times New Roman" w:hAnsi="Times New Roman"/>
          <w:sz w:val="24"/>
          <w:szCs w:val="24"/>
          <w:rtl/>
          <w:lang w:val="ar-SA"/>
        </w:rPr>
        <w:t xml:space="preserve">1790 </w:t>
      </w:r>
      <w:r>
        <w:rPr>
          <w:rStyle w:val="None"/>
          <w:rFonts w:cs="Times New Roman"/>
          <w:sz w:val="24"/>
          <w:szCs w:val="24"/>
          <w:rtl/>
          <w:lang w:val="ar-SA"/>
        </w:rPr>
        <w:t xml:space="preserve">المؤلفين الأمريكيين الحق في طباعة، أو إعادة طباعة، أو نشر أعمالهم لمدة </w:t>
      </w:r>
      <w:r>
        <w:rPr>
          <w:rStyle w:val="None"/>
          <w:rFonts w:ascii="Times New Roman" w:hAnsi="Times New Roman"/>
          <w:sz w:val="24"/>
          <w:szCs w:val="24"/>
          <w:rtl/>
          <w:lang w:val="ar-SA"/>
        </w:rPr>
        <w:t xml:space="preserve">14 </w:t>
      </w:r>
      <w:r>
        <w:rPr>
          <w:rStyle w:val="None"/>
          <w:rFonts w:cs="Times New Roman"/>
          <w:sz w:val="24"/>
          <w:szCs w:val="24"/>
          <w:rtl/>
          <w:lang w:val="ar-SA"/>
        </w:rPr>
        <w:t>عامًا قابلةً للتجديد لمدة أربعة عشر عامًا أخرى</w:t>
      </w:r>
      <w:r>
        <w:rPr>
          <w:rStyle w:val="None"/>
          <w:rFonts w:ascii="Times New Roman" w:hAnsi="Times New Roman"/>
          <w:sz w:val="24"/>
          <w:szCs w:val="24"/>
          <w:rtl/>
          <w:lang w:val="ar-SA"/>
        </w:rPr>
        <w:t>.</w:t>
      </w:r>
    </w:p>
    <w:p w14:paraId="779F9ABF"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أُنشئ مكتب براءات الاختراع والعلامات التجارية الأمريكي لأول مرة عام </w:t>
      </w:r>
      <w:r>
        <w:rPr>
          <w:rStyle w:val="None"/>
          <w:rFonts w:ascii="Times New Roman" w:hAnsi="Times New Roman"/>
          <w:sz w:val="24"/>
          <w:szCs w:val="24"/>
          <w:rtl/>
          <w:lang w:val="ar-SA"/>
        </w:rPr>
        <w:t>1836</w:t>
      </w:r>
      <w:r>
        <w:rPr>
          <w:rStyle w:val="None"/>
          <w:rFonts w:cs="Times New Roman"/>
          <w:sz w:val="24"/>
          <w:szCs w:val="24"/>
          <w:rtl/>
          <w:lang w:val="ar-SA"/>
        </w:rPr>
        <w:t>، ثم سُمي مكتب براءات الاختراع الأمريكي</w:t>
      </w:r>
      <w:r>
        <w:rPr>
          <w:rStyle w:val="None"/>
          <w:rFonts w:ascii="Times New Roman" w:hAnsi="Times New Roman"/>
          <w:sz w:val="24"/>
          <w:szCs w:val="24"/>
          <w:rtl/>
          <w:lang w:val="ar-SA"/>
        </w:rPr>
        <w:t>.</w:t>
      </w:r>
    </w:p>
    <w:p w14:paraId="41009928"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وفي عام </w:t>
      </w:r>
      <w:r>
        <w:rPr>
          <w:rStyle w:val="None"/>
          <w:rFonts w:ascii="Times New Roman" w:hAnsi="Times New Roman"/>
          <w:b/>
          <w:bCs/>
          <w:sz w:val="24"/>
          <w:szCs w:val="24"/>
          <w:rtl/>
          <w:lang w:val="ar-SA"/>
        </w:rPr>
        <w:t>1881:</w:t>
      </w:r>
      <w:r>
        <w:rPr>
          <w:rStyle w:val="None"/>
          <w:rFonts w:cs="Times New Roman"/>
          <w:sz w:val="24"/>
          <w:szCs w:val="24"/>
          <w:rtl/>
          <w:lang w:val="ar-SA"/>
        </w:rPr>
        <w:t xml:space="preserve"> تم إقرار تشريع العلامات التجارية استنادًا إلى بند التجارة في الدستور؛ حيث وُضعت أحكام لتسجيل العلامات التجارية لاستخدامها في التجارة مع الدول الأجنبية ومع القبائل الهندية</w:t>
      </w:r>
      <w:r>
        <w:rPr>
          <w:rStyle w:val="None"/>
          <w:rFonts w:ascii="Times New Roman" w:hAnsi="Times New Roman"/>
          <w:sz w:val="24"/>
          <w:szCs w:val="24"/>
          <w:rtl/>
          <w:lang w:val="ar-SA"/>
        </w:rPr>
        <w:t>.</w:t>
      </w:r>
    </w:p>
    <w:p w14:paraId="4F007277"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وفي عام </w:t>
      </w:r>
      <w:r>
        <w:rPr>
          <w:rStyle w:val="None"/>
          <w:rFonts w:ascii="Times New Roman" w:hAnsi="Times New Roman"/>
          <w:sz w:val="24"/>
          <w:szCs w:val="24"/>
          <w:rtl/>
          <w:lang w:val="ar-SA"/>
        </w:rPr>
        <w:t xml:space="preserve">1883 </w:t>
      </w:r>
      <w:r>
        <w:rPr>
          <w:rStyle w:val="None"/>
          <w:rFonts w:cs="Times New Roman"/>
          <w:sz w:val="24"/>
          <w:szCs w:val="24"/>
          <w:rtl/>
          <w:lang w:val="ar-SA"/>
        </w:rPr>
        <w:t>تم التوصل إلى أول اتفاقية دولية بشأن العلامات التجارية في اتفاقية باريس؛ لحماية الملكية الصناعية، واتفقت الدول المشاركة في هذه الاتفاقية على توفير نفس الحماية للعلامات التجارية التي توفرها لمواطنيها</w:t>
      </w:r>
      <w:r>
        <w:rPr>
          <w:rStyle w:val="None"/>
          <w:rFonts w:ascii="Times New Roman" w:hAnsi="Times New Roman"/>
          <w:sz w:val="24"/>
          <w:szCs w:val="24"/>
          <w:rtl/>
          <w:lang w:val="ar-SA"/>
        </w:rPr>
        <w:t>.</w:t>
      </w:r>
    </w:p>
    <w:p w14:paraId="5F341E63"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أصبحت الولايات المتحدة طرفًا في اتفاقية برن عام </w:t>
      </w:r>
      <w:r>
        <w:rPr>
          <w:rStyle w:val="None"/>
          <w:rFonts w:ascii="Times New Roman" w:hAnsi="Times New Roman"/>
          <w:sz w:val="24"/>
          <w:szCs w:val="24"/>
          <w:rtl/>
          <w:lang w:val="ar-SA"/>
        </w:rPr>
        <w:t>1886</w:t>
      </w:r>
      <w:r>
        <w:rPr>
          <w:rStyle w:val="None"/>
          <w:rFonts w:cs="Times New Roman"/>
          <w:sz w:val="24"/>
          <w:szCs w:val="24"/>
          <w:rtl/>
          <w:lang w:val="ar-SA"/>
        </w:rPr>
        <w:t>، وقد نصت الاتفاقية على الاعتراف الدولي بحقوق الطبع والنشر</w:t>
      </w:r>
      <w:r>
        <w:rPr>
          <w:rStyle w:val="None"/>
          <w:rFonts w:ascii="Times New Roman" w:hAnsi="Times New Roman"/>
          <w:sz w:val="24"/>
          <w:szCs w:val="24"/>
          <w:rtl/>
          <w:lang w:val="ar-SA"/>
        </w:rPr>
        <w:t>.</w:t>
      </w:r>
    </w:p>
    <w:p w14:paraId="6D7EB007"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1887 </w:t>
      </w:r>
      <w:r>
        <w:rPr>
          <w:rStyle w:val="None"/>
          <w:rFonts w:cs="Times New Roman"/>
          <w:sz w:val="24"/>
          <w:szCs w:val="24"/>
          <w:rtl/>
          <w:lang w:val="ar-SA"/>
        </w:rPr>
        <w:t>تم تسجيل علامة كوكاكولا التجارية</w:t>
      </w:r>
      <w:r>
        <w:rPr>
          <w:rStyle w:val="None"/>
          <w:rFonts w:ascii="Times New Roman" w:hAnsi="Times New Roman"/>
          <w:sz w:val="24"/>
          <w:szCs w:val="24"/>
          <w:rtl/>
          <w:lang w:val="ar-SA"/>
        </w:rPr>
        <w:t>.</w:t>
      </w:r>
    </w:p>
    <w:p w14:paraId="3033E43F" w14:textId="77777777" w:rsidR="00454428" w:rsidRDefault="00000000" w:rsidP="00C72BA8">
      <w:pPr>
        <w:pStyle w:val="ListParagraph"/>
        <w:numPr>
          <w:ilvl w:val="0"/>
          <w:numId w:val="13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1895 </w:t>
      </w:r>
      <w:r>
        <w:rPr>
          <w:rStyle w:val="None"/>
          <w:rFonts w:cs="Times New Roman"/>
          <w:sz w:val="24"/>
          <w:szCs w:val="24"/>
          <w:rtl/>
          <w:lang w:val="ar-SA"/>
        </w:rPr>
        <w:t xml:space="preserve">سُجِّلت علامة كويكر أوتس التجارية، كما سُجِّلت براءة اختراع </w:t>
      </w:r>
      <w:r>
        <w:rPr>
          <w:rStyle w:val="None"/>
          <w:rFonts w:ascii="Times New Roman" w:hAnsi="Times New Roman"/>
          <w:sz w:val="24"/>
          <w:szCs w:val="24"/>
          <w:rtl/>
          <w:lang w:val="ar-SA"/>
        </w:rPr>
        <w:t>"</w:t>
      </w:r>
      <w:r>
        <w:rPr>
          <w:rStyle w:val="None"/>
          <w:rFonts w:cs="Times New Roman"/>
          <w:sz w:val="24"/>
          <w:szCs w:val="24"/>
          <w:rtl/>
          <w:lang w:val="ar-SA"/>
        </w:rPr>
        <w:t>سيارة بمحرك</w:t>
      </w:r>
      <w:r>
        <w:rPr>
          <w:rStyle w:val="None"/>
          <w:rFonts w:ascii="Times New Roman" w:hAnsi="Times New Roman"/>
          <w:sz w:val="24"/>
          <w:szCs w:val="24"/>
          <w:rtl/>
          <w:lang w:val="ar-SA"/>
        </w:rPr>
        <w:t>".</w:t>
      </w:r>
    </w:p>
    <w:p w14:paraId="51C80759"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استعراض نشأة وتطوُّر التشريعات الأمريكية للملكية الفكرية من خلال النقاط التالية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CEBF99"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نشأت بذور نظام الملكية الفكرية الأمريكي في قانون الاحتكارات الإنجليزي لعام </w:t>
      </w:r>
      <w:r>
        <w:rPr>
          <w:rStyle w:val="None"/>
          <w:rFonts w:ascii="Times New Roman" w:hAnsi="Times New Roman"/>
          <w:sz w:val="24"/>
          <w:szCs w:val="24"/>
          <w:rtl/>
          <w:lang w:val="ar-SA"/>
        </w:rPr>
        <w:t>1623</w:t>
      </w:r>
      <w:r>
        <w:rPr>
          <w:rStyle w:val="None"/>
          <w:rFonts w:cs="Times New Roman"/>
          <w:sz w:val="24"/>
          <w:szCs w:val="24"/>
          <w:rtl/>
          <w:lang w:val="ar-SA"/>
        </w:rPr>
        <w:t>؛ حيث حظر هذا القانون على الملك منح أي احتكار باستثناء واحد؛ إذ كان بإمكان الملك منح براءات اختراع للاختراعات الجديدة، طالما أنَّ الاحتكار يعود بالنفع على المجتمع، وألا يستمر لأكثر من أربعة عشر عامًا</w:t>
      </w:r>
      <w:r>
        <w:rPr>
          <w:rStyle w:val="None"/>
          <w:rFonts w:ascii="Times New Roman" w:hAnsi="Times New Roman"/>
          <w:sz w:val="24"/>
          <w:szCs w:val="24"/>
          <w:rtl/>
          <w:lang w:val="ar-SA"/>
        </w:rPr>
        <w:t>.</w:t>
      </w:r>
    </w:p>
    <w:p w14:paraId="7398F106"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نقل ناثانيال وارد من ولاية ماساتشوستس هذا القانون فعليًا إلى القارة الأمريكية عام </w:t>
      </w:r>
      <w:r>
        <w:rPr>
          <w:rStyle w:val="None"/>
          <w:rFonts w:ascii="Times New Roman" w:hAnsi="Times New Roman"/>
          <w:sz w:val="24"/>
          <w:szCs w:val="24"/>
          <w:rtl/>
          <w:lang w:val="ar-SA"/>
        </w:rPr>
        <w:t>1641</w:t>
      </w:r>
      <w:r>
        <w:rPr>
          <w:rStyle w:val="None"/>
          <w:rFonts w:cs="Times New Roman"/>
          <w:sz w:val="24"/>
          <w:szCs w:val="24"/>
          <w:rtl/>
          <w:lang w:val="ar-SA"/>
        </w:rPr>
        <w:t>، عندما أدرج بندًا خاصًا بالملكية الفكرية في هيئة ماساتشوستس للحريات، والذي نص على أنَّه</w:t>
      </w:r>
      <w:r>
        <w:rPr>
          <w:rStyle w:val="None"/>
          <w:rFonts w:ascii="Times New Roman" w:hAnsi="Times New Roman"/>
          <w:sz w:val="24"/>
          <w:szCs w:val="24"/>
          <w:rtl/>
          <w:lang w:val="ar-SA"/>
        </w:rPr>
        <w:t>: "</w:t>
      </w:r>
      <w:r>
        <w:rPr>
          <w:rStyle w:val="None"/>
          <w:rFonts w:cs="Times New Roman"/>
          <w:sz w:val="24"/>
          <w:szCs w:val="24"/>
          <w:rtl/>
          <w:lang w:val="ar-SA"/>
        </w:rPr>
        <w:t>لا يجوز منح أو السماح بأي احتكارات، إلا للاختراعات الجديدة التي تعود بالنفع على البلاد، وذلك لفترة قصيرة</w:t>
      </w:r>
      <w:r>
        <w:rPr>
          <w:rStyle w:val="None"/>
          <w:rFonts w:ascii="Times New Roman" w:hAnsi="Times New Roman"/>
          <w:sz w:val="24"/>
          <w:szCs w:val="24"/>
          <w:rtl/>
          <w:lang w:val="ar-SA"/>
        </w:rPr>
        <w:t xml:space="preserve">". </w:t>
      </w:r>
    </w:p>
    <w:p w14:paraId="4D6365F9"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ومع ذلك لم تكن ماساتشوستس المستعمرة الوحيدة التي سعت لحماية الملكية الفكرية؛ حيث منحت الحكومات الاستعمارية براءات اختراع، وحقوق طبع ونشر طوال القرن الثامن عشر، وكانت هذه المنح تُمنح عادةً من خلال قوانين خاصة، صادرة عن الهيئة التشريعية التي تتطلب التماسًا من المؤلف أو المخترع</w:t>
      </w:r>
      <w:r>
        <w:rPr>
          <w:rStyle w:val="None"/>
          <w:rFonts w:ascii="Times New Roman" w:hAnsi="Times New Roman"/>
          <w:sz w:val="24"/>
          <w:szCs w:val="24"/>
          <w:rtl/>
          <w:lang w:val="ar-SA"/>
        </w:rPr>
        <w:t>.</w:t>
      </w:r>
    </w:p>
    <w:p w14:paraId="794BD659"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t>وبعد الحرب الثورية، حافظت كل من الحكومة الوطنية وحكومات الولايات على اهتمامها الوثيق بالملكية الفكرية؛ حيث كرّس دستور ماساتشوستس حماية الملكية الفكرية فيما بعد الاستعمار، 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واصلت الولايات الأخرى حماية الملكية الفكرية من خلال نظام مُخصّص من القوانين والقرارات التشريعية الخاصة، ومع ذلك</w:t>
      </w:r>
      <w:r>
        <w:rPr>
          <w:rStyle w:val="None"/>
          <w:rFonts w:ascii="Times New Roman" w:hAnsi="Times New Roman"/>
          <w:sz w:val="24"/>
          <w:szCs w:val="24"/>
          <w:rtl/>
          <w:lang w:val="ar-SA"/>
        </w:rPr>
        <w:t xml:space="preserve">: </w:t>
      </w:r>
      <w:r>
        <w:rPr>
          <w:rStyle w:val="None"/>
          <w:rFonts w:cs="Times New Roman"/>
          <w:sz w:val="24"/>
          <w:szCs w:val="24"/>
          <w:rtl/>
          <w:lang w:val="ar-SA"/>
        </w:rPr>
        <w:t>ظلّ الشكل الأساسي للمنح ثابتًا كحقّ حصريّ لفترة محدودة</w:t>
      </w:r>
      <w:r>
        <w:rPr>
          <w:rStyle w:val="None"/>
          <w:rFonts w:ascii="Times New Roman" w:hAnsi="Times New Roman"/>
          <w:sz w:val="24"/>
          <w:szCs w:val="24"/>
          <w:rtl/>
          <w:lang w:val="ar-SA"/>
        </w:rPr>
        <w:t>.</w:t>
      </w:r>
    </w:p>
    <w:p w14:paraId="6D6B0CD0"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ولكن مع تزايد اعتماد الاقتصاد الأمريكي على الولايات، ازدادت الحاجة إلى تشريعات الملكية الفكرية، وعيّن الكونغرس لجنةً خاصةً لتقديم تقارير عن الملكية الأدبية في الولايات المتحدة، وبالفعل أقرّ الكونغرس القرار الذي اقترحته اللجنة في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مايو </w:t>
      </w:r>
      <w:r>
        <w:rPr>
          <w:rStyle w:val="None"/>
          <w:rFonts w:ascii="Times New Roman" w:hAnsi="Times New Roman"/>
          <w:sz w:val="24"/>
          <w:szCs w:val="24"/>
          <w:rtl/>
          <w:lang w:val="ar-SA"/>
        </w:rPr>
        <w:t>1783</w:t>
      </w:r>
      <w:r>
        <w:rPr>
          <w:rStyle w:val="None"/>
          <w:rFonts w:cs="Times New Roman"/>
          <w:sz w:val="24"/>
          <w:szCs w:val="24"/>
          <w:rtl/>
          <w:lang w:val="ar-SA"/>
        </w:rPr>
        <w:t xml:space="preserve">، وأوصى القرار بأنْ تُصدر الولايات قوانين حقوق طبع ونشر تحمي عمل المؤلف </w:t>
      </w:r>
      <w:r>
        <w:rPr>
          <w:rStyle w:val="None"/>
          <w:rFonts w:ascii="Times New Roman" w:hAnsi="Times New Roman"/>
          <w:sz w:val="24"/>
          <w:szCs w:val="24"/>
          <w:rtl/>
          <w:lang w:val="ar-SA"/>
        </w:rPr>
        <w:t>"</w:t>
      </w:r>
      <w:r>
        <w:rPr>
          <w:rStyle w:val="None"/>
          <w:rFonts w:cs="Times New Roman"/>
          <w:sz w:val="24"/>
          <w:szCs w:val="24"/>
          <w:rtl/>
          <w:lang w:val="ar-SA"/>
        </w:rPr>
        <w:t>لفترة زمنية لا تقل عن أربعة عشر عامًا</w:t>
      </w:r>
      <w:r>
        <w:rPr>
          <w:rStyle w:val="None"/>
          <w:rFonts w:ascii="Times New Roman" w:hAnsi="Times New Roman"/>
          <w:sz w:val="24"/>
          <w:szCs w:val="24"/>
          <w:rtl/>
          <w:lang w:val="ar-SA"/>
        </w:rPr>
        <w:t>".</w:t>
      </w:r>
    </w:p>
    <w:p w14:paraId="3ED78AC3" w14:textId="77777777" w:rsidR="00454428" w:rsidRDefault="00000000" w:rsidP="00C72BA8">
      <w:pPr>
        <w:pStyle w:val="ListParagraph"/>
        <w:numPr>
          <w:ilvl w:val="0"/>
          <w:numId w:val="13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وفي غضون عامين من هذا القرار، أقرّت اثنتا عشرة ولايةً من أصل ثلاث عشرة تشريعاتٍ للملكية الفكرية، ويُعَدُّ قانون الملكية الفكرية لولاية كارولينا الجنوبية لعام </w:t>
      </w:r>
      <w:r>
        <w:rPr>
          <w:rStyle w:val="None"/>
          <w:rFonts w:ascii="Times New Roman" w:hAnsi="Times New Roman"/>
          <w:sz w:val="24"/>
          <w:szCs w:val="24"/>
          <w:rtl/>
          <w:lang w:val="ar-SA"/>
        </w:rPr>
        <w:t xml:space="preserve">1784 </w:t>
      </w:r>
      <w:r>
        <w:rPr>
          <w:rStyle w:val="None"/>
          <w:rFonts w:cs="Times New Roman"/>
          <w:sz w:val="24"/>
          <w:szCs w:val="24"/>
          <w:rtl/>
          <w:lang w:val="ar-SA"/>
        </w:rPr>
        <w:t>الأكثر تأثيرًا؛ إذْ يُمثّل أول قانون أمريكي يُساوي بين حماية حقوق الطبع والنشر وحماية براءات الاختراع</w:t>
      </w:r>
      <w:r>
        <w:rPr>
          <w:rStyle w:val="None"/>
          <w:rFonts w:ascii="Times New Roman" w:hAnsi="Times New Roman"/>
          <w:sz w:val="24"/>
          <w:szCs w:val="24"/>
          <w:rtl/>
          <w:lang w:val="ar-SA"/>
        </w:rPr>
        <w:t xml:space="preserve">. </w:t>
      </w:r>
    </w:p>
    <w:p w14:paraId="6DF336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تضمن دستور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بندًا لحماية حقوق الملكية الفكرية في المادة الأولى 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والذي نص على أنَّ للكونغرس سلطة تعزيز تقدم العلوم والفنون المفيدة، من خلال ضمان الحق الحصري للمؤلفين والمخترعين في كتاباتهم واكتشافاتهم لفترات محدودة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8945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أشار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إلى أنَّ الولايات المتحدة الأمريكية تُعَدُّ طرفًا في اتفاقيات الملكية الفكرية الدولية التالية</w:t>
      </w:r>
      <w:r>
        <w:rPr>
          <w:rStyle w:val="None"/>
          <w:rFonts w:ascii="Times New Roman" w:hAnsi="Times New Roman"/>
          <w:sz w:val="24"/>
          <w:szCs w:val="24"/>
          <w:rtl/>
          <w:lang w:val="ar-SA"/>
        </w:rPr>
        <w:t>:</w:t>
      </w:r>
    </w:p>
    <w:p w14:paraId="7B32F46D" w14:textId="77777777" w:rsidR="00454428" w:rsidRDefault="00000000" w:rsidP="00C72BA8">
      <w:pPr>
        <w:pStyle w:val="ListParagraph"/>
        <w:numPr>
          <w:ilvl w:val="0"/>
          <w:numId w:val="13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يمكن لأي شخص من دولة موقعة التقدم بطلب للحصول على براءة اختراع أو علامة تجارية في أي دولة موقعة أخرى، وسيُمنح نفس حقوق الإنفاذ والوضع الذي يتمتع به مواطن تلك الدولة</w:t>
      </w:r>
      <w:r>
        <w:rPr>
          <w:rStyle w:val="None"/>
          <w:rFonts w:ascii="Times New Roman" w:hAnsi="Times New Roman"/>
          <w:sz w:val="24"/>
          <w:szCs w:val="24"/>
          <w:rtl/>
          <w:lang w:val="ar-SA"/>
        </w:rPr>
        <w:t>.</w:t>
      </w:r>
    </w:p>
    <w:p w14:paraId="6CD7F8AC" w14:textId="77777777" w:rsidR="00454428" w:rsidRDefault="00000000" w:rsidP="00C72BA8">
      <w:pPr>
        <w:pStyle w:val="ListParagraph"/>
        <w:numPr>
          <w:ilvl w:val="0"/>
          <w:numId w:val="13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تعترف كل دولة عضو بحقوق الطبع والنشر للمؤلفين من الدول الأعضاء الأخرى، بنفس الطريقة التي تعترف بها بحقوق الطبع والنشر لمواطنيها</w:t>
      </w:r>
      <w:r>
        <w:rPr>
          <w:rStyle w:val="None"/>
          <w:rFonts w:ascii="Times New Roman" w:hAnsi="Times New Roman"/>
          <w:sz w:val="24"/>
          <w:szCs w:val="24"/>
          <w:rtl/>
          <w:lang w:val="ar-SA"/>
        </w:rPr>
        <w:t>.</w:t>
      </w:r>
    </w:p>
    <w:p w14:paraId="346BE116" w14:textId="77777777" w:rsidR="00454428" w:rsidRDefault="00000000" w:rsidP="00C72BA8">
      <w:pPr>
        <w:pStyle w:val="ListParagraph"/>
        <w:numPr>
          <w:ilvl w:val="0"/>
          <w:numId w:val="13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بروتوكول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وهو نظام مركزي للحصول على حزمة من تسجيلات العلامات التجارية الوطنية في ولايات قضائية مختلفة، من خلال طلب واحد</w:t>
      </w:r>
      <w:r>
        <w:rPr>
          <w:rStyle w:val="None"/>
          <w:rFonts w:ascii="Times New Roman" w:hAnsi="Times New Roman"/>
          <w:sz w:val="24"/>
          <w:szCs w:val="24"/>
          <w:rtl/>
          <w:lang w:val="ar-SA"/>
        </w:rPr>
        <w:t>.</w:t>
      </w:r>
    </w:p>
    <w:p w14:paraId="29A6D38C" w14:textId="77777777" w:rsidR="00454428" w:rsidRDefault="00000000" w:rsidP="00C72BA8">
      <w:pPr>
        <w:pStyle w:val="ListParagraph"/>
        <w:numPr>
          <w:ilvl w:val="0"/>
          <w:numId w:val="13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تعمل هذه المعاهدة بنفس طريقة بروتوكول مدريد، ولكن بالنسبة لطلبات براءات الاختراع</w:t>
      </w:r>
      <w:r>
        <w:rPr>
          <w:rStyle w:val="None"/>
          <w:rFonts w:ascii="Times New Roman" w:hAnsi="Times New Roman"/>
          <w:sz w:val="24"/>
          <w:szCs w:val="24"/>
          <w:rtl/>
          <w:lang w:val="ar-SA"/>
        </w:rPr>
        <w:t>.</w:t>
      </w:r>
    </w:p>
    <w:p w14:paraId="000E71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حقوق الملكية الفكرية في الولايات المتحدة منذ القدم في القانون الإنجليزي عام </w:t>
      </w:r>
      <w:r>
        <w:rPr>
          <w:rStyle w:val="None"/>
          <w:rFonts w:ascii="Times New Roman" w:hAnsi="Times New Roman"/>
          <w:sz w:val="24"/>
          <w:szCs w:val="24"/>
          <w:rtl/>
          <w:lang w:val="ar-SA"/>
        </w:rPr>
        <w:t>1623</w:t>
      </w:r>
      <w:r>
        <w:rPr>
          <w:rStyle w:val="None"/>
          <w:rFonts w:ascii="Arial Unicode MS" w:hAnsi="Arial Unicode MS" w:cs="Times New Roman" w:hint="cs"/>
          <w:sz w:val="24"/>
          <w:szCs w:val="24"/>
          <w:rtl/>
          <w:lang w:val="ar-SA"/>
        </w:rPr>
        <w:t xml:space="preserve">، مرورًا بدستور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الذي كرس حماية حقوق المؤلف والمخترعين، ثم جاءت القوانين الأولى عام </w:t>
      </w:r>
      <w:r>
        <w:rPr>
          <w:rStyle w:val="None"/>
          <w:rFonts w:ascii="Times New Roman" w:hAnsi="Times New Roman"/>
          <w:sz w:val="24"/>
          <w:szCs w:val="24"/>
          <w:rtl/>
          <w:lang w:val="ar-SA"/>
        </w:rPr>
        <w:t xml:space="preserve">1790 </w:t>
      </w:r>
      <w:r>
        <w:rPr>
          <w:rStyle w:val="None"/>
          <w:rFonts w:ascii="Arial Unicode MS" w:hAnsi="Arial Unicode MS" w:cs="Times New Roman" w:hint="cs"/>
          <w:sz w:val="24"/>
          <w:szCs w:val="24"/>
          <w:rtl/>
          <w:lang w:val="ar-SA"/>
        </w:rPr>
        <w:t>نظامًا متكاملًا لبراءات الاختراع وحقوق الطبع والنشر، وفي القرن التاسع عشر توسعت الحماية لتشمل العلامات التجارية والانضمام لاتفاقيات 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اتفاقية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يعتبر هذا التطوُّر التاريخي له دور مهم في حماية الملكية الفكرية، كما امتدت هذه الحماية؛ لكي تشمل البرمجيات وقواعد البيانات والمصنفات الرقمية</w:t>
      </w:r>
      <w:r>
        <w:rPr>
          <w:rStyle w:val="None"/>
          <w:rFonts w:ascii="Times New Roman" w:hAnsi="Times New Roman"/>
          <w:sz w:val="24"/>
          <w:szCs w:val="24"/>
          <w:rtl/>
          <w:lang w:val="ar-SA"/>
        </w:rPr>
        <w:t>.</w:t>
      </w:r>
    </w:p>
    <w:p w14:paraId="4522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قانون الملكية الفكرية حجر الزاوية في تعزيز الابتكار والإبداع في الاقتصادات الحديثة، ويشمل مجموعةً من الحماية القانونية،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براءات الاختراع، والعلامات التجارية، وحقوق التأليف والنشر، والأسرار التجارية، المصممة لحماية الإبداعات الفكرية للأفراد والمنظمات، ويستند تطوُّر قانون الملكية الفكرية في الولايات المتحدة إلى المبادئ الدستورية؛ حيث تُمكّن المادة الأولى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دستور الولايات المتحدة الكونغرس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تعزيز تقدم العلوم والفنون المفيدة من خلال تشريعات الملكية الفكرية، وبمرور الوقت، ساهمت الإصلاحات التشريعية والتفسيرات </w:t>
      </w:r>
      <w:r>
        <w:rPr>
          <w:rStyle w:val="None"/>
          <w:rFonts w:ascii="Arial Unicode MS" w:hAnsi="Arial Unicode MS" w:cs="Times New Roman" w:hint="cs"/>
          <w:sz w:val="24"/>
          <w:szCs w:val="24"/>
          <w:rtl/>
          <w:lang w:val="ar-SA"/>
        </w:rPr>
        <w:lastRenderedPageBreak/>
        <w:t>القضائية في تشكيل قانون الملكية الفكرية لمواجهة التحديات الناشئة،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صعود المنصات الرقمية والذكاء الاصطناعي والعولمة، وقد مثّل قانون الاختراعات الأمريكي، الصادر عام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 تحولًا مهمًا بتحويل نظام براءات الاختراع الأمريكي إلى نظام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أولوية التسجيل</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ممَّا جعله متوافقًا مع المعايير الدولية، وبالمثل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اكتسبت حماية الأسرار التجارية أهمية متزايدة مع قانون الدفاع عن الأسرار التجارية لعام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الذي يوفر سبل انتصاف فيدرالية ضد التملك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0"/>
      </w:r>
      <w:r>
        <w:rPr>
          <w:rStyle w:val="None"/>
          <w:rFonts w:ascii="Times New Roman" w:hAnsi="Times New Roman"/>
          <w:sz w:val="24"/>
          <w:szCs w:val="24"/>
          <w:vertAlign w:val="superscript"/>
          <w:rtl/>
          <w:lang w:val="ar-SA"/>
        </w:rPr>
        <w:t>)</w:t>
      </w:r>
    </w:p>
    <w:p w14:paraId="586528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وتتولى ثمانِ وكالاتٍ فيدراليةٍ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مع مكتب التحقيقات الفيدرالي، ومكتب براءات الاختراع والعلامات التجارية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الأنشطة الرئيسية للحكومة الأمريكية؛ لحماية حقوق الملكية الفكرية الأمريكية وإنفاذها في الخارج، وهذه الوكالات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وزارات التجارة، والخارجية، والعدل، والأمن الداخلي، ومكتب الممثل التجاري الأمريكي، ومكتب حقوق الطبع والنشر، والوكالة الأمريكية للتنمية الدولية، ومركز التجارة الدولية الأمريكي، كما تشارك الحكومة الأمريكية في منظمات دولية تُعنى بقضايا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منظمة التجارة العالمية، والمنظمة العالمية للملكية الفكرية، ومنظمة الجمارك العالمية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1"/>
      </w:r>
      <w:r>
        <w:rPr>
          <w:rStyle w:val="None"/>
          <w:rFonts w:ascii="Times New Roman" w:hAnsi="Times New Roman"/>
          <w:sz w:val="24"/>
          <w:szCs w:val="24"/>
          <w:vertAlign w:val="superscript"/>
          <w:rtl/>
          <w:lang w:val="ar-SA"/>
        </w:rPr>
        <w:t>)</w:t>
      </w:r>
    </w:p>
    <w:p w14:paraId="3BCB9F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ويتألف قانون الملكية الفكرية من مجموعة من الحقوق الحصرية التي تمنع الآخرين من صنع بعض إبداعات العقل البشري غير الملموسة؛ حيث يمنح دستورُ الولايات المتحدة الكونغرس سلطتين تتعلقان بحقوق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يُخول الكونغرس بمنح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المؤلفين والمخترعين الحق الحصري في كتاباتهم واكتشافاتهم؛ بهدف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يسمح بند التجارة للكونغرس بتنظيم التجارة بين الولايات المحلية والأجنبية، وعلى المستوى الفيدرالي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الملكية الفكرية أربعة أشكالٍ رئيسيةٍ من 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والأسرار التجارية؛ حيث يحمي كل شكل من أشكال الملكية الفكرية نوعًا مختلفًا من الإبداع الفكري، ويتبع إجراءات مختلفة؛ للحصول على الحقوق، ويمنح مالك الملكية الفكرية حقوقًا تختلف في نطاقها ومدتها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2"/>
      </w:r>
      <w:r>
        <w:rPr>
          <w:rStyle w:val="None"/>
          <w:rFonts w:ascii="Times New Roman" w:hAnsi="Times New Roman"/>
          <w:sz w:val="24"/>
          <w:szCs w:val="24"/>
          <w:vertAlign w:val="superscript"/>
          <w:rtl/>
          <w:lang w:val="ar-SA"/>
        </w:rPr>
        <w:t>)</w:t>
      </w:r>
    </w:p>
    <w:p w14:paraId="0DC437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ويتناول قانون الملكية الفكرية قواعد تأمين وإنفاذ الحقوق القانونية للاختراعات والتصاميم والأعمال الفنية، وكما يحمي القانون ملكية الممتلكات الشخصية والعقارات، فإنَّه يحمي أيضًا السيطرة الحصرية على الأصول غير الملموسة، والغرض من هذه القوانين هو تحفيز الأفراد على تطوير أعمال إبداعية تعود بالنفع على المجتمع، وتمنح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دستور الولايات المتحدة، الكونغرس سلطةً صريحةً لمنح المؤلفين والمخترعين حقوقًا حصريةً على إبداعاتهم، كما يمنح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الكونغرس سلطةَ تنظيم التجارة بين الولايات الداخلية والخارجية؛ ممَّا يوفر دعمًا إضافيًا </w:t>
      </w:r>
      <w:r>
        <w:rPr>
          <w:rStyle w:val="None"/>
          <w:rFonts w:ascii="Arial Unicode MS" w:hAnsi="Arial Unicode MS" w:cs="Times New Roman" w:hint="cs"/>
          <w:sz w:val="24"/>
          <w:szCs w:val="24"/>
          <w:rtl/>
          <w:lang w:val="ar-SA"/>
        </w:rPr>
        <w:lastRenderedPageBreak/>
        <w:t>لحقه في التشريع في هذا المجال، وتُدار قوانين الملكية الفكرية التي يقرها الكونغرس من قبل وكالات حكومية، وهي مكتب براءات الاختراع والعلامات التجارية الأمريكي، ومكتب حقوق الطبع والنشر الأمريكي</w:t>
      </w:r>
      <w:r>
        <w:rPr>
          <w:rStyle w:val="None"/>
          <w:rFonts w:ascii="Times New Roman" w:hAnsi="Times New Roman"/>
          <w:sz w:val="24"/>
          <w:szCs w:val="24"/>
          <w:vertAlign w:val="superscript"/>
        </w:rPr>
        <w:t>)</w:t>
      </w:r>
      <w:r>
        <w:rPr>
          <w:rStyle w:val="None"/>
          <w:rFonts w:ascii="Times New Roman" w:eastAsia="Times New Roman" w:hAnsi="Times New Roman" w:cs="Times New Roman"/>
          <w:sz w:val="24"/>
          <w:szCs w:val="24"/>
          <w:vertAlign w:val="superscript"/>
          <w:lang w:val="ar-SA"/>
        </w:rPr>
        <w:footnoteReference w:id="363"/>
      </w:r>
      <w:r>
        <w:rPr>
          <w:rStyle w:val="None"/>
          <w:rFonts w:ascii="Times New Roman" w:hAnsi="Times New Roman"/>
          <w:sz w:val="24"/>
          <w:szCs w:val="24"/>
          <w:vertAlign w:val="superscript"/>
        </w:rPr>
        <w:t>(</w:t>
      </w:r>
      <w:r>
        <w:rPr>
          <w:rStyle w:val="None"/>
          <w:rFonts w:ascii="Times New Roman" w:hAnsi="Times New Roman"/>
          <w:sz w:val="24"/>
          <w:szCs w:val="24"/>
          <w:rtl/>
          <w:lang w:val="ar-SA"/>
        </w:rPr>
        <w:t>.</w:t>
      </w:r>
    </w:p>
    <w:p w14:paraId="3B9B67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حاليًا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رائدةً في العديد من التقنيات الحيوية التي تعتمد على الإيرادات الناتجة عن ترخيص حقوق الملكية الفكرية في الأسواق العالمية، ومع امتلاك الولايات المتحدة لأجندة الابتكار، يجب أنْ يكون للملكية الفكرية دور بارز، إنَّ وجود نظام قوي لإنفاذ حقوق الملكية الفكرية، مع حدود واضحة لحقوق الملكية الفكرية يساعد المخترعين على الابتكار، ويُعَدُّ هذا ضروريًّا لازدهار منظومة الابتكار، وتستطيع الولايات المتحدة أنْ تستمر في الريادة في الابتكار المكثف في مجال البحث والتطوير، وتطوير المنتجات، والحد من الانتهاكات، وخاصةً خارج حدود الولايات المتحدة، من خلال اتباع إجراءات رئيسية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4"/>
      </w:r>
      <w:r>
        <w:rPr>
          <w:rStyle w:val="None"/>
          <w:rFonts w:ascii="Times New Roman" w:hAnsi="Times New Roman"/>
          <w:sz w:val="24"/>
          <w:szCs w:val="24"/>
          <w:vertAlign w:val="superscript"/>
          <w:rtl/>
          <w:lang w:val="ar-SA"/>
        </w:rPr>
        <w:t>)</w:t>
      </w:r>
    </w:p>
    <w:p w14:paraId="53E3BC78" w14:textId="77777777" w:rsidR="00454428" w:rsidRDefault="00000000" w:rsidP="00C72BA8">
      <w:pPr>
        <w:pStyle w:val="ListParagraph"/>
        <w:numPr>
          <w:ilvl w:val="0"/>
          <w:numId w:val="141"/>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مكتب براءات الاختراع والعلامات التجارية الأمريكي بالموارد اللازمة؛ لضمان حصول الاختراعات الجيدة فقط على الحماية المناسبة للملكية الفكرية</w:t>
      </w:r>
      <w:r>
        <w:rPr>
          <w:rStyle w:val="None"/>
          <w:rFonts w:ascii="Times New Roman" w:hAnsi="Times New Roman"/>
          <w:sz w:val="24"/>
          <w:szCs w:val="24"/>
          <w:rtl/>
          <w:lang w:val="ar-SA"/>
        </w:rPr>
        <w:t>.</w:t>
      </w:r>
    </w:p>
    <w:p w14:paraId="62C222C8" w14:textId="77777777" w:rsidR="00454428" w:rsidRDefault="00000000" w:rsidP="00C72BA8">
      <w:pPr>
        <w:pStyle w:val="ListParagraph"/>
        <w:numPr>
          <w:ilvl w:val="0"/>
          <w:numId w:val="141"/>
        </w:numPr>
        <w:spacing w:before="120" w:after="120" w:line="360" w:lineRule="auto"/>
        <w:jc w:val="both"/>
        <w:rPr>
          <w:rFonts w:cs="Times New Roman" w:hint="default"/>
          <w:sz w:val="24"/>
          <w:szCs w:val="24"/>
          <w:rtl/>
          <w:lang w:val="ar-SA"/>
        </w:rPr>
      </w:pPr>
      <w:r>
        <w:rPr>
          <w:rStyle w:val="None"/>
          <w:rFonts w:cs="Times New Roman"/>
          <w:sz w:val="24"/>
          <w:szCs w:val="24"/>
          <w:rtl/>
          <w:lang w:val="ar-SA"/>
        </w:rPr>
        <w:t>إحراز تقدم بشأن المقترحات التشريعية لتعزيز قابلية إنفاذ حقوق الملكية الفكرية المشروعة</w:t>
      </w:r>
      <w:r>
        <w:rPr>
          <w:rStyle w:val="None"/>
          <w:rFonts w:ascii="Times New Roman" w:hAnsi="Times New Roman"/>
          <w:sz w:val="24"/>
          <w:szCs w:val="24"/>
          <w:rtl/>
          <w:lang w:val="ar-SA"/>
        </w:rPr>
        <w:t>.</w:t>
      </w:r>
    </w:p>
    <w:p w14:paraId="4CBD2EA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وضع مكتب حقوق الطبع والنشر سياسةَ حقوق الطبع والنشر على مدار ما يقرب من قرن، وذلك بشكل رئيسي من خلال المساعدة في تطوير التشريعات، وإصدار اللوائح والمشاركة في التقاضي، وقد عمل المكتب بشكل وثيق مع لجان الكونغرس بشكل يومي، وشارك بشكل كامل في صياغة قانون حقوق الطبع والنشر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بالإضافة إلى العمل على كل تعديل لاحق،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يحدث التعاون في العديد من القضايا بين مختلف الوكالات في السلطة التنفيذية، وفي أغلب الأحيان وزارة العدل، ومكتب براءات الاختراع، والعلامات التجارية؛ من أجل حماية حقوق الملكية الفكرية في الولايات المتحدة بشكل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B432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المجالات الرئيسية الثلاثة لقانون الملكية الفكرية التي يستخدمها المبتكرون لحماية أفكارهم في العلامات التجارية، وبراءات الاختراع، وحقوق الطبع والنشر، ويُجسّد مكتب إنفاذ حقوق الملكية الفكرية الدولية عبقرية أمريكا للعالم؛ حيث يدافع مكتب إنفاذ حقوق الملكية الفكرية عن حماية حقوق الملكية الفكرية وإنفاذها بفاعلية حول العالم، ويعمل فريق المكتب بشكل وثيق مع سفراء ودبلوماسيِّي الولايات المتحدة العاملين حول العالم؛ لضمان تمثيل مصالح أصحاب الحقوق الأمريكيين في الخارج، ولإبراز الدور الأساسي الذي تلعبه حماية حقوق الملكية الفكرية في دعم الابتكار العالمي والنمو الاقتصادي، ويعمل المكتب على تحقيق الاتي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6"/>
      </w:r>
      <w:r>
        <w:rPr>
          <w:rStyle w:val="None"/>
          <w:rFonts w:ascii="Times New Roman" w:hAnsi="Times New Roman"/>
          <w:sz w:val="24"/>
          <w:szCs w:val="24"/>
          <w:vertAlign w:val="superscript"/>
          <w:rtl/>
          <w:lang w:val="ar-SA"/>
        </w:rPr>
        <w:t>)</w:t>
      </w:r>
    </w:p>
    <w:p w14:paraId="6BF13E6A" w14:textId="77777777" w:rsidR="00454428" w:rsidRDefault="00000000" w:rsidP="00C72BA8">
      <w:pPr>
        <w:pStyle w:val="ListParagraph"/>
        <w:numPr>
          <w:ilvl w:val="0"/>
          <w:numId w:val="14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أنظمةً قويةً لحقوق الملكية الفكرية</w:t>
      </w:r>
      <w:r>
        <w:rPr>
          <w:rStyle w:val="None"/>
          <w:rFonts w:ascii="Times New Roman" w:hAnsi="Times New Roman"/>
          <w:sz w:val="24"/>
          <w:szCs w:val="24"/>
          <w:rtl/>
          <w:lang w:val="ar-SA"/>
        </w:rPr>
        <w:t>.</w:t>
      </w:r>
    </w:p>
    <w:p w14:paraId="20F467F7" w14:textId="77777777" w:rsidR="00454428" w:rsidRDefault="00000000" w:rsidP="00C72BA8">
      <w:pPr>
        <w:pStyle w:val="ListParagraph"/>
        <w:numPr>
          <w:ilvl w:val="0"/>
          <w:numId w:val="14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ردع الوصول إلى السلع المقلدة والمقرصنة التي قد تضر بالمستهلكين</w:t>
      </w:r>
      <w:r>
        <w:rPr>
          <w:rStyle w:val="None"/>
          <w:rFonts w:ascii="Times New Roman" w:hAnsi="Times New Roman"/>
          <w:sz w:val="24"/>
          <w:szCs w:val="24"/>
          <w:rtl/>
          <w:lang w:val="ar-SA"/>
        </w:rPr>
        <w:t>.</w:t>
      </w:r>
    </w:p>
    <w:p w14:paraId="5B452128" w14:textId="77777777" w:rsidR="00454428" w:rsidRDefault="00000000" w:rsidP="00C72BA8">
      <w:pPr>
        <w:pStyle w:val="ListParagraph"/>
        <w:numPr>
          <w:ilvl w:val="0"/>
          <w:numId w:val="143"/>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حماية مصالح أصحاب حقوق الملكية الفكرية الأمريكيين في الخارج</w:t>
      </w:r>
      <w:r>
        <w:rPr>
          <w:rStyle w:val="None"/>
          <w:rFonts w:ascii="Times New Roman" w:hAnsi="Times New Roman"/>
          <w:sz w:val="24"/>
          <w:szCs w:val="24"/>
          <w:rtl/>
          <w:lang w:val="ar-SA"/>
        </w:rPr>
        <w:t>.</w:t>
      </w:r>
    </w:p>
    <w:p w14:paraId="0615DEBD" w14:textId="77777777" w:rsidR="00454428" w:rsidRDefault="00000000" w:rsidP="00C72BA8">
      <w:pPr>
        <w:pStyle w:val="ListParagraph"/>
        <w:numPr>
          <w:ilvl w:val="0"/>
          <w:numId w:val="14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الترويج لحماية حقوق الملكية الفكرية وإنفاذها باعتبارها أمرًا حيويًا للتنمية الاقتصادية</w:t>
      </w:r>
      <w:r>
        <w:rPr>
          <w:rStyle w:val="None"/>
          <w:rFonts w:ascii="Times New Roman" w:hAnsi="Times New Roman"/>
          <w:sz w:val="24"/>
          <w:szCs w:val="24"/>
          <w:rtl/>
          <w:lang w:val="ar-SA"/>
        </w:rPr>
        <w:t>.</w:t>
      </w:r>
    </w:p>
    <w:p w14:paraId="100EBF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الملكية الفكرية في الولايات المتحدة يعتبر إطارًا تشريعيًّا لحماية الابتكار والإبداع، كما يشمل براءات الاختراع والعلامات التجارية، وحقوق النشر، بالإضافة إلى التطوُّر القانوني في الولايات المتحدة لمواكبة التحديات في البيئة الرقمية، ومن أهم هذه التطوُّرات قانون الاختراعات الذي صدر عام </w:t>
      </w:r>
      <w:r>
        <w:rPr>
          <w:rStyle w:val="None"/>
          <w:rFonts w:ascii="Times New Roman" w:hAnsi="Times New Roman"/>
          <w:sz w:val="24"/>
          <w:szCs w:val="24"/>
          <w:rtl/>
          <w:lang w:val="ar-SA"/>
        </w:rPr>
        <w:t xml:space="preserve">2011 </w:t>
      </w:r>
      <w:r>
        <w:rPr>
          <w:rStyle w:val="None"/>
          <w:rFonts w:ascii="Arial Unicode MS" w:hAnsi="Arial Unicode MS" w:cs="Times New Roman" w:hint="cs"/>
          <w:sz w:val="24"/>
          <w:szCs w:val="24"/>
          <w:rtl/>
          <w:lang w:val="ar-SA"/>
        </w:rPr>
        <w:t xml:space="preserve">وهو نظام أولوية التسجيل، وقانون الدافع عن الأسرار التجارية الذي صدر 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كما اشترك مكتب التحقيقات الفيدرالي ومكتب براءات الاختراع والعلامات التجارية؛ لحماية حقوق الملكية الفكرية محليًا ودوليًا</w:t>
      </w:r>
      <w:r>
        <w:rPr>
          <w:rStyle w:val="None"/>
          <w:rFonts w:ascii="Times New Roman" w:hAnsi="Times New Roman"/>
          <w:sz w:val="24"/>
          <w:szCs w:val="24"/>
          <w:rtl/>
          <w:lang w:val="ar-SA"/>
        </w:rPr>
        <w:t>.</w:t>
      </w:r>
    </w:p>
    <w:p w14:paraId="20C2EBC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نطاق حماية الملكية الفكرية في التشريع الفَرنسي</w:t>
      </w:r>
      <w:r>
        <w:rPr>
          <w:rStyle w:val="None"/>
          <w:rFonts w:ascii="Times New Roman" w:hAnsi="Times New Roman"/>
          <w:b/>
          <w:bCs/>
          <w:sz w:val="28"/>
          <w:szCs w:val="28"/>
          <w:rtl/>
          <w:lang w:val="ar-SA"/>
        </w:rPr>
        <w:t>:</w:t>
      </w:r>
    </w:p>
    <w:p w14:paraId="70DCC7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جاءت نقطة التحول في عام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فيما يتعلق بتحرير التجارة؛ حيث ألغى قانون براءات الاختراع 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نهائيًا الاحتكار، وأعلن أنَّ جميع الاختراعات أو الاكتشافات الجديدة في جميع مجالات الصناعة ملكٌ لمبدعها، وقد كانت تُمنح براءة الاختراع لمدة خمس أو عشر أو خمس عشرة سنةً، وعند انقضائها، ينتقل الاختراع إلى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7"/>
      </w:r>
      <w:r>
        <w:rPr>
          <w:rStyle w:val="None"/>
          <w:rFonts w:ascii="Times New Roman" w:hAnsi="Times New Roman"/>
          <w:sz w:val="24"/>
          <w:szCs w:val="24"/>
          <w:vertAlign w:val="superscript"/>
          <w:rtl/>
          <w:lang w:val="ar-SA"/>
        </w:rPr>
        <w:t>)</w:t>
      </w:r>
    </w:p>
    <w:p w14:paraId="60E9E3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الملكية الفكرية وفق التشريع الفَرنسي إلى حق ملكية مُنشأ قانونًا يمنع الآخرين من استخدام إبداعات غيرهم الفكرية دون تصريح، وتتيح الملكية الفكرية تسويق أفكار الفرد المبتكرة، والإبداعية، واستغلالها تجاريًا، وتتكوَّن حقوق الملكية الفكرية 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8"/>
      </w:r>
      <w:r>
        <w:rPr>
          <w:rStyle w:val="None"/>
          <w:rFonts w:ascii="Times New Roman" w:hAnsi="Times New Roman"/>
          <w:sz w:val="24"/>
          <w:szCs w:val="24"/>
          <w:vertAlign w:val="superscript"/>
          <w:rtl/>
          <w:lang w:val="ar-SA"/>
        </w:rPr>
        <w:t>)</w:t>
      </w:r>
    </w:p>
    <w:p w14:paraId="07C4ED43" w14:textId="77777777" w:rsidR="00454428" w:rsidRDefault="00000000" w:rsidP="00C72BA8">
      <w:pPr>
        <w:pStyle w:val="ListParagraph"/>
        <w:numPr>
          <w:ilvl w:val="0"/>
          <w:numId w:val="14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الحلول التقنية المبتكرة في جميع مجالات الصناعة</w:t>
      </w:r>
      <w:r>
        <w:rPr>
          <w:rStyle w:val="None"/>
          <w:rFonts w:ascii="Times New Roman" w:hAnsi="Times New Roman"/>
          <w:sz w:val="24"/>
          <w:szCs w:val="24"/>
          <w:rtl/>
          <w:lang w:val="ar-SA"/>
        </w:rPr>
        <w:t>.</w:t>
      </w:r>
    </w:p>
    <w:p w14:paraId="28CEE1D5" w14:textId="77777777" w:rsidR="00454428" w:rsidRDefault="00000000" w:rsidP="00C72BA8">
      <w:pPr>
        <w:pStyle w:val="ListParagraph"/>
        <w:numPr>
          <w:ilvl w:val="0"/>
          <w:numId w:val="1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والتي تحمي الإبداعات الفكرية الأصلية في الفنون الإبداعية</w:t>
      </w:r>
      <w:r>
        <w:rPr>
          <w:rStyle w:val="None"/>
          <w:rFonts w:ascii="Times New Roman" w:hAnsi="Times New Roman"/>
          <w:sz w:val="24"/>
          <w:szCs w:val="24"/>
          <w:rtl/>
          <w:lang w:val="ar-SA"/>
        </w:rPr>
        <w:t>.</w:t>
      </w:r>
    </w:p>
    <w:p w14:paraId="23BA6E97" w14:textId="77777777" w:rsidR="00454428" w:rsidRDefault="00000000" w:rsidP="00C72BA8">
      <w:pPr>
        <w:pStyle w:val="ListParagraph"/>
        <w:numPr>
          <w:ilvl w:val="0"/>
          <w:numId w:val="1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العلامات المميزة التي تُشير إلى أصل المنتج التجاري</w:t>
      </w:r>
      <w:r>
        <w:rPr>
          <w:rStyle w:val="None"/>
          <w:rFonts w:ascii="Times New Roman" w:hAnsi="Times New Roman"/>
          <w:sz w:val="24"/>
          <w:szCs w:val="24"/>
          <w:rtl/>
          <w:lang w:val="ar-SA"/>
        </w:rPr>
        <w:t>.</w:t>
      </w:r>
    </w:p>
    <w:p w14:paraId="423151E6" w14:textId="77777777" w:rsidR="00454428" w:rsidRDefault="00000000" w:rsidP="00C72BA8">
      <w:pPr>
        <w:pStyle w:val="ListParagraph"/>
        <w:numPr>
          <w:ilvl w:val="0"/>
          <w:numId w:val="1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التصاميم</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المظهر المرئي للمنتج</w:t>
      </w:r>
      <w:r>
        <w:rPr>
          <w:rStyle w:val="None"/>
          <w:rFonts w:ascii="Times New Roman" w:hAnsi="Times New Roman"/>
          <w:sz w:val="24"/>
          <w:szCs w:val="24"/>
          <w:rtl/>
          <w:lang w:val="ar-SA"/>
        </w:rPr>
        <w:t>.</w:t>
      </w:r>
    </w:p>
    <w:p w14:paraId="791FC37C" w14:textId="77777777" w:rsidR="00454428" w:rsidRDefault="00000000" w:rsidP="00C72BA8">
      <w:pPr>
        <w:pStyle w:val="ListParagraph"/>
        <w:numPr>
          <w:ilvl w:val="0"/>
          <w:numId w:val="1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البيانات السرية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يمكن أنْ تلجأ المؤسسة إلى حماية معلوماتها السرية من الاستغلال غير المشروع من خلال الحفاظ عليها كسرٍّ تجاري</w:t>
      </w:r>
      <w:r>
        <w:rPr>
          <w:rStyle w:val="None"/>
          <w:rFonts w:ascii="Times New Roman" w:hAnsi="Times New Roman"/>
          <w:sz w:val="24"/>
          <w:szCs w:val="24"/>
          <w:rtl/>
          <w:lang w:val="ar-SA"/>
        </w:rPr>
        <w:t>.</w:t>
      </w:r>
    </w:p>
    <w:p w14:paraId="529B71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لم يظهر نظام براءات اختراع حديث في فرنسا إلا في نهاية القرن الثامن عشر؛ حيث إنَّه في أعقاب الثورة الفرنسية، تحديًدا في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xml:space="preserve">، صوّتت الجمعية الوطنية على أول لائحة لبراءات الاختراع لتصبح قانونًا </w:t>
      </w:r>
      <w:r>
        <w:rPr>
          <w:rStyle w:val="None"/>
          <w:rFonts w:ascii="Arial Unicode MS" w:hAnsi="Arial Unicode MS" w:cs="Times New Roman" w:hint="cs"/>
          <w:sz w:val="24"/>
          <w:szCs w:val="24"/>
          <w:rtl/>
          <w:lang w:val="ar-SA"/>
        </w:rPr>
        <w:lastRenderedPageBreak/>
        <w:t>يمنح المخترعين احتكارًا لمدة خمس أو عشر أو خمس عشرة سنةً على اختراع شيء جديد، وقد حلت براءات الاختراع الجديدة محل امتيازات الاختراع التي كان يمنحها الملك لفترة طويلة خلال النظام القديم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9"/>
      </w:r>
      <w:r>
        <w:rPr>
          <w:rStyle w:val="None"/>
          <w:rFonts w:ascii="Times New Roman" w:hAnsi="Times New Roman"/>
          <w:sz w:val="24"/>
          <w:szCs w:val="24"/>
          <w:vertAlign w:val="superscript"/>
          <w:rtl/>
          <w:lang w:val="ar-SA"/>
        </w:rPr>
        <w:t>)</w:t>
      </w:r>
    </w:p>
    <w:p w14:paraId="3060BBB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كانت فرنسا من أوائل الدول الصناعية الكبرى التي اعتمدت تشريعًا بشأن 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ولعبت دورًا رائدًا في ظهور أولى اللوائح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الاتحاد الدولي لحماية الملكية الصناعية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اتحاد باريس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وعلى عكس النظام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فلسفة وتطبيق الملكية الفكرية في فرنسا، وهيكل أنظمة براءات الاختراع وحقوق التأليف والنشر، وأنماط الاختراع الناتجة عنها، كانت جميعها متسقةً مع الطبيعة الأوليغارشية للمجتمع الأوروبي، فقد ظلت السياسات التجارية الفرنسية قائمةً خلال القرن التاسع عشر على انعدام الثقة بالاختراعات الأجنبية، وتفضيل السرية، وتعزيز الاختراعات المحلية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0"/>
      </w:r>
      <w:r>
        <w:rPr>
          <w:rStyle w:val="None"/>
          <w:rFonts w:ascii="Times New Roman" w:hAnsi="Times New Roman"/>
          <w:sz w:val="24"/>
          <w:szCs w:val="24"/>
          <w:vertAlign w:val="superscript"/>
          <w:rtl/>
          <w:lang w:val="ar-SA"/>
        </w:rPr>
        <w:t>)</w:t>
      </w:r>
    </w:p>
    <w:p w14:paraId="0A0F295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تطوَّرت التشريعات الفرنسية المتعلقة بالملكية الفكرية من خلال النقاط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1"/>
      </w:r>
      <w:r>
        <w:rPr>
          <w:rStyle w:val="None"/>
          <w:rFonts w:ascii="Times New Roman" w:hAnsi="Times New Roman"/>
          <w:sz w:val="24"/>
          <w:szCs w:val="24"/>
          <w:vertAlign w:val="superscript"/>
          <w:rtl/>
          <w:lang w:val="ar-SA"/>
        </w:rPr>
        <w:t>)</w:t>
      </w:r>
    </w:p>
    <w:p w14:paraId="02B29740" w14:textId="77777777" w:rsidR="00454428" w:rsidRDefault="00000000" w:rsidP="00C72BA8">
      <w:pPr>
        <w:pStyle w:val="ListParagraph"/>
        <w:numPr>
          <w:ilvl w:val="0"/>
          <w:numId w:val="14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1791</w:t>
      </w:r>
      <w:r>
        <w:rPr>
          <w:rStyle w:val="None"/>
          <w:rFonts w:cs="Times New Roman"/>
          <w:sz w:val="24"/>
          <w:szCs w:val="24"/>
          <w:rtl/>
          <w:lang w:val="ar-SA"/>
        </w:rPr>
        <w:t xml:space="preserve">، اعتمدت فرنسا </w:t>
      </w:r>
      <w:r>
        <w:rPr>
          <w:rStyle w:val="None"/>
          <w:rFonts w:ascii="Times New Roman" w:hAnsi="Times New Roman"/>
          <w:sz w:val="24"/>
          <w:szCs w:val="24"/>
          <w:rtl/>
          <w:lang w:val="ar-SA"/>
        </w:rPr>
        <w:t>-</w:t>
      </w:r>
      <w:r>
        <w:rPr>
          <w:rStyle w:val="None"/>
          <w:rFonts w:cs="Times New Roman"/>
          <w:sz w:val="24"/>
          <w:szCs w:val="24"/>
          <w:rtl/>
          <w:lang w:val="ar-SA"/>
        </w:rPr>
        <w:t>وهي دولة صناعية كبرى أخرى</w:t>
      </w:r>
      <w:r>
        <w:rPr>
          <w:rStyle w:val="None"/>
          <w:rFonts w:ascii="Times New Roman" w:hAnsi="Times New Roman"/>
          <w:sz w:val="24"/>
          <w:szCs w:val="24"/>
          <w:rtl/>
          <w:lang w:val="ar-SA"/>
        </w:rPr>
        <w:t xml:space="preserve">- </w:t>
      </w:r>
      <w:r>
        <w:rPr>
          <w:rStyle w:val="None"/>
          <w:rFonts w:cs="Times New Roman"/>
          <w:sz w:val="24"/>
          <w:szCs w:val="24"/>
          <w:rtl/>
          <w:lang w:val="ar-SA"/>
        </w:rPr>
        <w:t>تشريعاتٍ بشأن براءات الاختراع، مشابهةً لقانون إنجلترا</w:t>
      </w:r>
      <w:r>
        <w:rPr>
          <w:rStyle w:val="None"/>
          <w:rFonts w:ascii="Times New Roman" w:hAnsi="Times New Roman"/>
          <w:sz w:val="24"/>
          <w:szCs w:val="24"/>
          <w:rtl/>
          <w:lang w:val="ar-SA"/>
        </w:rPr>
        <w:t>.</w:t>
      </w:r>
    </w:p>
    <w:p w14:paraId="18612A26" w14:textId="77777777" w:rsidR="00454428" w:rsidRDefault="00000000" w:rsidP="00C72BA8">
      <w:pPr>
        <w:pStyle w:val="ListParagraph"/>
        <w:numPr>
          <w:ilvl w:val="0"/>
          <w:numId w:val="14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1857</w:t>
      </w:r>
      <w:r>
        <w:rPr>
          <w:rStyle w:val="None"/>
          <w:rFonts w:cs="Times New Roman"/>
          <w:sz w:val="24"/>
          <w:szCs w:val="24"/>
          <w:rtl/>
          <w:lang w:val="ar-SA"/>
        </w:rPr>
        <w:t>، وسّعت فرنسا رسميًا نطاق قانونها الثوري لحقوق المؤلف ليشمل مستعمراتها؛ حيث اعتُمدت قوانين الملكية الفكرية الفرنسية في مستعمراتها، وانتشرت أيضًا إلى دول أوروبية أخرى، مثل إسبانيا</w:t>
      </w:r>
      <w:r>
        <w:rPr>
          <w:rStyle w:val="None"/>
          <w:rFonts w:ascii="Times New Roman" w:hAnsi="Times New Roman"/>
          <w:sz w:val="24"/>
          <w:szCs w:val="24"/>
          <w:rtl/>
          <w:lang w:val="ar-SA"/>
        </w:rPr>
        <w:t>.</w:t>
      </w:r>
    </w:p>
    <w:p w14:paraId="629ABA9D" w14:textId="77777777" w:rsidR="00454428" w:rsidRDefault="00000000" w:rsidP="00C72BA8">
      <w:pPr>
        <w:pStyle w:val="ListParagraph"/>
        <w:numPr>
          <w:ilvl w:val="0"/>
          <w:numId w:val="14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1883</w:t>
      </w:r>
      <w:r>
        <w:rPr>
          <w:rStyle w:val="None"/>
          <w:rFonts w:cs="Times New Roman"/>
          <w:sz w:val="24"/>
          <w:szCs w:val="24"/>
          <w:rtl/>
          <w:lang w:val="ar-SA"/>
        </w:rPr>
        <w:t>، وقّعت إحدى عشرة دولةً من بينها فرنسا على اتفاقية باريس، كاتفاقية دولية تُمكّن المخترعين من حماية ابتكاراتهم حتى لو تم استخدامها في دول أخرى</w:t>
      </w:r>
      <w:r>
        <w:rPr>
          <w:rStyle w:val="None"/>
          <w:rFonts w:ascii="Times New Roman" w:hAnsi="Times New Roman"/>
          <w:sz w:val="24"/>
          <w:szCs w:val="24"/>
          <w:rtl/>
          <w:lang w:val="ar-SA"/>
        </w:rPr>
        <w:t>.</w:t>
      </w:r>
    </w:p>
    <w:p w14:paraId="64F5FC77" w14:textId="77777777" w:rsidR="00454428" w:rsidRDefault="00000000" w:rsidP="00C72BA8">
      <w:pPr>
        <w:pStyle w:val="ListParagraph"/>
        <w:numPr>
          <w:ilvl w:val="0"/>
          <w:numId w:val="14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1886</w:t>
      </w:r>
      <w:r>
        <w:rPr>
          <w:rStyle w:val="None"/>
          <w:rFonts w:cs="Times New Roman"/>
          <w:sz w:val="24"/>
          <w:szCs w:val="24"/>
          <w:rtl/>
          <w:lang w:val="ar-SA"/>
        </w:rPr>
        <w:t>، وعلى خطى اتفاقية باريس، قُبلت اتفاقية برن كاتفاقية دولية تُنظّم حقوق الطبع والنشر، وقد تم التوقيع عليها من قبل بلجيكا، وفرنسا، وألمانيا، وهايتي، وإيطاليا، وليبيريا، وإسبانيا، وسويسرا، وتونس، والمملكة المتحدة، كما شملت أيضًا أراضيها الاستعمارية في جميع أنحاء العالم</w:t>
      </w:r>
      <w:r>
        <w:rPr>
          <w:rStyle w:val="None"/>
          <w:rFonts w:ascii="Times New Roman" w:hAnsi="Times New Roman"/>
          <w:sz w:val="24"/>
          <w:szCs w:val="24"/>
          <w:rtl/>
          <w:lang w:val="ar-SA"/>
        </w:rPr>
        <w:t>.</w:t>
      </w:r>
    </w:p>
    <w:p w14:paraId="4BE33C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القانوني الفرنسي قد شهد تحوُّلًا في مجال الملكية الفكرية، ففي عام صدر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تم إصدار أول قانون لبراءات الاختراع، فقد منح حماية لمدة تتراوح بين خمس إلى خمس عشرة سنةً، كما يشمل هذا القانون للملكية الفكرية براءات الاختراع، وحقوق الطبع والنشر، والعلامات التجارية، والتصاميم، فالقانون يهدف إلى استغلال إبداعاتهم قانونًا، كما لعبت فرنسا دورًا مهمًّا لانضمامها لاتفاقية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لحقوق المؤلف عام </w:t>
      </w:r>
      <w:r>
        <w:rPr>
          <w:rStyle w:val="None"/>
          <w:rFonts w:ascii="Times New Roman" w:hAnsi="Times New Roman"/>
          <w:sz w:val="24"/>
          <w:szCs w:val="24"/>
          <w:rtl/>
          <w:lang w:val="ar-SA"/>
        </w:rPr>
        <w:t>1886.</w:t>
      </w:r>
    </w:p>
    <w:p w14:paraId="679490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أنشأ مؤتمر باريس عام </w:t>
      </w:r>
      <w:r>
        <w:rPr>
          <w:rStyle w:val="None"/>
          <w:rFonts w:ascii="Times New Roman" w:hAnsi="Times New Roman"/>
          <w:sz w:val="24"/>
          <w:szCs w:val="24"/>
          <w:rtl/>
          <w:lang w:val="ar-SA"/>
        </w:rPr>
        <w:t xml:space="preserve">1878 </w:t>
      </w:r>
      <w:r>
        <w:rPr>
          <w:rStyle w:val="None"/>
          <w:rFonts w:ascii="Arial Unicode MS" w:hAnsi="Arial Unicode MS" w:cs="Times New Roman" w:hint="cs"/>
          <w:sz w:val="24"/>
          <w:szCs w:val="24"/>
          <w:rtl/>
          <w:lang w:val="ar-SA"/>
        </w:rPr>
        <w:t>لجنةً، نتج عنها في نهاية المطاف مسودة اتفاقية نوقشت في أول اجتماع رسمي حول النظام الدولي لحقوق الملكية الفكرية، وفي النهاية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صدّقت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دولةً على مسودة الاتفاقية هذه في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في شكل اتفاقية باريس للاتحاد الدولي لحماية الملكية الصناعية، وكانت الدول الموقعة الأصلية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بلجيكا، </w:t>
      </w:r>
      <w:r>
        <w:rPr>
          <w:rStyle w:val="None"/>
          <w:rFonts w:ascii="Arial Unicode MS" w:hAnsi="Arial Unicode MS" w:cs="Times New Roman" w:hint="cs"/>
          <w:sz w:val="24"/>
          <w:szCs w:val="24"/>
          <w:rtl/>
          <w:lang w:val="ar-SA"/>
        </w:rPr>
        <w:lastRenderedPageBreak/>
        <w:t xml:space="preserve">والبرتغال، وفرنسا، وغواتيمالا، وإيطاليا، وهولندا، وسان سلفادور، وصربيا، وإسبانيا، وسويسرا، ولم تقتصر الاتفاقية على براءات الاختراع فحسب، بل شملت أيضًا قوانين العلامات التجارية التي مكّنت سويسرا وهولندا، اللتين لا تملكان براءات اختراع، من الانضمام إلى الاتفاقية رغم عدم وجود قانون لبراءات الاختراع، وفي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وُقّعت اتفاقية برن بشأن حقوق التأليف والنشر، كما تم تعديل اتفاقية باريس لاحقًا عدة مرات لا سيما في أعوام </w:t>
      </w:r>
      <w:r>
        <w:rPr>
          <w:rStyle w:val="None"/>
          <w:rFonts w:ascii="Times New Roman" w:hAnsi="Times New Roman"/>
          <w:sz w:val="24"/>
          <w:szCs w:val="24"/>
          <w:rtl/>
          <w:lang w:val="ar-SA"/>
        </w:rPr>
        <w:t>1911</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1925</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1934</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1958</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بهدف تعزيز حقوق أصحاب براءات الاختراع، وشكَّلت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 جانب اتفاقية برن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أساس النظام الدولي لحقوق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8213E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وعندما وُقِّعت اتفاقية باريس لحماية الملكية الفكرية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لم يكن أحد ليتوقع التأثير العميق الذي أحدثته فرنسا على المشهد العالمي للملكية الفكرية؛ حيث قد مهدت هذه اللحظة التاريخية الطريق لرحلة استثنائية من الابتكار والريادة، ومع تأسيس الجمعية الفرنسية لحماية الملكية الفكرية عام </w:t>
      </w:r>
      <w:r>
        <w:rPr>
          <w:rStyle w:val="None"/>
          <w:rFonts w:ascii="Times New Roman" w:hAnsi="Times New Roman"/>
          <w:sz w:val="24"/>
          <w:szCs w:val="24"/>
          <w:rtl/>
          <w:lang w:val="ar-SA"/>
        </w:rPr>
        <w:t>1897</w:t>
      </w:r>
      <w:r>
        <w:rPr>
          <w:rStyle w:val="None"/>
          <w:rFonts w:ascii="Arial Unicode MS" w:hAnsi="Arial Unicode MS" w:cs="Times New Roman" w:hint="cs"/>
          <w:sz w:val="24"/>
          <w:szCs w:val="24"/>
          <w:rtl/>
          <w:lang w:val="ar-SA"/>
        </w:rPr>
        <w:t>، كان الأعضاء الفَرنسيون في طليعة الحركة، ليس فقط كمشاركين، بل كمهندسين لحركةٍ ساهمت في تشكيل وتنسيق الملكية الفكرية عالميًا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3"/>
      </w:r>
      <w:r>
        <w:rPr>
          <w:rStyle w:val="None"/>
          <w:rFonts w:ascii="Times New Roman" w:hAnsi="Times New Roman"/>
          <w:sz w:val="24"/>
          <w:szCs w:val="24"/>
          <w:vertAlign w:val="superscript"/>
          <w:rtl/>
          <w:lang w:val="ar-SA"/>
        </w:rPr>
        <w:t>)</w:t>
      </w:r>
    </w:p>
    <w:p w14:paraId="1E4366CF" w14:textId="77777777" w:rsidR="00454428" w:rsidRDefault="00000000" w:rsidP="00C72BA8">
      <w:pPr>
        <w:pStyle w:val="Body"/>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النظام الفَرنسي يعترف بحزمتين مترابطتين من الحقوق؛ حيث تحمي حزمة واحدة في المقام الأول المصالح الاقتصادية في العمل الإبداعي، وهي الحقوق التراثية، بينما تحمي حزمة أخرى في المقام الأول القيم الأخرى غير الاقتصادية في العمل، وهي الحقوق الأخلاقية،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القانون الأخلاقي هو جزء من قانون الملكية الفكرية الفَرنسي، الذي يركز بشكل أساسي على الحقوق غير الاقتصادية في العمل الإبداعي، وفي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 xml:space="preserve">1957 </w:t>
      </w:r>
      <w:r>
        <w:rPr>
          <w:rStyle w:val="None"/>
          <w:rFonts w:ascii="Arial Unicode MS" w:hAnsi="Arial Unicode MS" w:cs="Times New Roman" w:hint="cs"/>
          <w:sz w:val="24"/>
          <w:szCs w:val="24"/>
          <w:rtl/>
          <w:lang w:val="ar-SA"/>
        </w:rPr>
        <w:t>سنّ المشرع الفرنسي أول قانون له لحماية المصالح غير الاقتصادية في العمل الإبداعي، وتتكوَّن حزمة الحقوق المعروفة باسم القانون الأخلاقي من أربعة حقوق أساسية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4"/>
      </w:r>
      <w:r>
        <w:rPr>
          <w:rStyle w:val="None"/>
          <w:rFonts w:ascii="Times New Roman" w:hAnsi="Times New Roman"/>
          <w:sz w:val="24"/>
          <w:szCs w:val="24"/>
          <w:vertAlign w:val="superscript"/>
          <w:rtl/>
          <w:lang w:val="ar-SA"/>
        </w:rPr>
        <w:t>)</w:t>
      </w:r>
    </w:p>
    <w:p w14:paraId="1ACBC268" w14:textId="77777777" w:rsidR="00454428" w:rsidRDefault="00000000" w:rsidP="00C72BA8">
      <w:pPr>
        <w:pStyle w:val="ListParagraph"/>
        <w:numPr>
          <w:ilvl w:val="0"/>
          <w:numId w:val="1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الإسناد</w:t>
      </w:r>
      <w:r>
        <w:rPr>
          <w:rStyle w:val="None"/>
          <w:rFonts w:ascii="Times New Roman" w:hAnsi="Times New Roman"/>
          <w:b/>
          <w:bCs/>
          <w:sz w:val="24"/>
          <w:szCs w:val="24"/>
          <w:rtl/>
          <w:lang w:val="ar-SA"/>
        </w:rPr>
        <w:t>:</w:t>
      </w:r>
      <w:r>
        <w:rPr>
          <w:rStyle w:val="None"/>
          <w:rFonts w:cs="Times New Roman"/>
          <w:sz w:val="24"/>
          <w:szCs w:val="24"/>
          <w:rtl/>
          <w:lang w:val="ar-SA"/>
        </w:rPr>
        <w:t xml:space="preserve"> حيث يتم ربط اسم المؤلف بشكل صحيح بعمله الإبداعي</w:t>
      </w:r>
      <w:r>
        <w:rPr>
          <w:rStyle w:val="None"/>
          <w:rFonts w:ascii="Times New Roman" w:hAnsi="Times New Roman"/>
          <w:sz w:val="24"/>
          <w:szCs w:val="24"/>
          <w:rtl/>
          <w:lang w:val="ar-SA"/>
        </w:rPr>
        <w:t>.</w:t>
      </w:r>
    </w:p>
    <w:p w14:paraId="15EDD3E5" w14:textId="77777777" w:rsidR="00454428" w:rsidRDefault="00000000" w:rsidP="00C72BA8">
      <w:pPr>
        <w:pStyle w:val="ListParagraph"/>
        <w:numPr>
          <w:ilvl w:val="0"/>
          <w:numId w:val="1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النزاهة</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النزاهة للمؤلف بالحفاظ على السيطرة الإبداعية على العمل بعد بيعه؛ بحيث لا يمكن للمالك الجديد تعديل العمل إلا بإذن من الشخص الذي أنشأه</w:t>
      </w:r>
      <w:r>
        <w:rPr>
          <w:rStyle w:val="None"/>
          <w:rFonts w:ascii="Times New Roman" w:hAnsi="Times New Roman"/>
          <w:sz w:val="24"/>
          <w:szCs w:val="24"/>
          <w:rtl/>
          <w:lang w:val="ar-SA"/>
        </w:rPr>
        <w:t>.</w:t>
      </w:r>
    </w:p>
    <w:p w14:paraId="5FE6AFF0" w14:textId="77777777" w:rsidR="00454428" w:rsidRDefault="00000000" w:rsidP="00C72BA8">
      <w:pPr>
        <w:pStyle w:val="ListParagraph"/>
        <w:numPr>
          <w:ilvl w:val="0"/>
          <w:numId w:val="1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 حق الإفصاح</w:t>
      </w:r>
      <w:r>
        <w:rPr>
          <w:rStyle w:val="None"/>
          <w:rFonts w:ascii="Times New Roman" w:hAnsi="Times New Roman"/>
          <w:b/>
          <w:bCs/>
          <w:sz w:val="24"/>
          <w:szCs w:val="24"/>
          <w:rtl/>
          <w:lang w:val="ar-SA"/>
        </w:rPr>
        <w:t>:</w:t>
      </w:r>
      <w:r>
        <w:rPr>
          <w:rStyle w:val="None"/>
          <w:rFonts w:cs="Times New Roman"/>
          <w:sz w:val="24"/>
          <w:szCs w:val="24"/>
          <w:rtl/>
          <w:lang w:val="ar-SA"/>
        </w:rPr>
        <w:t xml:space="preserve"> ويمنح حق الإفصاح المؤلف سلطة حصرية لتحديد موعد الانتهاء من العمل وإمكانية الكشف عنه للجمهور</w:t>
      </w:r>
      <w:r>
        <w:rPr>
          <w:rStyle w:val="None"/>
          <w:rFonts w:ascii="Times New Roman" w:hAnsi="Times New Roman"/>
          <w:sz w:val="24"/>
          <w:szCs w:val="24"/>
          <w:rtl/>
          <w:lang w:val="ar-SA"/>
        </w:rPr>
        <w:t>.</w:t>
      </w:r>
    </w:p>
    <w:p w14:paraId="2FF8696C" w14:textId="77777777" w:rsidR="00454428" w:rsidRDefault="00000000" w:rsidP="00C72BA8">
      <w:pPr>
        <w:pStyle w:val="ListParagraph"/>
        <w:numPr>
          <w:ilvl w:val="0"/>
          <w:numId w:val="15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السحب</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السحب للمؤلف باستعادة العمل، وسحبه من العالم</w:t>
      </w:r>
      <w:r>
        <w:rPr>
          <w:rStyle w:val="None"/>
          <w:rFonts w:ascii="Times New Roman" w:hAnsi="Times New Roman"/>
          <w:sz w:val="24"/>
          <w:szCs w:val="24"/>
          <w:rtl/>
          <w:lang w:val="ar-SA"/>
        </w:rPr>
        <w:t>.</w:t>
      </w:r>
    </w:p>
    <w:p w14:paraId="67F128E7" w14:textId="77777777" w:rsidR="00454428" w:rsidRDefault="00000000" w:rsidP="00C72BA8">
      <w:pPr>
        <w:pStyle w:val="Body"/>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حقوق الملكية الفكرية إلى الأقسام التالية وفقًا للقانون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5"/>
      </w:r>
      <w:r>
        <w:rPr>
          <w:rStyle w:val="None"/>
          <w:rFonts w:ascii="Times New Roman" w:hAnsi="Times New Roman"/>
          <w:sz w:val="24"/>
          <w:szCs w:val="24"/>
          <w:vertAlign w:val="superscript"/>
          <w:rtl/>
          <w:lang w:val="ar-SA"/>
        </w:rPr>
        <w:t>)</w:t>
      </w:r>
    </w:p>
    <w:p w14:paraId="29BB0980"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براءة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يُمنح هذا الحق للاختراعات الجديدة وفق المادة </w:t>
      </w:r>
      <w:r>
        <w:rPr>
          <w:rStyle w:val="None"/>
          <w:rFonts w:ascii="Times New Roman" w:hAnsi="Times New Roman"/>
          <w:sz w:val="24"/>
          <w:szCs w:val="24"/>
        </w:rPr>
        <w:t>L. 611-11</w:t>
      </w:r>
      <w:r>
        <w:rPr>
          <w:rStyle w:val="None"/>
          <w:rFonts w:cs="Times New Roman"/>
          <w:sz w:val="24"/>
          <w:szCs w:val="24"/>
          <w:rtl/>
          <w:lang w:val="ar-SA"/>
        </w:rPr>
        <w:t xml:space="preserve"> من قانون الملكية الفكرية؛ حيث يتم منح براءات الاختراع لمدة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عامًا من تاريخ تقديم الطلب وفق المادة </w:t>
      </w:r>
      <w:r>
        <w:rPr>
          <w:rStyle w:val="None"/>
          <w:rFonts w:ascii="Times New Roman" w:hAnsi="Times New Roman"/>
          <w:sz w:val="24"/>
          <w:szCs w:val="24"/>
        </w:rPr>
        <w:t>L. 611-2</w:t>
      </w:r>
      <w:r>
        <w:rPr>
          <w:rStyle w:val="None"/>
          <w:rFonts w:cs="Times New Roman"/>
          <w:sz w:val="24"/>
          <w:szCs w:val="24"/>
          <w:rtl/>
          <w:lang w:val="ar-SA"/>
        </w:rPr>
        <w:t xml:space="preserve"> من قانون الملكية الفكرية، ولا يمكن تجديد أو تمديد براءات الاختراع، باستثناء براءات الاختراع الدوائية والصيدلانية النباتية؛ حيث يمكن تمديد حمايتها لفترة إضافية محددة</w:t>
      </w:r>
      <w:r>
        <w:rPr>
          <w:rStyle w:val="None"/>
          <w:rFonts w:ascii="Times New Roman" w:hAnsi="Times New Roman"/>
          <w:sz w:val="24"/>
          <w:szCs w:val="24"/>
          <w:rtl/>
          <w:lang w:val="ar-SA"/>
        </w:rPr>
        <w:t xml:space="preserve">. </w:t>
      </w:r>
    </w:p>
    <w:p w14:paraId="07683657"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لتسجيل العلامة التجارية، يجب أنْ تُمثَّل بطريقة تُمكِّن الجهات المختصة والجمهور من تحديد موضوع الحماية الممنوحة لمالكها بوضوح ودقة، وأنْ تكون مميزة وغير مضللة، ويتولى المعهد الوطني للملكية الصناعية </w:t>
      </w:r>
      <w:r>
        <w:rPr>
          <w:rStyle w:val="None"/>
          <w:rFonts w:ascii="Times New Roman" w:hAnsi="Times New Roman"/>
          <w:sz w:val="24"/>
          <w:szCs w:val="24"/>
          <w:rtl/>
          <w:lang w:val="ar-SA"/>
        </w:rPr>
        <w:t>(</w:t>
      </w:r>
      <w:r>
        <w:rPr>
          <w:rStyle w:val="None"/>
          <w:rFonts w:ascii="Times New Roman" w:hAnsi="Times New Roman"/>
          <w:sz w:val="24"/>
          <w:szCs w:val="24"/>
        </w:rPr>
        <w:t>INPI</w:t>
      </w:r>
      <w:r>
        <w:rPr>
          <w:rStyle w:val="None"/>
          <w:rFonts w:ascii="Times New Roman" w:hAnsi="Times New Roman"/>
          <w:sz w:val="24"/>
          <w:szCs w:val="24"/>
          <w:rtl/>
          <w:lang w:val="ar-SA"/>
        </w:rPr>
        <w:t xml:space="preserve">) </w:t>
      </w:r>
      <w:r>
        <w:rPr>
          <w:rStyle w:val="None"/>
          <w:rFonts w:cs="Times New Roman"/>
          <w:sz w:val="24"/>
          <w:szCs w:val="24"/>
          <w:rtl/>
          <w:lang w:val="ar-SA"/>
        </w:rPr>
        <w:t>مسئولية تسجيل العلامات التجارية، وبتسجيل العلامة التجارية لدى المعهد، يحصل مقدم الطلب على حق حصري في استخدام العلامة التجارية على الأراضي الفَرنسية لمدة عشر سنواتٍ، قابلة للتجديد لأجل غير مسمى</w:t>
      </w:r>
      <w:r>
        <w:rPr>
          <w:rStyle w:val="None"/>
          <w:rFonts w:ascii="Times New Roman" w:hAnsi="Times New Roman"/>
          <w:sz w:val="24"/>
          <w:szCs w:val="24"/>
          <w:rtl/>
          <w:lang w:val="ar-SA"/>
        </w:rPr>
        <w:t>.</w:t>
      </w:r>
    </w:p>
    <w:p w14:paraId="43F95BFB"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تنص المادة </w:t>
      </w:r>
      <w:r>
        <w:rPr>
          <w:rStyle w:val="None"/>
          <w:rFonts w:ascii="Times New Roman" w:hAnsi="Times New Roman"/>
          <w:sz w:val="24"/>
          <w:szCs w:val="24"/>
        </w:rPr>
        <w:t>L. 112-2</w:t>
      </w:r>
      <w:r>
        <w:rPr>
          <w:rStyle w:val="None"/>
          <w:rFonts w:cs="Times New Roman"/>
          <w:sz w:val="24"/>
          <w:szCs w:val="24"/>
          <w:rtl/>
          <w:lang w:val="ar-SA"/>
        </w:rPr>
        <w:t xml:space="preserve"> من قانون الملكية الفكرية على قائمة من الأعمال، التي تندرج ضمن نطاق الحماية، 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والأعمال الفنية؛ حيث تتمتع جميع أنواع الأعمال بحماية حقوق الطبع والنشر طالما كانت أصلية، أي تحمل اسم وتوقيع المؤلف</w:t>
      </w:r>
      <w:r>
        <w:rPr>
          <w:rStyle w:val="None"/>
          <w:rFonts w:ascii="Times New Roman" w:hAnsi="Times New Roman"/>
          <w:sz w:val="24"/>
          <w:szCs w:val="24"/>
          <w:rtl/>
          <w:lang w:val="ar-SA"/>
        </w:rPr>
        <w:t>.</w:t>
      </w:r>
    </w:p>
    <w:p w14:paraId="504A84C0"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الأسرار التجارية محميةً بموجب القانون رقم </w:t>
      </w:r>
      <w:r>
        <w:rPr>
          <w:rStyle w:val="None"/>
          <w:rFonts w:ascii="Times New Roman" w:hAnsi="Times New Roman"/>
          <w:sz w:val="24"/>
          <w:szCs w:val="24"/>
          <w:rtl/>
          <w:lang w:val="ar-SA"/>
        </w:rPr>
        <w:t xml:space="preserve">2018-670 </w:t>
      </w:r>
      <w:r>
        <w:rPr>
          <w:rStyle w:val="None"/>
          <w:rFonts w:cs="Times New Roman"/>
          <w:sz w:val="24"/>
          <w:szCs w:val="24"/>
          <w:rtl/>
          <w:lang w:val="ar-SA"/>
        </w:rPr>
        <w:t xml:space="preserve">المؤرخ </w:t>
      </w:r>
      <w:r>
        <w:rPr>
          <w:rStyle w:val="None"/>
          <w:rFonts w:ascii="Times New Roman" w:hAnsi="Times New Roman"/>
          <w:sz w:val="24"/>
          <w:szCs w:val="24"/>
          <w:rtl/>
          <w:lang w:val="ar-SA"/>
        </w:rPr>
        <w:t xml:space="preserve">30 </w:t>
      </w:r>
      <w:r>
        <w:rPr>
          <w:rStyle w:val="None"/>
          <w:rFonts w:cs="Times New Roman"/>
          <w:sz w:val="24"/>
          <w:szCs w:val="24"/>
          <w:rtl/>
          <w:lang w:val="ar-SA"/>
        </w:rPr>
        <w:t xml:space="preserve">يوليو </w:t>
      </w:r>
      <w:r>
        <w:rPr>
          <w:rStyle w:val="None"/>
          <w:rFonts w:ascii="Times New Roman" w:hAnsi="Times New Roman"/>
          <w:sz w:val="24"/>
          <w:szCs w:val="24"/>
          <w:rtl/>
          <w:lang w:val="ar-SA"/>
        </w:rPr>
        <w:t>2018</w:t>
      </w:r>
      <w:r>
        <w:rPr>
          <w:rStyle w:val="None"/>
          <w:rFonts w:cs="Times New Roman"/>
          <w:sz w:val="24"/>
          <w:szCs w:val="24"/>
          <w:rtl/>
          <w:lang w:val="ar-SA"/>
        </w:rPr>
        <w:t>، والمتعلق بحماية الأسرار التجارية؛ حيث إنَّ المستفيد من حماية الأسرار التجارية هو المالك الشرعي، أي الشخص الذي يتحكم بها قانونًا،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لا يجوز نشر تلك الأسرار دون إذن من مالكها، وذلك وفق المادة </w:t>
      </w:r>
      <w:r>
        <w:rPr>
          <w:rStyle w:val="None"/>
          <w:rFonts w:ascii="Times New Roman" w:hAnsi="Times New Roman"/>
          <w:sz w:val="24"/>
          <w:szCs w:val="24"/>
        </w:rPr>
        <w:t>L.151-2</w:t>
      </w:r>
      <w:r>
        <w:rPr>
          <w:rStyle w:val="None"/>
          <w:rFonts w:cs="Times New Roman"/>
          <w:sz w:val="24"/>
          <w:szCs w:val="24"/>
          <w:rtl/>
          <w:lang w:val="ar-SA"/>
        </w:rPr>
        <w:t xml:space="preserve"> من القانون التجاري</w:t>
      </w:r>
      <w:r>
        <w:rPr>
          <w:rStyle w:val="None"/>
          <w:rFonts w:ascii="Times New Roman" w:hAnsi="Times New Roman"/>
          <w:sz w:val="24"/>
          <w:szCs w:val="24"/>
          <w:rtl/>
          <w:lang w:val="ar-SA"/>
        </w:rPr>
        <w:t>.</w:t>
      </w:r>
    </w:p>
    <w:p w14:paraId="55D3880D"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w:t>
      </w:r>
      <w:r>
        <w:rPr>
          <w:rStyle w:val="None"/>
          <w:rFonts w:cs="Times New Roman"/>
          <w:sz w:val="24"/>
          <w:szCs w:val="24"/>
          <w:rtl/>
          <w:lang w:val="ar-SA"/>
        </w:rPr>
        <w:t xml:space="preserve"> يمكن حماية قواعد البيانات </w:t>
      </w:r>
      <w:r>
        <w:rPr>
          <w:rStyle w:val="None"/>
          <w:rFonts w:ascii="Times New Roman" w:hAnsi="Times New Roman"/>
          <w:sz w:val="24"/>
          <w:szCs w:val="24"/>
          <w:rtl/>
          <w:lang w:val="ar-SA"/>
        </w:rPr>
        <w:t>-</w:t>
      </w:r>
      <w:r>
        <w:rPr>
          <w:rStyle w:val="None"/>
          <w:rFonts w:cs="Times New Roman"/>
          <w:sz w:val="24"/>
          <w:szCs w:val="24"/>
          <w:rtl/>
          <w:lang w:val="ar-SA"/>
        </w:rPr>
        <w:t xml:space="preserve">كما هو مُعرّف في المادة </w:t>
      </w:r>
      <w:r>
        <w:rPr>
          <w:rStyle w:val="None"/>
          <w:rFonts w:ascii="Times New Roman" w:hAnsi="Times New Roman"/>
          <w:sz w:val="24"/>
          <w:szCs w:val="24"/>
        </w:rPr>
        <w:t>L. 112-3 al.2</w:t>
      </w:r>
      <w:r>
        <w:rPr>
          <w:rStyle w:val="None"/>
          <w:rFonts w:cs="Times New Roman"/>
          <w:sz w:val="24"/>
          <w:szCs w:val="24"/>
          <w:rtl/>
          <w:lang w:val="ar-SA"/>
        </w:rPr>
        <w:t xml:space="preserve"> من قانون البراءات الدولي</w:t>
      </w:r>
      <w:r>
        <w:rPr>
          <w:rStyle w:val="None"/>
          <w:rFonts w:ascii="Times New Roman" w:hAnsi="Times New Roman"/>
          <w:sz w:val="24"/>
          <w:szCs w:val="24"/>
          <w:rtl/>
          <w:lang w:val="ar-SA"/>
        </w:rPr>
        <w:t xml:space="preserve">- </w:t>
      </w:r>
      <w:r>
        <w:rPr>
          <w:rStyle w:val="None"/>
          <w:rFonts w:cs="Times New Roman"/>
          <w:sz w:val="24"/>
          <w:szCs w:val="24"/>
          <w:rtl/>
          <w:lang w:val="ar-SA"/>
        </w:rPr>
        <w:t>بنوعين من حقوق الملكية الفكرية</w:t>
      </w:r>
      <w:r>
        <w:rPr>
          <w:rStyle w:val="None"/>
          <w:rFonts w:ascii="Times New Roman" w:hAnsi="Times New Roman"/>
          <w:sz w:val="24"/>
          <w:szCs w:val="24"/>
          <w:rtl/>
          <w:lang w:val="ar-SA"/>
        </w:rPr>
        <w:t xml:space="preserve">: </w:t>
      </w:r>
      <w:r>
        <w:rPr>
          <w:rStyle w:val="None"/>
          <w:rFonts w:cs="Times New Roman"/>
          <w:sz w:val="24"/>
          <w:szCs w:val="24"/>
          <w:rtl/>
          <w:lang w:val="ar-SA"/>
        </w:rPr>
        <w:t>حقوق الطبع والنشر وحقوق قواعد البيانات الخاصة</w:t>
      </w:r>
      <w:r>
        <w:rPr>
          <w:rStyle w:val="None"/>
          <w:rFonts w:ascii="Times New Roman" w:hAnsi="Times New Roman"/>
          <w:sz w:val="24"/>
          <w:szCs w:val="24"/>
          <w:rtl/>
          <w:lang w:val="ar-SA"/>
        </w:rPr>
        <w:t>.</w:t>
      </w:r>
    </w:p>
    <w:p w14:paraId="2F172D72" w14:textId="77777777" w:rsidR="00454428" w:rsidRDefault="00000000" w:rsidP="00C72BA8">
      <w:pPr>
        <w:pStyle w:val="ListParagraph"/>
        <w:numPr>
          <w:ilvl w:val="0"/>
          <w:numId w:val="15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أسماء النطاقات</w:t>
      </w:r>
      <w:r>
        <w:rPr>
          <w:rStyle w:val="None"/>
          <w:rFonts w:ascii="Times New Roman" w:hAnsi="Times New Roman"/>
          <w:b/>
          <w:bCs/>
          <w:sz w:val="24"/>
          <w:szCs w:val="24"/>
          <w:rtl/>
          <w:lang w:val="ar-SA"/>
        </w:rPr>
        <w:t>:</w:t>
      </w:r>
      <w:r>
        <w:rPr>
          <w:rStyle w:val="None"/>
          <w:rFonts w:cs="Times New Roman"/>
          <w:sz w:val="24"/>
          <w:szCs w:val="24"/>
          <w:rtl/>
          <w:lang w:val="ar-SA"/>
        </w:rPr>
        <w:t xml:space="preserve"> يمنح تسجيل اسم النطاق حق الاستخدام خلال فترة زمنية محددة، يُمنح هذا الحق للشخص الذي يطلب الحجز أولًا، ولحجز اسم نطاق، يجب التواصل مع الهيئة الفرنسية المسئولة عن إدارته وفقً للقانون الفرنسي</w:t>
      </w:r>
      <w:r>
        <w:rPr>
          <w:rStyle w:val="None"/>
          <w:rFonts w:ascii="Times New Roman" w:hAnsi="Times New Roman"/>
          <w:sz w:val="24"/>
          <w:szCs w:val="24"/>
          <w:rtl/>
          <w:lang w:val="ar-SA"/>
        </w:rPr>
        <w:t>.</w:t>
      </w:r>
    </w:p>
    <w:p w14:paraId="273736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أكدت فرنسا على المضي قدمًا نحو الملكية الفكرية من خلال التوقيع على الاتفاقيات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6"/>
      </w:r>
      <w:r>
        <w:rPr>
          <w:rStyle w:val="None"/>
          <w:rFonts w:ascii="Times New Roman" w:hAnsi="Times New Roman"/>
          <w:sz w:val="24"/>
          <w:szCs w:val="24"/>
          <w:vertAlign w:val="superscript"/>
          <w:rtl/>
          <w:lang w:val="ar-SA"/>
        </w:rPr>
        <w:t>)</w:t>
      </w:r>
    </w:p>
    <w:p w14:paraId="0C29D654" w14:textId="77777777" w:rsidR="00454428" w:rsidRDefault="00000000" w:rsidP="00C72BA8">
      <w:pPr>
        <w:pStyle w:val="ListParagraph"/>
        <w:numPr>
          <w:ilvl w:val="0"/>
          <w:numId w:val="1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الاتفاقية الدولية لحماية الملكية الفكرية على الأرجح أهم معاهدة متعددة الأطراف في مجال الملكية الفكرية، وتُعرف باسم </w:t>
      </w:r>
      <w:r>
        <w:rPr>
          <w:rStyle w:val="None"/>
          <w:rFonts w:ascii="Times New Roman" w:hAnsi="Times New Roman"/>
          <w:sz w:val="24"/>
          <w:szCs w:val="24"/>
          <w:rtl/>
          <w:lang w:val="ar-SA"/>
        </w:rPr>
        <w:t>"</w:t>
      </w:r>
      <w:r>
        <w:rPr>
          <w:rStyle w:val="None"/>
          <w:rFonts w:cs="Times New Roman"/>
          <w:sz w:val="24"/>
          <w:szCs w:val="24"/>
          <w:rtl/>
          <w:lang w:val="ar-SA"/>
        </w:rPr>
        <w:t>اتفاقية باريس</w:t>
      </w:r>
      <w:r>
        <w:rPr>
          <w:rStyle w:val="None"/>
          <w:rFonts w:ascii="Times New Roman" w:hAnsi="Times New Roman"/>
          <w:sz w:val="24"/>
          <w:szCs w:val="24"/>
          <w:rtl/>
          <w:lang w:val="ar-SA"/>
        </w:rPr>
        <w:t>"</w:t>
      </w:r>
      <w:r>
        <w:rPr>
          <w:rStyle w:val="None"/>
          <w:rFonts w:cs="Times New Roman"/>
          <w:sz w:val="24"/>
          <w:szCs w:val="24"/>
          <w:rtl/>
          <w:lang w:val="ar-SA"/>
        </w:rPr>
        <w:t xml:space="preserve">، والتي صادقت </w:t>
      </w:r>
      <w:r>
        <w:rPr>
          <w:rStyle w:val="None"/>
          <w:rFonts w:ascii="Times New Roman" w:hAnsi="Times New Roman"/>
          <w:sz w:val="24"/>
          <w:szCs w:val="24"/>
          <w:rtl/>
          <w:lang w:val="ar-SA"/>
        </w:rPr>
        <w:t xml:space="preserve">56 </w:t>
      </w:r>
      <w:r>
        <w:rPr>
          <w:rStyle w:val="None"/>
          <w:rFonts w:cs="Times New Roman"/>
          <w:sz w:val="24"/>
          <w:szCs w:val="24"/>
          <w:rtl/>
          <w:lang w:val="ar-SA"/>
        </w:rPr>
        <w:t>دولةً على أحدث نسخة مُعدّلة من نصّها، الذي يغطي مجموعةً واسعةً من حقوق الملكية الفكرية،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والتصاميم الصناعية، والعلامات التجارية، والأسماء التجارية، وعلامات الخدمة، والعلامات الجماعية، والمنافسة غير العادلة</w:t>
      </w:r>
      <w:r>
        <w:rPr>
          <w:rStyle w:val="None"/>
          <w:rFonts w:ascii="Times New Roman" w:hAnsi="Times New Roman"/>
          <w:sz w:val="24"/>
          <w:szCs w:val="24"/>
          <w:rtl/>
          <w:lang w:val="ar-SA"/>
        </w:rPr>
        <w:t xml:space="preserve">. </w:t>
      </w:r>
    </w:p>
    <w:p w14:paraId="3C0FFF27" w14:textId="77777777" w:rsidR="00454428" w:rsidRDefault="00000000" w:rsidP="00C72BA8">
      <w:pPr>
        <w:pStyle w:val="ListParagraph"/>
        <w:numPr>
          <w:ilvl w:val="0"/>
          <w:numId w:val="1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تُعَدُّ اتفاقية برن، التي وُضعت عام </w:t>
      </w:r>
      <w:r>
        <w:rPr>
          <w:rStyle w:val="None"/>
          <w:rFonts w:ascii="Times New Roman" w:hAnsi="Times New Roman"/>
          <w:sz w:val="24"/>
          <w:szCs w:val="24"/>
          <w:rtl/>
          <w:lang w:val="ar-SA"/>
        </w:rPr>
        <w:t>1886</w:t>
      </w:r>
      <w:r>
        <w:rPr>
          <w:rStyle w:val="None"/>
          <w:rFonts w:cs="Times New Roman"/>
          <w:sz w:val="24"/>
          <w:szCs w:val="24"/>
          <w:rtl/>
          <w:lang w:val="ar-SA"/>
        </w:rPr>
        <w:t>، الاتفاقية الدولية الرئيسية المتعلقة بحماية حقوق النشر، وتستند اتفاقية برن إلى مبدأ المعاملة الوطنية، وتفرض معايير دنيا لحماية حقوق النشر، وتمنح اتفاقية برن المواطنين الأجانب نفس الحماية والمزايا الممنوحة لمواطني أي دولة عضو دون تمييز</w:t>
      </w:r>
      <w:r>
        <w:rPr>
          <w:rStyle w:val="None"/>
          <w:rFonts w:ascii="Times New Roman" w:hAnsi="Times New Roman"/>
          <w:sz w:val="24"/>
          <w:szCs w:val="24"/>
          <w:rtl/>
          <w:lang w:val="ar-SA"/>
        </w:rPr>
        <w:t>.</w:t>
      </w:r>
    </w:p>
    <w:p w14:paraId="4CBC3C35" w14:textId="77777777" w:rsidR="00454428" w:rsidRDefault="00000000" w:rsidP="00C72BA8">
      <w:pPr>
        <w:pStyle w:val="ListParagraph"/>
        <w:numPr>
          <w:ilvl w:val="0"/>
          <w:numId w:val="1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براءات الاختراع الأوروبية</w:t>
      </w:r>
      <w:r>
        <w:rPr>
          <w:rStyle w:val="None"/>
          <w:rFonts w:ascii="Times New Roman" w:hAnsi="Times New Roman"/>
          <w:b/>
          <w:bCs/>
          <w:sz w:val="24"/>
          <w:szCs w:val="24"/>
          <w:rtl/>
          <w:lang w:val="ar-SA"/>
        </w:rPr>
        <w:t>:</w:t>
      </w:r>
      <w:r>
        <w:rPr>
          <w:rStyle w:val="None"/>
          <w:rFonts w:cs="Times New Roman"/>
          <w:sz w:val="24"/>
          <w:szCs w:val="24"/>
          <w:rtl/>
          <w:lang w:val="ar-SA"/>
        </w:rPr>
        <w:t xml:space="preserve"> وقد أُنشأت اتفاقية براءات الاختراع الأوروبية بواسطة مكتب براءات الاختراع الأوروبي، ومقره ألمانيا، وتُطبق الاتفاقية حاليًا على معظم الدول الأعضاء في الجماعة الاقتصادية الأوروبية، وعلى العديد من الدول الأوروبية الأخرى، وتنص اتفاقية براءات الاختراع الأوروبية على تقديم طلب واحد باللغة الإنجليزية، أو الألمانية، أو الفرنسية؛ حيث يُجرى عليه بحث وفحص مركزيان، وبمجرد قبول براءة الاختراع، وتقديم الرسوم والترجمات اللازمة، تتم الموافقة على الطلب</w:t>
      </w:r>
      <w:r>
        <w:rPr>
          <w:rStyle w:val="None"/>
          <w:rFonts w:ascii="Times New Roman" w:hAnsi="Times New Roman"/>
          <w:sz w:val="24"/>
          <w:szCs w:val="24"/>
          <w:rtl/>
          <w:lang w:val="ar-SA"/>
        </w:rPr>
        <w:t>.</w:t>
      </w:r>
    </w:p>
    <w:p w14:paraId="6C5E8A34" w14:textId="77777777" w:rsidR="00454428" w:rsidRDefault="00000000" w:rsidP="00C72BA8">
      <w:pPr>
        <w:pStyle w:val="ListParagraph"/>
        <w:numPr>
          <w:ilvl w:val="0"/>
          <w:numId w:val="1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ينص هذا النظام على تقديم طلب واحد يُحدد الدول الأعضاء، المطلوبة للحصول على براءات اختراع منها، ويتم فحص الطلب، وتقديم الترجمات اللازمة، ثم يُحوّل الطلب إلى حزمة من الطلبات الوطنية الفردية، والتي تخضع بدورها لفحص من خلال مكاتب براءات الاختراع الوطنية</w:t>
      </w:r>
      <w:r>
        <w:rPr>
          <w:rStyle w:val="None"/>
          <w:rFonts w:ascii="Times New Roman" w:hAnsi="Times New Roman"/>
          <w:sz w:val="24"/>
          <w:szCs w:val="24"/>
          <w:rtl/>
          <w:lang w:val="ar-SA"/>
        </w:rPr>
        <w:t>.</w:t>
      </w:r>
    </w:p>
    <w:p w14:paraId="01E8DBA4" w14:textId="77777777" w:rsidR="00454428" w:rsidRDefault="00000000" w:rsidP="00C72BA8">
      <w:pPr>
        <w:pStyle w:val="ListParagraph"/>
        <w:numPr>
          <w:ilvl w:val="0"/>
          <w:numId w:val="1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ويهدف بروتوكول مدريد إلى حماية العلامات التجارية، من خلال الاعتراف الدولي، تحت إشراف المنظمة العالمية للملكية الفكرية، وتتعلق اتفاقية مدريد بالإيداع الدولي لطلبات تسجيل العلامات التجارية</w:t>
      </w:r>
      <w:r>
        <w:rPr>
          <w:rStyle w:val="None"/>
          <w:rFonts w:ascii="Times New Roman" w:hAnsi="Times New Roman"/>
          <w:sz w:val="24"/>
          <w:szCs w:val="24"/>
          <w:rtl/>
          <w:lang w:val="ar-SA"/>
        </w:rPr>
        <w:t xml:space="preserve">. </w:t>
      </w:r>
    </w:p>
    <w:p w14:paraId="5D3EC1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التطوُّر الذي شهدته فرنسا في مجال الملكية الفكرية منذ صدور أول قانون لبراءات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xml:space="preserve">، والذي منح حمايةً محدودةً للمخترعين، ثم انضمت فرنسا لاتفاقيتي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وبرن </w:t>
      </w:r>
      <w:r>
        <w:rPr>
          <w:rStyle w:val="None"/>
          <w:rFonts w:ascii="Times New Roman" w:hAnsi="Times New Roman"/>
          <w:sz w:val="24"/>
          <w:szCs w:val="24"/>
          <w:rtl/>
          <w:lang w:val="ar-SA"/>
        </w:rPr>
        <w:t xml:space="preserve">1886 </w:t>
      </w:r>
      <w:r>
        <w:rPr>
          <w:rStyle w:val="None"/>
          <w:rFonts w:ascii="Arial Unicode MS" w:hAnsi="Arial Unicode MS" w:cs="Times New Roman" w:hint="cs"/>
          <w:sz w:val="24"/>
          <w:szCs w:val="24"/>
          <w:rtl/>
          <w:lang w:val="ar-SA"/>
        </w:rPr>
        <w:t xml:space="preserve">فهما أساس النظام الدولي لحماية الملكية الصناعية وحقوق المؤلف، كما عزّز المشرع الفرنسي الملكية الفكرية بقانون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وتطوَّرت القوانين حتى اهتمت فرنسا بحقوق الملكية الفكرية في ظل البيئة الرقمية</w:t>
      </w:r>
      <w:r>
        <w:rPr>
          <w:rStyle w:val="None"/>
          <w:rFonts w:ascii="Times New Roman" w:hAnsi="Times New Roman"/>
          <w:sz w:val="24"/>
          <w:szCs w:val="24"/>
          <w:rtl/>
          <w:lang w:val="ar-SA"/>
        </w:rPr>
        <w:t>.</w:t>
      </w:r>
    </w:p>
    <w:p w14:paraId="4B930C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التشريع الفرنسي في مجال الملكية الفكرية من أكثر التشريعات تطوُّرًا في العالم؛ حيث تُعرّف الملكية الفكرية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مجموعة من الحقوق المُرسّخة قانونًا في المجالات الصناعية، والعلمية، والأدبية، والفنية، وقد أصبح قانون الملكية الفكرية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1992- </w:t>
      </w:r>
      <w:r>
        <w:rPr>
          <w:rStyle w:val="None"/>
          <w:rFonts w:ascii="Arial Unicode MS" w:hAnsi="Arial Unicode MS" w:cs="Times New Roman" w:hint="cs"/>
          <w:sz w:val="24"/>
          <w:szCs w:val="24"/>
          <w:rtl/>
          <w:lang w:val="ar-SA"/>
        </w:rPr>
        <w:t>ظاهرةً فريدةً في الممارسة الأوروبية، ويتألف القانون، من حيث بنيته، من جزأين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الجزء التشريعي، الذي يوُضع موضع التنفيذ بموجب القانون، والجزء التنظيمي، الذي يوُضع موضع التنفيذ بموجب مرسوم، ويتألف قانون الملكية الفكرية الفَرنسي هيكليًا من عدة أقسام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الطبع والنشر والحقوق المرتبطة بها، وحقوق مُصنّعي قواعد البيانات، والحماية القانونية للاختراعات والمعرفة التقنية، والعلامات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47B4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تحديث الاقتصاد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xml:space="preserve">2008 </w:t>
      </w:r>
      <w:r>
        <w:rPr>
          <w:rStyle w:val="None"/>
          <w:rFonts w:ascii="Arial Unicode MS" w:hAnsi="Arial Unicode MS" w:cs="Times New Roman" w:hint="cs"/>
          <w:sz w:val="24"/>
          <w:szCs w:val="24"/>
          <w:rtl/>
          <w:lang w:val="ar-SA"/>
        </w:rPr>
        <w:t xml:space="preserve">بموجب الرقم </w:t>
      </w:r>
      <w:r>
        <w:rPr>
          <w:rStyle w:val="None"/>
          <w:rFonts w:ascii="Times New Roman" w:hAnsi="Times New Roman"/>
          <w:sz w:val="24"/>
          <w:szCs w:val="24"/>
          <w:rtl/>
          <w:lang w:val="ar-SA"/>
        </w:rPr>
        <w:t>2008-776</w:t>
      </w:r>
      <w:r>
        <w:rPr>
          <w:rStyle w:val="None"/>
          <w:rFonts w:ascii="Arial Unicode MS" w:hAnsi="Arial Unicode MS" w:cs="Times New Roman" w:hint="cs"/>
          <w:sz w:val="24"/>
          <w:szCs w:val="24"/>
          <w:rtl/>
          <w:lang w:val="ar-SA"/>
        </w:rPr>
        <w:t xml:space="preserve">، ويتألف هذا القانون من أربعة فصولٍ، تهدف على التوالي إلى تعزيز تنمية الشركات الصغيرة والمتوسطة، وتعزيز المنافسة، وزيادة جاذبية الاقتصاد الفَرنسي، وتحسين التمويل، ويتناول الفصل الثالث من القانون عنصر الابتكار، والذي يتطلب حماية حقوق </w:t>
      </w:r>
      <w:r>
        <w:rPr>
          <w:rStyle w:val="None"/>
          <w:rFonts w:ascii="Arial Unicode MS" w:hAnsi="Arial Unicode MS" w:cs="Times New Roman" w:hint="cs"/>
          <w:sz w:val="24"/>
          <w:szCs w:val="24"/>
          <w:rtl/>
          <w:lang w:val="ar-SA"/>
        </w:rPr>
        <w:lastRenderedPageBreak/>
        <w:t xml:space="preserve">الملكية الفكرية، ويهدف قانون تحديث الاقتصاد إلى إدراج أحكام مماثلة لأحكام اتفاقية البراءات الأوروبية لعام </w:t>
      </w:r>
      <w:r>
        <w:rPr>
          <w:rStyle w:val="None"/>
          <w:rFonts w:ascii="Times New Roman" w:hAnsi="Times New Roman"/>
          <w:sz w:val="24"/>
          <w:szCs w:val="24"/>
          <w:rtl/>
          <w:lang w:val="ar-SA"/>
        </w:rPr>
        <w:t xml:space="preserve">2000 </w:t>
      </w:r>
      <w:r>
        <w:rPr>
          <w:rStyle w:val="None"/>
          <w:rFonts w:ascii="Arial Unicode MS" w:hAnsi="Arial Unicode MS" w:cs="Times New Roman" w:hint="cs"/>
          <w:sz w:val="24"/>
          <w:szCs w:val="24"/>
          <w:rtl/>
          <w:lang w:val="ar-SA"/>
        </w:rPr>
        <w:t>في القانون الفرنسي لبراءات الاختراع</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8"/>
      </w:r>
      <w:r>
        <w:rPr>
          <w:rStyle w:val="None"/>
          <w:rFonts w:ascii="Times New Roman" w:hAnsi="Times New Roman"/>
          <w:sz w:val="24"/>
          <w:szCs w:val="24"/>
          <w:vertAlign w:val="superscript"/>
          <w:rtl/>
          <w:lang w:val="ar-SA"/>
        </w:rPr>
        <w:t>)</w:t>
      </w:r>
      <w:r>
        <w:rPr>
          <w:rStyle w:val="None"/>
          <w:rFonts w:ascii="Times New Roman" w:hAnsi="Times New Roman"/>
          <w:sz w:val="24"/>
          <w:szCs w:val="24"/>
          <w:rtl/>
        </w:rPr>
        <w:t xml:space="preserve"> .</w:t>
      </w:r>
    </w:p>
    <w:p w14:paraId="50F0FA9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ويتميز نظام الملكية الفكرية الفرنسي، لا سيما في مجال العلامات التجارية، بالقوة والشمولية والتناغم مع الاتفاقيات الدولية، ويخضع قانون العلامات التجارية الفَرنسي بشكل أساسي للقانون رقم </w:t>
      </w:r>
      <w:r>
        <w:rPr>
          <w:rStyle w:val="None"/>
          <w:rFonts w:ascii="Times New Roman" w:hAnsi="Times New Roman"/>
          <w:sz w:val="24"/>
          <w:szCs w:val="24"/>
          <w:rtl/>
          <w:lang w:val="ar-SA"/>
        </w:rPr>
        <w:t xml:space="preserve">91-7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1991</w:t>
      </w:r>
      <w:r>
        <w:rPr>
          <w:rStyle w:val="None"/>
          <w:rFonts w:ascii="Arial Unicode MS" w:hAnsi="Arial Unicode MS" w:cs="Times New Roman" w:hint="cs"/>
          <w:sz w:val="24"/>
          <w:szCs w:val="24"/>
          <w:rtl/>
          <w:lang w:val="ar-SA"/>
        </w:rPr>
        <w:t xml:space="preserve">، والذي عُدِّل بموجب المرسوم رقم </w:t>
      </w:r>
      <w:r>
        <w:rPr>
          <w:rStyle w:val="None"/>
          <w:rFonts w:ascii="Times New Roman" w:hAnsi="Times New Roman"/>
          <w:sz w:val="24"/>
          <w:szCs w:val="24"/>
          <w:rtl/>
          <w:lang w:val="ar-SA"/>
        </w:rPr>
        <w:t xml:space="preserve">2019-1169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13 </w:t>
      </w:r>
      <w:r>
        <w:rPr>
          <w:rStyle w:val="None"/>
          <w:rFonts w:ascii="Arial Unicode MS" w:hAnsi="Arial Unicode MS" w:cs="Times New Roman" w:hint="cs"/>
          <w:sz w:val="24"/>
          <w:szCs w:val="24"/>
          <w:rtl/>
          <w:lang w:val="ar-SA"/>
        </w:rPr>
        <w:t xml:space="preserve">نوفمبر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وقد أُدرجت هذه القوانين في قانون الملكية الفكرية الفَرنسي، الذي يُشكل أساس اللوائح المحلية</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9"/>
      </w:r>
      <w:r>
        <w:rPr>
          <w:rStyle w:val="None"/>
          <w:rFonts w:ascii="Times New Roman" w:hAnsi="Times New Roman"/>
          <w:sz w:val="24"/>
          <w:szCs w:val="24"/>
          <w:vertAlign w:val="superscript"/>
          <w:rtl/>
          <w:lang w:val="ar-SA"/>
        </w:rPr>
        <w:t>)</w:t>
      </w:r>
    </w:p>
    <w:p w14:paraId="47CB2B7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التشريع الفَرنسي في مجال الملكية الفكرية من أهم القانونين تطوُّرًا، فقد تم تحديث القانون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فهو يشمل قوانين تتعلق بحقوق المؤلف، والاختراعات، والعلامات التجارية، والتصاميم، وبعد ذلك جاءت تعديلات على قانون الاقتصاد عام </w:t>
      </w:r>
      <w:r>
        <w:rPr>
          <w:rStyle w:val="None"/>
          <w:rFonts w:ascii="Times New Roman" w:hAnsi="Times New Roman"/>
          <w:sz w:val="24"/>
          <w:szCs w:val="24"/>
          <w:rtl/>
          <w:lang w:val="ar-SA"/>
        </w:rPr>
        <w:t>2008</w:t>
      </w:r>
      <w:r>
        <w:rPr>
          <w:rStyle w:val="None"/>
          <w:rFonts w:ascii="Arial Unicode MS" w:hAnsi="Arial Unicode MS" w:cs="Times New Roman" w:hint="cs"/>
          <w:sz w:val="24"/>
          <w:szCs w:val="24"/>
          <w:rtl/>
          <w:lang w:val="ar-SA"/>
        </w:rPr>
        <w:t>؛ لكي يعزّز الابتكار ومواكبة التشريعات الحديثة، ومع التطوُّر التكنولوجي اعتمدت فرنسا تشريعات،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lang w:val="es-ES_tradnl"/>
        </w:rPr>
        <w:t>HADOPI</w:t>
      </w:r>
      <w:r>
        <w:rPr>
          <w:rStyle w:val="None"/>
          <w:rFonts w:ascii="Arial Unicode MS" w:hAnsi="Arial Unicode MS" w:cs="Times New Roman" w:hint="cs"/>
          <w:sz w:val="24"/>
          <w:szCs w:val="24"/>
          <w:rtl/>
          <w:lang w:val="ar-SA"/>
        </w:rPr>
        <w:t>؛ لمكافحة التوزيع غير المشروع للمصنفات الرقية، قد أصبح القانون الفَرنسي من القوانين المهمة الذي يحمي حقوق المؤلف، والتصاميم في البيئة الرقمية</w:t>
      </w:r>
      <w:r>
        <w:rPr>
          <w:rStyle w:val="None"/>
          <w:rFonts w:ascii="Times New Roman" w:hAnsi="Times New Roman"/>
          <w:sz w:val="24"/>
          <w:szCs w:val="24"/>
          <w:rtl/>
          <w:lang w:val="ar-SA"/>
        </w:rPr>
        <w:t>.</w:t>
      </w:r>
      <w:bookmarkEnd w:id="115"/>
    </w:p>
    <w:p w14:paraId="584EF9D9" w14:textId="77777777" w:rsidR="00454428" w:rsidRDefault="00454428" w:rsidP="00C72BA8">
      <w:pPr>
        <w:pStyle w:val="Body"/>
        <w:spacing w:before="120" w:after="120" w:line="360" w:lineRule="auto"/>
        <w:jc w:val="both"/>
        <w:rPr>
          <w:rStyle w:val="None"/>
          <w:rFonts w:ascii="Times New Roman" w:eastAsia="Times New Roman" w:hAnsi="Times New Roman" w:cs="Times New Roman"/>
        </w:rPr>
      </w:pPr>
    </w:p>
    <w:p w14:paraId="68D3EB92" w14:textId="77777777" w:rsidR="00454428" w:rsidRDefault="00454428" w:rsidP="00C72BA8">
      <w:pPr>
        <w:pStyle w:val="Body"/>
        <w:spacing w:before="120" w:after="120" w:line="360" w:lineRule="auto"/>
        <w:jc w:val="both"/>
        <w:rPr>
          <w:rStyle w:val="None"/>
          <w:rFonts w:ascii="Times New Roman" w:eastAsia="Times New Roman" w:hAnsi="Times New Roman" w:cs="Times New Roman"/>
        </w:rPr>
      </w:pPr>
    </w:p>
    <w:p w14:paraId="250135E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A7DAE0B"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028AAEA5"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D5AB0D5"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B3E9A66"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BB5FC51"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F9D9148"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ADB598A"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C06C990"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5B6F8F9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777178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ECEE00D" w14:textId="77777777" w:rsidR="00454428" w:rsidRDefault="00000000" w:rsidP="00C72BA8">
      <w:pPr>
        <w:pStyle w:val="a"/>
        <w:rPr>
          <w:rStyle w:val="None"/>
          <w:lang w:val="ar-SA"/>
        </w:rPr>
      </w:pPr>
      <w:bookmarkStart w:id="124" w:name="_Toc76"/>
      <w:r>
        <w:rPr>
          <w:rStyle w:val="None"/>
          <w:rFonts w:ascii="Arial Unicode MS" w:eastAsia="Arial Unicode MS" w:hAnsi="Arial Unicode MS" w:hint="cs"/>
          <w:rtl/>
          <w:lang w:val="ar-SA"/>
        </w:rPr>
        <w:lastRenderedPageBreak/>
        <w:t>الفصل الثالث</w:t>
      </w:r>
      <w:bookmarkEnd w:id="124"/>
    </w:p>
    <w:p w14:paraId="5176212C" w14:textId="77777777" w:rsidR="00454428" w:rsidRDefault="00000000" w:rsidP="00C72BA8">
      <w:pPr>
        <w:pStyle w:val="a"/>
        <w:rPr>
          <w:rStyle w:val="None"/>
          <w:lang w:val="ar-SA"/>
        </w:rPr>
      </w:pPr>
      <w:bookmarkStart w:id="125" w:name="_Toc77"/>
      <w:r>
        <w:rPr>
          <w:rStyle w:val="None"/>
          <w:rFonts w:ascii="Arial Unicode MS" w:eastAsia="Arial Unicode MS" w:hAnsi="Arial Unicode MS" w:hint="cs"/>
          <w:rtl/>
          <w:lang w:val="ar-SA"/>
        </w:rPr>
        <w:t>صور الحماية القانونية للملكية الفكرية في البيئة الرقمية</w:t>
      </w:r>
      <w:bookmarkEnd w:id="125"/>
    </w:p>
    <w:p w14:paraId="3BE375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تحوُّلاتٍ جوهريةً في أنماط الإبداع والنشر نتيجة الثورة الرقمية، التي أنشأت بيئة جديدة تعتمد على الوسائط الإلكترونية في إنتاج وتداول المصنفات الفكرية بمختلف أشكالها، وقد أتاح هذا التطوُّر فرصًا غير مسبوقة للوصول السريع إلى المعلومات وتبادلها عبر الحدود، لكنه أوجد أيضًا تحدياتٍ معقدةً في مجال حماية حقوق المؤلف والحقوق المجاورة والابتكارات التقنية؛ بسبب سهولة نسخ المحتوى الرقمي، وإعادة توزيعه دون إذن أو مقابل؛ لذا أصبح من الضروري البحث عن آليات قانونية أكثر مرونةً، وفعَّالةً لمواجهة أشكال الاعتداء السريعة والمنتشرة في الفضاء الإلكتروني</w:t>
      </w:r>
      <w:r>
        <w:rPr>
          <w:rStyle w:val="None"/>
          <w:rFonts w:ascii="Times New Roman" w:hAnsi="Times New Roman"/>
          <w:sz w:val="24"/>
          <w:szCs w:val="24"/>
          <w:rtl/>
          <w:lang w:val="ar-SA"/>
        </w:rPr>
        <w:t>.</w:t>
      </w:r>
    </w:p>
    <w:p w14:paraId="2024FA8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يتعين على النظم القانونية الوطنية والدولية ابتكار صور متعددة للحماية القانونية، تتناسب مع خصوصية البيئة الرقمية، وتوازن بين مصلحة أصحاب الحقوق، وحق الجمهور في الوصول إلى المعرفة، وتتنوع هذه الصور بين حماية تقليدية مستندة إلى القوانين القائمة، وأخرى مستحدثة تشمل تدابير تقنية خاصة بالنشر الرقمي، بالإضافة إلى الاتفاقيات الدولية التي تسعى لتوحيد المعايير وضبط السلوك في هذا المجال،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تأتي دراسة صور الحماية القانونية للملكية الفكرية في البيئة الرقمية كخطوة لفهم آليات التصدي للأخطار التي تهدد الإبداع في العصر الرقمي، وتقييم مدى كفاية هذه الصور في تحقيق الغاية المنشودة، وسيتم تناول ذلك على النحو التالي</w:t>
      </w:r>
      <w:r>
        <w:rPr>
          <w:rStyle w:val="None"/>
          <w:rFonts w:ascii="Times New Roman" w:hAnsi="Times New Roman"/>
          <w:sz w:val="24"/>
          <w:szCs w:val="24"/>
          <w:rtl/>
          <w:lang w:val="ar-SA"/>
        </w:rPr>
        <w:t>:</w:t>
      </w:r>
    </w:p>
    <w:p w14:paraId="45ACFB98" w14:textId="77777777" w:rsidR="00454428" w:rsidRDefault="00000000" w:rsidP="00C72BA8">
      <w:pPr>
        <w:pStyle w:val="ListParagraph"/>
        <w:numPr>
          <w:ilvl w:val="0"/>
          <w:numId w:val="15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المدنية للمصنفات الرقمية</w:t>
      </w:r>
      <w:r>
        <w:rPr>
          <w:rStyle w:val="None"/>
          <w:rFonts w:ascii="Times New Roman" w:hAnsi="Times New Roman"/>
          <w:sz w:val="24"/>
          <w:szCs w:val="24"/>
          <w:rtl/>
          <w:lang w:val="ar-SA"/>
        </w:rPr>
        <w:t>.</w:t>
      </w:r>
    </w:p>
    <w:p w14:paraId="183CC02D" w14:textId="77777777" w:rsidR="00454428" w:rsidRDefault="00000000" w:rsidP="00C72BA8">
      <w:pPr>
        <w:pStyle w:val="ListParagraph"/>
        <w:numPr>
          <w:ilvl w:val="0"/>
          <w:numId w:val="15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والتجريم الرقمي</w:t>
      </w:r>
      <w:r>
        <w:rPr>
          <w:rStyle w:val="None"/>
          <w:rFonts w:ascii="Times New Roman" w:hAnsi="Times New Roman"/>
          <w:sz w:val="24"/>
          <w:szCs w:val="24"/>
          <w:rtl/>
          <w:lang w:val="ar-SA"/>
        </w:rPr>
        <w:t>.</w:t>
      </w:r>
    </w:p>
    <w:p w14:paraId="6DA53C8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104AD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71398F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5E0B9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93F78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FE23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3D38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42612F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B3994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C0C0E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5844A6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F278CB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B4F0C64" w14:textId="77777777" w:rsidR="00454428" w:rsidRDefault="00000000" w:rsidP="00C72BA8">
      <w:pPr>
        <w:pStyle w:val="a"/>
        <w:rPr>
          <w:rStyle w:val="None"/>
          <w:lang w:val="ar-SA"/>
        </w:rPr>
      </w:pPr>
      <w:bookmarkStart w:id="126" w:name="_Toc78"/>
      <w:r>
        <w:rPr>
          <w:rStyle w:val="None"/>
          <w:rFonts w:ascii="Arial Unicode MS" w:eastAsia="Arial Unicode MS" w:hAnsi="Arial Unicode MS" w:hint="cs"/>
          <w:rtl/>
          <w:lang w:val="ar-SA"/>
        </w:rPr>
        <w:t>المبحث الأول</w:t>
      </w:r>
      <w:bookmarkEnd w:id="126"/>
    </w:p>
    <w:p w14:paraId="229B6173" w14:textId="77777777" w:rsidR="00454428" w:rsidRDefault="00000000" w:rsidP="00C72BA8">
      <w:pPr>
        <w:pStyle w:val="a"/>
        <w:rPr>
          <w:rStyle w:val="None"/>
          <w:lang w:val="ar-SA"/>
        </w:rPr>
      </w:pPr>
      <w:bookmarkStart w:id="127" w:name="_Toc79"/>
      <w:r>
        <w:rPr>
          <w:rStyle w:val="None"/>
          <w:rFonts w:ascii="Arial Unicode MS" w:eastAsia="Arial Unicode MS" w:hAnsi="Arial Unicode MS" w:hint="cs"/>
          <w:rtl/>
          <w:lang w:val="ar-SA"/>
        </w:rPr>
        <w:t>الحماية المدنية للمصنفات الرقمية</w:t>
      </w:r>
      <w:bookmarkEnd w:id="127"/>
    </w:p>
    <w:p w14:paraId="3DF63B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للمصنفات الفكرية؛ حيث أصبح من السهل نسخها وتخزينها وتوزيعها على نطاق واسع؛ ممَّا زاد من احتمالات التعدي على حقوق أصحابها بطرق يصعب ضبطها بالوسائل التقليدية؛ لذا برز دور الحماية المدنية كأداة أساسية تُمكن أصحاب الحقوق من المطالبة بالتعويض عن الضرر الناتج عن الاعتداء على مصنفاتهم الرقمية، سواء من خلال تعويض مالي أو إلزام المعتدي بوقف التعدي أو إزالة آثاره، وتستند هذه الحماية إلى القواعد العامة في المسئولية المدنية، مع مراعاة الخصوصيات التي تفرضها طبيعة الوسط الرقمي</w:t>
      </w:r>
      <w:r>
        <w:rPr>
          <w:rStyle w:val="None"/>
          <w:rFonts w:ascii="Times New Roman" w:hAnsi="Times New Roman"/>
          <w:sz w:val="24"/>
          <w:szCs w:val="24"/>
          <w:rtl/>
          <w:lang w:val="ar-SA"/>
        </w:rPr>
        <w:t>.</w:t>
      </w:r>
    </w:p>
    <w:p w14:paraId="2A5CB0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وتتميز الحماية المدنية للمصنفات الرقمية بمرونتها وقدرتها على التكيف مع أشكال الاعتداء المستجدة؛ حيث توفر لأصحاب الحقوق وسيلةً فعَّالةً لمواجهة الانتهاكات، حتى في غياب نصوص جزائية خاصة، كما تتيح إمكانية الجمع بين التعويض عن الأضرار المادية والمعنوية، وإصدار أوامر قضائية تحفظية أو وقتية لتجنب وقوع الضرر؛ لذا تكتسب دراسة الحماية المدنية للمصنفات الرقمية أهميةً خاصةً في ظل التحديات التي تفرضها سرعة الانتشار وصعوبة الرقابة في الفضاء الإلكتروني؛ ممَّا يحقق توازنًا بين حماية المبدع وضمان تدفق المعرفة، وسيتم تناول ذلك على النحو التالي</w:t>
      </w:r>
      <w:r>
        <w:rPr>
          <w:rStyle w:val="None"/>
          <w:rFonts w:ascii="Times New Roman" w:hAnsi="Times New Roman"/>
          <w:sz w:val="24"/>
          <w:szCs w:val="24"/>
          <w:rtl/>
          <w:lang w:val="ar-SA"/>
        </w:rPr>
        <w:t>:</w:t>
      </w:r>
    </w:p>
    <w:p w14:paraId="40F17E63" w14:textId="77777777" w:rsidR="00454428" w:rsidRDefault="00000000" w:rsidP="00C72BA8">
      <w:pPr>
        <w:pStyle w:val="ListParagraph"/>
        <w:numPr>
          <w:ilvl w:val="0"/>
          <w:numId w:val="15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النظام السعودي</w:t>
      </w:r>
      <w:r>
        <w:rPr>
          <w:rStyle w:val="None"/>
          <w:rFonts w:ascii="Times New Roman" w:hAnsi="Times New Roman"/>
          <w:sz w:val="24"/>
          <w:szCs w:val="24"/>
          <w:rtl/>
          <w:lang w:val="ar-SA"/>
        </w:rPr>
        <w:t>.</w:t>
      </w:r>
    </w:p>
    <w:p w14:paraId="0B8A6AA5" w14:textId="77777777" w:rsidR="00454428" w:rsidRDefault="00000000" w:rsidP="00C72BA8">
      <w:pPr>
        <w:pStyle w:val="ListParagraph"/>
        <w:numPr>
          <w:ilvl w:val="0"/>
          <w:numId w:val="15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القانون الأمريكي والفَرنسي</w:t>
      </w:r>
      <w:r>
        <w:rPr>
          <w:rStyle w:val="None"/>
          <w:rFonts w:ascii="Times New Roman" w:hAnsi="Times New Roman"/>
          <w:sz w:val="24"/>
          <w:szCs w:val="24"/>
          <w:rtl/>
          <w:lang w:val="ar-SA"/>
        </w:rPr>
        <w:t>.</w:t>
      </w:r>
    </w:p>
    <w:p w14:paraId="5829E4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3A7FE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49CA6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6E703E5"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8D5B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502125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B86C3C3"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C10EB1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018276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9AD586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25AFD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2D813C3"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67B0A5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9477D2B" w14:textId="77777777" w:rsidR="00454428" w:rsidRDefault="00000000" w:rsidP="00C72BA8">
      <w:pPr>
        <w:pStyle w:val="a"/>
        <w:rPr>
          <w:rStyle w:val="None"/>
          <w:lang w:val="ar-SA"/>
        </w:rPr>
      </w:pPr>
      <w:bookmarkStart w:id="128" w:name="_Toc80"/>
      <w:r>
        <w:rPr>
          <w:rStyle w:val="None"/>
          <w:rFonts w:ascii="Arial Unicode MS" w:eastAsia="Arial Unicode MS" w:hAnsi="Arial Unicode MS" w:hint="cs"/>
          <w:rtl/>
          <w:lang w:val="ar-SA"/>
        </w:rPr>
        <w:t>المطلب الأول</w:t>
      </w:r>
      <w:bookmarkEnd w:id="128"/>
    </w:p>
    <w:p w14:paraId="4699E038" w14:textId="77777777" w:rsidR="00454428" w:rsidRDefault="00000000" w:rsidP="00C72BA8">
      <w:pPr>
        <w:pStyle w:val="a"/>
        <w:rPr>
          <w:rStyle w:val="None"/>
          <w:lang w:val="ar-SA"/>
        </w:rPr>
      </w:pPr>
      <w:bookmarkStart w:id="129" w:name="_Toc81"/>
      <w:r>
        <w:rPr>
          <w:rStyle w:val="None"/>
          <w:rFonts w:ascii="Arial Unicode MS" w:eastAsia="Arial Unicode MS" w:hAnsi="Arial Unicode MS" w:hint="cs"/>
          <w:rtl/>
          <w:lang w:val="ar-SA"/>
        </w:rPr>
        <w:t>التعويض عن الاعتداء على حقوق الملكية الفكرية في البيئة الرقمية في النظام السعودي</w:t>
      </w:r>
      <w:bookmarkEnd w:id="129"/>
    </w:p>
    <w:p w14:paraId="183B9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التطوُّر التقني السريع في البيئة الرقمية إلى زيادة حجم الانتهاكات التي تلحق حقوق الملكية الفكرية، سواء كانت في مجال حقوق المؤلف، أو الحقوق المجاورة، أو حقوق الملكية الصناعية؛ حيث أصبح من السهل نسخ المصنفات الرقمية وتوزيعها على نطاق واسع دون إذن أصحابها، وفي ضوء مواجهة هذه التحديات أولى النظام السعودي اهتمامًا خاصًا بتنظيم سبل التعويض عن هذه الاعتداءات، كوسيلة مدنية أساسية لتعويض الضرر واستعادة الحقوق، وتحقيق الردع العام والخاص في الوقت ذاته، ويأتي هذا التعويض ضمن إطار قواعد المسئولية المدنية، مع مراعاة الخصوصية المتعلقة بالأضرار التي تحدث في الوسط الرقمي، والتي قد تتسم بالاتساع والانتشار السريع</w:t>
      </w:r>
      <w:r>
        <w:rPr>
          <w:rStyle w:val="None"/>
          <w:rFonts w:ascii="Times New Roman" w:hAnsi="Times New Roman"/>
          <w:sz w:val="24"/>
          <w:szCs w:val="24"/>
          <w:rtl/>
          <w:lang w:val="ar-SA"/>
        </w:rPr>
        <w:t>.</w:t>
      </w:r>
    </w:p>
    <w:p w14:paraId="416CCB8A"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الأسس القانونية للحماية المدنية للملكية الفكرية</w:t>
      </w:r>
      <w:r>
        <w:rPr>
          <w:rStyle w:val="None"/>
          <w:rFonts w:ascii="Times New Roman" w:hAnsi="Times New Roman"/>
          <w:b/>
          <w:bCs/>
          <w:sz w:val="28"/>
          <w:szCs w:val="28"/>
          <w:rtl/>
          <w:lang w:val="ar-SA"/>
        </w:rPr>
        <w:t>:</w:t>
      </w:r>
    </w:p>
    <w:p w14:paraId="05C952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المسئولية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بصفة عامة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المحاسبة على فعل أو سلوك معين، وتتمثل المحاسبة في توقيع جزاء على الشخص عند مخالفته لأحد الواجبات التي تفرضها عليه أنظمة الضبط الاجتماعي، وتختلف المسئولية بحسب نوع وطبيعة الواجب الذي تمت مخالفته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63BC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فالمسئولية المدنية هي التي تقوم عند إخلال الشخص بالتزام محدد على نحو يسبب ضررًا لأحد الأفراد في الجسم، أو الشرف، أو المشاعر، أو المال، فهنا يلتزم المسئول بالتعويض عن الضرر الناجم عن الواقعة المنسوبة إليه، وتنصرف المسئولية المدنية للتعبير عن الفعل الضار وما يترتب عليه من الالتزام بتعويض المضرور</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81"/>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84C26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الاعتداء على حقوق المؤلف يتسبب بضرر يصيب المؤلف في شخصيته أو سمعته، ويؤثر على مركزه الاجتماعي أو اعتباره المالي، الأمر الذي يتطلب من المؤلف دفع الاعتداء، والمطالبة بالتعويض جبرًا للضرر الحاصل من فعل الاعتداء، فيلجأ إلى رفع دعوى المسئولية المدنية، وتكون هذه المسئولية إما عقديةً أو تقصيريةً تبعًا للعلاقة التي تجمع بين المؤلف والمتسبب بالضرر، فإذا تحقق الاعتداء من قِبل شخص أجنبي غير مرتبط برابطة عقدية بالمؤلف تطبق قواعد المسئولية التقصيرية، وبخلافه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وجود رابطة تعاقدية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فقواعد المسئولية العقدية هي الواجبة تطبيقًا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C8024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المسئولية المدنية تشكل الإطار القانوني الذي يضمن حماية حقوق المؤلف من أي اعتداء قد يؤثر على إنتاجه الفكري، أو مكانته الأدبية أو المالية، فهي تمكنه من المطالبة بتعويض عادل عن الأضرار التي تعرض لها، سواء كان الضرر ناتجًا عن إخلال تعاقدي أو فعل تقصيري، فيجد المؤلف في قواعد المسئولية المدنية وسيلةً فعَّالةً لدفع الأضرار وجبرها؛ ممَّا يحقق العدالة ويحافظ على مكانته وحقوقه</w:t>
      </w:r>
      <w:r>
        <w:rPr>
          <w:rStyle w:val="None"/>
          <w:rFonts w:ascii="Times New Roman" w:hAnsi="Times New Roman"/>
          <w:sz w:val="24"/>
          <w:szCs w:val="24"/>
          <w:rtl/>
          <w:lang w:val="ar-SA"/>
        </w:rPr>
        <w:t>.</w:t>
      </w:r>
    </w:p>
    <w:p w14:paraId="6B13A05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AFAB97D" w14:textId="77777777" w:rsidR="00454428" w:rsidRDefault="00000000" w:rsidP="00C72BA8">
      <w:pPr>
        <w:pStyle w:val="ListParagraph"/>
        <w:numPr>
          <w:ilvl w:val="0"/>
          <w:numId w:val="161"/>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المسئولية العقدية والمسئولية التقصيرية</w:t>
      </w:r>
      <w:r>
        <w:rPr>
          <w:rStyle w:val="None"/>
          <w:rFonts w:ascii="Times New Roman" w:hAnsi="Times New Roman"/>
          <w:b/>
          <w:bCs/>
          <w:sz w:val="24"/>
          <w:szCs w:val="24"/>
          <w:rtl/>
          <w:lang w:val="ar-SA"/>
        </w:rPr>
        <w:t>:</w:t>
      </w:r>
    </w:p>
    <w:p w14:paraId="2FAADD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تقوم المسئولية العقدية على الإخلال بالتزام عقدي يختلف باختلاف العقد، فهي تترتب على عدم تنفيذ الالتزام الناشئ عن العقد على النحو المتفق عليه، فالمسئولية العقدية تنشأ جرَّاء الإخلال بالتزام تعاقدي، فالعقد هو الذي يحكم تلك المسئولية بحيث تتحدد أحكامها بما يتفق مع إرادة الطرفين؛ ومِنْ ثَمَّ فهي تتسم بالطابع التعاقدي، وهي تتمثل في مجرد التنفيذ بمقابل للالتزام العقدي الذي تم الإخلال به؛ حيث يحل محله التزام جديد بالتعويض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0929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فتقوم بمناسبة الإخلال بالتزام قانوني، وهي تطبق خارج نطاق المسئولية العقدية، بمعنى أنَّه إذا لم تتوافر شروط تطبيق تلك المسئولية، فإنَّ المسئولية التقصيرية هي التي تطبق؛ لذلك يتعين أنْ نحدد بدقة نطاق المسئولية العقدية، وما يخرج عن هذا النطاق فإنَّه يدخل في حوزة المسئولية التقصيرية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8504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قد ينشأ الاعتداء على حق المؤلف أو صاحب الملكية الفكرية؛ نتيجة إخلال متعاقد بالتزاماته الواردة في عقد الترخيص أو الاستغلال، وهو ما يوجب تطبيق قواعد المسئولية العقدية وإلزامه بالتعويض، أما إذا وقع الاعتداء من طرف أجنبي لا تربطه علاقة تعاقدية بصاحب الحق، فإنَّ المسئولية التقصيرية هي الأساس القانوني للمطالبة بجبر الضرر، ومِنْ ثَمَّ فإنَّ كلا المسئوليتين تهدف إلى ضمان حماية الملكية الفكرية وتعويض أصحابها عن أي ضرر يلحق بهم</w:t>
      </w:r>
      <w:r>
        <w:rPr>
          <w:rStyle w:val="None"/>
          <w:rFonts w:ascii="Times New Roman" w:hAnsi="Times New Roman"/>
          <w:sz w:val="24"/>
          <w:szCs w:val="24"/>
          <w:rtl/>
          <w:lang w:val="ar-SA"/>
        </w:rPr>
        <w:t>.</w:t>
      </w:r>
    </w:p>
    <w:p w14:paraId="2D0D0D76" w14:textId="77777777" w:rsidR="00454428" w:rsidRDefault="00000000" w:rsidP="00C72BA8">
      <w:pPr>
        <w:pStyle w:val="ListParagraph"/>
        <w:numPr>
          <w:ilvl w:val="0"/>
          <w:numId w:val="16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الخطأ العقدي</w:t>
      </w:r>
      <w:r>
        <w:rPr>
          <w:rStyle w:val="None"/>
          <w:rFonts w:ascii="Times New Roman" w:hAnsi="Times New Roman"/>
          <w:b/>
          <w:bCs/>
          <w:sz w:val="24"/>
          <w:szCs w:val="24"/>
          <w:rtl/>
          <w:lang w:val="ar-SA"/>
        </w:rPr>
        <w:t>:</w:t>
      </w:r>
    </w:p>
    <w:p w14:paraId="68CA39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الخطأ العقدي هو عدم تنفيذ المدين الالتزام الناشئ عن العقد، ولا يجدي لتخلص المدين من هذه المسئولية العقدية سوى نفي السببية بين الخطأ والضرر الذي أصاب الدائن منه، ويستوي أنْ يكون عدم التنفيذ كليًا أم جزئيًا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ويختلف قياس الخطأ العقدي تبعًا لطبيعة الالتزام، ويكون إما التزام ببذل عناية، أو تحقيق نتيجة، ففي الالتزام ببذل عناية لا تبرأ ذمة المدين إلا ببذل نشاط الرجل المعتاد لتحقيق النتيجة المنشودة، أما الالتزام بتحقيق نتيجة فمحله تحقيق المدين النتيجة المرجوة من العقد، فلا يكتفي ببذل ما يستطيع من عناية، بل يجب تحقيق الغاية وإلا عُدَّ مخلًا بتنفيذ التزامه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FFDD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ويتحقق الخطأ بهذا المعنى أيًا كان السبب في عدم تنفيذ الالتزام، سواء رجع ذلك إلى غش المدين وسوء نيته أو إلى إهماله، أو إلى فعله المجرد من الإهمال، أو حتى إلى سبب أجنبي كقوة قاهرة، غاية الأمر أنَّه في هذه الحالة الأخيرة </w:t>
      </w:r>
      <w:r>
        <w:rPr>
          <w:rStyle w:val="None"/>
          <w:rFonts w:ascii="Arial Unicode MS" w:hAnsi="Arial Unicode MS" w:cs="Times New Roman" w:hint="cs"/>
          <w:sz w:val="24"/>
          <w:szCs w:val="24"/>
          <w:rtl/>
          <w:lang w:val="ar-SA"/>
        </w:rPr>
        <w:lastRenderedPageBreak/>
        <w:t xml:space="preserve">فإنَّ مسئولية المدين لا تقوم، لا لعدم توافر ركن الخطأ، ولكن لعدم توافر علاقة السببية بين الخطأ والضرر، وعلى هذا فإنَّ عدم قيام المدين بتنفيذ التزامه هو بذاته الخطأ العقدي، وليس فقط مجرد دليل عليه أو سبب لافتراض وجوده، على أنَّ القول بعدم تنفيذ المدين لالتزامه يتوقف على تحديد نوع هذا الالتزام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49D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الخطأ العقدي هو أساس المسئولية العقدية؛ حيث يعتبر عدم تنفيذ المدين لالتزاماته خطأً يستوجب التعويض متى وجدت علاقة سببية بينه وبين الضرر، فتظهر أهمية ذلك بشكل واضح في مجال الملكية الفكرية؛ حيث قد يلتزم المتعاقد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النشر، أو المرخص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بتنفيذ التزامات محددة، سواء من خلال بذل العناية اللازمة؛ لحفظ الحقوق أو بتحقيق نتائج معينة مثل النشر وفق الشروط المتفق عليها</w:t>
      </w:r>
      <w:r>
        <w:rPr>
          <w:rStyle w:val="None"/>
          <w:rFonts w:ascii="Times New Roman" w:hAnsi="Times New Roman"/>
          <w:sz w:val="24"/>
          <w:szCs w:val="24"/>
          <w:rtl/>
          <w:lang w:val="ar-SA"/>
        </w:rPr>
        <w:t>.</w:t>
      </w:r>
    </w:p>
    <w:p w14:paraId="11A93506" w14:textId="77777777" w:rsidR="00454428" w:rsidRDefault="00000000" w:rsidP="00C72BA8">
      <w:pPr>
        <w:pStyle w:val="ListParagraph"/>
        <w:numPr>
          <w:ilvl w:val="0"/>
          <w:numId w:val="16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الضرر</w:t>
      </w:r>
      <w:r>
        <w:rPr>
          <w:rStyle w:val="None"/>
          <w:rFonts w:ascii="Times New Roman" w:hAnsi="Times New Roman"/>
          <w:b/>
          <w:bCs/>
          <w:sz w:val="24"/>
          <w:szCs w:val="24"/>
          <w:rtl/>
          <w:lang w:val="ar-SA"/>
        </w:rPr>
        <w:t xml:space="preserve">:  </w:t>
      </w:r>
    </w:p>
    <w:p w14:paraId="2363DE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يمكن القول بأنَّ الضرر هو الإخلال بمصلحة مالية للمضرور والمضرور في هذا المجال هو الدائن الذي عاد عليه ضرر جرَّاء عدم تنفيذ المدين لالتزامه أو تأخيره عن تنفيذ هذا الالتزام، ويعتبر الضرر العنصر الثاني من عناصر المسئولية العقدية، ولا يشترط أنْ يكون الضرر قد وقع بالفعل، وإنما يمكن أنْ يكون محقق الوقوع في المستقبل، ومِنْ ثَمَّ يخرج الضرر الاحتمالي عن مجال هذه المسئولية العقدية إلا إذا تحقق بالفعل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57EA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ويكون الضرر معنويًا عند المساس بسمعة، أو شخصية، أو اعتبار وكرامة المدين، ويتحقق عندم عدم تنفيذ المتعاقد التزامه أو التقصير في تنفيذه ما يلحق ضررًا أصاب به إحدى حقوق المؤلف، ويشترط في الضرر أنْ يكون محققًا ومباشرًا، ويكون الضرر محققًا عندما يتخذ شكلًا ملموسًا على حق من حقوق المؤلف بشكل يمكن المحكمة من التثبت من وجوده، ويكون الضرر مباشرًا إذا تحقق نتيجةَ العمل الذي قام به المعتدي، وعن إثبات الضرر فيكون على الدائن لأنَّه هو الذي يدعيه، أما الضرر في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ما يلحق بالشخص من أذى، بمعنى أنَّ الضرر نوعان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مادي ومعنوي، ويكون الضرر ماديًا في ضوء حق المؤلف عند الإخلال في مصالح ذات قيمة مالية لصاحب حق التأليف، ويكون معنويًا عند المساس بعاطفة المؤلف أو كرامته بغيره من الأمور المعنوية من قِبل شخص لا تربطه معه أدنى رابطة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CC1F1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يمكن الحكم بالتعويض دون إثبات وجود عنصر الضرر؛ حيث قد يتعرض المؤلف أو صاحب الحق لضرر 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فقدان العوائد المالية، أو تقليص فرص الاستغلال المشروع لمصنفه، أو لضرر معنوي يؤثر على سمعته واعتباره الأدبي؛ نتيجة الاعتداء على إنتاجه الفكري</w:t>
      </w:r>
      <w:r>
        <w:rPr>
          <w:rStyle w:val="None"/>
          <w:rFonts w:ascii="Times New Roman" w:hAnsi="Times New Roman"/>
          <w:sz w:val="24"/>
          <w:szCs w:val="24"/>
          <w:rtl/>
          <w:lang w:val="ar-SA"/>
        </w:rPr>
        <w:t>.</w:t>
      </w:r>
    </w:p>
    <w:p w14:paraId="47536B05" w14:textId="77777777" w:rsidR="00454428" w:rsidRDefault="00000000" w:rsidP="00C72BA8">
      <w:pPr>
        <w:pStyle w:val="ListParagraph"/>
        <w:numPr>
          <w:ilvl w:val="0"/>
          <w:numId w:val="16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علاقة السببية</w:t>
      </w:r>
      <w:r>
        <w:rPr>
          <w:rStyle w:val="None"/>
          <w:rFonts w:ascii="Times New Roman" w:hAnsi="Times New Roman"/>
          <w:b/>
          <w:bCs/>
          <w:sz w:val="24"/>
          <w:szCs w:val="24"/>
          <w:rtl/>
          <w:lang w:val="ar-SA"/>
        </w:rPr>
        <w:t>:</w:t>
      </w:r>
    </w:p>
    <w:p w14:paraId="663D7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بعلاقة السببية أنْ يكون بين الخطأ والضرر ارتباط السبب بالمسبب، أي يكون الضرر ناتجًا منه مباشرةً، وتابعًا عن الخطأ، وتعتبر السببية العنصر الثالث لأركان المسئولية العقدية، فقد يتحقق الخطأ والضرر، ولكن لا قيام </w:t>
      </w:r>
      <w:r>
        <w:rPr>
          <w:rStyle w:val="None"/>
          <w:rFonts w:ascii="Arial Unicode MS" w:hAnsi="Arial Unicode MS" w:cs="Times New Roman" w:hint="cs"/>
          <w:sz w:val="24"/>
          <w:szCs w:val="24"/>
          <w:rtl/>
          <w:lang w:val="ar-SA"/>
        </w:rPr>
        <w:lastRenderedPageBreak/>
        <w:t>للمسئولية العقدية؛ لأنَّه لا ارتباط بين الخطأ بعلاقة السببية، ويقع على عاتق الدائن كقاعدة عامة أنْ يثبت علاقة السببية بين عدم التنفيذ للالتزام والضرر الذي عاد عليه، أما علاقة السببية بين عدم التنفيذ وسلوك المدين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مفتوحة لا يكلف الدائن بإثباتها، بل يجب على المدين للتخلص منها أنْ يقيم الدليل على أنَّ عدم التنفيذ يرجع إلى سبب أجنبي عنه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89D3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المسئولية التقصيرية فلا يكفي لوجود علاقة سببية توافر فعل الإضرار والضرر، بل يجب أنْ يكون الفعل هو ما أفضى إلى ضرر وبدونه لما أحدث الضرر أصلًا، بمعنى آخر لا تقوم المسئولية إذا ما نتج عن فعل الاعتداء ضرر لحق بالغير، فإنَّ عدم توافر العلاقة يجعل من المسئولية غير قائمة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916A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أنَّه لا يكفي إثبات الخطأ أو تحقق الضرر دون إثبات أنَّ هذا الضرر ناتج مباشرة عن ذلك الخطأ، فيتعين على المؤلف أو صاحب الحق إثبات أنَّ الضرر الذي لحقه، سواء كان ماديًا نتيجةَ خسارةٍ ماليةٍ، أو معنويًا؛ بسبب المساس بمكانته الأدبية، قد نتج مباشرة عن فعل الاعتداء على مصنفه؛ لذا فإنَّ اشتراط علاقة السببية في قضايا الملكية الفكرية لا بُدَّ من تحقيق الخطأ والضرر؛ حتى لا يتحمل أي طرف مسئولية تعويض عن ضرر لم يكن نتيجة لسلوكه</w:t>
      </w:r>
      <w:r>
        <w:rPr>
          <w:rStyle w:val="None"/>
          <w:rFonts w:ascii="Times New Roman" w:hAnsi="Times New Roman"/>
          <w:sz w:val="24"/>
          <w:szCs w:val="24"/>
          <w:rtl/>
          <w:lang w:val="ar-SA"/>
        </w:rPr>
        <w:t>.</w:t>
      </w:r>
    </w:p>
    <w:p w14:paraId="76AABB5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دعوى التعويض للمسئولية المدنية في الملكية الفكرية</w:t>
      </w:r>
      <w:r>
        <w:rPr>
          <w:rStyle w:val="None"/>
          <w:rFonts w:ascii="Times New Roman" w:hAnsi="Times New Roman"/>
          <w:b/>
          <w:bCs/>
          <w:sz w:val="28"/>
          <w:szCs w:val="28"/>
          <w:rtl/>
          <w:lang w:val="ar-SA"/>
        </w:rPr>
        <w:t>:</w:t>
      </w:r>
    </w:p>
    <w:p w14:paraId="0EE1E9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يستند الحق في التعويض للمؤلف عن الاعتداء على مصنفه الإلكتروني إلى مبادئ حقوق الملكية الفكرية التي تهدف إلى حماية الإبداعات العقلية من الاستغلال غير المشروع، عندما يتم انتهاك هذه الحقوق، سواء كان ذلك عن طريق النسخ غير المرخص، أو التوزيع غير القانوني، أو أي شكل آخر من أشكال الاستغلال، فيكون المؤلف مؤهلًا لطلب تعويض عن الخسائر المادية والمعنوية التي لحقت به، وهذا التعويض يأخذ في الاعتبار ليس فقط الخسائر المباشرة، ولكن أيضًا التأثيرات الطويلة الأمد على قيمة المصنف والعائدات المستقبلية منه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D9C8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دعوى التعويض هي دعوى شخصية يرفعها المتضرر إلى القضاء مطالبًا تضمين ما أصابه من ضرر سواء كان ماديًا أو معنويًا؛ نتيجة تصرف الإدارة غير المشروع، وتعرف دعوى التعويض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الدعوى التي يطالب فيها صاحب الشأن بحق شخصي تجاه الإدارة، ويرتب القضاء فيها جميع النتائج القانونية على القرار غير المشروع، فيكون له حق الحكم بالتعويض عن الأضرار اللاحقة بما في ذلك تقويم أو تعديل القرار الإداري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CEFB3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ويعمل التعويض على ترضية المضرور، ومحاولة إعادته إلى الوضع الذي كان عليه قبل وقوع الفعل الضار؛ حتى يمكن إعادة التوازن في العلاقات الاجتماعية، الذي اختل بسبب الفعل غير المشروع، ولا بُدَّ لكي يتحقق التعويض </w:t>
      </w:r>
      <w:r>
        <w:rPr>
          <w:rStyle w:val="None"/>
          <w:rFonts w:ascii="Arial Unicode MS" w:hAnsi="Arial Unicode MS" w:cs="Times New Roman" w:hint="cs"/>
          <w:sz w:val="24"/>
          <w:szCs w:val="24"/>
          <w:rtl/>
          <w:lang w:val="ar-SA"/>
        </w:rPr>
        <w:lastRenderedPageBreak/>
        <w:t xml:space="preserve">أنْ يكون عادلًا وشاملًا لكل عناصر الضرر، ووجود زمة مالية قادرة على الوفاء به؛ لكي يؤدي التعويض وظيفته وهو جبر الضرر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631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ويهدف التعويض إلى تحقيق الردع من خلال منع المخالفين المحتملين من ارتكاب انتهاكات مشابهة في المستقبل، من خلال فرض عقوبات مالية صارمة، وتحقيق العدالة عن طريق تعويض المؤلف عن الأضرار النفسية والمعنوية، التي قد لا تعوض بالكامل من خلال التعويضات العادية، ومعاقبة المخالف على سلوكه غير القانوني، وتأكيد أنَّ انتهاك حقوق الملكية الفكرية يحمل عواقب وخيمة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317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الحق في التعويض عن الاعتداء على المصنفات الإلكترونية يعتبر وسيلة أساسية لحماية حقوق الملكية الفكرية، فهو لا يقتصر على جبر الضرر المادي والمعنوي الذي تعرض له المؤلف، بل يمتد لتحقيق العدالة والردع العام، فالتعويض يضمن لصاحب الحق استعادة مكانته الاقتصادية والاجتماعية</w:t>
      </w:r>
      <w:r>
        <w:rPr>
          <w:rStyle w:val="None"/>
          <w:rFonts w:ascii="Times New Roman" w:hAnsi="Times New Roman"/>
          <w:sz w:val="24"/>
          <w:szCs w:val="24"/>
          <w:rtl/>
          <w:lang w:val="ar-SA"/>
        </w:rPr>
        <w:t xml:space="preserve">. </w:t>
      </w:r>
    </w:p>
    <w:p w14:paraId="4A826889" w14:textId="77777777" w:rsidR="00454428" w:rsidRDefault="00000000" w:rsidP="00C72BA8">
      <w:pPr>
        <w:pStyle w:val="Body"/>
        <w:spacing w:before="120" w:after="120" w:line="360" w:lineRule="auto"/>
        <w:rPr>
          <w:rStyle w:val="None"/>
          <w:rFonts w:ascii="Times New Roman" w:eastAsia="Times New Roman" w:hAnsi="Times New Roman" w:cs="Times New Roman"/>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التي تُقر الحق في التعويض</w:t>
      </w:r>
      <w:r>
        <w:rPr>
          <w:rStyle w:val="None"/>
          <w:rFonts w:ascii="Times New Roman" w:hAnsi="Times New Roman"/>
          <w:b/>
          <w:bCs/>
          <w:sz w:val="28"/>
          <w:szCs w:val="28"/>
          <w:rtl/>
          <w:lang w:val="ar-SA"/>
        </w:rPr>
        <w:t>:</w:t>
      </w:r>
    </w:p>
    <w:p w14:paraId="07F128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الحق في التعويض من الأركان الأساسية لحماية الملكية الفكرية؛ حيث يُعَدُّ وسيلةً قانونيةً لتعويض الأضرار والخسائر التي يتكبدها صاحب الحق نتيجةَ الاعتداء على مصنفه، وقد أولت الاتفاقيات الدولية والأنظمة الوطنية اهتمامًا خاصًا بهذا الحق</w:t>
      </w:r>
      <w:r>
        <w:rPr>
          <w:rStyle w:val="None"/>
          <w:rFonts w:ascii="Times New Roman" w:hAnsi="Times New Roman"/>
          <w:sz w:val="24"/>
          <w:szCs w:val="24"/>
          <w:rtl/>
          <w:lang w:val="ar-SA"/>
        </w:rPr>
        <w:t>.</w:t>
      </w:r>
    </w:p>
    <w:p w14:paraId="49B958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العمل الإبداعي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هو في جانب منه عمل مادي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يمثل المصلحة المادية للمؤلف في نشره وتقديمه وإيصاله للجمهور، وهذا ما يسمى الحق الاقتصادي الذي يحمى بالوسائل القانونية، وفي نفس الوقت هو جزء الملكية الفكرية للمؤلف وشخصيته الإنسانية؛ ممَّا يخرج عن نطاق المصلحة المادية، وكل شيء له قيمة أعلى من الملكية المادية، ويوجد خارج الشخصية يمثل الحق المعنوي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68A41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حرص المنظم السعودي على ضرورة تعويض المتضرر جرَّاء الاعتداء على حقوقه الفكرية والأدبية؛ فقد خوَّل للمتضرر الحق في المطالبة بالتعويض كوسيلة رادعة، وقد أوضح المنظم السعودي في المادة </w:t>
      </w:r>
      <w:r>
        <w:rPr>
          <w:rStyle w:val="None"/>
          <w:rFonts w:ascii="Times New Roman" w:hAnsi="Times New Roman"/>
          <w:sz w:val="24"/>
          <w:szCs w:val="24"/>
          <w:rtl/>
          <w:lang w:val="ar-SA"/>
        </w:rPr>
        <w:t xml:space="preserve">(119) </w:t>
      </w:r>
      <w:r>
        <w:rPr>
          <w:rStyle w:val="None"/>
          <w:rFonts w:ascii="Arial Unicode MS" w:hAnsi="Arial Unicode MS" w:cs="Times New Roman" w:hint="cs"/>
          <w:sz w:val="24"/>
          <w:szCs w:val="24"/>
          <w:rtl/>
          <w:lang w:val="ar-SA"/>
        </w:rPr>
        <w:t>من نظام المعاملات المدنية،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لا تخل المسئولية المدنية بالمسئولية الجزائية، ولا تأثير للعقوبة في تحديد نطاق المسئولية المدنية وتقدير التعويض</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FDC99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تتجلى حماية العمل الإبداعي في النظام السعودي في شمولها للجانبين المادي والمعنوي؛ حيث يمثل المصنف حقًا اقتصاديًا وأدبيًا يعكس شخصية المؤلف، وقد جاء المنظم السعودي بإتاحة الفرصة للمتضرر بالمطالبة بجبر الضرر سواء كان اقتصاديًا أو أدبيًا، دون أنْ يؤثر ذلك على المسئولية الجزائية للمعتدي</w:t>
      </w:r>
      <w:r>
        <w:rPr>
          <w:rStyle w:val="None"/>
          <w:rFonts w:ascii="Times New Roman" w:hAnsi="Times New Roman"/>
          <w:sz w:val="24"/>
          <w:szCs w:val="24"/>
          <w:rtl/>
          <w:lang w:val="ar-SA"/>
        </w:rPr>
        <w:t>.</w:t>
      </w:r>
    </w:p>
    <w:p w14:paraId="032CA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وضح المنظم السعودي التعويض عن الاعتداء على حقوق الملكية الفكرية عن طريق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8"/>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وتوضح المادة السابقة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أجاز للجنة المختصة للنظر في المخالفات الناشئة عن تطبيق أحكام هذا النظام</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بتقرير تعويضٍ ماليٍّ للمؤلف لما ترتب عليه من ضرر؛ نتيجةَ الاعتداء على حقوقه الفكرية؛ وذلك لما يحققه التعويض من جبرٍ للخاطر المضرور، بالإضافة إلى وسيلة رادعة لكل من تسوِّل له نفسه للاعتداء على حقوق الغير بأي صورة من صور الاعتداء</w:t>
      </w:r>
      <w:r>
        <w:rPr>
          <w:rStyle w:val="None"/>
          <w:rFonts w:ascii="Times New Roman" w:hAnsi="Times New Roman"/>
          <w:sz w:val="24"/>
          <w:szCs w:val="24"/>
          <w:rtl/>
          <w:lang w:val="ar-SA"/>
        </w:rPr>
        <w:t>.</w:t>
      </w:r>
    </w:p>
    <w:p w14:paraId="62376D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النطاق الدولي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جاءت الاتفاقيات العالمية والدولية تقر بضرورة تعويض المؤلف أو صاحب الحق بمبلغ مادي عما أصابه من أضرار نتيجة الاعتداءات على حقوقه الفكرية، فقد جاءت اتفاقية تريبس بتوضيح التعويضات من خلال المادة </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p>
    <w:p w14:paraId="036B56F1" w14:textId="77777777" w:rsidR="00454428" w:rsidRDefault="00000000" w:rsidP="00C72BA8">
      <w:pPr>
        <w:pStyle w:val="ListParagraph"/>
        <w:numPr>
          <w:ilvl w:val="0"/>
          <w:numId w:val="165"/>
        </w:numPr>
        <w:spacing w:before="120" w:after="120" w:line="360" w:lineRule="auto"/>
        <w:jc w:val="both"/>
        <w:rPr>
          <w:rFonts w:cs="Times New Roman" w:hint="default"/>
          <w:sz w:val="24"/>
          <w:szCs w:val="24"/>
          <w:rtl/>
          <w:lang w:val="ar-SA"/>
        </w:rPr>
      </w:pPr>
      <w:r>
        <w:rPr>
          <w:rStyle w:val="None"/>
          <w:rFonts w:cs="Times New Roman"/>
          <w:sz w:val="24"/>
          <w:szCs w:val="24"/>
          <w:rtl/>
          <w:lang w:val="ar-SA"/>
        </w:rPr>
        <w:t>للسلطات القضائية صلاحية أنْ تأمر المعتدي بأنْ يدفع لصاحب الحق تعويضات مناسبة عن الضرر الذي لحق به؛ بسبب التعدي على حقه في الملكية الفكرية من جانب متعد يعلم، أو كانت هناك أسباب معقولة تجعله يعلم أنَّه قام بذلك التعدي</w:t>
      </w:r>
      <w:r>
        <w:rPr>
          <w:rStyle w:val="None"/>
          <w:rFonts w:ascii="Times New Roman" w:hAnsi="Times New Roman"/>
          <w:sz w:val="24"/>
          <w:szCs w:val="24"/>
          <w:rtl/>
          <w:lang w:val="ar-SA"/>
        </w:rPr>
        <w:t>.</w:t>
      </w:r>
    </w:p>
    <w:p w14:paraId="47F310F9" w14:textId="77777777" w:rsidR="00454428" w:rsidRDefault="00000000" w:rsidP="00C72BA8">
      <w:pPr>
        <w:pStyle w:val="ListParagraph"/>
        <w:numPr>
          <w:ilvl w:val="0"/>
          <w:numId w:val="16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وللسلطات القضائية أيضًا صلاحية أنْ تأمر المعتدي بأنْ يدفع لصاحب الحق المصروفات التي تكبدها، والتي يجوز أنْ تشمل أتعاب المحامي المناسبة، وفي الحالات الملائمة، يجوز للبلدان الأعضاء تخويل السلطات القضائية صلاحية أنْ تأمر باسترداد الأرباح، أو دفع تعويضات مقررة سلفًا حتى حين لا يكون المتعدي يعلم أو كانت لديه أسباب معقولة تجعله يعلم أنَّه قام بذلك التعدي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F0D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كلًا من الاتفاقيات الدولية والأنظمة الوطنية قد أعطت الحق في التعويض مكانة مهمة؛ لضمان الحماية الفعَّالة للملكية الفكرية، فقد أرست اتفاقية تريبس إطارًا عامًا يمنح السلطات القضائية صلاحيةَ تقدير التعويض المناسب ومنع الضرر، بالإضافة إلى إلزام المعتدي بتحمل المصروفات واسترداد الأرباح في بعض الحالات، ويتبنى النظام السعودي هذا المبدأ من خلال نصوص واضحة تتيح لصاحب الحق المعتدى عليه الحصول على تعويض عادل يتناسب مع حجم الاعتداء والضرر، وهذا يعكس توافقًا على المستويين الدولي والوطني، في اعتبار التعويض أداة مهمة لحماية المصالح المادية والمعنوية للمؤلف</w:t>
      </w:r>
      <w:r>
        <w:rPr>
          <w:rStyle w:val="None"/>
          <w:rFonts w:ascii="Times New Roman" w:hAnsi="Times New Roman"/>
          <w:sz w:val="24"/>
          <w:szCs w:val="24"/>
          <w:rtl/>
          <w:lang w:val="ar-SA"/>
        </w:rPr>
        <w:t xml:space="preserve">. </w:t>
      </w:r>
    </w:p>
    <w:p w14:paraId="5223458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شروط المطالبة بالتعويض</w:t>
      </w:r>
      <w:r>
        <w:rPr>
          <w:rStyle w:val="None"/>
          <w:rFonts w:ascii="Times New Roman" w:hAnsi="Times New Roman"/>
          <w:b/>
          <w:bCs/>
          <w:sz w:val="28"/>
          <w:szCs w:val="28"/>
          <w:rtl/>
          <w:lang w:val="ar-SA"/>
        </w:rPr>
        <w:t>:</w:t>
      </w:r>
    </w:p>
    <w:p w14:paraId="2E2F24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يُعَدُّ الابتكار المعيار المميز لحقوق المؤلف والشرط الرئيسي لاستحقاق الحماية القانونية، ولا يلزم الابتكار أنْ يكون العمل جديدًا في جملته وتفصيله، إنما المراد منه أنْ يظهر المصنف الفكري بطابع يبرز شخصية مؤلفه ومعبرًا عنها ومتسمًا بالجدة والتميز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854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حماية حقوق المؤلف يشترط لانعقاد مثل هذه التصرفات أنْ تكون مكتوبةً، وأنْ يحدد فيها صراحةً، وبالتفصيل كل حق على حدة يُعَدُّ محلًا للتصرف، مع ضرورة بيان نطاق هذا الحق، والغرض منه والنطاق الزمني لاستغلاله، وطريقة استغلاله، فإنَّ طرق النشر الإلكتروني الرقمي المتطوِّر، قد تكون سببًا في الحد من مكنات الحق المالي للمؤلف، أو قد تظهر عدم تعادل بين القيم المتبادلة؛ بحيث يحصل عليه المؤلف من حق مالي لا يتناسب مطلقًا مع الأرباح التي يجنيها الناشر الإلكتروني بمناسبة استغلاله للحق المالي للمتنازل عنه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8ECE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أجل الحصول على براءة الاختراع، فإنَّ الابتكار يجب أنْ تتوفر فيه شروط أساسية في مقدمتها أنْ تكون الفكرة جديدة والتطبيق جديد، والأصالة، وقابلية التحول إلى جهاز نافع أو طريقة محددة للقيام بالأعمال، وأنْ لا يكون الابتكار مجرد تحسين تدريجي بدرجة كبيرة، وهذا ما يستطيع أنْ يميزه المهني الماهر عند تقييم الابتكار في مرحلة طلب البراءة، ويكون ذلك من مسئولية الجهة الرسمية المانحة للبراءة أنْ تقارنه مع الابتكارات، أو المعارف، أو الطرق الحالية، كما يكون مسئولية المبتكر أنْ يوضح ابتكاره بالمقارنة مع الفن السابق أو المعرفة السابقة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83B3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الابتكار يشكل حجر الأساس لاستحقاق الحماية القانونية في مجالات حقوق المؤلف وبراءات الاختراع، فهو المعيار الذي يميز العمل الإبداعي، ويعكس شخصية صاحبه؛ ممَّا يبرر منحه الحقوق المادية والمعنوية، ومع ذلك فقد تؤثر طرق النشر الإلكتروني الحديثة على القيمة الاقتصادية لهذه الحقوق، خاصةً إذا لم يتم تنظيم التعامل معها بعقود واضحة ومكتوبة تحدد نطاق الاستغلال وشروطه</w:t>
      </w:r>
      <w:r>
        <w:rPr>
          <w:rStyle w:val="None"/>
          <w:rFonts w:ascii="Times New Roman" w:hAnsi="Times New Roman"/>
          <w:sz w:val="24"/>
          <w:szCs w:val="24"/>
          <w:rtl/>
          <w:lang w:val="ar-SA"/>
        </w:rPr>
        <w:t xml:space="preserve">. </w:t>
      </w:r>
    </w:p>
    <w:p w14:paraId="049B21F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التعويض عند سحب المصنف من خلال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 xml:space="preserve">من نظام حماية حقوق المؤلف، والتي نصت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يلتزم المؤلف بالامتناع عن أي عمل من شأنه تعطيل استغلال الحق المأذون به للغير، ومع ذلك يجوز للمؤلف سحب مصنفه من التداول، أو تعديله، أو الحذف منه، أو الإضافة إليه، بعد الاتفاق مع المأذون له بمباشرة الحق، وفي حالة عدم الاتفاق يُلزم المؤلف بتعويض المأذون له بمباشرة الحق، وفق ما تحدده اللجنة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7376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وكما أوضح المنظم السعودي في المادة </w:t>
      </w:r>
      <w:r>
        <w:rPr>
          <w:rStyle w:val="None"/>
          <w:rFonts w:ascii="Times New Roman" w:hAnsi="Times New Roman"/>
          <w:sz w:val="24"/>
          <w:szCs w:val="24"/>
          <w:rtl/>
          <w:lang w:val="ar-SA"/>
        </w:rPr>
        <w:t xml:space="preserve">(29)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لصاحب حق المؤلف أو من يمثله حق المطالبة بالتعويض عن الأضرار، التي لحقت به جراء الاعتداء على أي من حقوقه التي يحميها النظام أمام المحكمة المختصة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9897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أقر مبدأ التعويض كوسيلة لتحقيق التوازن بين حقوق المؤلف وحقوق من يرخص لهم استغلال المصنفات الرقمية؛ حيث يتمتع المؤلف بحرية في التصرف مصنفة، كما منح المنظم المطالبة بالتعويض القضائي في حالة انتهاكات على الحقوق الفكرية، فإنَّ أهمية مبدأ التعويض في البيئة الرقمية من استغلال المصنفات الرقمية ونشرها إلكترونيًا دون إذن من صاحب المؤلف</w:t>
      </w:r>
      <w:r>
        <w:rPr>
          <w:rStyle w:val="None"/>
          <w:rFonts w:ascii="Times New Roman" w:hAnsi="Times New Roman"/>
          <w:sz w:val="24"/>
          <w:szCs w:val="24"/>
          <w:rtl/>
          <w:lang w:val="ar-SA"/>
        </w:rPr>
        <w:t>.</w:t>
      </w:r>
    </w:p>
    <w:p w14:paraId="7EF723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اتفاقية برن بتوضيح الحقوق المعنوية للمؤلف، والتي نصت على</w:t>
      </w:r>
      <w:r>
        <w:rPr>
          <w:rStyle w:val="None"/>
          <w:rFonts w:ascii="Times New Roman" w:hAnsi="Times New Roman"/>
          <w:sz w:val="24"/>
          <w:szCs w:val="24"/>
          <w:rtl/>
          <w:lang w:val="ar-SA"/>
        </w:rPr>
        <w:t>:</w:t>
      </w:r>
    </w:p>
    <w:p w14:paraId="6A27D69C" w14:textId="77777777" w:rsidR="00454428" w:rsidRDefault="00000000" w:rsidP="00C72BA8">
      <w:pPr>
        <w:pStyle w:val="ListParagraph"/>
        <w:numPr>
          <w:ilvl w:val="0"/>
          <w:numId w:val="167"/>
        </w:numPr>
        <w:spacing w:before="120" w:after="120" w:line="360" w:lineRule="auto"/>
        <w:jc w:val="both"/>
        <w:rPr>
          <w:rFonts w:cs="Times New Roman" w:hint="default"/>
          <w:sz w:val="24"/>
          <w:szCs w:val="24"/>
          <w:rtl/>
          <w:lang w:val="ar-SA"/>
        </w:rPr>
      </w:pPr>
      <w:r>
        <w:rPr>
          <w:rStyle w:val="None"/>
          <w:rFonts w:cs="Times New Roman"/>
          <w:sz w:val="24"/>
          <w:szCs w:val="24"/>
          <w:rtl/>
          <w:lang w:val="ar-SA"/>
        </w:rPr>
        <w:t>بغض النظر عن الحقوق المالية للمؤلف، بل وحتى بعد انتقال هذه الحقوق، فإنَّ المؤلف يحتفظ بالحق في المطالبة بنسبة المصنف إليه، وبالاعتراض على كل تحريف، أو تشويه، أو أي تعديل آخر لهذا المصنف، أو كل مساس آخر بذات المصنف يكون ضارًا بشرفه أو بسمعته</w:t>
      </w:r>
      <w:r>
        <w:rPr>
          <w:rStyle w:val="None"/>
          <w:rFonts w:ascii="Times New Roman" w:hAnsi="Times New Roman"/>
          <w:sz w:val="24"/>
          <w:szCs w:val="24"/>
          <w:rtl/>
          <w:lang w:val="ar-SA"/>
        </w:rPr>
        <w:t>.</w:t>
      </w:r>
    </w:p>
    <w:p w14:paraId="15610C25" w14:textId="77777777" w:rsidR="00454428" w:rsidRDefault="00000000" w:rsidP="00C72BA8">
      <w:pPr>
        <w:pStyle w:val="ListParagraph"/>
        <w:numPr>
          <w:ilvl w:val="0"/>
          <w:numId w:val="16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الحقوق الممنوحة للمؤلف بمقتضى الفقرة </w:t>
      </w:r>
      <w:r>
        <w:rPr>
          <w:rStyle w:val="None"/>
          <w:rFonts w:ascii="Times New Roman" w:hAnsi="Times New Roman"/>
          <w:sz w:val="24"/>
          <w:szCs w:val="24"/>
          <w:rtl/>
          <w:lang w:val="ar-SA"/>
        </w:rPr>
        <w:t xml:space="preserve">(1) </w:t>
      </w:r>
      <w:r>
        <w:rPr>
          <w:rStyle w:val="None"/>
          <w:rFonts w:cs="Times New Roman"/>
          <w:sz w:val="24"/>
          <w:szCs w:val="24"/>
          <w:rtl/>
          <w:lang w:val="ar-SA"/>
        </w:rPr>
        <w:t>السابقة تظل محفوظةً بعد وفاته، وذلك على الأقل إلى حين انقضاء الحقوق المالية، ويمارس هذه الحقوق الأشخاص، أو الهيئات المصرح لها من قِبل تشريع الدولة المطلوب توفير الحماية فيها،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الدول التي لا يتضمن تشريعها المعمول به </w:t>
      </w:r>
      <w:r>
        <w:rPr>
          <w:rStyle w:val="None"/>
          <w:rFonts w:ascii="Times New Roman" w:hAnsi="Times New Roman"/>
          <w:sz w:val="24"/>
          <w:szCs w:val="24"/>
          <w:rtl/>
          <w:lang w:val="ar-SA"/>
        </w:rPr>
        <w:t>-</w:t>
      </w:r>
      <w:r>
        <w:rPr>
          <w:rStyle w:val="None"/>
          <w:rFonts w:cs="Times New Roman"/>
          <w:sz w:val="24"/>
          <w:szCs w:val="24"/>
          <w:rtl/>
          <w:lang w:val="ar-SA"/>
        </w:rPr>
        <w:t>عند التصديق على هذه الاتفاقية، أو الانضمام إليها</w:t>
      </w:r>
      <w:r>
        <w:rPr>
          <w:rStyle w:val="None"/>
          <w:rFonts w:ascii="Times New Roman" w:hAnsi="Times New Roman"/>
          <w:sz w:val="24"/>
          <w:szCs w:val="24"/>
          <w:rtl/>
          <w:lang w:val="ar-SA"/>
        </w:rPr>
        <w:t xml:space="preserve">- </w:t>
      </w:r>
      <w:r>
        <w:rPr>
          <w:rStyle w:val="None"/>
          <w:rFonts w:cs="Times New Roman"/>
          <w:sz w:val="24"/>
          <w:szCs w:val="24"/>
          <w:rtl/>
          <w:lang w:val="ar-SA"/>
        </w:rPr>
        <w:t>نصوصًا تكفل الحماية بعد وفاة المؤلف لكل الحقوق المنصوص عليها في الفقرة السابقة، يكون لها الحق في النص على أنَّ بعض هذه الحقوق لا يحتفظ بها بعد وفاة المؤلف</w:t>
      </w:r>
      <w:r>
        <w:rPr>
          <w:rStyle w:val="None"/>
          <w:rFonts w:ascii="Times New Roman" w:hAnsi="Times New Roman"/>
          <w:sz w:val="24"/>
          <w:szCs w:val="24"/>
          <w:rtl/>
          <w:lang w:val="ar-SA"/>
        </w:rPr>
        <w:t>.</w:t>
      </w:r>
    </w:p>
    <w:p w14:paraId="471BA961" w14:textId="77777777" w:rsidR="00454428" w:rsidRDefault="00000000" w:rsidP="00C72BA8">
      <w:pPr>
        <w:pStyle w:val="ListParagraph"/>
        <w:numPr>
          <w:ilvl w:val="0"/>
          <w:numId w:val="16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وسائل الطعن للمحافظة على الحقوق المقررة في هذه المادة يحددها تشريع الدولة المطلوب توفير الحماية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3DC2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قد أعطت الحقوق المعنوية للمؤلف مكانةً متميزةً ومستقلةً عن الحقوق المالية؛ حيث أكدت على حقه في نسبة المصنف إليه وحماية المصنف من أي تشويه أو تحريف قد يضر بسمعته، حتى بعد انتقال الحقوق المالية للغير، كما امتدت تلك الحماية لما بعد وفاة المؤلف، مع ترك المساحة للدول الأعضاء لتنظيم مدى استمرارها وفقًا للنظم القانونية الوطنية</w:t>
      </w:r>
      <w:r>
        <w:rPr>
          <w:rStyle w:val="None"/>
          <w:rFonts w:ascii="Times New Roman" w:hAnsi="Times New Roman"/>
          <w:sz w:val="24"/>
          <w:szCs w:val="24"/>
          <w:rtl/>
          <w:lang w:val="ar-SA"/>
        </w:rPr>
        <w:t xml:space="preserve">. </w:t>
      </w:r>
    </w:p>
    <w:p w14:paraId="5B4B83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 xml:space="preserve">المسؤولية القانونية لمزودي الخدمة </w:t>
      </w:r>
      <w:r>
        <w:rPr>
          <w:rStyle w:val="None"/>
          <w:rFonts w:ascii="Times New Roman" w:hAnsi="Times New Roman"/>
          <w:b/>
          <w:bCs/>
          <w:sz w:val="28"/>
          <w:szCs w:val="28"/>
        </w:rPr>
        <w:t>ISP</w:t>
      </w:r>
    </w:p>
    <w:p w14:paraId="7AF851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يعتبر الإنترنت أول مؤسسة عالمية لا تملكها أي حكومة وملكية الإنترنت بذلك مقسمة بين الدول والحكومات والشركات والمؤسسات، أما من يملك الخدمات الرئيسية للإنترنت فهو مقدم خدمة الإنترنت </w:t>
      </w:r>
      <w:r>
        <w:rPr>
          <w:rStyle w:val="None"/>
          <w:rFonts w:ascii="Times New Roman" w:hAnsi="Times New Roman"/>
          <w:sz w:val="24"/>
          <w:szCs w:val="24"/>
        </w:rPr>
        <w:t>ISP</w:t>
      </w:r>
      <w:r>
        <w:rPr>
          <w:rStyle w:val="None"/>
          <w:rFonts w:ascii="Arial Unicode MS" w:hAnsi="Arial Unicode MS" w:cs="Times New Roman" w:hint="cs"/>
          <w:sz w:val="24"/>
          <w:szCs w:val="24"/>
          <w:rtl/>
          <w:lang w:val="ar-SA"/>
        </w:rPr>
        <w:t xml:space="preserve"> وتقع عليه مسؤولية قانونية سواء جنائية أو مدنية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6"/>
      </w:r>
      <w:r>
        <w:rPr>
          <w:rStyle w:val="None"/>
          <w:rFonts w:ascii="Times New Roman" w:hAnsi="Times New Roman"/>
          <w:sz w:val="24"/>
          <w:szCs w:val="24"/>
          <w:vertAlign w:val="superscript"/>
          <w:rtl/>
          <w:lang w:val="ar-SA"/>
        </w:rPr>
        <w:t>)</w:t>
      </w:r>
    </w:p>
    <w:p w14:paraId="2354B3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مزود خدمة الإنترنت يقوم بدور مهم في نشر المحتوى غير المشروع، وذلك في حالة اقتصار دوره على الجانب التقني، فالدور الإيجابي لمزود الخدمة بتأليف المحتوى، أو نشره، أو إعادة انتاجه، أو عند اختياره أو لتعديله، أما في حالة تجاوز حدود تقنيه واحتفظ بالمحتوى لمدة تتجاوز الزمن اللازم لنقله، وقام بنشر هذا المحتوى، فهنا يمكن مسائلته عن المحتوى غير المشروع الذي قام بنشره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7"/>
      </w:r>
      <w:r>
        <w:rPr>
          <w:rStyle w:val="None"/>
          <w:rFonts w:ascii="Times New Roman" w:hAnsi="Times New Roman"/>
          <w:sz w:val="24"/>
          <w:szCs w:val="24"/>
          <w:vertAlign w:val="superscript"/>
          <w:rtl/>
          <w:lang w:val="ar-SA"/>
        </w:rPr>
        <w:t>)</w:t>
      </w:r>
    </w:p>
    <w:p w14:paraId="038165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بمزودي الخدمة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كل شخص طبيعي او معنوي يعمل على الربط التقني بين المستخدم وشبكة الإنترنت ويمدهم بالوسائل التقنية اللازمة لذلك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8"/>
      </w:r>
      <w:r>
        <w:rPr>
          <w:rStyle w:val="None"/>
          <w:rFonts w:ascii="Times New Roman" w:hAnsi="Times New Roman"/>
          <w:sz w:val="24"/>
          <w:szCs w:val="24"/>
          <w:vertAlign w:val="superscript"/>
          <w:rtl/>
          <w:lang w:val="ar-SA"/>
        </w:rPr>
        <w:t>)</w:t>
      </w:r>
    </w:p>
    <w:p w14:paraId="161FF7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عرف مزود الخدمة من نظام الاتصالات وتقنية المعلومات المادة الأولى التي نصت على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مقدم خدمات الاتصالات أو تقنية المعلومات أو خدمات ذات علاقة بها بما فيها منصات المحتوى الرقمي للعموم المرخص له أو المسجل أو المصرح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9"/>
      </w:r>
      <w:r>
        <w:rPr>
          <w:rStyle w:val="None"/>
          <w:rFonts w:ascii="Times New Roman" w:hAnsi="Times New Roman"/>
          <w:sz w:val="24"/>
          <w:szCs w:val="24"/>
          <w:vertAlign w:val="superscript"/>
          <w:rtl/>
          <w:lang w:val="ar-SA"/>
        </w:rPr>
        <w:t>)</w:t>
      </w:r>
    </w:p>
    <w:p w14:paraId="6353C5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يتعرض المستفيد من خدمات شبكة الإنترنت لمخاطر المحتوى المضلل وغير المشروع، وهذه المخاطر باتت مألوفة في إطار البيئة الرقمية؛ حيث جعل التطور الحاصل في تقنيات الاتصال والتقنيات الرقمية، وجميع الداخلين إلى الشبكة أو المشتغلين عبرها معرضين لإمكانية تلقي المحتوى الضار من خلال برامج خبيثة، أو من خلال اتخاذه صور إعلانات جذابة، أو من خلال عقود إلكترونية وهمية وغيرها من وسائل نشر هذا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FD9B9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هنا تتفاوت المسؤولية الجزائية لمقدمي خدمات الإنترنت وفقًا للخدمات التي يقدمونها على الشبكة سواء كانوا يتفاعلون مباشرة مع المعلومات او كانوا متعاقدين تقنيين يستخدمون وسائل التكنولوجيا لأداء مهامهم، وتظهر اختلافات في شكل المسؤولية الجزائية بناءً على القواعد العامة التي يتعبها القضاء في تحميل مقدمي الخدمة مسؤولية جرائمهم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1"/>
      </w:r>
      <w:r>
        <w:rPr>
          <w:rStyle w:val="None"/>
          <w:rFonts w:ascii="Times New Roman" w:hAnsi="Times New Roman"/>
          <w:sz w:val="24"/>
          <w:szCs w:val="24"/>
          <w:vertAlign w:val="superscript"/>
          <w:rtl/>
          <w:lang w:val="ar-SA"/>
        </w:rPr>
        <w:t>)</w:t>
      </w:r>
    </w:p>
    <w:p w14:paraId="7EA2A9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ومثال على ذلك قضية اتحاد الطلاب اليهود التي رفعها ضد شركة </w:t>
      </w:r>
      <w:r>
        <w:rPr>
          <w:rStyle w:val="None"/>
          <w:rFonts w:ascii="Times New Roman" w:hAnsi="Times New Roman"/>
          <w:sz w:val="24"/>
          <w:szCs w:val="24"/>
          <w:lang w:val="en-US"/>
        </w:rPr>
        <w:t>Yahoo</w:t>
      </w:r>
      <w:r>
        <w:rPr>
          <w:rStyle w:val="None"/>
          <w:rFonts w:ascii="Arial Unicode MS" w:hAnsi="Arial Unicode MS" w:cs="Times New Roman" w:hint="cs"/>
          <w:sz w:val="24"/>
          <w:szCs w:val="24"/>
          <w:rtl/>
          <w:lang w:val="ar-SA"/>
        </w:rPr>
        <w:t xml:space="preserve"> باعتبارها مزودة الخدمة انتهت المحكمة إلى أنها تعد مسئولة عن عدم مشروعية الإعلانات والأعمال التي تمت عبر موقعها المخصص لبيع أشياء تتعلق بالنازية بالمزاد العلني، ولكن مسئوليتها تنشأ فقط منذ العلم بالمحتوى غير المشروع للموقع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14100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يسأل عنها مزود الخدمة عن سلوكه المعيب والضار، وتتحقق مسؤوليته المدنية ويلتزم بالتعويض الذي يعتبر الجزاء المترتب عن الخطأ المدني الذي نتج عن مخالفة ببنود العقد الذي يربطه مع عملائه بعقد الدخول إلى الشبكة، أو عقد توريد المعلومات إذا ما تعدى دوره، أو عن إخلال بالتزام قانوني مفاده عدم الاضرار بالغير وفقًا للمبادئ القانونية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3"/>
      </w:r>
      <w:r>
        <w:rPr>
          <w:rStyle w:val="None"/>
          <w:rFonts w:ascii="Times New Roman" w:hAnsi="Times New Roman"/>
          <w:sz w:val="24"/>
          <w:szCs w:val="24"/>
          <w:vertAlign w:val="superscript"/>
          <w:rtl/>
          <w:lang w:val="ar-SA"/>
        </w:rPr>
        <w:t>)</w:t>
      </w:r>
    </w:p>
    <w:p w14:paraId="75B986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 إن المسؤولية الجزائية لمزود الخدمة خاصة من مجال الملكية الفكرية، يكون له دور أساسي سواء مباشر أو غير مباشر في الاعتداء على هذه الحقوق؛ لأنه يساهم في نشر أو اتاحه محتوى محمي دون ترخيص عبر الإنترنت، فتتجه التشريعات إلى تحديد مسؤولية الجزائية في حالة علمه بالمحتوى غير المشروع وعدم اتخاذ التدابير اللازمة لمنعه أو ازالته، فالمسؤولية الجزائية تقع على مزود الخدمة</w:t>
      </w:r>
      <w:r>
        <w:rPr>
          <w:rStyle w:val="None"/>
          <w:rFonts w:ascii="Times New Roman" w:hAnsi="Times New Roman"/>
          <w:sz w:val="24"/>
          <w:szCs w:val="24"/>
          <w:rtl/>
          <w:lang w:val="ar-SA"/>
        </w:rPr>
        <w:t>.</w:t>
      </w:r>
    </w:p>
    <w:p w14:paraId="696B90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لمزود الخدمة على أساس الاخلال بواجب قانوني على حقوق الملكية الفكرية، وذلك في حالة اتاحه نشر محتوى محمي دون ترخيص، فإذا ثبت أن مزود الخدمة هو من قام بهذا الخطأ سواء بالإهمال او التقصير في مراقبة المحتوى، في هذه الحالة يسأل مدنيًا عن الأضرار التي تلحق بأصحاب الحقوق، ويلتزم بالتعويض</w:t>
      </w:r>
      <w:r>
        <w:rPr>
          <w:rStyle w:val="None"/>
          <w:rFonts w:ascii="Times New Roman" w:hAnsi="Times New Roman"/>
          <w:sz w:val="24"/>
          <w:szCs w:val="24"/>
          <w:rtl/>
          <w:lang w:val="ar-SA"/>
        </w:rPr>
        <w:t>.</w:t>
      </w:r>
    </w:p>
    <w:p w14:paraId="5EA1264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دور الهيئة السعودية للملكية الفكرية</w:t>
      </w:r>
      <w:r>
        <w:rPr>
          <w:rStyle w:val="None"/>
          <w:rFonts w:ascii="Times New Roman" w:hAnsi="Times New Roman"/>
          <w:b/>
          <w:bCs/>
          <w:sz w:val="28"/>
          <w:szCs w:val="28"/>
          <w:rtl/>
          <w:lang w:val="ar-SA"/>
        </w:rPr>
        <w:t>:</w:t>
      </w:r>
    </w:p>
    <w:p w14:paraId="67457F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مواكبة للتطوُّر التكنولوجي المذهل في عالم الإلكترونيات وشبكات المعلومات، وما نتج عنها من وسائل حديثة للنشر الإلكتروني توسعة مسألة الاعتداء على المصنفات المحمية؛ ممَّا دفع المنظم إلى تجريم ذلك بما يكفل حماية فعَّالة ضد أي اعتداء على حقوق المؤلف، وتقع المسئولية على عاتق الشخص الذي قام بالنشر غير المشروع للمصنف عبر الشبكة، إذا توفر لدى الجاني العلم بأنَّ المصنف الذي يقوم بنشره محمي، واتجهت إرادته إلى هذا النشر غير المشروع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42D7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فاهتمت الهيئة السعودية للملكية الفكرية بتصميم وتنفيذ الاستراتيجية الوطنية للملكية الفكرية، كما قامت بالتوعية بأهمية الملكية الفكرية وحماية حقوقها، واهتمت بإبداء الآراء في شأن الاتفاقيات الدولية المتعلقة بحقوق الملكية الفكرية، واقتراح الأنظمة واللوائح المتعلقة بحقوق الملكية الفكرية، وتعزيز الاستفادة من الملكية الفكرية؛ لبناء اقتصاد متقدم قائم على المعرفة، كما عملت على إنشاء قواعد للمعلومات في مجال عمل الهيئة وتبادل المعلومات مع الجهات المحلية، والإقليمية، والعالمية، وتسجيل حقوق الملكية الفكرية ومنحها وثائق الحماية وإنفاذها، بالإضافة إلى أنَّها تمثل المملكة في المنظمات الدولية والإقليمية ذات العلاقة بحقوق الملكية الفكرية والدفاع عن مصالحها، وتوفر المعلومات المتعلقة بحقوق </w:t>
      </w:r>
      <w:r>
        <w:rPr>
          <w:rStyle w:val="None"/>
          <w:rFonts w:ascii="Arial Unicode MS" w:hAnsi="Arial Unicode MS" w:cs="Times New Roman" w:hint="cs"/>
          <w:sz w:val="24"/>
          <w:szCs w:val="24"/>
          <w:rtl/>
          <w:lang w:val="ar-SA"/>
        </w:rPr>
        <w:lastRenderedPageBreak/>
        <w:t xml:space="preserve">الملكية الفكرية وإتاحتها للجمهور، ومتابعة تنفيذ الالتزامات المترتبة على انضمام المملكة إلى الاتفاقيات الدولية المتعلقة بالملكية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F4F08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السعودية للملكية الفكرية أولت اهتمامًا كبيرًا لحماية حقوق الملكية الفكرية؛ ممَّا يساعدها على مواكبة التطوُّر التكنولوجي، والحد من الانتهاكات التي قد تؤثر على المصنفات المحمية في البيئة الرقمية، كما تتيح هذه الحماية للمؤلف أو صاحب الحق المطالبة بالتعويض عن أي اعتداء على حقوقه؛ حيث يتجاوز تجريم النشر غير المشروع العقوبات الجنائية؛ ليشمل التعويض المدني الذي يهدف إلى جبر الضرر، بالإضافة إلى أنَّ الجهود التي تبذلها الهيئة السعودية للملكية الفكرية في تطبيق استراتيجيات الحماية وتعزيز نفاذ الحقوق، تشكل نطاقًا متكاملًا يضمن لصاحب الحق الفكري حماية فعَّالة</w:t>
      </w:r>
      <w:r>
        <w:rPr>
          <w:rStyle w:val="None"/>
          <w:rFonts w:ascii="Times New Roman" w:hAnsi="Times New Roman"/>
          <w:sz w:val="24"/>
          <w:szCs w:val="24"/>
          <w:rtl/>
          <w:lang w:val="ar-SA"/>
        </w:rPr>
        <w:t xml:space="preserve">. </w:t>
      </w:r>
    </w:p>
    <w:p w14:paraId="2608CE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لا يستوجب التسجيل لحماية حق المؤلف، فأي مصنف يتمتع بالإضافة الابتكارية، وتم إخراجه كقالب مادي فهو متمتع بالحماية القانونية دون الحاجة إلى أي إجراء آخر؛ إلا أنَّه بعد تأسيس الهيئة السعودية للملكية الفكرية استحدثت الهيئة نظام التسجيل الاختياري لحق المؤلف؛ الذي يهدف إلى توفير مزيد من الحماية عبر منح المؤلف وثيقةً ثبوتيةً تقضي بملكية المؤلف لهذا المصنف، وهذه المبادرة لا تتنافى مع كون المنظم السعودي لم يستلزم إجراءات لمنح الحماية القانونية، فجميع المصنفات التي تصح أنْ تكون محلًا لحق المؤلف هي محمية بموجب النظام، ولا يجوز التعدي عليها شريطة أنْ تكون ذات طابع ابتكاري، وأنْ يكون قد تم إخراجها في قالب مادي، ولا عبرة بكونها لا تزال فكرة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D518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كيفية ضبط المخالفات في المصنفات الإلكترونية، وذلك من خلال المادة </w:t>
      </w:r>
      <w:r>
        <w:rPr>
          <w:rStyle w:val="None"/>
          <w:rFonts w:ascii="Times New Roman" w:hAnsi="Times New Roman"/>
          <w:sz w:val="24"/>
          <w:szCs w:val="24"/>
          <w:rtl/>
          <w:lang w:val="ar-SA"/>
        </w:rPr>
        <w:t xml:space="preserve">(26) </w:t>
      </w:r>
      <w:r>
        <w:rPr>
          <w:rStyle w:val="None"/>
          <w:rFonts w:ascii="Arial Unicode MS" w:hAnsi="Arial Unicode MS" w:cs="Times New Roman" w:hint="cs"/>
          <w:sz w:val="24"/>
          <w:szCs w:val="24"/>
          <w:rtl/>
          <w:lang w:val="ar-SA"/>
        </w:rPr>
        <w:t xml:space="preserve">من اللائحة التنفيذية لنظام حماية حقوق المؤلف، والتي نصت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ضبط ما يقع من مخالفات لأحكام النظام واللائحة في المواقع الإلكترونية في شبكة الإنترنت العالمية وفق ما يلي</w:t>
      </w:r>
      <w:r>
        <w:rPr>
          <w:rStyle w:val="None"/>
          <w:rFonts w:ascii="Times New Roman" w:hAnsi="Times New Roman"/>
          <w:sz w:val="24"/>
          <w:szCs w:val="24"/>
          <w:rtl/>
          <w:lang w:val="ar-SA"/>
        </w:rPr>
        <w:t>:</w:t>
      </w:r>
    </w:p>
    <w:p w14:paraId="1C29CD8F" w14:textId="77777777" w:rsidR="00454428" w:rsidRDefault="00000000" w:rsidP="00C72BA8">
      <w:pPr>
        <w:pStyle w:val="ListParagraph"/>
        <w:numPr>
          <w:ilvl w:val="0"/>
          <w:numId w:val="169"/>
        </w:numPr>
        <w:spacing w:before="120" w:after="120" w:line="360" w:lineRule="auto"/>
        <w:jc w:val="both"/>
        <w:rPr>
          <w:rFonts w:cs="Times New Roman" w:hint="default"/>
          <w:sz w:val="24"/>
          <w:szCs w:val="24"/>
          <w:rtl/>
          <w:lang w:val="ar-SA"/>
        </w:rPr>
      </w:pPr>
      <w:r>
        <w:rPr>
          <w:rStyle w:val="None"/>
          <w:rFonts w:cs="Times New Roman"/>
          <w:sz w:val="24"/>
          <w:szCs w:val="24"/>
          <w:rtl/>
          <w:lang w:val="ar-SA"/>
        </w:rPr>
        <w:t>شكوى مقدمة من أصحاب الحقوق أو من يمثلهم، على أنْ تتوافق مع شروط قيدها لدى الهيئة وفق النماذج المعدة لذلك</w:t>
      </w:r>
      <w:r>
        <w:rPr>
          <w:rStyle w:val="None"/>
          <w:rFonts w:ascii="Times New Roman" w:hAnsi="Times New Roman"/>
          <w:sz w:val="24"/>
          <w:szCs w:val="24"/>
          <w:rtl/>
          <w:lang w:val="ar-SA"/>
        </w:rPr>
        <w:t>.</w:t>
      </w:r>
    </w:p>
    <w:p w14:paraId="0ABFA6CB" w14:textId="77777777" w:rsidR="00454428" w:rsidRDefault="00000000" w:rsidP="00C72BA8">
      <w:pPr>
        <w:pStyle w:val="ListParagraph"/>
        <w:numPr>
          <w:ilvl w:val="0"/>
          <w:numId w:val="169"/>
        </w:numPr>
        <w:spacing w:before="120" w:after="120" w:line="360" w:lineRule="auto"/>
        <w:jc w:val="both"/>
        <w:rPr>
          <w:rFonts w:cs="Times New Roman" w:hint="default"/>
          <w:sz w:val="24"/>
          <w:szCs w:val="24"/>
          <w:rtl/>
          <w:lang w:val="ar-SA"/>
        </w:rPr>
      </w:pPr>
      <w:r>
        <w:rPr>
          <w:rStyle w:val="None"/>
          <w:rFonts w:cs="Times New Roman"/>
          <w:sz w:val="24"/>
          <w:szCs w:val="24"/>
          <w:rtl/>
          <w:lang w:val="ar-SA"/>
        </w:rPr>
        <w:t>بِناءً على البلاغات الواردة إلى الهيئة وفق النماذج المعدة لذلك</w:t>
      </w:r>
      <w:r>
        <w:rPr>
          <w:rStyle w:val="None"/>
          <w:rFonts w:ascii="Times New Roman" w:hAnsi="Times New Roman"/>
          <w:sz w:val="24"/>
          <w:szCs w:val="24"/>
          <w:rtl/>
          <w:lang w:val="ar-SA"/>
        </w:rPr>
        <w:t>.</w:t>
      </w:r>
    </w:p>
    <w:p w14:paraId="756E63EE" w14:textId="77777777" w:rsidR="00454428" w:rsidRDefault="00000000" w:rsidP="00C72BA8">
      <w:pPr>
        <w:pStyle w:val="ListParagraph"/>
        <w:numPr>
          <w:ilvl w:val="0"/>
          <w:numId w:val="16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رصد الإدارة المختصة للمواقع الإلكترونية في شبكة الإنترنت العالمية التي يحتمل وجود اعتدائها على حق المؤلف وفق ما يتوفر من دلائل أولية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FC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تستطيع الجهات الرقابية المسئولة وفق القوانين ممارسة الرقابة الإلكترونية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وتحقيق التوازن بين حماية الحقوق والحريات كمصلحة خاصة وحق المجتمع في الأمن ومنع الجريمة كمصلحة عامة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9719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حق المؤلف في المطالبة بحقوقه في المادة </w:t>
      </w:r>
      <w:r>
        <w:rPr>
          <w:rStyle w:val="None"/>
          <w:rFonts w:ascii="Times New Roman" w:hAnsi="Times New Roman"/>
          <w:sz w:val="24"/>
          <w:szCs w:val="24"/>
          <w:rtl/>
          <w:lang w:val="ar-SA"/>
        </w:rPr>
        <w:t xml:space="preserve">(8/1)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يحق لأي مؤلف شريك في أي مصنف أنْ يطلب منفردًا اتخاذ الإجراءات التحفظية عند وقوع أي اعتداء على حق المؤلف، كما يكون له الحق منفردًا في المطالبة بنصيبه من التعويض عن 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AE0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استجاب بفاعلية للتحديات التي فرضها التطوُّر التكنولوجي ووسائل النشر الإلكتروني الحديثة؛ من خلال تجريم الاعتداءات الرقمية على المصنفات المحمية، كما أكد على أنَّ الحماية القانونية تُمنح تلقائيًا لكل عمل ابتكاري تم إخراجه في قالب مادي، دون اشتراط إجراءات شكلية مسبقة</w:t>
      </w:r>
      <w:r>
        <w:rPr>
          <w:rStyle w:val="None"/>
          <w:rFonts w:ascii="Times New Roman" w:hAnsi="Times New Roman"/>
          <w:sz w:val="24"/>
          <w:szCs w:val="24"/>
          <w:rtl/>
          <w:lang w:val="ar-SA"/>
        </w:rPr>
        <w:t>.</w:t>
      </w:r>
    </w:p>
    <w:p w14:paraId="5325177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عزّزت الهيئة السعودية للملكية الفكرية هذه الحماية عبر إقرار نظام التسجيل الاختياري، الذي يمنح المؤلف سندًا رسميًا يثبت ملكيته للمصنف، بالإضافة إلى تمكين الجهات الرقابية من متابعة البيئة الرقمية لحماية النظام العام، وبذلك يحقق الإطار القانوني السعودي توازنًا بين حماية حقوق المؤلف كمصلحة خاصة، وضمان الأمن السيبراني كمصلحة عامة، مع تمكين المؤلفين من المطالبة بحقوقهم واتخاذ الإجراءات التحفظية في حال وقوع أي اعتداء</w:t>
      </w:r>
      <w:r>
        <w:rPr>
          <w:rStyle w:val="None"/>
          <w:rFonts w:ascii="Times New Roman" w:hAnsi="Times New Roman"/>
          <w:sz w:val="24"/>
          <w:szCs w:val="24"/>
          <w:rtl/>
          <w:lang w:val="ar-SA"/>
        </w:rPr>
        <w:t>.</w:t>
      </w:r>
    </w:p>
    <w:p w14:paraId="51028673" w14:textId="77777777" w:rsidR="00454428" w:rsidRDefault="00000000" w:rsidP="00C72BA8">
      <w:pPr>
        <w:pStyle w:val="Body"/>
        <w:spacing w:line="360" w:lineRule="auto"/>
      </w:pPr>
      <w:r>
        <w:rPr>
          <w:rStyle w:val="None"/>
          <w:rFonts w:ascii="Arial Unicode MS" w:hAnsi="Arial Unicode MS"/>
          <w:sz w:val="24"/>
          <w:szCs w:val="24"/>
          <w:lang w:val="ar-SA"/>
        </w:rPr>
        <w:br w:type="page"/>
      </w:r>
    </w:p>
    <w:p w14:paraId="68ECCF87" w14:textId="77777777" w:rsidR="00454428" w:rsidRDefault="00000000" w:rsidP="00C72BA8">
      <w:pPr>
        <w:pStyle w:val="a"/>
        <w:rPr>
          <w:rStyle w:val="None"/>
          <w:lang w:val="ar-SA"/>
        </w:rPr>
      </w:pPr>
      <w:bookmarkStart w:id="130" w:name="_Toc82"/>
      <w:r>
        <w:rPr>
          <w:rStyle w:val="None"/>
          <w:rFonts w:ascii="Arial Unicode MS" w:eastAsia="Arial Unicode MS" w:hAnsi="Arial Unicode MS" w:hint="cs"/>
          <w:rtl/>
          <w:lang w:val="ar-SA"/>
        </w:rPr>
        <w:lastRenderedPageBreak/>
        <w:t>المطلب الثاني</w:t>
      </w:r>
      <w:bookmarkEnd w:id="130"/>
    </w:p>
    <w:p w14:paraId="5FE26181" w14:textId="77777777" w:rsidR="00454428" w:rsidRDefault="00000000" w:rsidP="00C72BA8">
      <w:pPr>
        <w:pStyle w:val="a"/>
        <w:rPr>
          <w:rStyle w:val="None"/>
          <w:lang w:val="ar-SA"/>
        </w:rPr>
      </w:pPr>
      <w:bookmarkStart w:id="131" w:name="_Toc83"/>
      <w:r>
        <w:rPr>
          <w:rStyle w:val="None"/>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bookmarkEnd w:id="131"/>
    </w:p>
    <w:p w14:paraId="0AC38E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التعويض عن الاعتداء على حقوق الملكية الفكرية في البيئة الرقمية لا بُدَّ من بيان أوجه التشابه والاختلاف بين الأنظمة القانونية المختلفة في القانون الأمريكي والفَرنسي؛ لتوضيح مسألة التعويض في ظل التحديات التي فرضتها البيئة الرقمية</w:t>
      </w:r>
      <w:r>
        <w:rPr>
          <w:rStyle w:val="None"/>
          <w:rFonts w:ascii="Times New Roman" w:hAnsi="Times New Roman"/>
          <w:sz w:val="24"/>
          <w:szCs w:val="24"/>
          <w:rtl/>
          <w:lang w:val="ar-SA"/>
        </w:rPr>
        <w:t>.</w:t>
      </w:r>
    </w:p>
    <w:p w14:paraId="0B404DE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النمو السريع لانتهاكات حقوق الملكية الفكرية على الإنترنت، ومشاكل تنظيمها القانوني، إلى البحث عن حلول لمكافحة هذه الأعمال غير القانونية، وقد تم وضع آليات فعَّالة؛ لتعزيز حماية حقوق الملكية الفكرية، لا سيما من خلال إلزام مزودي خدمات الإنترنت بالكشف عن معلومات سرية حول منتهكي حقوق الطبع والنشر المزعومين، ونقل هذه البيانات إلى السلطات المختصة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0"/>
      </w:r>
      <w:r>
        <w:rPr>
          <w:rStyle w:val="None"/>
          <w:rFonts w:ascii="Times New Roman" w:hAnsi="Times New Roman"/>
          <w:sz w:val="24"/>
          <w:szCs w:val="24"/>
          <w:vertAlign w:val="superscript"/>
          <w:rtl/>
          <w:lang w:val="ar-SA"/>
        </w:rPr>
        <w:t>)</w:t>
      </w:r>
    </w:p>
    <w:p w14:paraId="3CFA58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البيئة الرقمية، تُعَدُّ جميع حقوق الملكية الفكرية أكثر عرضةً للانتهاك، مقارنةً بالبيئة التقليدية، إلا أنَّ حق التأليف والنشر هو الأكثر عرضةً للانتهاك؛ ولذلك فإنَّ أحد أكبر تحديات حماية حق التأليف والنشر في العصر الرقمي يكمن في مسألة الانتهاك؛ ممَّا يحتم على واضعي التشريعات مواكبة قانون حماية حقوق الطبع والنشر؛ لمواجهة هذه التحديات التي ازدادت في العصر الرقمي؛ حيث أصبح انتهاك حقوق الطبع والنشر سهلًا على نطاق واسع؛ ممَّا يجعل من الصعب اكتشافه، والسبب أنَّ الإنترنت يضم مليارات المستخدمين، وبنقرة واحدة فقط، يمكن لعدد لا يُحصى من المستخدمين الوصول إلى نسخ على الشبكة، ويمكن إجراء عملية النسخ بسرعة وبسرية دون أنْ يتمكن أحد من اكتشافها ومنعها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1"/>
      </w:r>
      <w:r>
        <w:rPr>
          <w:rStyle w:val="None"/>
          <w:rFonts w:ascii="Times New Roman" w:hAnsi="Times New Roman"/>
          <w:sz w:val="24"/>
          <w:szCs w:val="24"/>
          <w:vertAlign w:val="superscript"/>
          <w:rtl/>
          <w:lang w:val="ar-SA"/>
        </w:rPr>
        <w:t>)</w:t>
      </w:r>
    </w:p>
    <w:p w14:paraId="6B1CA4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التعويضات القانونية عن حقوق الملكية الفكرية في الحماية من الانتهاك، مع تعويض الضرر، فإذا قام شخص ما بأحد الأنشطة التي تُعَدُّ انتهاكًا لحقوق الغير، فإنَّه يُعَدُّ مُنتهكًا، ويتحتم علية تعويض الضرر، كما يُحاسب الشخص على مساعدة شخص آخر على الانتهاك، وهو ما يسمى بالانتهاك المُساهم، والذي يحدث عندما يُساهم شخص ما مساهمة مادية في الانتهاك المباشر لشخص آخر، من خلال مساعدة المُنتهك بأي شكل من الأشكال، وهناك أيضًا المسئولية التبعية،  والتي تحدث عندما يستفيد شخص ما ماليًا من انتهاك شخص آخر، وكان بإمكانه منع حدوث هذا الانتهاك من البداية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2"/>
      </w:r>
      <w:r>
        <w:rPr>
          <w:rStyle w:val="None"/>
          <w:rFonts w:ascii="Times New Roman" w:hAnsi="Times New Roman"/>
          <w:sz w:val="24"/>
          <w:szCs w:val="24"/>
          <w:vertAlign w:val="superscript"/>
          <w:rtl/>
          <w:lang w:val="ar-SA"/>
        </w:rPr>
        <w:t>)</w:t>
      </w:r>
    </w:p>
    <w:p w14:paraId="44DBDB3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التعويض عن الاعتداء على حقوق الملكية الفكرية في البيئة الرقمية في القانون الفَرنسي</w:t>
      </w:r>
      <w:r>
        <w:rPr>
          <w:rStyle w:val="None"/>
          <w:rFonts w:ascii="Times New Roman" w:hAnsi="Times New Roman"/>
          <w:b/>
          <w:bCs/>
          <w:sz w:val="28"/>
          <w:szCs w:val="28"/>
          <w:rtl/>
          <w:lang w:val="ar-SA"/>
        </w:rPr>
        <w:t>:</w:t>
      </w:r>
    </w:p>
    <w:p w14:paraId="417662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كثيرًا ما يواجه أصحابُ الحقوق صعوبةً في جمع الأدلة المتعلقة بانتهاك ملكيتهم الفكرية، فبالإضافة إلى إجراءات الحجز الرامية إلى تجميد السلع المزعوم انتهاكها، يمكن لأصحاب الحقوق أيضًا طلب إجراءات لجمع وتأمين الأدلة المتعلقة بالانتهاك، ووفقًا للمادة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من توجيه الإنفاذ، إذا كان صاحب الحق على علم بأدلة تقع تحت سيطرة المدعَى عليه، فعليه أنْ يطلب من المحكمة إصدار أمر يُلزم المدعَى عليه بتقديم هذه الأدلة، وفي فَرنسا يُنفذ الأمر بواسطة مُحضر قضائي برفقة خبير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3"/>
      </w:r>
      <w:r>
        <w:rPr>
          <w:rStyle w:val="None"/>
          <w:rFonts w:ascii="Times New Roman" w:hAnsi="Times New Roman"/>
          <w:sz w:val="24"/>
          <w:szCs w:val="24"/>
          <w:vertAlign w:val="superscript"/>
          <w:rtl/>
          <w:lang w:val="ar-SA"/>
        </w:rPr>
        <w:t>)</w:t>
      </w:r>
    </w:p>
    <w:p w14:paraId="759FD4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دعوى الانتهاك بمثابة إجراء قانوني يسمح لصاحب حقوق الملكية الفكرية والتي تتمثل في العلامة التجارية، وبراءة الاختراع، والتصميم، وحقوق الطبع والنشر، إلخ، بمقاضاة أي طرف يستغل حقوقه دون تصريح، ويُشكل الانتهاك انتهاكًا مباشرًا للحقوق الحصرية الممنوحة بموجب القانون، وقد يؤدي إلى عقوبات مدنية وجنائية؛ حيث يحصل صاحب الحق الأصلي على تعويضات تغطي الخسائر الاقتصادية، والأضرار المعنوية، والأرباح غير العادلة التي حققها المخالف وفقًا للمادة </w:t>
      </w:r>
      <w:r>
        <w:rPr>
          <w:rStyle w:val="None"/>
          <w:rFonts w:ascii="Times New Roman" w:hAnsi="Times New Roman"/>
          <w:sz w:val="24"/>
          <w:szCs w:val="24"/>
        </w:rPr>
        <w:t>L. 331-1-3</w:t>
      </w:r>
      <w:r>
        <w:rPr>
          <w:rStyle w:val="None"/>
          <w:rFonts w:ascii="Arial Unicode MS" w:hAnsi="Arial Unicode MS" w:cs="Times New Roman" w:hint="cs"/>
          <w:sz w:val="24"/>
          <w:szCs w:val="24"/>
          <w:rtl/>
          <w:lang w:val="ar-SA"/>
        </w:rPr>
        <w:t xml:space="preserve"> من قانون الملكية الفكرية الفَرنسي، وفي حالات الانتهاك المتعمد، قد تُطبق عقوبات جنائية أيضًا، وتصل العقوبة إلى السجن لمدة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400,000 </w:t>
      </w:r>
      <w:r>
        <w:rPr>
          <w:rStyle w:val="None"/>
          <w:rFonts w:ascii="Arial Unicode MS" w:hAnsi="Arial Unicode MS" w:cs="Times New Roman" w:hint="cs"/>
          <w:sz w:val="24"/>
          <w:szCs w:val="24"/>
          <w:rtl/>
          <w:lang w:val="ar-SA"/>
        </w:rPr>
        <w:t xml:space="preserve">يورو؛ لانتهاك العلامة التجارية، أو براءة الاختراع، وذلك وفق المادتين </w:t>
      </w:r>
      <w:r>
        <w:rPr>
          <w:rStyle w:val="None"/>
          <w:rFonts w:ascii="Times New Roman" w:hAnsi="Times New Roman"/>
          <w:sz w:val="24"/>
          <w:szCs w:val="24"/>
          <w:rtl/>
        </w:rPr>
        <w:t>L. 716-9</w:t>
      </w:r>
      <w:r>
        <w:rPr>
          <w:rStyle w:val="None"/>
          <w:rFonts w:ascii="Arial Unicode MS" w:hAnsi="Arial Unicode MS" w:cs="Times New Roman" w:hint="cs"/>
          <w:sz w:val="24"/>
          <w:szCs w:val="24"/>
          <w:rtl/>
          <w:lang w:val="ar-SA"/>
        </w:rPr>
        <w:t xml:space="preserve"> و</w:t>
      </w:r>
      <w:r>
        <w:rPr>
          <w:rStyle w:val="None"/>
          <w:rFonts w:ascii="Times New Roman" w:hAnsi="Times New Roman"/>
          <w:sz w:val="24"/>
          <w:szCs w:val="24"/>
        </w:rPr>
        <w:t>L. 615-14</w:t>
      </w:r>
      <w:r>
        <w:rPr>
          <w:rStyle w:val="None"/>
          <w:rFonts w:ascii="Arial Unicode MS" w:hAnsi="Arial Unicode MS" w:cs="Times New Roman" w:hint="cs"/>
          <w:sz w:val="24"/>
          <w:szCs w:val="24"/>
          <w:rtl/>
          <w:lang w:val="ar-SA"/>
        </w:rPr>
        <w:t xml:space="preserve"> من قانون حماية الملكية الفكرية، كما  تصل العقوبة إلى السجن لمدة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300,000 </w:t>
      </w:r>
      <w:r>
        <w:rPr>
          <w:rStyle w:val="None"/>
          <w:rFonts w:ascii="Arial Unicode MS" w:hAnsi="Arial Unicode MS" w:cs="Times New Roman" w:hint="cs"/>
          <w:sz w:val="24"/>
          <w:szCs w:val="24"/>
          <w:rtl/>
          <w:lang w:val="ar-SA"/>
        </w:rPr>
        <w:t xml:space="preserve">يورو؛ لانتهاك حقوق الطبع والنشر، وفق المادة </w:t>
      </w:r>
      <w:r>
        <w:rPr>
          <w:rStyle w:val="None"/>
          <w:rFonts w:ascii="Times New Roman" w:hAnsi="Times New Roman"/>
          <w:sz w:val="24"/>
          <w:szCs w:val="24"/>
        </w:rPr>
        <w:t>L. 335-2</w:t>
      </w:r>
      <w:r>
        <w:rPr>
          <w:rStyle w:val="None"/>
          <w:rFonts w:ascii="Arial Unicode MS" w:hAnsi="Arial Unicode MS" w:cs="Times New Roman" w:hint="cs"/>
          <w:sz w:val="24"/>
          <w:szCs w:val="24"/>
          <w:rtl/>
          <w:lang w:val="ar-SA"/>
        </w:rPr>
        <w:t xml:space="preserve"> من قانون حماية الملكية الفكرية، وتخضع دعوى انتهاك الملكية الفكرية لأحكام مُختلفة من قانون الملكية الفكرية الفرنسي </w:t>
      </w:r>
      <w:r>
        <w:rPr>
          <w:rStyle w:val="None"/>
          <w:rFonts w:ascii="Times New Roman" w:hAnsi="Times New Roman"/>
          <w:sz w:val="24"/>
          <w:szCs w:val="24"/>
          <w:rtl/>
          <w:lang w:val="ar-SA"/>
        </w:rPr>
        <w:t>(</w:t>
      </w:r>
      <w:r>
        <w:rPr>
          <w:rStyle w:val="None"/>
          <w:rFonts w:ascii="Times New Roman" w:hAnsi="Times New Roman"/>
          <w:sz w:val="24"/>
          <w:szCs w:val="24"/>
          <w:lang w:val="pt-PT"/>
        </w:rPr>
        <w:t>CPI</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وذلك وفق الحقوق المُحددة وتنقسم تلك الأحكام إلى</w:t>
      </w:r>
      <w:r>
        <w:rPr>
          <w:rStyle w:val="None"/>
          <w:rFonts w:ascii="Times New Roman" w:hAnsi="Times New Roman"/>
          <w:sz w:val="24"/>
          <w:szCs w:val="24"/>
          <w:rtl/>
          <w:lang w:val="ar-SA"/>
        </w:rPr>
        <w:t>:</w:t>
      </w:r>
    </w:p>
    <w:p w14:paraId="0FADA86B" w14:textId="77777777" w:rsidR="00454428" w:rsidRDefault="00000000" w:rsidP="00C72BA8">
      <w:pPr>
        <w:pStyle w:val="ListParagraph"/>
        <w:numPr>
          <w:ilvl w:val="0"/>
          <w:numId w:val="17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العلامات التجارية</w:t>
      </w:r>
      <w:r>
        <w:rPr>
          <w:rStyle w:val="None"/>
          <w:rFonts w:ascii="Times New Roman" w:hAnsi="Times New Roman"/>
          <w:b/>
          <w:bCs/>
          <w:sz w:val="24"/>
          <w:szCs w:val="24"/>
          <w:rtl/>
          <w:lang w:val="ar-SA"/>
        </w:rPr>
        <w:t>:</w:t>
      </w:r>
    </w:p>
    <w:p w14:paraId="1422C8B2"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713-2</w:t>
      </w:r>
      <w:r>
        <w:rPr>
          <w:rStyle w:val="None"/>
          <w:rFonts w:cs="Times New Roman"/>
          <w:sz w:val="24"/>
          <w:szCs w:val="24"/>
          <w:rtl/>
          <w:lang w:val="ar-SA"/>
        </w:rPr>
        <w:t xml:space="preserve"> من قانون الملكية الفكرية الفرنسي إعادة إنتاج، أو استخدام، أو تقليد علامة تجارية مُسجَّلة دون تصريح</w:t>
      </w:r>
      <w:r>
        <w:rPr>
          <w:rStyle w:val="None"/>
          <w:rFonts w:ascii="Times New Roman" w:hAnsi="Times New Roman"/>
          <w:sz w:val="24"/>
          <w:szCs w:val="24"/>
          <w:rtl/>
          <w:lang w:val="ar-SA"/>
        </w:rPr>
        <w:t>.</w:t>
      </w:r>
    </w:p>
    <w:p w14:paraId="157A1482"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وتُحدِّد المادة </w:t>
      </w:r>
      <w:r>
        <w:rPr>
          <w:rStyle w:val="None"/>
          <w:rFonts w:ascii="Times New Roman" w:hAnsi="Times New Roman"/>
          <w:sz w:val="24"/>
          <w:szCs w:val="24"/>
        </w:rPr>
        <w:t>L. 716-4</w:t>
      </w:r>
      <w:r>
        <w:rPr>
          <w:rStyle w:val="None"/>
          <w:rFonts w:cs="Times New Roman"/>
          <w:sz w:val="24"/>
          <w:szCs w:val="24"/>
          <w:rtl/>
          <w:lang w:val="ar-SA"/>
        </w:rPr>
        <w:t xml:space="preserve"> من قانون الملكية الفكرية الفرنسي عقوبات انتهاك العلامة التجارية</w:t>
      </w:r>
      <w:r>
        <w:rPr>
          <w:rStyle w:val="None"/>
          <w:rFonts w:ascii="Times New Roman" w:hAnsi="Times New Roman"/>
          <w:sz w:val="24"/>
          <w:szCs w:val="24"/>
          <w:rtl/>
          <w:lang w:val="ar-SA"/>
        </w:rPr>
        <w:t>.</w:t>
      </w:r>
    </w:p>
    <w:p w14:paraId="0771696A" w14:textId="77777777" w:rsidR="00454428" w:rsidRDefault="00000000" w:rsidP="00C72BA8">
      <w:pPr>
        <w:pStyle w:val="ListParagraph"/>
        <w:numPr>
          <w:ilvl w:val="0"/>
          <w:numId w:val="17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براءات الاختراع</w:t>
      </w:r>
      <w:r>
        <w:rPr>
          <w:rStyle w:val="None"/>
          <w:rFonts w:ascii="Times New Roman" w:hAnsi="Times New Roman"/>
          <w:b/>
          <w:bCs/>
          <w:sz w:val="24"/>
          <w:szCs w:val="24"/>
          <w:rtl/>
          <w:lang w:val="ar-SA"/>
        </w:rPr>
        <w:t>:</w:t>
      </w:r>
    </w:p>
    <w:p w14:paraId="24E5C51A"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توضح المادة </w:t>
      </w:r>
      <w:r>
        <w:rPr>
          <w:rStyle w:val="None"/>
          <w:rFonts w:ascii="Times New Roman" w:hAnsi="Times New Roman"/>
          <w:sz w:val="24"/>
          <w:szCs w:val="24"/>
        </w:rPr>
        <w:t>L. 613-3</w:t>
      </w:r>
      <w:r>
        <w:rPr>
          <w:rStyle w:val="None"/>
          <w:rFonts w:cs="Times New Roman"/>
          <w:sz w:val="24"/>
          <w:szCs w:val="24"/>
          <w:rtl/>
          <w:lang w:val="ar-SA"/>
        </w:rPr>
        <w:t xml:space="preserve"> من قانون براءات الاختراع الأفعال التي تُشكّل انتهاكًا لبراءة الاختراع</w:t>
      </w:r>
      <w:r>
        <w:rPr>
          <w:rStyle w:val="None"/>
          <w:rFonts w:ascii="Times New Roman" w:hAnsi="Times New Roman"/>
          <w:sz w:val="24"/>
          <w:szCs w:val="24"/>
          <w:rtl/>
          <w:lang w:val="ar-SA"/>
        </w:rPr>
        <w:t>.</w:t>
      </w:r>
    </w:p>
    <w:p w14:paraId="1DC735C3"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وتفصل المادة </w:t>
      </w:r>
      <w:r>
        <w:rPr>
          <w:rStyle w:val="None"/>
          <w:rFonts w:ascii="Times New Roman" w:hAnsi="Times New Roman"/>
          <w:sz w:val="24"/>
          <w:szCs w:val="24"/>
        </w:rPr>
        <w:t>L. 615-1</w:t>
      </w:r>
      <w:r>
        <w:rPr>
          <w:rStyle w:val="None"/>
          <w:rFonts w:cs="Times New Roman"/>
          <w:sz w:val="24"/>
          <w:szCs w:val="24"/>
          <w:rtl/>
          <w:lang w:val="ar-SA"/>
        </w:rPr>
        <w:t xml:space="preserve"> من قانون براءات الاختراع عقوبات انتهاك براءة الاختراع</w:t>
      </w:r>
      <w:r>
        <w:rPr>
          <w:rStyle w:val="None"/>
          <w:rFonts w:ascii="Times New Roman" w:hAnsi="Times New Roman"/>
          <w:sz w:val="24"/>
          <w:szCs w:val="24"/>
          <w:rtl/>
          <w:lang w:val="ar-SA"/>
        </w:rPr>
        <w:t>.</w:t>
      </w:r>
    </w:p>
    <w:p w14:paraId="7E663FF8" w14:textId="77777777" w:rsidR="00454428" w:rsidRDefault="00000000" w:rsidP="00C72BA8">
      <w:pPr>
        <w:pStyle w:val="ListParagraph"/>
        <w:numPr>
          <w:ilvl w:val="0"/>
          <w:numId w:val="17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التصميم والنماذج</w:t>
      </w:r>
      <w:r>
        <w:rPr>
          <w:rStyle w:val="None"/>
          <w:rFonts w:ascii="Times New Roman" w:hAnsi="Times New Roman"/>
          <w:b/>
          <w:bCs/>
          <w:sz w:val="24"/>
          <w:szCs w:val="24"/>
          <w:rtl/>
          <w:lang w:val="ar-SA"/>
        </w:rPr>
        <w:t>:</w:t>
      </w:r>
    </w:p>
    <w:p w14:paraId="33B10DE6"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تُجرم المادة </w:t>
      </w:r>
      <w:r>
        <w:rPr>
          <w:rStyle w:val="None"/>
          <w:rFonts w:ascii="Times New Roman" w:hAnsi="Times New Roman"/>
          <w:sz w:val="24"/>
          <w:szCs w:val="24"/>
        </w:rPr>
        <w:t>L. 513-4</w:t>
      </w:r>
      <w:r>
        <w:rPr>
          <w:rStyle w:val="None"/>
          <w:rFonts w:cs="Times New Roman"/>
          <w:sz w:val="24"/>
          <w:szCs w:val="24"/>
          <w:rtl/>
          <w:lang w:val="ar-SA"/>
        </w:rPr>
        <w:t xml:space="preserve"> من قانون براءات الاختراع الاستخدام غير المُصرّح به لتصميم أو نموذج محمي</w:t>
      </w:r>
      <w:r>
        <w:rPr>
          <w:rStyle w:val="None"/>
          <w:rFonts w:ascii="Times New Roman" w:hAnsi="Times New Roman"/>
          <w:sz w:val="24"/>
          <w:szCs w:val="24"/>
          <w:rtl/>
          <w:lang w:val="ar-SA"/>
        </w:rPr>
        <w:t>.</w:t>
      </w:r>
    </w:p>
    <w:p w14:paraId="2A6EED53"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تحدد المادة </w:t>
      </w:r>
      <w:r>
        <w:rPr>
          <w:rStyle w:val="None"/>
          <w:rFonts w:ascii="Times New Roman" w:hAnsi="Times New Roman"/>
          <w:sz w:val="24"/>
          <w:szCs w:val="24"/>
        </w:rPr>
        <w:t>L. 521-1</w:t>
      </w:r>
      <w:r>
        <w:rPr>
          <w:rStyle w:val="None"/>
          <w:rFonts w:cs="Times New Roman"/>
          <w:sz w:val="24"/>
          <w:szCs w:val="24"/>
          <w:rtl/>
          <w:lang w:val="ar-SA"/>
        </w:rPr>
        <w:t xml:space="preserve"> من قانون براءات الاختراع العقوبات المُطبقة في حالات انتهاك التصميم</w:t>
      </w:r>
      <w:r>
        <w:rPr>
          <w:rStyle w:val="None"/>
          <w:rFonts w:ascii="Times New Roman" w:hAnsi="Times New Roman"/>
          <w:sz w:val="24"/>
          <w:szCs w:val="24"/>
          <w:rtl/>
          <w:lang w:val="ar-SA"/>
        </w:rPr>
        <w:t>.</w:t>
      </w:r>
    </w:p>
    <w:p w14:paraId="7C93488A" w14:textId="77777777" w:rsidR="00454428" w:rsidRDefault="00000000" w:rsidP="00C72BA8">
      <w:pPr>
        <w:pStyle w:val="ListParagraph"/>
        <w:numPr>
          <w:ilvl w:val="0"/>
          <w:numId w:val="17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حقوق الطبع والنشر والحقوق المُجاورة</w:t>
      </w:r>
      <w:r>
        <w:rPr>
          <w:rStyle w:val="None"/>
          <w:rFonts w:ascii="Times New Roman" w:hAnsi="Times New Roman"/>
          <w:b/>
          <w:bCs/>
          <w:sz w:val="24"/>
          <w:szCs w:val="24"/>
          <w:rtl/>
          <w:lang w:val="ar-SA"/>
        </w:rPr>
        <w:t>:</w:t>
      </w:r>
    </w:p>
    <w:p w14:paraId="3952C999"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تحظر المادة </w:t>
      </w:r>
      <w:r>
        <w:rPr>
          <w:rStyle w:val="None"/>
          <w:rFonts w:ascii="Times New Roman" w:hAnsi="Times New Roman"/>
          <w:sz w:val="24"/>
          <w:szCs w:val="24"/>
        </w:rPr>
        <w:t>L. 122-4</w:t>
      </w:r>
      <w:r>
        <w:rPr>
          <w:rStyle w:val="None"/>
          <w:rFonts w:cs="Times New Roman"/>
          <w:sz w:val="24"/>
          <w:szCs w:val="24"/>
          <w:rtl/>
          <w:lang w:val="ar-SA"/>
        </w:rPr>
        <w:t xml:space="preserve"> من قانون براءات الاختراع إعادة إنتاج أو تمثيل أي عمل دون إذن المؤلف</w:t>
      </w:r>
      <w:r>
        <w:rPr>
          <w:rStyle w:val="None"/>
          <w:rFonts w:ascii="Times New Roman" w:hAnsi="Times New Roman"/>
          <w:sz w:val="24"/>
          <w:szCs w:val="24"/>
          <w:rtl/>
          <w:lang w:val="ar-SA"/>
        </w:rPr>
        <w:t>.</w:t>
      </w:r>
    </w:p>
    <w:p w14:paraId="380CC8FA"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تنص المادة </w:t>
      </w:r>
      <w:r>
        <w:rPr>
          <w:rStyle w:val="None"/>
          <w:rFonts w:ascii="Times New Roman" w:hAnsi="Times New Roman"/>
          <w:sz w:val="24"/>
          <w:szCs w:val="24"/>
        </w:rPr>
        <w:t>L. 335-2</w:t>
      </w:r>
      <w:r>
        <w:rPr>
          <w:rStyle w:val="None"/>
          <w:rFonts w:cs="Times New Roman"/>
          <w:sz w:val="24"/>
          <w:szCs w:val="24"/>
          <w:rtl/>
          <w:lang w:val="ar-SA"/>
        </w:rPr>
        <w:t xml:space="preserve"> من قانون براءات الاختراع على عقوبات جنائية في حالات انتهاك حقوق الطبع والنشر</w:t>
      </w:r>
      <w:r>
        <w:rPr>
          <w:rStyle w:val="None"/>
          <w:rFonts w:ascii="Times New Roman" w:hAnsi="Times New Roman"/>
          <w:sz w:val="24"/>
          <w:szCs w:val="24"/>
          <w:rtl/>
          <w:lang w:val="ar-SA"/>
        </w:rPr>
        <w:t>.</w:t>
      </w:r>
    </w:p>
    <w:p w14:paraId="5D86E2DB" w14:textId="77777777" w:rsidR="00454428" w:rsidRDefault="00000000" w:rsidP="00C72BA8">
      <w:pPr>
        <w:pStyle w:val="ListParagraph"/>
        <w:numPr>
          <w:ilvl w:val="0"/>
          <w:numId w:val="173"/>
        </w:numPr>
        <w:spacing w:before="120" w:after="120" w:line="360" w:lineRule="auto"/>
        <w:jc w:val="both"/>
        <w:rPr>
          <w:rFonts w:cs="Times New Roman" w:hint="default"/>
          <w:sz w:val="24"/>
          <w:szCs w:val="24"/>
          <w:rtl/>
          <w:lang w:val="ar-SA"/>
        </w:rPr>
      </w:pPr>
      <w:r>
        <w:rPr>
          <w:rStyle w:val="None"/>
          <w:rFonts w:cs="Times New Roman"/>
          <w:sz w:val="24"/>
          <w:szCs w:val="24"/>
          <w:rtl/>
          <w:lang w:val="ar-SA"/>
        </w:rPr>
        <w:t>أسماء النطاقات والعلامات المميزة الأخرى</w:t>
      </w:r>
      <w:r>
        <w:rPr>
          <w:rStyle w:val="None"/>
          <w:rFonts w:ascii="Times New Roman" w:hAnsi="Times New Roman"/>
          <w:sz w:val="24"/>
          <w:szCs w:val="24"/>
          <w:rtl/>
          <w:lang w:val="ar-SA"/>
        </w:rPr>
        <w:t xml:space="preserve">: </w:t>
      </w:r>
      <w:r>
        <w:rPr>
          <w:rStyle w:val="None"/>
          <w:rFonts w:cs="Times New Roman"/>
          <w:sz w:val="24"/>
          <w:szCs w:val="24"/>
          <w:rtl/>
          <w:lang w:val="ar-SA"/>
        </w:rPr>
        <w:t>إذا كان استخدام اسم نطاق، أو اسم شركة، أو اسم تجاري ينتهك حقًا محميًا سابقًا، يُمكن أيضًا النظر في دعوى المنافسة غير العادلة إلى جانب دعوى انتهاك براءة اختراع بشرط ثبوت انتهاك واضح</w:t>
      </w:r>
      <w:r>
        <w:rPr>
          <w:rStyle w:val="None"/>
          <w:rFonts w:ascii="Times New Roman" w:hAnsi="Times New Roman"/>
          <w:sz w:val="24"/>
          <w:szCs w:val="24"/>
          <w:rtl/>
          <w:lang w:val="ar-SA"/>
        </w:rPr>
        <w:t>.</w:t>
      </w:r>
    </w:p>
    <w:p w14:paraId="1AB9C2B4" w14:textId="77777777" w:rsidR="00454428" w:rsidRDefault="00000000" w:rsidP="00C72BA8">
      <w:pPr>
        <w:pStyle w:val="NormalWeb"/>
        <w:bidi/>
        <w:spacing w:before="120" w:after="120" w:line="360" w:lineRule="auto"/>
        <w:ind w:firstLine="720"/>
        <w:jc w:val="both"/>
        <w:rPr>
          <w:rFonts w:hint="default"/>
          <w:rtl/>
        </w:rPr>
      </w:pPr>
      <w:r>
        <w:rPr>
          <w:rStyle w:val="None"/>
          <w:rtl/>
          <w:lang w:val="ar-SA"/>
        </w:rPr>
        <w:t>وجدير بالذكر</w:t>
      </w:r>
      <w:r>
        <w:rPr>
          <w:rStyle w:val="None"/>
          <w:rFonts w:ascii="Times New Roman" w:hAnsi="Times New Roman"/>
          <w:rtl/>
          <w:lang w:val="ar-SA"/>
        </w:rPr>
        <w:t xml:space="preserve">: </w:t>
      </w:r>
      <w:r>
        <w:rPr>
          <w:rStyle w:val="None"/>
          <w:rtl/>
          <w:lang w:val="ar-SA"/>
        </w:rPr>
        <w:t xml:space="preserve">أنَّه من بين الدعاوى المدنية المتاحة أنَّه يمكن للمحكمة أنْ تأمر بأي إجراء متناسب يهدف إلى منع أو إنهاء انتهاك لحقوق الملكية، ولا سيما في العصر الرقمي، مع فرض غرامة في حال عدم الامتثال، وتنص المادة الجديدة </w:t>
      </w:r>
      <w:r>
        <w:rPr>
          <w:rStyle w:val="None"/>
          <w:rFonts w:ascii="Times New Roman" w:hAnsi="Times New Roman"/>
        </w:rPr>
        <w:t>L. 152-5</w:t>
      </w:r>
      <w:r>
        <w:rPr>
          <w:rStyle w:val="None"/>
          <w:rtl/>
          <w:lang w:val="ar-SA"/>
        </w:rPr>
        <w:t xml:space="preserve"> من قانون التجارة الفرنسي على أنَّه بدلًا من الإجراءات التي تسمح بوقف انتهاك السر التجاري، ويجوز للمحكمة، بِناءً على طلب المخالف، أنْ تأمر بدفع تعويض للضحية، وفي هذه الحالة، يتعين على المخالف إثبات </w:t>
      </w:r>
      <w:r>
        <w:rPr>
          <w:rStyle w:val="None"/>
          <w:rFonts w:ascii="Times New Roman" w:hAnsi="Times New Roman"/>
          <w:rtl/>
          <w:lang w:val="ar-SA"/>
        </w:rPr>
        <w:t>(</w:t>
      </w:r>
      <w:r>
        <w:rPr>
          <w:rStyle w:val="None"/>
          <w:rtl/>
          <w:lang w:val="ar-SA"/>
        </w:rPr>
        <w:t>أ</w:t>
      </w:r>
      <w:r>
        <w:rPr>
          <w:rStyle w:val="None"/>
          <w:rFonts w:ascii="Times New Roman" w:hAnsi="Times New Roman"/>
          <w:rtl/>
          <w:lang w:val="ar-SA"/>
        </w:rPr>
        <w:t xml:space="preserve">) </w:t>
      </w:r>
      <w:r>
        <w:rPr>
          <w:rStyle w:val="None"/>
          <w:rtl/>
          <w:lang w:val="ar-SA"/>
        </w:rPr>
        <w:t xml:space="preserve">أنَّه لم يكن يعلم أنَّ السر قد تم الحصول عليه بطريقة غير مشروعة؛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 xml:space="preserve">) </w:t>
      </w:r>
      <w:r>
        <w:rPr>
          <w:rStyle w:val="None"/>
          <w:rtl/>
          <w:lang w:val="ar-SA"/>
        </w:rPr>
        <w:t xml:space="preserve">وأنَّ إجراءات الحظر أو الأمر القضائي ستسبب للمخالف ضررًا غير متناسب؛ ويُحدد مبلغ هذا التعويض، وبالمثل ينصّ البند </w:t>
      </w:r>
      <w:r>
        <w:rPr>
          <w:rStyle w:val="None"/>
          <w:rFonts w:ascii="Times New Roman" w:hAnsi="Times New Roman" w:hint="default"/>
          <w:rtl/>
          <w:lang w:val="ar-SA"/>
        </w:rPr>
        <w:t>§</w:t>
      </w:r>
      <w:r>
        <w:rPr>
          <w:rStyle w:val="None"/>
          <w:rFonts w:ascii="Times New Roman" w:hAnsi="Times New Roman"/>
        </w:rPr>
        <w:t>L. 152-6</w:t>
      </w:r>
      <w:r>
        <w:rPr>
          <w:rStyle w:val="None"/>
          <w:rtl/>
          <w:lang w:val="ar-SA"/>
        </w:rPr>
        <w:t xml:space="preserve"> على منح تعويضات تُقدّر بِناءً على</w:t>
      </w:r>
      <w:r>
        <w:rPr>
          <w:rStyle w:val="None"/>
          <w:rFonts w:ascii="Times New Roman" w:hAnsi="Times New Roman"/>
          <w:rtl/>
          <w:lang w:val="ar-SA"/>
        </w:rPr>
        <w:t>:</w:t>
      </w:r>
    </w:p>
    <w:p w14:paraId="636F3061" w14:textId="77777777" w:rsidR="00454428" w:rsidRDefault="00000000" w:rsidP="00C72BA8">
      <w:pPr>
        <w:pStyle w:val="NormalWeb"/>
        <w:numPr>
          <w:ilvl w:val="0"/>
          <w:numId w:val="175"/>
        </w:numPr>
        <w:bidi/>
        <w:spacing w:before="120" w:after="120" w:line="360" w:lineRule="auto"/>
        <w:jc w:val="both"/>
        <w:rPr>
          <w:rFonts w:hint="default"/>
          <w:rtl/>
          <w:lang w:val="ar-SA"/>
        </w:rPr>
      </w:pPr>
      <w:r>
        <w:rPr>
          <w:rStyle w:val="None"/>
          <w:rtl/>
          <w:lang w:val="ar-SA"/>
        </w:rPr>
        <w:t>العواقب الاقتصادية السلبية لانتهاك السر التجاري</w:t>
      </w:r>
      <w:r>
        <w:rPr>
          <w:rStyle w:val="None"/>
          <w:rFonts w:ascii="Times New Roman" w:hAnsi="Times New Roman"/>
          <w:rtl/>
          <w:lang w:val="ar-SA"/>
        </w:rPr>
        <w:t>.</w:t>
      </w:r>
    </w:p>
    <w:p w14:paraId="3B9FF3E6" w14:textId="77777777" w:rsidR="00454428" w:rsidRDefault="00000000" w:rsidP="00C72BA8">
      <w:pPr>
        <w:pStyle w:val="NormalWeb"/>
        <w:numPr>
          <w:ilvl w:val="0"/>
          <w:numId w:val="175"/>
        </w:numPr>
        <w:bidi/>
        <w:spacing w:before="120" w:after="120" w:line="360" w:lineRule="auto"/>
        <w:jc w:val="both"/>
        <w:rPr>
          <w:rFonts w:hint="default"/>
          <w:rtl/>
          <w:lang w:val="ar-SA"/>
        </w:rPr>
      </w:pPr>
      <w:r>
        <w:rPr>
          <w:rStyle w:val="None"/>
          <w:rtl/>
          <w:lang w:val="ar-SA"/>
        </w:rPr>
        <w:t>الضرر المعنوي</w:t>
      </w:r>
      <w:r>
        <w:rPr>
          <w:rStyle w:val="None"/>
          <w:rFonts w:ascii="Times New Roman" w:hAnsi="Times New Roman"/>
          <w:rtl/>
          <w:lang w:val="ar-SA"/>
        </w:rPr>
        <w:t>.</w:t>
      </w:r>
    </w:p>
    <w:p w14:paraId="025C7F4C" w14:textId="77777777" w:rsidR="00454428" w:rsidRDefault="00000000" w:rsidP="00C72BA8">
      <w:pPr>
        <w:pStyle w:val="NormalWeb"/>
        <w:numPr>
          <w:ilvl w:val="0"/>
          <w:numId w:val="175"/>
        </w:numPr>
        <w:bidi/>
        <w:spacing w:before="120" w:after="120" w:line="360" w:lineRule="auto"/>
        <w:jc w:val="both"/>
        <w:rPr>
          <w:rFonts w:hint="default"/>
          <w:rtl/>
          <w:lang w:val="ar-SA"/>
        </w:rPr>
      </w:pPr>
      <w:r>
        <w:rPr>
          <w:rStyle w:val="None"/>
          <w:rtl/>
          <w:lang w:val="ar-SA"/>
        </w:rPr>
        <w:t>الأرباح التي حققها المُنتهك، بما في ذلك</w:t>
      </w:r>
      <w:r>
        <w:rPr>
          <w:rStyle w:val="None"/>
          <w:rFonts w:ascii="Times New Roman" w:hAnsi="Times New Roman"/>
          <w:rtl/>
          <w:lang w:val="ar-SA"/>
        </w:rPr>
        <w:t xml:space="preserve">: </w:t>
      </w:r>
      <w:r>
        <w:rPr>
          <w:rStyle w:val="None"/>
          <w:rtl/>
          <w:lang w:val="ar-SA"/>
        </w:rPr>
        <w:t xml:space="preserve">المكاسب من خلال الاستثمارات الفكرية والملموسة والترويجية؛ نتيجةً للانتهاك </w:t>
      </w:r>
      <w:r>
        <w:rPr>
          <w:rStyle w:val="None"/>
          <w:rFonts w:ascii="Times New Roman" w:hAnsi="Times New Roman"/>
          <w:vertAlign w:val="superscript"/>
          <w:rtl/>
          <w:lang w:val="ar-SA"/>
        </w:rPr>
        <w:t>(</w:t>
      </w:r>
      <w:r>
        <w:rPr>
          <w:rStyle w:val="None"/>
          <w:vertAlign w:val="superscript"/>
          <w:lang w:val="ar-SA"/>
        </w:rPr>
        <w:footnoteReference w:id="424"/>
      </w:r>
      <w:r>
        <w:rPr>
          <w:rStyle w:val="None"/>
          <w:rFonts w:ascii="Times New Roman" w:hAnsi="Times New Roman"/>
          <w:vertAlign w:val="superscript"/>
          <w:rtl/>
          <w:lang w:val="ar-SA"/>
        </w:rPr>
        <w:t>)</w:t>
      </w:r>
      <w:r>
        <w:rPr>
          <w:rStyle w:val="None"/>
          <w:rFonts w:ascii="Times New Roman" w:hAnsi="Times New Roman"/>
          <w:rtl/>
          <w:lang w:val="ar-SA"/>
        </w:rPr>
        <w:t>.</w:t>
      </w:r>
    </w:p>
    <w:p w14:paraId="318C37B0"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كما نصت المادة</w:t>
      </w:r>
      <w:r>
        <w:rPr>
          <w:rStyle w:val="None"/>
          <w:rFonts w:ascii="Times New Roman" w:hAnsi="Times New Roman"/>
        </w:rPr>
        <w:t xml:space="preserve"> (L331-1-3) </w:t>
      </w:r>
      <w:r>
        <w:rPr>
          <w:rStyle w:val="None"/>
          <w:rtl/>
          <w:lang w:val="ar-SA"/>
        </w:rPr>
        <w:t>من قانون الملكية الفكرية الفرنسي على نقطة تُعتبر حجر الأساس لتحديد التعويض المناسب عن انتهاك الملكية الفكرية الرقمية، ويحدد النص القانوني بوضوح المعايير التي يجب على القضاة اعتبارها عند تحديد تكلفة الأضرار والفوائد، وتنقسم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5"/>
      </w:r>
      <w:r>
        <w:rPr>
          <w:rStyle w:val="None"/>
          <w:rFonts w:ascii="Times New Roman" w:hAnsi="Times New Roman"/>
          <w:vertAlign w:val="superscript"/>
          <w:rtl/>
          <w:lang w:val="ar-SA"/>
        </w:rPr>
        <w:t>)</w:t>
      </w:r>
    </w:p>
    <w:p w14:paraId="6B4133CD" w14:textId="77777777" w:rsidR="00454428" w:rsidRDefault="00000000" w:rsidP="00C72BA8">
      <w:pPr>
        <w:pStyle w:val="NormalWeb"/>
        <w:numPr>
          <w:ilvl w:val="0"/>
          <w:numId w:val="177"/>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حيث يأخذ القاضي في الاعتبار الخسارة التي تكبدها الطرف المتضرر والأرباح التي فقدها، ويشمل ذلك أي خسارة مالية مباشرة أو غير مباشرة ناجمة عن التقليد</w:t>
      </w:r>
      <w:r>
        <w:rPr>
          <w:rStyle w:val="None"/>
          <w:rFonts w:ascii="Times New Roman" w:hAnsi="Times New Roman"/>
          <w:rtl/>
          <w:lang w:val="ar-SA"/>
        </w:rPr>
        <w:t>.</w:t>
      </w:r>
    </w:p>
    <w:p w14:paraId="3F6D40A6" w14:textId="77777777" w:rsidR="00454428" w:rsidRDefault="00000000" w:rsidP="00C72BA8">
      <w:pPr>
        <w:pStyle w:val="NormalWeb"/>
        <w:numPr>
          <w:ilvl w:val="0"/>
          <w:numId w:val="177"/>
        </w:numPr>
        <w:bidi/>
        <w:spacing w:before="120" w:after="120" w:line="360" w:lineRule="auto"/>
        <w:jc w:val="both"/>
        <w:rPr>
          <w:rFonts w:hint="default"/>
          <w:rtl/>
          <w:lang w:val="ar-SA"/>
        </w:rPr>
      </w:pPr>
      <w:r>
        <w:rPr>
          <w:rStyle w:val="None"/>
          <w:b/>
          <w:bCs/>
          <w:rtl/>
          <w:lang w:val="ar-SA"/>
        </w:rPr>
        <w:t>الفوائد التي يجنيها الطرف المُنتهك</w:t>
      </w:r>
      <w:r>
        <w:rPr>
          <w:rStyle w:val="None"/>
          <w:rFonts w:ascii="Times New Roman" w:hAnsi="Times New Roman"/>
          <w:rtl/>
          <w:lang w:val="ar-SA"/>
        </w:rPr>
        <w:t xml:space="preserve">: </w:t>
      </w:r>
      <w:r>
        <w:rPr>
          <w:rStyle w:val="None"/>
          <w:rtl/>
          <w:lang w:val="ar-SA"/>
        </w:rPr>
        <w:t>حيث تُؤخذ أيضًا في الاعتبار الأرباح التي حققها الطرف المخالف من خلال أفعاله غير القانونية، والهدف هو منع المخالف من تحقيق أي مكاسب مالية من الانتهاك</w:t>
      </w:r>
      <w:r>
        <w:rPr>
          <w:rStyle w:val="None"/>
          <w:rFonts w:ascii="Times New Roman" w:hAnsi="Times New Roman"/>
          <w:rtl/>
          <w:lang w:val="ar-SA"/>
        </w:rPr>
        <w:t>.</w:t>
      </w:r>
    </w:p>
    <w:p w14:paraId="5D55FFD6" w14:textId="77777777" w:rsidR="00454428" w:rsidRDefault="00000000" w:rsidP="00C72BA8">
      <w:pPr>
        <w:pStyle w:val="NormalWeb"/>
        <w:numPr>
          <w:ilvl w:val="0"/>
          <w:numId w:val="177"/>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حيث يجب على القاضي مراعاة الضرر المعنوي، الذي لحق بصاحب الحقوق، ويشمل ذلك الإضرار بسمعة العمل، أو المؤلف، أو الفنان، وهو عنصر مهم في التعويض</w:t>
      </w:r>
      <w:r>
        <w:rPr>
          <w:rStyle w:val="None"/>
          <w:rFonts w:ascii="Times New Roman" w:hAnsi="Times New Roman"/>
          <w:rtl/>
          <w:lang w:val="ar-SA"/>
        </w:rPr>
        <w:t>.</w:t>
      </w:r>
    </w:p>
    <w:p w14:paraId="4744A549" w14:textId="77777777" w:rsidR="00454428" w:rsidRDefault="00000000" w:rsidP="00C72BA8">
      <w:pPr>
        <w:pStyle w:val="NormalWeb"/>
        <w:numPr>
          <w:ilvl w:val="0"/>
          <w:numId w:val="177"/>
        </w:numPr>
        <w:bidi/>
        <w:spacing w:before="120" w:after="120" w:line="360" w:lineRule="auto"/>
        <w:jc w:val="both"/>
        <w:rPr>
          <w:rFonts w:hint="default"/>
          <w:rtl/>
          <w:lang w:val="ar-SA"/>
        </w:rPr>
      </w:pPr>
      <w:r>
        <w:rPr>
          <w:rStyle w:val="None"/>
          <w:rtl/>
          <w:lang w:val="ar-SA"/>
        </w:rPr>
        <w:lastRenderedPageBreak/>
        <w:t>بالإضافة إلى العوامل الأساسية المذكورة أعلاه، قد يأخذ القاضي في الاعتبار عناصر أخرى عند تحديد التعويض</w:t>
      </w:r>
      <w:r>
        <w:rPr>
          <w:rStyle w:val="None"/>
          <w:rFonts w:ascii="Times New Roman" w:hAnsi="Times New Roman"/>
        </w:rPr>
        <w:t>:</w:t>
      </w:r>
    </w:p>
    <w:p w14:paraId="2F85B49E" w14:textId="77777777" w:rsidR="00454428" w:rsidRDefault="00000000" w:rsidP="00C72BA8">
      <w:pPr>
        <w:pStyle w:val="NormalWeb"/>
        <w:numPr>
          <w:ilvl w:val="0"/>
          <w:numId w:val="179"/>
        </w:numPr>
        <w:bidi/>
        <w:spacing w:before="120" w:after="120" w:line="360" w:lineRule="auto"/>
        <w:jc w:val="both"/>
        <w:rPr>
          <w:rFonts w:hint="default"/>
          <w:rtl/>
          <w:lang w:val="ar-SA"/>
        </w:rPr>
      </w:pPr>
      <w:r>
        <w:rPr>
          <w:rStyle w:val="None"/>
          <w:b/>
          <w:bCs/>
          <w:rtl/>
          <w:lang w:val="ar-SA"/>
        </w:rPr>
        <w:t>خطورة الخطأ</w:t>
      </w:r>
      <w:r>
        <w:rPr>
          <w:rStyle w:val="None"/>
          <w:rFonts w:ascii="Times New Roman" w:hAnsi="Times New Roman"/>
          <w:rtl/>
          <w:lang w:val="ar-SA"/>
        </w:rPr>
        <w:t xml:space="preserve">: </w:t>
      </w:r>
      <w:r>
        <w:rPr>
          <w:rStyle w:val="None"/>
          <w:rtl/>
          <w:lang w:val="ar-SA"/>
        </w:rPr>
        <w:t>كلما زادت خطورة الانتهاك زاد التعويض، على سبيل المثال</w:t>
      </w:r>
      <w:r>
        <w:rPr>
          <w:rStyle w:val="None"/>
          <w:rFonts w:ascii="Times New Roman" w:hAnsi="Times New Roman"/>
          <w:rtl/>
          <w:lang w:val="ar-SA"/>
        </w:rPr>
        <w:t xml:space="preserve">: </w:t>
      </w:r>
      <w:r>
        <w:rPr>
          <w:rStyle w:val="None"/>
          <w:rtl/>
          <w:lang w:val="ar-SA"/>
        </w:rPr>
        <w:t>قد يؤدي التزوير الذي يتم على نطاق واسع وبشكل منظم إلى عقوبات أشد</w:t>
      </w:r>
      <w:r>
        <w:rPr>
          <w:rStyle w:val="None"/>
          <w:rFonts w:ascii="Times New Roman" w:hAnsi="Times New Roman"/>
          <w:rtl/>
          <w:lang w:val="ar-SA"/>
        </w:rPr>
        <w:t>.</w:t>
      </w:r>
    </w:p>
    <w:p w14:paraId="376ED5BC" w14:textId="77777777" w:rsidR="00454428" w:rsidRDefault="00000000" w:rsidP="00C72BA8">
      <w:pPr>
        <w:pStyle w:val="NormalWeb"/>
        <w:numPr>
          <w:ilvl w:val="0"/>
          <w:numId w:val="179"/>
        </w:numPr>
        <w:bidi/>
        <w:spacing w:before="120" w:after="120" w:line="360" w:lineRule="auto"/>
        <w:jc w:val="both"/>
        <w:rPr>
          <w:rFonts w:hint="default"/>
          <w:color w:val="FF0000"/>
          <w:rtl/>
          <w:lang w:val="ar-SA"/>
        </w:rPr>
      </w:pPr>
      <w:r>
        <w:rPr>
          <w:rStyle w:val="None"/>
          <w:b/>
          <w:bCs/>
          <w:rtl/>
          <w:lang w:val="ar-SA"/>
        </w:rPr>
        <w:t>سوء نية المخالف</w:t>
      </w:r>
      <w:r>
        <w:rPr>
          <w:rStyle w:val="None"/>
          <w:rFonts w:ascii="Times New Roman" w:hAnsi="Times New Roman"/>
          <w:rtl/>
          <w:lang w:val="ar-SA"/>
        </w:rPr>
        <w:t xml:space="preserve">: </w:t>
      </w:r>
      <w:r>
        <w:rPr>
          <w:rStyle w:val="None"/>
          <w:rtl/>
          <w:lang w:val="ar-SA"/>
        </w:rPr>
        <w:t>إذا كان المخالف مدركًا تمامًا لانتهاكه حقوق الآخرين، وأصر على أفعاله عمدًا، فقد يؤثر ذلك على قرار القاضي ويزيد من قيمة التعويض</w:t>
      </w:r>
      <w:r>
        <w:rPr>
          <w:rStyle w:val="None"/>
          <w:rFonts w:ascii="Times New Roman" w:hAnsi="Times New Roman"/>
          <w:rtl/>
          <w:lang w:val="ar-SA"/>
        </w:rPr>
        <w:t>.</w:t>
      </w:r>
    </w:p>
    <w:p w14:paraId="320A59F3"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يحدد النص القانوني بوضوح المعايير التي يجب على القضاة اعتبارها عند تحديد تكلفة الأضرار والفوائد، وفق المادة</w:t>
      </w:r>
      <w:r>
        <w:rPr>
          <w:rStyle w:val="None"/>
          <w:rFonts w:ascii="Times New Roman" w:hAnsi="Times New Roman"/>
        </w:rPr>
        <w:t xml:space="preserve"> (L331-1-3) </w:t>
      </w:r>
      <w:r>
        <w:rPr>
          <w:rStyle w:val="None"/>
          <w:rtl/>
          <w:lang w:val="ar-SA"/>
        </w:rPr>
        <w:t>من قانون الملكية الفكرية الفرنسي، وتنقسم تلك المعايير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6"/>
      </w:r>
      <w:r>
        <w:rPr>
          <w:rStyle w:val="None"/>
          <w:rFonts w:ascii="Times New Roman" w:hAnsi="Times New Roman"/>
          <w:vertAlign w:val="superscript"/>
          <w:rtl/>
          <w:lang w:val="ar-SA"/>
        </w:rPr>
        <w:t>)</w:t>
      </w:r>
    </w:p>
    <w:p w14:paraId="52299226" w14:textId="77777777" w:rsidR="00454428" w:rsidRDefault="00000000" w:rsidP="00C72BA8">
      <w:pPr>
        <w:pStyle w:val="NormalWeb"/>
        <w:numPr>
          <w:ilvl w:val="0"/>
          <w:numId w:val="181"/>
        </w:numPr>
        <w:bidi/>
        <w:spacing w:before="120" w:after="120" w:line="360" w:lineRule="auto"/>
        <w:jc w:val="both"/>
        <w:rPr>
          <w:rFonts w:hint="default"/>
          <w:rtl/>
          <w:lang w:val="ar-SA"/>
        </w:rPr>
      </w:pPr>
      <w:r>
        <w:rPr>
          <w:rStyle w:val="None"/>
          <w:b/>
          <w:bCs/>
          <w:rtl/>
          <w:lang w:val="ar-SA"/>
        </w:rPr>
        <w:t>العواقب الاقتصادية السلبية لانتهاك الحقوق</w:t>
      </w:r>
      <w:r>
        <w:rPr>
          <w:rStyle w:val="None"/>
          <w:rFonts w:ascii="Times New Roman" w:hAnsi="Times New Roman"/>
          <w:color w:val="FF0000"/>
          <w:u w:color="FF0000"/>
          <w:rtl/>
          <w:lang w:val="ar-SA"/>
        </w:rPr>
        <w:t>:</w:t>
      </w:r>
    </w:p>
    <w:p w14:paraId="1FD8919A" w14:textId="77777777" w:rsidR="00454428" w:rsidRDefault="00000000" w:rsidP="00C72BA8">
      <w:pPr>
        <w:pStyle w:val="NormalWeb"/>
        <w:numPr>
          <w:ilvl w:val="0"/>
          <w:numId w:val="179"/>
        </w:numPr>
        <w:bidi/>
        <w:spacing w:before="120" w:after="120" w:line="360" w:lineRule="auto"/>
        <w:jc w:val="both"/>
        <w:rPr>
          <w:rFonts w:hint="default"/>
          <w:rtl/>
          <w:lang w:val="ar-SA"/>
        </w:rPr>
      </w:pPr>
      <w:r>
        <w:rPr>
          <w:rStyle w:val="None"/>
          <w:rtl/>
          <w:lang w:val="ar-SA"/>
        </w:rPr>
        <w:t xml:space="preserve">عند انتهاك الحقوق </w:t>
      </w:r>
      <w:r>
        <w:rPr>
          <w:rStyle w:val="None"/>
          <w:rFonts w:ascii="Times New Roman" w:hAnsi="Times New Roman"/>
          <w:rtl/>
          <w:lang w:val="ar-SA"/>
        </w:rPr>
        <w:t>-</w:t>
      </w:r>
      <w:r>
        <w:rPr>
          <w:rStyle w:val="None"/>
          <w:rtl/>
          <w:lang w:val="ar-SA"/>
        </w:rPr>
        <w:t>مثل</w:t>
      </w:r>
      <w:r>
        <w:rPr>
          <w:rStyle w:val="None"/>
          <w:rFonts w:ascii="Times New Roman" w:hAnsi="Times New Roman"/>
          <w:rtl/>
          <w:lang w:val="ar-SA"/>
        </w:rPr>
        <w:t xml:space="preserve">: </w:t>
      </w:r>
      <w:r>
        <w:rPr>
          <w:rStyle w:val="None"/>
          <w:rtl/>
          <w:lang w:val="ar-SA"/>
        </w:rPr>
        <w:t>التعدي على حقوق النشر، أو براءات الاختراع</w:t>
      </w:r>
      <w:r>
        <w:rPr>
          <w:rStyle w:val="None"/>
          <w:rFonts w:ascii="Times New Roman" w:hAnsi="Times New Roman"/>
          <w:rtl/>
          <w:lang w:val="ar-SA"/>
        </w:rPr>
        <w:t xml:space="preserve">- </w:t>
      </w:r>
      <w:r>
        <w:rPr>
          <w:rStyle w:val="None"/>
          <w:rtl/>
          <w:lang w:val="ar-SA"/>
        </w:rPr>
        <w:t>فإنَّ الطرف المتضرر أو مالك الحق الفكري لا يتمكن من الاستفادة الاقتصادية منها، وقد يؤدي ذلك إلى عدم قدرته على تحقيق أرباح أو حتى الاستمرار في المنافسة</w:t>
      </w:r>
      <w:r>
        <w:rPr>
          <w:rStyle w:val="None"/>
          <w:rFonts w:ascii="Times New Roman" w:hAnsi="Times New Roman"/>
          <w:rtl/>
          <w:lang w:val="ar-SA"/>
        </w:rPr>
        <w:t>.</w:t>
      </w:r>
    </w:p>
    <w:p w14:paraId="52567399" w14:textId="77777777" w:rsidR="00454428" w:rsidRDefault="00000000" w:rsidP="00C72BA8">
      <w:pPr>
        <w:pStyle w:val="NormalWeb"/>
        <w:numPr>
          <w:ilvl w:val="0"/>
          <w:numId w:val="179"/>
        </w:numPr>
        <w:bidi/>
        <w:spacing w:before="120" w:after="120" w:line="360" w:lineRule="auto"/>
        <w:jc w:val="both"/>
        <w:rPr>
          <w:rFonts w:hint="default"/>
          <w:rtl/>
          <w:lang w:val="ar-SA"/>
        </w:rPr>
      </w:pPr>
      <w:r>
        <w:rPr>
          <w:rStyle w:val="None"/>
          <w:rtl/>
          <w:lang w:val="ar-SA"/>
        </w:rPr>
        <w:t>كما أنَّ تلك المخافة قد تتسبب في حرمان صاحب الحق من الحصول على فرص استثمارية أو دخل، كان من الممكن تحقيقه لو لم يتم انتهاك حقه</w:t>
      </w:r>
      <w:r>
        <w:rPr>
          <w:rStyle w:val="None"/>
          <w:rFonts w:ascii="Times New Roman" w:hAnsi="Times New Roman"/>
          <w:rtl/>
          <w:lang w:val="ar-SA"/>
        </w:rPr>
        <w:t>.</w:t>
      </w:r>
    </w:p>
    <w:p w14:paraId="599D8654" w14:textId="77777777" w:rsidR="00454428" w:rsidRDefault="00000000" w:rsidP="00C72BA8">
      <w:pPr>
        <w:pStyle w:val="NormalWeb"/>
        <w:numPr>
          <w:ilvl w:val="0"/>
          <w:numId w:val="182"/>
        </w:numPr>
        <w:bidi/>
        <w:spacing w:before="120" w:after="120" w:line="360" w:lineRule="auto"/>
        <w:jc w:val="both"/>
        <w:rPr>
          <w:rFonts w:hint="default"/>
          <w:rtl/>
          <w:lang w:val="ar-SA"/>
        </w:rPr>
      </w:pPr>
      <w:r>
        <w:rPr>
          <w:rStyle w:val="None"/>
          <w:b/>
          <w:bCs/>
          <w:rtl/>
          <w:lang w:val="ar-SA"/>
        </w:rPr>
        <w:t>العواقب المعنوية</w:t>
      </w:r>
      <w:r>
        <w:rPr>
          <w:rStyle w:val="None"/>
          <w:rFonts w:ascii="Times New Roman" w:hAnsi="Times New Roman"/>
          <w:rtl/>
          <w:lang w:val="ar-SA"/>
        </w:rPr>
        <w:t xml:space="preserve">: </w:t>
      </w:r>
      <w:r>
        <w:rPr>
          <w:rStyle w:val="None"/>
          <w:rtl/>
          <w:lang w:val="ar-SA"/>
        </w:rPr>
        <w:t>كمال يراعي القضاة أنَّ الانتهاك لا يسبب فقط أضرارًا اقتصادية، بل أيضًا أضرارًا معنوية لصاحب الحق، مثل</w:t>
      </w:r>
      <w:r>
        <w:rPr>
          <w:rStyle w:val="None"/>
          <w:rFonts w:ascii="Times New Roman" w:hAnsi="Times New Roman"/>
          <w:rtl/>
          <w:lang w:val="ar-SA"/>
        </w:rPr>
        <w:t xml:space="preserve">: </w:t>
      </w:r>
      <w:r>
        <w:rPr>
          <w:rStyle w:val="None"/>
          <w:rtl/>
          <w:lang w:val="ar-SA"/>
        </w:rPr>
        <w:t>الإضرار بسمعة المُنتهَك، أو القضاء على فرصه الإبداعية؛ حيث تؤخذ هذه الأضرار المعنوية في الاعتبار عند المطالبة بالتعويض</w:t>
      </w:r>
      <w:r>
        <w:rPr>
          <w:rStyle w:val="None"/>
          <w:rFonts w:ascii="Times New Roman" w:hAnsi="Times New Roman"/>
          <w:rtl/>
          <w:lang w:val="ar-SA"/>
        </w:rPr>
        <w:t>.</w:t>
      </w:r>
    </w:p>
    <w:p w14:paraId="0B3724E1" w14:textId="77777777" w:rsidR="00454428" w:rsidRDefault="00000000" w:rsidP="00C72BA8">
      <w:pPr>
        <w:pStyle w:val="NormalWeb"/>
        <w:numPr>
          <w:ilvl w:val="0"/>
          <w:numId w:val="181"/>
        </w:numPr>
        <w:bidi/>
        <w:spacing w:before="120" w:after="120" w:line="360" w:lineRule="auto"/>
        <w:jc w:val="both"/>
        <w:rPr>
          <w:rFonts w:hint="default"/>
          <w:b/>
          <w:bCs/>
          <w:rtl/>
          <w:lang w:val="ar-SA"/>
        </w:rPr>
      </w:pPr>
      <w:r>
        <w:rPr>
          <w:rStyle w:val="None"/>
          <w:b/>
          <w:bCs/>
          <w:rtl/>
          <w:lang w:val="ar-SA"/>
        </w:rPr>
        <w:t>التعويض القضائي</w:t>
      </w:r>
      <w:r>
        <w:rPr>
          <w:rStyle w:val="None"/>
          <w:rFonts w:ascii="Times New Roman" w:hAnsi="Times New Roman"/>
          <w:b/>
          <w:bCs/>
          <w:rtl/>
          <w:lang w:val="ar-SA"/>
        </w:rPr>
        <w:t xml:space="preserve">: </w:t>
      </w:r>
      <w:r>
        <w:rPr>
          <w:rStyle w:val="None"/>
          <w:rtl/>
          <w:lang w:val="ar-SA"/>
        </w:rPr>
        <w:t>يلتزم القضاة بإنصاف صاحب الحق؛ حيث إنَّه إذا لجأ المتضرر إلى القضاء، يمكن للمحكمة أنْ تُلزم الطرف المخالف بدفع تعويض، هذا التعويض قد يكون بديلًا عن الأضرار المادية والمعنوية التي سببها المخالف لصاحب الحق، كما أنَّ التعويض الذي يتم الحكم به قد يكون أعلى من قيمة الرسوم المعتادة؛ لأنَّه يشمل أيضًا الأضرار المادية والمعنوية، بينما يتم حساب التعويض عن الضرر المعنوي بشكل منفصل، فهو لا يدخل ضمن هذه الحسابات التعويضية المادية</w:t>
      </w:r>
      <w:r>
        <w:rPr>
          <w:rStyle w:val="None"/>
          <w:rFonts w:ascii="Times New Roman" w:hAnsi="Times New Roman"/>
          <w:rtl/>
          <w:lang w:val="ar-SA"/>
        </w:rPr>
        <w:t>.</w:t>
      </w:r>
    </w:p>
    <w:p w14:paraId="5D8E6F7A"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 xml:space="preserve">تناولت المادة </w:t>
      </w:r>
      <w:r>
        <w:rPr>
          <w:rStyle w:val="None"/>
          <w:rFonts w:ascii="Times New Roman" w:hAnsi="Times New Roman"/>
        </w:rPr>
        <w:t>L. 331-1-4</w:t>
      </w:r>
      <w:r>
        <w:rPr>
          <w:rStyle w:val="None"/>
          <w:rtl/>
          <w:lang w:val="ar-SA"/>
        </w:rPr>
        <w:t xml:space="preserve"> من قانون الملكية الفكرية الفرنسي الحقوق المجاورة </w:t>
      </w:r>
      <w:r>
        <w:rPr>
          <w:rStyle w:val="None"/>
          <w:rFonts w:ascii="Times New Roman" w:hAnsi="Times New Roman"/>
          <w:rtl/>
          <w:lang w:val="ar-SA"/>
        </w:rPr>
        <w:t>(</w:t>
      </w:r>
      <w:r>
        <w:rPr>
          <w:rStyle w:val="None"/>
          <w:rFonts w:ascii="Times New Roman" w:hAnsi="Times New Roman"/>
        </w:rPr>
        <w:t>droits voisins</w:t>
      </w:r>
      <w:r>
        <w:rPr>
          <w:rStyle w:val="None"/>
          <w:rFonts w:ascii="Times New Roman" w:hAnsi="Times New Roman"/>
          <w:rtl/>
          <w:lang w:val="ar-SA"/>
        </w:rPr>
        <w:t>)</w:t>
      </w:r>
      <w:r>
        <w:rPr>
          <w:rStyle w:val="None"/>
          <w:rtl/>
          <w:lang w:val="ar-SA"/>
        </w:rPr>
        <w:t>، وهي حقوق تتعلق بحقوق الطبع والنشر، وتنطبق على أشخاص، مثل</w:t>
      </w:r>
      <w:r>
        <w:rPr>
          <w:rStyle w:val="None"/>
          <w:rFonts w:ascii="Times New Roman" w:hAnsi="Times New Roman"/>
          <w:rtl/>
          <w:lang w:val="ar-SA"/>
        </w:rPr>
        <w:t xml:space="preserve">: </w:t>
      </w:r>
      <w:r>
        <w:rPr>
          <w:rStyle w:val="None"/>
          <w:rtl/>
          <w:lang w:val="ar-SA"/>
        </w:rPr>
        <w:t>الفنانين، ومنتجي التسجيلات الصوتية، ومنتجي الفيديو، وهيئات البث الإذاعي والتلفزيوني، وتحدد هذه المادة آليات تعويض انتهاك هذه الحقوق المجاورة؛ حيث تمنح المحاكم الفرنسية سلطة فرض عقوبات على من ينتهكون هذه الحقوق، ومن أبرز أحكامها</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7"/>
      </w:r>
      <w:r>
        <w:rPr>
          <w:rStyle w:val="None"/>
          <w:rFonts w:ascii="Times New Roman" w:hAnsi="Times New Roman"/>
          <w:vertAlign w:val="superscript"/>
          <w:rtl/>
          <w:lang w:val="ar-SA"/>
        </w:rPr>
        <w:t>)</w:t>
      </w:r>
    </w:p>
    <w:p w14:paraId="3C578DD0" w14:textId="77777777" w:rsidR="00454428" w:rsidRDefault="00000000" w:rsidP="00C72BA8">
      <w:pPr>
        <w:pStyle w:val="NormalWeb"/>
        <w:numPr>
          <w:ilvl w:val="0"/>
          <w:numId w:val="184"/>
        </w:numPr>
        <w:bidi/>
        <w:spacing w:before="120" w:after="120" w:line="360" w:lineRule="auto"/>
        <w:jc w:val="both"/>
        <w:rPr>
          <w:rFonts w:hint="default"/>
          <w:rtl/>
          <w:lang w:val="ar-SA"/>
        </w:rPr>
      </w:pPr>
      <w:r>
        <w:rPr>
          <w:rStyle w:val="None"/>
          <w:b/>
          <w:bCs/>
          <w:rtl/>
          <w:lang w:val="ar-SA"/>
        </w:rPr>
        <w:lastRenderedPageBreak/>
        <w:t>التعويض عن الخسائر</w:t>
      </w:r>
      <w:r>
        <w:rPr>
          <w:rStyle w:val="None"/>
          <w:rFonts w:ascii="Times New Roman" w:hAnsi="Times New Roman"/>
          <w:rtl/>
          <w:lang w:val="ar-SA"/>
        </w:rPr>
        <w:t xml:space="preserve">: </w:t>
      </w:r>
      <w:r>
        <w:rPr>
          <w:rStyle w:val="None"/>
          <w:rtl/>
          <w:lang w:val="ar-SA"/>
        </w:rPr>
        <w:t>تتيح هذه المادة للمحكمة تقدير التعويض، بِناءً على عدة عوامل، منها</w:t>
      </w:r>
      <w:r>
        <w:rPr>
          <w:rStyle w:val="None"/>
          <w:rFonts w:ascii="Times New Roman" w:hAnsi="Times New Roman"/>
          <w:rtl/>
          <w:lang w:val="ar-SA"/>
        </w:rPr>
        <w:t xml:space="preserve">: </w:t>
      </w:r>
      <w:r>
        <w:rPr>
          <w:rStyle w:val="None"/>
          <w:rtl/>
          <w:lang w:val="ar-SA"/>
        </w:rPr>
        <w:t>الأرباح التي حققها المنتهك، والخسائر التي تكبدها صاحب الحق، والضرر المعنوي</w:t>
      </w:r>
      <w:r>
        <w:rPr>
          <w:rStyle w:val="None"/>
          <w:rFonts w:ascii="Times New Roman" w:hAnsi="Times New Roman"/>
          <w:rtl/>
          <w:lang w:val="ar-SA"/>
        </w:rPr>
        <w:t>.</w:t>
      </w:r>
    </w:p>
    <w:p w14:paraId="05E82D06" w14:textId="77777777" w:rsidR="00454428" w:rsidRDefault="00000000" w:rsidP="00C72BA8">
      <w:pPr>
        <w:pStyle w:val="NormalWeb"/>
        <w:numPr>
          <w:ilvl w:val="0"/>
          <w:numId w:val="184"/>
        </w:numPr>
        <w:bidi/>
        <w:spacing w:before="120" w:after="120" w:line="360" w:lineRule="auto"/>
        <w:jc w:val="both"/>
        <w:rPr>
          <w:rFonts w:hint="default"/>
          <w:rtl/>
          <w:lang w:val="ar-SA"/>
        </w:rPr>
      </w:pPr>
      <w:r>
        <w:rPr>
          <w:rStyle w:val="None"/>
          <w:b/>
          <w:bCs/>
          <w:rtl/>
          <w:lang w:val="ar-SA"/>
        </w:rPr>
        <w:t>المصادرة</w:t>
      </w:r>
      <w:r>
        <w:rPr>
          <w:rStyle w:val="None"/>
          <w:rFonts w:ascii="Times New Roman" w:hAnsi="Times New Roman"/>
          <w:rtl/>
          <w:lang w:val="ar-SA"/>
        </w:rPr>
        <w:t xml:space="preserve">: </w:t>
      </w:r>
      <w:r>
        <w:rPr>
          <w:rStyle w:val="None"/>
          <w:rtl/>
          <w:lang w:val="ar-SA"/>
        </w:rPr>
        <w:t>يتاح للمحكمة أنْ تقوم بمصادرة الأرباح التي حققها المنتهك؛ بسبب استغلال حقوق الغير</w:t>
      </w:r>
      <w:r>
        <w:rPr>
          <w:rStyle w:val="None"/>
          <w:rFonts w:ascii="Times New Roman" w:hAnsi="Times New Roman"/>
          <w:rtl/>
          <w:lang w:val="ar-SA"/>
        </w:rPr>
        <w:t>.</w:t>
      </w:r>
    </w:p>
    <w:p w14:paraId="3713E518" w14:textId="77777777" w:rsidR="00454428" w:rsidRDefault="00000000" w:rsidP="00C72BA8">
      <w:pPr>
        <w:pStyle w:val="NormalWeb"/>
        <w:numPr>
          <w:ilvl w:val="0"/>
          <w:numId w:val="184"/>
        </w:numPr>
        <w:bidi/>
        <w:spacing w:before="120" w:after="120" w:line="360" w:lineRule="auto"/>
        <w:jc w:val="both"/>
        <w:rPr>
          <w:rFonts w:hint="default"/>
          <w:rtl/>
          <w:lang w:val="ar-SA"/>
        </w:rPr>
      </w:pPr>
      <w:r>
        <w:rPr>
          <w:rStyle w:val="None"/>
          <w:rtl/>
          <w:lang w:val="ar-SA"/>
        </w:rPr>
        <w:t>يمكن للمحكمة أنْ تأمر باتخاذ إجراءات تتعلق بتحسين سمعة المتضرر، من خلال نشر الحكم في المجلات، أو عبر وسائل الاتصال العامة على الإنترنت؛ وذلك لتخفيف الضرر المعنوي</w:t>
      </w:r>
      <w:r>
        <w:rPr>
          <w:rStyle w:val="None"/>
          <w:rFonts w:ascii="Times New Roman" w:hAnsi="Times New Roman"/>
          <w:rtl/>
          <w:lang w:val="ar-SA"/>
        </w:rPr>
        <w:t>.</w:t>
      </w:r>
    </w:p>
    <w:p w14:paraId="1148A01D" w14:textId="77777777" w:rsidR="00454428" w:rsidRDefault="00000000" w:rsidP="00C72BA8">
      <w:pPr>
        <w:pStyle w:val="NormalWeb"/>
        <w:numPr>
          <w:ilvl w:val="0"/>
          <w:numId w:val="184"/>
        </w:numPr>
        <w:bidi/>
        <w:spacing w:before="120" w:after="120" w:line="360" w:lineRule="auto"/>
        <w:jc w:val="both"/>
        <w:rPr>
          <w:rFonts w:hint="default"/>
          <w:rtl/>
          <w:lang w:val="ar-SA"/>
        </w:rPr>
      </w:pPr>
      <w:r>
        <w:rPr>
          <w:rStyle w:val="None"/>
          <w:rFonts w:ascii="Times New Roman" w:hAnsi="Times New Roman"/>
          <w:rtl/>
          <w:lang w:val="ar-SA"/>
        </w:rPr>
        <w:t xml:space="preserve"> </w:t>
      </w:r>
      <w:r>
        <w:rPr>
          <w:rStyle w:val="None"/>
          <w:b/>
          <w:bCs/>
          <w:rtl/>
          <w:lang w:val="ar-SA"/>
        </w:rPr>
        <w:t>التدابير الاحترازية</w:t>
      </w:r>
      <w:r>
        <w:rPr>
          <w:rStyle w:val="None"/>
          <w:rFonts w:ascii="Times New Roman" w:hAnsi="Times New Roman"/>
          <w:rtl/>
          <w:lang w:val="ar-SA"/>
        </w:rPr>
        <w:t xml:space="preserve">: </w:t>
      </w:r>
      <w:r>
        <w:rPr>
          <w:rStyle w:val="None"/>
          <w:rtl/>
          <w:lang w:val="ar-SA"/>
        </w:rPr>
        <w:t>تُخوّل هذه المادة المحكمة اتخاذ تدابير لمنع الضرر، من خلال حجب المحتوى المُنتهك على الإنترنت، أو مصادرة الأصول المصرفية للمُخالف</w:t>
      </w:r>
      <w:r>
        <w:rPr>
          <w:rStyle w:val="None"/>
          <w:rFonts w:ascii="Times New Roman" w:hAnsi="Times New Roman"/>
          <w:rtl/>
          <w:lang w:val="ar-SA"/>
        </w:rPr>
        <w:t>.</w:t>
      </w:r>
    </w:p>
    <w:p w14:paraId="2A333C92" w14:textId="77777777" w:rsidR="00454428" w:rsidRDefault="00000000" w:rsidP="00C72BA8">
      <w:pPr>
        <w:pStyle w:val="NormalWeb"/>
        <w:bidi/>
        <w:spacing w:before="120" w:after="120" w:line="360" w:lineRule="auto"/>
        <w:ind w:firstLine="720"/>
        <w:jc w:val="both"/>
        <w:rPr>
          <w:rStyle w:val="NoneA"/>
          <w:rFonts w:hint="default"/>
          <w:rtl/>
        </w:rPr>
      </w:pPr>
      <w:r>
        <w:rPr>
          <w:rStyle w:val="None"/>
          <w:rtl/>
          <w:lang w:val="ar-SA"/>
        </w:rPr>
        <w:t xml:space="preserve">وفقًا للمادة </w:t>
      </w:r>
      <w:r>
        <w:rPr>
          <w:rStyle w:val="None"/>
          <w:rFonts w:ascii="Times New Roman" w:hAnsi="Times New Roman"/>
        </w:rPr>
        <w:t>L. 331-1-3</w:t>
      </w:r>
      <w:r>
        <w:rPr>
          <w:rStyle w:val="None"/>
          <w:rtl/>
          <w:lang w:val="ar-SA"/>
        </w:rPr>
        <w:t xml:space="preserve"> من القانون الفرنسي لحقوق الملكية الفكرية يتم تقييم الأضرار التي نتجت عن انتهاك الملكية الفكرية، من خلال النظر في عدد العوامل</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8"/>
      </w:r>
      <w:r>
        <w:rPr>
          <w:rStyle w:val="None"/>
          <w:rFonts w:ascii="Times New Roman" w:hAnsi="Times New Roman"/>
          <w:vertAlign w:val="superscript"/>
          <w:rtl/>
          <w:lang w:val="ar-SA"/>
        </w:rPr>
        <w:t>)</w:t>
      </w:r>
    </w:p>
    <w:p w14:paraId="0AA7842F" w14:textId="77777777" w:rsidR="00454428" w:rsidRDefault="00000000" w:rsidP="00C72BA8">
      <w:pPr>
        <w:pStyle w:val="NormalWeb"/>
        <w:numPr>
          <w:ilvl w:val="0"/>
          <w:numId w:val="186"/>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b/>
          <w:bCs/>
          <w:rtl/>
          <w:lang w:val="ar-SA"/>
        </w:rPr>
        <w:t>:</w:t>
      </w:r>
      <w:r>
        <w:rPr>
          <w:rStyle w:val="None"/>
          <w:rtl/>
          <w:lang w:val="ar-SA"/>
        </w:rPr>
        <w:t xml:space="preserve"> وتشمل الأضرار التي يتكبدها صاحب الحق، مثل</w:t>
      </w:r>
      <w:r>
        <w:rPr>
          <w:rStyle w:val="None"/>
          <w:rFonts w:ascii="Times New Roman" w:hAnsi="Times New Roman"/>
          <w:rtl/>
          <w:lang w:val="ar-SA"/>
        </w:rPr>
        <w:t xml:space="preserve">: </w:t>
      </w:r>
      <w:r>
        <w:rPr>
          <w:rStyle w:val="None"/>
          <w:rtl/>
          <w:lang w:val="ar-SA"/>
        </w:rPr>
        <w:t>الأرباح الضائعة والأرباح التي حققها المُنتهك</w:t>
      </w:r>
      <w:r>
        <w:rPr>
          <w:rStyle w:val="None"/>
          <w:rFonts w:ascii="Times New Roman" w:hAnsi="Times New Roman"/>
          <w:rtl/>
          <w:lang w:val="ar-SA"/>
        </w:rPr>
        <w:t>.</w:t>
      </w:r>
    </w:p>
    <w:p w14:paraId="5786BC11" w14:textId="77777777" w:rsidR="00454428" w:rsidRDefault="00000000" w:rsidP="00C72BA8">
      <w:pPr>
        <w:pStyle w:val="NormalWeb"/>
        <w:numPr>
          <w:ilvl w:val="0"/>
          <w:numId w:val="186"/>
        </w:numPr>
        <w:bidi/>
        <w:spacing w:before="120" w:after="120" w:line="360" w:lineRule="auto"/>
        <w:jc w:val="both"/>
        <w:rPr>
          <w:rFonts w:hint="default"/>
          <w:rtl/>
          <w:lang w:val="ar-SA"/>
        </w:rPr>
      </w:pPr>
      <w:r>
        <w:rPr>
          <w:rStyle w:val="None"/>
          <w:b/>
          <w:bCs/>
          <w:rtl/>
          <w:lang w:val="ar-SA"/>
        </w:rPr>
        <w:t>الأذى المعنوي</w:t>
      </w:r>
      <w:r>
        <w:rPr>
          <w:rStyle w:val="None"/>
          <w:rFonts w:ascii="Times New Roman" w:hAnsi="Times New Roman"/>
          <w:b/>
          <w:bCs/>
          <w:rtl/>
          <w:lang w:val="ar-SA"/>
        </w:rPr>
        <w:t>:</w:t>
      </w:r>
      <w:r>
        <w:rPr>
          <w:rStyle w:val="None"/>
          <w:rtl/>
          <w:lang w:val="ar-SA"/>
        </w:rPr>
        <w:t xml:space="preserve"> ويتمثل في الخسائر المعنوية التي يتكبدها الشخص المعتدى عليه؛ نتيجة انتهاك حقه، والتي تتعلق بالسمعة، وفقدان الفرص الإبداعية</w:t>
      </w:r>
      <w:r>
        <w:rPr>
          <w:rStyle w:val="None"/>
          <w:rFonts w:ascii="Times New Roman" w:hAnsi="Times New Roman"/>
          <w:rtl/>
          <w:lang w:val="ar-SA"/>
        </w:rPr>
        <w:t>.</w:t>
      </w:r>
    </w:p>
    <w:p w14:paraId="66E9AC78" w14:textId="77777777" w:rsidR="00454428" w:rsidRDefault="00000000" w:rsidP="00C72BA8">
      <w:pPr>
        <w:pStyle w:val="NormalWeb"/>
        <w:numPr>
          <w:ilvl w:val="0"/>
          <w:numId w:val="186"/>
        </w:numPr>
        <w:bidi/>
        <w:spacing w:before="120" w:after="120" w:line="360" w:lineRule="auto"/>
        <w:jc w:val="both"/>
        <w:rPr>
          <w:rFonts w:hint="default"/>
          <w:rtl/>
          <w:lang w:val="ar-SA"/>
        </w:rPr>
      </w:pPr>
      <w:r>
        <w:rPr>
          <w:rStyle w:val="None"/>
          <w:b/>
          <w:bCs/>
          <w:rtl/>
          <w:lang w:val="ar-SA"/>
        </w:rPr>
        <w:t>المكاسب التي حصل عليها المخالف</w:t>
      </w:r>
      <w:r>
        <w:rPr>
          <w:rStyle w:val="None"/>
          <w:rFonts w:ascii="Times New Roman" w:hAnsi="Times New Roman"/>
          <w:b/>
          <w:bCs/>
          <w:rtl/>
          <w:lang w:val="ar-SA"/>
        </w:rPr>
        <w:t>:</w:t>
      </w:r>
      <w:r>
        <w:rPr>
          <w:rStyle w:val="None"/>
          <w:rtl/>
          <w:lang w:val="ar-SA"/>
        </w:rPr>
        <w:t xml:space="preserve"> وتتضمن الأرباح التي حصل عليها بشكل غير مستحق من خلال استغلال حقوق الغير، علاوةً على تكاليف الترخيص التي كان يجب عليه تقديمها للحصول على الحق بشكل قانوني</w:t>
      </w:r>
      <w:r>
        <w:rPr>
          <w:rStyle w:val="None"/>
          <w:rFonts w:ascii="Times New Roman" w:hAnsi="Times New Roman"/>
          <w:rtl/>
          <w:lang w:val="ar-SA"/>
        </w:rPr>
        <w:t>.</w:t>
      </w:r>
    </w:p>
    <w:p w14:paraId="2D8A5EB2" w14:textId="77777777" w:rsidR="00454428" w:rsidRDefault="00000000" w:rsidP="00C72BA8">
      <w:pPr>
        <w:pStyle w:val="NormalWeb"/>
        <w:numPr>
          <w:ilvl w:val="0"/>
          <w:numId w:val="186"/>
        </w:numPr>
        <w:bidi/>
        <w:spacing w:before="120" w:after="120" w:line="360" w:lineRule="auto"/>
        <w:jc w:val="both"/>
        <w:rPr>
          <w:rFonts w:hint="default"/>
          <w:rtl/>
          <w:lang w:val="ar-SA"/>
        </w:rPr>
      </w:pPr>
      <w:r>
        <w:rPr>
          <w:rStyle w:val="None"/>
          <w:b/>
          <w:bCs/>
          <w:rtl/>
          <w:lang w:val="ar-SA"/>
        </w:rPr>
        <w:t>التعويض البديل</w:t>
      </w:r>
      <w:r>
        <w:rPr>
          <w:rStyle w:val="None"/>
          <w:rFonts w:ascii="Times New Roman" w:hAnsi="Times New Roman"/>
          <w:b/>
          <w:bCs/>
          <w:rtl/>
          <w:lang w:val="ar-SA"/>
        </w:rPr>
        <w:t>:</w:t>
      </w:r>
      <w:r>
        <w:rPr>
          <w:rStyle w:val="None"/>
          <w:rtl/>
          <w:lang w:val="ar-SA"/>
        </w:rPr>
        <w:t xml:space="preserve"> تنص المادة أيضًا على أنَّه يجوز للقاضي أنْ يقوم بمنح صاحب الحق المسلوب تعويضًا إجماليًّا عن كافة الخسائر</w:t>
      </w:r>
      <w:r>
        <w:rPr>
          <w:rStyle w:val="None"/>
          <w:rFonts w:ascii="Times New Roman" w:hAnsi="Times New Roman"/>
          <w:rtl/>
          <w:lang w:val="ar-SA"/>
        </w:rPr>
        <w:t>.</w:t>
      </w:r>
    </w:p>
    <w:p w14:paraId="305FAA1B" w14:textId="77777777" w:rsidR="00454428" w:rsidRDefault="00000000" w:rsidP="00C72BA8">
      <w:pPr>
        <w:pStyle w:val="NormalWeb"/>
        <w:bidi/>
        <w:spacing w:before="120" w:after="120" w:line="360" w:lineRule="auto"/>
        <w:ind w:firstLine="720"/>
        <w:jc w:val="both"/>
        <w:rPr>
          <w:rStyle w:val="NoneA"/>
          <w:rFonts w:hint="default"/>
          <w:rtl/>
        </w:rPr>
      </w:pPr>
      <w:r>
        <w:rPr>
          <w:rStyle w:val="None"/>
          <w:rtl/>
          <w:lang w:val="ar-SA"/>
        </w:rPr>
        <w:t xml:space="preserve">وعليه فقد أقرت المادة </w:t>
      </w:r>
      <w:r>
        <w:rPr>
          <w:rStyle w:val="None"/>
          <w:rFonts w:ascii="Times New Roman" w:hAnsi="Times New Roman"/>
          <w:shd w:val="clear" w:color="auto" w:fill="FFFFFF"/>
        </w:rPr>
        <w:t>L335-2</w:t>
      </w:r>
      <w:r>
        <w:rPr>
          <w:rStyle w:val="None"/>
          <w:shd w:val="clear" w:color="auto" w:fill="FFFFFF"/>
          <w:rtl/>
          <w:lang w:val="ar-SA"/>
        </w:rPr>
        <w:t xml:space="preserve"> أنَّ استغلال أو نسخ</w:t>
      </w:r>
      <w:r>
        <w:rPr>
          <w:rStyle w:val="None"/>
          <w:rFonts w:ascii="Times New Roman" w:hAnsi="Times New Roman"/>
          <w:b/>
          <w:bCs/>
          <w:shd w:val="clear" w:color="auto" w:fill="FFFFFF"/>
          <w:rtl/>
          <w:lang w:val="ar-SA"/>
        </w:rPr>
        <w:t xml:space="preserve"> </w:t>
      </w:r>
      <w:r>
        <w:rPr>
          <w:rStyle w:val="None"/>
          <w:rtl/>
          <w:lang w:val="ar-SA"/>
        </w:rPr>
        <w:t xml:space="preserve">أي من الكتابات، أو المؤلفات الموسيقية، والرسومات، أو أي عمل آخر، سواء كان تناظريًّا أو رقميًّا يُعَدُّ انتهاكًا للحقوق الفكرية، وتكون عقوبتها السجن وتعويض بقيمة </w:t>
      </w:r>
      <w:r>
        <w:rPr>
          <w:rStyle w:val="None"/>
          <w:rFonts w:ascii="Times New Roman" w:hAnsi="Times New Roman"/>
          <w:rtl/>
          <w:lang w:val="ar-SA"/>
        </w:rPr>
        <w:t xml:space="preserve">300000 </w:t>
      </w:r>
      <w:r>
        <w:rPr>
          <w:rStyle w:val="None"/>
          <w:rtl/>
          <w:lang w:val="ar-SA"/>
        </w:rPr>
        <w:t>يورو للمحاكمة في فرنسا</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29"/>
      </w:r>
      <w:r>
        <w:rPr>
          <w:rStyle w:val="None"/>
          <w:rFonts w:ascii="Times New Roman" w:hAnsi="Times New Roman"/>
          <w:vertAlign w:val="superscript"/>
          <w:rtl/>
          <w:lang w:val="ar-SA"/>
        </w:rPr>
        <w:t>)</w:t>
      </w:r>
    </w:p>
    <w:p w14:paraId="610DA6AC"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 xml:space="preserve">كما حددت المادة </w:t>
      </w:r>
      <w:r>
        <w:rPr>
          <w:rStyle w:val="None"/>
          <w:rFonts w:ascii="Times New Roman" w:hAnsi="Times New Roman"/>
        </w:rPr>
        <w:t>L716-14</w:t>
      </w:r>
      <w:r>
        <w:rPr>
          <w:rStyle w:val="None"/>
          <w:rtl/>
          <w:lang w:val="ar-SA"/>
        </w:rPr>
        <w:t xml:space="preserve"> من قانون الملكية الفكرية الفرنسي التعويضات عن انتهاك العلامة التجارية، وهي تُشبه المادة </w:t>
      </w:r>
      <w:r>
        <w:rPr>
          <w:rStyle w:val="None"/>
          <w:rFonts w:ascii="Times New Roman" w:hAnsi="Times New Roman"/>
        </w:rPr>
        <w:t>L331-1-3</w:t>
      </w:r>
      <w:r>
        <w:rPr>
          <w:rStyle w:val="None"/>
          <w:rtl/>
          <w:lang w:val="ar-SA"/>
        </w:rPr>
        <w:t xml:space="preserve"> التي ناقشناها سابقًا، ولكنها تُطبق على العلامات التجارية، بدلًا من حقوق الطبع والنشر، وتُرسي هذه المادة المبادئ التي يجب على المحاكم الفرنسية اتباعها عند تحديد التعويضات عن انتهاك العلامة التجارية، والهدف هو ضمان أنْ يكون التعويض عادلًا وشاملًا؛ بحيث يغطي الأضرار المادية والمعنوية على حد سواء، ويحرم المُنتهك من أي مكاسب غير مشروعة، من خلال النظر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0"/>
      </w:r>
      <w:r>
        <w:rPr>
          <w:rStyle w:val="None"/>
          <w:rFonts w:ascii="Times New Roman" w:hAnsi="Times New Roman"/>
          <w:vertAlign w:val="superscript"/>
          <w:rtl/>
          <w:lang w:val="ar-SA"/>
        </w:rPr>
        <w:t>)</w:t>
      </w:r>
    </w:p>
    <w:p w14:paraId="63BFFEA8" w14:textId="77777777" w:rsidR="00454428" w:rsidRDefault="00000000" w:rsidP="00C72BA8">
      <w:pPr>
        <w:pStyle w:val="NormalWeb"/>
        <w:numPr>
          <w:ilvl w:val="0"/>
          <w:numId w:val="188"/>
        </w:numPr>
        <w:bidi/>
        <w:spacing w:before="120" w:after="120" w:line="360" w:lineRule="auto"/>
        <w:jc w:val="both"/>
        <w:rPr>
          <w:rFonts w:hint="default"/>
          <w:rtl/>
          <w:lang w:val="ar-SA"/>
        </w:rPr>
      </w:pPr>
      <w:r>
        <w:rPr>
          <w:rStyle w:val="None"/>
          <w:b/>
          <w:bCs/>
          <w:rtl/>
          <w:lang w:val="ar-SA"/>
        </w:rPr>
        <w:lastRenderedPageBreak/>
        <w:t>العواقب الاقتصادية السلبية</w:t>
      </w:r>
      <w:r>
        <w:rPr>
          <w:rStyle w:val="None"/>
          <w:rFonts w:ascii="Times New Roman" w:hAnsi="Times New Roman"/>
          <w:rtl/>
          <w:lang w:val="ar-SA"/>
        </w:rPr>
        <w:t xml:space="preserve">: </w:t>
      </w:r>
      <w:r>
        <w:rPr>
          <w:rStyle w:val="None"/>
          <w:rtl/>
          <w:lang w:val="ar-SA"/>
        </w:rPr>
        <w:t>والتي تشمل الأرباح، التي خسرها الطرف المتضرر؛ نتيجة انتهاك العلامة التجارية، بالإضافة إلى الخسائر الأخرى المُتكبدة</w:t>
      </w:r>
      <w:r>
        <w:rPr>
          <w:rStyle w:val="None"/>
          <w:rFonts w:ascii="Times New Roman" w:hAnsi="Times New Roman"/>
          <w:rtl/>
          <w:lang w:val="ar-SA"/>
        </w:rPr>
        <w:t>.</w:t>
      </w:r>
    </w:p>
    <w:p w14:paraId="57995BA1" w14:textId="77777777" w:rsidR="00454428" w:rsidRDefault="00000000" w:rsidP="00C72BA8">
      <w:pPr>
        <w:pStyle w:val="NormalWeb"/>
        <w:numPr>
          <w:ilvl w:val="0"/>
          <w:numId w:val="188"/>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يجب على القاضي أنْ يأخذ في الاعتبار الضرر المعنوي الذي لحق بالطرف المتضرر، قد يشمل ذلك الإضرار بسمعة العلامة التجارية، أو تشويه صورتها في السوق</w:t>
      </w:r>
      <w:r>
        <w:rPr>
          <w:rStyle w:val="None"/>
          <w:rFonts w:ascii="Times New Roman" w:hAnsi="Times New Roman"/>
          <w:rtl/>
          <w:lang w:val="ar-SA"/>
        </w:rPr>
        <w:t>.</w:t>
      </w:r>
    </w:p>
    <w:p w14:paraId="315D1F35" w14:textId="77777777" w:rsidR="00454428" w:rsidRDefault="00000000" w:rsidP="00C72BA8">
      <w:pPr>
        <w:pStyle w:val="NormalWeb"/>
        <w:numPr>
          <w:ilvl w:val="0"/>
          <w:numId w:val="188"/>
        </w:numPr>
        <w:bidi/>
        <w:spacing w:before="120" w:after="120" w:line="360" w:lineRule="auto"/>
        <w:jc w:val="both"/>
        <w:rPr>
          <w:rFonts w:hint="default"/>
          <w:rtl/>
          <w:lang w:val="ar-SA"/>
        </w:rPr>
      </w:pPr>
      <w:r>
        <w:rPr>
          <w:rStyle w:val="None"/>
          <w:b/>
          <w:bCs/>
          <w:rtl/>
          <w:lang w:val="ar-SA"/>
        </w:rPr>
        <w:t>أرباح المنتهك</w:t>
      </w:r>
      <w:r>
        <w:rPr>
          <w:rStyle w:val="None"/>
          <w:rFonts w:ascii="Times New Roman" w:hAnsi="Times New Roman"/>
          <w:rtl/>
          <w:lang w:val="ar-SA"/>
        </w:rPr>
        <w:t xml:space="preserve">: </w:t>
      </w:r>
      <w:r>
        <w:rPr>
          <w:rStyle w:val="None"/>
          <w:rtl/>
          <w:lang w:val="ar-SA"/>
        </w:rPr>
        <w:t>تُحسب أيضًا الفوائد التي حققها الطرف المتعدي من خلال استخدام العلامة التجارية، ويشمل ذلك أي وفورات في تكاليف الإنتاج والتسويق لم يكن عليه تحملها؛ ممَّا يضمن عدم استفادة المنتهك من انتهاكه</w:t>
      </w:r>
      <w:r>
        <w:rPr>
          <w:rStyle w:val="None"/>
          <w:rFonts w:ascii="Times New Roman" w:hAnsi="Times New Roman"/>
          <w:rtl/>
          <w:lang w:val="ar-SA"/>
        </w:rPr>
        <w:t>.</w:t>
      </w:r>
    </w:p>
    <w:p w14:paraId="5C83076C" w14:textId="77777777" w:rsidR="00454428" w:rsidRDefault="00000000" w:rsidP="00C72BA8">
      <w:pPr>
        <w:pStyle w:val="NormalWeb"/>
        <w:numPr>
          <w:ilvl w:val="0"/>
          <w:numId w:val="188"/>
        </w:numPr>
        <w:bidi/>
        <w:spacing w:before="120" w:after="120" w:line="360" w:lineRule="auto"/>
        <w:jc w:val="both"/>
        <w:rPr>
          <w:rFonts w:hint="default"/>
          <w:rtl/>
          <w:lang w:val="ar-SA"/>
        </w:rPr>
      </w:pPr>
      <w:r>
        <w:rPr>
          <w:rStyle w:val="None"/>
          <w:b/>
          <w:bCs/>
          <w:rtl/>
          <w:lang w:val="ar-SA"/>
        </w:rPr>
        <w:t xml:space="preserve">التعويض البديل </w:t>
      </w:r>
      <w:r>
        <w:rPr>
          <w:rStyle w:val="None"/>
          <w:rFonts w:ascii="Times New Roman" w:hAnsi="Times New Roman"/>
          <w:b/>
          <w:bCs/>
          <w:rtl/>
          <w:lang w:val="ar-SA"/>
        </w:rPr>
        <w:t>(</w:t>
      </w:r>
      <w:r>
        <w:rPr>
          <w:rStyle w:val="None"/>
          <w:rFonts w:ascii="Times New Roman" w:hAnsi="Times New Roman"/>
          <w:b/>
          <w:bCs/>
        </w:rPr>
        <w:t>Forfaitaire</w:t>
      </w:r>
      <w:r>
        <w:rPr>
          <w:rStyle w:val="None"/>
          <w:rFonts w:ascii="Times New Roman" w:hAnsi="Times New Roman"/>
          <w:b/>
          <w:bCs/>
          <w:rtl/>
          <w:lang w:val="ar-SA"/>
        </w:rPr>
        <w:t>):</w:t>
      </w:r>
      <w:r>
        <w:rPr>
          <w:rStyle w:val="None"/>
          <w:rtl/>
          <w:lang w:val="ar-SA"/>
        </w:rPr>
        <w:t xml:space="preserve"> بِناءً على طلب الطرف المتضرر، يجوز للقاضي أنْ يُمنَحَ مبلغًا إجماليًا كتعويض بديل، يجب أنْ يكون هذا المبلغ أعلى من الرسوم أو الإتاوات التي كان المنتهك سيدفعها لو حصل على إذن قانوني باستخدام العلامة التجارية، ولا يُغني هذا المبلغ عن التعويض عن الأضرار المعنوية، بمعنى آخر</w:t>
      </w:r>
      <w:r>
        <w:rPr>
          <w:rStyle w:val="None"/>
          <w:rFonts w:ascii="Times New Roman" w:hAnsi="Times New Roman"/>
          <w:rtl/>
          <w:lang w:val="ar-SA"/>
        </w:rPr>
        <w:t xml:space="preserve">: </w:t>
      </w:r>
      <w:r>
        <w:rPr>
          <w:rStyle w:val="None"/>
          <w:rtl/>
          <w:lang w:val="ar-SA"/>
        </w:rPr>
        <w:t>يجوز للقاضي أنْ يمنح تعويضًا بديلًا عن الخسائر المادية، بالإضافة إلى تعويض منفصل عن الأضرار المعنوية</w:t>
      </w:r>
      <w:r>
        <w:rPr>
          <w:rStyle w:val="None"/>
          <w:rFonts w:ascii="Times New Roman" w:hAnsi="Times New Roman"/>
          <w:rtl/>
          <w:lang w:val="ar-SA"/>
        </w:rPr>
        <w:t>.</w:t>
      </w:r>
    </w:p>
    <w:p w14:paraId="29C0ABE7" w14:textId="77777777" w:rsidR="00454428" w:rsidRDefault="00000000" w:rsidP="00C72BA8">
      <w:pPr>
        <w:pStyle w:val="NormalWeb"/>
        <w:bidi/>
        <w:spacing w:before="120" w:after="120" w:line="360" w:lineRule="auto"/>
        <w:jc w:val="both"/>
        <w:rPr>
          <w:rStyle w:val="None"/>
          <w:rFonts w:hint="default"/>
          <w:sz w:val="28"/>
          <w:szCs w:val="28"/>
          <w:rtl/>
          <w:lang w:val="ar-SA"/>
        </w:rPr>
      </w:pPr>
      <w:r>
        <w:rPr>
          <w:rStyle w:val="None"/>
          <w:b/>
          <w:bCs/>
          <w:sz w:val="28"/>
          <w:szCs w:val="28"/>
          <w:rtl/>
          <w:lang w:val="ar-SA"/>
        </w:rPr>
        <w:t>ثانيًا</w:t>
      </w:r>
      <w:r>
        <w:rPr>
          <w:rStyle w:val="None"/>
          <w:rFonts w:ascii="Times New Roman" w:hAnsi="Times New Roman"/>
          <w:b/>
          <w:bCs/>
          <w:sz w:val="28"/>
          <w:szCs w:val="28"/>
          <w:rtl/>
          <w:lang w:val="ar-SA"/>
        </w:rPr>
        <w:t xml:space="preserve">: </w:t>
      </w:r>
      <w:r>
        <w:rPr>
          <w:rStyle w:val="None"/>
          <w:b/>
          <w:bCs/>
          <w:sz w:val="28"/>
          <w:szCs w:val="28"/>
          <w:rtl/>
          <w:lang w:val="ar-SA"/>
        </w:rPr>
        <w:t>التعويض عن الاعتداء على حقوق الملكية الفكرية في البيئة الرقمية في القانون الأمريكي</w:t>
      </w:r>
      <w:r>
        <w:rPr>
          <w:rStyle w:val="None"/>
          <w:rFonts w:ascii="Times New Roman" w:hAnsi="Times New Roman"/>
          <w:b/>
          <w:bCs/>
          <w:sz w:val="28"/>
          <w:szCs w:val="28"/>
          <w:rtl/>
          <w:lang w:val="ar-SA"/>
        </w:rPr>
        <w:t>:</w:t>
      </w:r>
    </w:p>
    <w:p w14:paraId="5F8F8572"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 xml:space="preserve">تُعَدُّ المادة </w:t>
      </w:r>
      <w:r>
        <w:rPr>
          <w:rStyle w:val="None"/>
          <w:rFonts w:ascii="Times New Roman" w:hAnsi="Times New Roman"/>
          <w:rtl/>
          <w:lang w:val="ar-SA"/>
        </w:rPr>
        <w:t xml:space="preserve">504 </w:t>
      </w:r>
      <w:r>
        <w:rPr>
          <w:rStyle w:val="None"/>
          <w:rtl/>
          <w:lang w:val="ar-SA"/>
        </w:rPr>
        <w:t>من قانون حقوق الطبع والنشر الأمريكي حجر الزاوية في تحديد التعويضات المالية عن انتهاك حقوق الطبع والنشر، وتنص تلك المادة على أنَّ منتهك حقوق الطبع والنشر مسئول عن دفع إحدى مجموعتين من التعويضات، والتي يختارها مالك حقوق الطبع والنشر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1"/>
      </w:r>
      <w:r>
        <w:rPr>
          <w:rStyle w:val="None"/>
          <w:rFonts w:ascii="Times New Roman" w:hAnsi="Times New Roman"/>
          <w:vertAlign w:val="superscript"/>
          <w:rtl/>
          <w:lang w:val="ar-SA"/>
        </w:rPr>
        <w:t>)</w:t>
      </w:r>
    </w:p>
    <w:p w14:paraId="1FFF6006" w14:textId="77777777" w:rsidR="00454428" w:rsidRDefault="00000000" w:rsidP="00C72BA8">
      <w:pPr>
        <w:pStyle w:val="ListParagraph"/>
        <w:numPr>
          <w:ilvl w:val="0"/>
          <w:numId w:val="19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تمنح المادة </w:t>
      </w:r>
      <w:r>
        <w:rPr>
          <w:rStyle w:val="None"/>
          <w:rFonts w:ascii="Times New Roman" w:hAnsi="Times New Roman"/>
          <w:sz w:val="24"/>
          <w:szCs w:val="24"/>
          <w:rtl/>
          <w:lang w:val="ar-SA"/>
        </w:rPr>
        <w:t>504(</w:t>
      </w:r>
      <w:r>
        <w:rPr>
          <w:rStyle w:val="None"/>
          <w:rFonts w:cs="Times New Roman"/>
          <w:sz w:val="24"/>
          <w:szCs w:val="24"/>
          <w:rtl/>
          <w:lang w:val="ar-SA"/>
        </w:rPr>
        <w:t>ب</w:t>
      </w:r>
      <w:r>
        <w:rPr>
          <w:rStyle w:val="None"/>
          <w:rFonts w:ascii="Times New Roman" w:hAnsi="Times New Roman"/>
          <w:sz w:val="24"/>
          <w:szCs w:val="24"/>
          <w:rtl/>
          <w:lang w:val="ar-SA"/>
        </w:rPr>
        <w:t xml:space="preserve">) </w:t>
      </w:r>
      <w:r>
        <w:rPr>
          <w:rStyle w:val="None"/>
          <w:rFonts w:cs="Times New Roman"/>
          <w:sz w:val="24"/>
          <w:szCs w:val="24"/>
          <w:rtl/>
          <w:lang w:val="ar-SA"/>
        </w:rPr>
        <w:t>لمالك حقوق الطبع والنشر الحق في استرداد الخسائر الفعلية التي تكبدها، بالإضافة إلى أي أرباح إضافية حققها المنتهك نتيجةً للانتهاك</w:t>
      </w:r>
      <w:r>
        <w:rPr>
          <w:rStyle w:val="None"/>
          <w:rFonts w:ascii="Times New Roman" w:hAnsi="Times New Roman"/>
          <w:sz w:val="24"/>
          <w:szCs w:val="24"/>
        </w:rPr>
        <w:t>.</w:t>
      </w:r>
    </w:p>
    <w:p w14:paraId="23139874" w14:textId="77777777" w:rsidR="00454428" w:rsidRDefault="00000000" w:rsidP="00C72BA8">
      <w:pPr>
        <w:pStyle w:val="ListParagraph"/>
        <w:numPr>
          <w:ilvl w:val="0"/>
          <w:numId w:val="19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التعويضات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حيث يعطي القانون المتضرر الحق في الحصول على التعويض القانوني، فبدلًا من محاولة إثبات الأضرار الفعلية والأرباح، وهو ما قد يكون صعبًا، يمكن لمالك حقوق الطبع والنشر أنْ يختار الحصول على التعويضات القانونية بموجب المادة </w:t>
      </w:r>
      <w:r>
        <w:rPr>
          <w:rStyle w:val="None"/>
          <w:rFonts w:ascii="Times New Roman" w:hAnsi="Times New Roman"/>
          <w:sz w:val="24"/>
          <w:szCs w:val="24"/>
          <w:rtl/>
          <w:lang w:val="ar-SA"/>
        </w:rPr>
        <w:t>504(</w:t>
      </w:r>
      <w:r>
        <w:rPr>
          <w:rStyle w:val="None"/>
          <w:rFonts w:cs="Times New Roman"/>
          <w:sz w:val="24"/>
          <w:szCs w:val="24"/>
          <w:rtl/>
          <w:lang w:val="ar-SA"/>
        </w:rPr>
        <w:t>ج</w:t>
      </w:r>
      <w:r>
        <w:rPr>
          <w:rStyle w:val="None"/>
          <w:rFonts w:ascii="Times New Roman" w:hAnsi="Times New Roman"/>
          <w:sz w:val="24"/>
          <w:szCs w:val="24"/>
          <w:rtl/>
          <w:lang w:val="ar-SA"/>
        </w:rPr>
        <w:t>)</w:t>
      </w:r>
      <w:r>
        <w:rPr>
          <w:rStyle w:val="None"/>
          <w:rFonts w:ascii="Times New Roman" w:hAnsi="Times New Roman"/>
          <w:sz w:val="24"/>
          <w:szCs w:val="24"/>
        </w:rPr>
        <w:t>.</w:t>
      </w:r>
    </w:p>
    <w:p w14:paraId="41CC5E8D" w14:textId="77777777" w:rsidR="00454428" w:rsidRDefault="00000000" w:rsidP="00C72BA8">
      <w:pPr>
        <w:pStyle w:val="ListParagraph"/>
        <w:numPr>
          <w:ilvl w:val="0"/>
          <w:numId w:val="19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مبلغ التعويض</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تتراوح التعويضات القانونية عادةً بين </w:t>
      </w:r>
      <w:r>
        <w:rPr>
          <w:rStyle w:val="None"/>
          <w:rFonts w:ascii="Times New Roman" w:hAnsi="Times New Roman"/>
          <w:sz w:val="24"/>
          <w:szCs w:val="24"/>
          <w:rtl/>
          <w:lang w:val="ar-SA"/>
        </w:rPr>
        <w:t xml:space="preserve">750 </w:t>
      </w:r>
      <w:r>
        <w:rPr>
          <w:rStyle w:val="None"/>
          <w:rFonts w:cs="Times New Roman"/>
          <w:sz w:val="24"/>
          <w:szCs w:val="24"/>
          <w:rtl/>
          <w:lang w:val="ar-SA"/>
        </w:rPr>
        <w:t>و</w:t>
      </w:r>
      <w:r>
        <w:rPr>
          <w:rStyle w:val="None"/>
          <w:rFonts w:ascii="Times New Roman" w:hAnsi="Times New Roman"/>
          <w:sz w:val="24"/>
          <w:szCs w:val="24"/>
          <w:rtl/>
          <w:lang w:val="ar-SA"/>
        </w:rPr>
        <w:t xml:space="preserve">30,000 </w:t>
      </w:r>
      <w:r>
        <w:rPr>
          <w:rStyle w:val="None"/>
          <w:rFonts w:cs="Times New Roman"/>
          <w:sz w:val="24"/>
          <w:szCs w:val="24"/>
          <w:rtl/>
          <w:lang w:val="ar-SA"/>
        </w:rPr>
        <w:t>دولارٍ لكل عمل تم انتهاكه، ويحددها القاضي</w:t>
      </w:r>
      <w:r>
        <w:rPr>
          <w:rStyle w:val="None"/>
          <w:rFonts w:ascii="Times New Roman" w:hAnsi="Times New Roman"/>
          <w:sz w:val="24"/>
          <w:szCs w:val="24"/>
          <w:rtl/>
          <w:lang w:val="ar-SA"/>
        </w:rPr>
        <w:t>.</w:t>
      </w:r>
    </w:p>
    <w:p w14:paraId="58541AD7" w14:textId="77777777" w:rsidR="00454428" w:rsidRDefault="00000000" w:rsidP="00C72BA8">
      <w:pPr>
        <w:pStyle w:val="ListParagraph"/>
        <w:numPr>
          <w:ilvl w:val="0"/>
          <w:numId w:val="19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ثبت أنَّ الانتهاك كان متعمدًا، يمكن أنْ يزيد مبلغ التعويضات القانونية إلى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لكل عمل</w:t>
      </w:r>
      <w:r>
        <w:rPr>
          <w:rStyle w:val="None"/>
          <w:rFonts w:ascii="Times New Roman" w:hAnsi="Times New Roman"/>
          <w:sz w:val="24"/>
          <w:szCs w:val="24"/>
          <w:rtl/>
          <w:lang w:val="ar-SA"/>
        </w:rPr>
        <w:t>.</w:t>
      </w:r>
    </w:p>
    <w:p w14:paraId="2D969F38" w14:textId="77777777" w:rsidR="00454428" w:rsidRDefault="00000000" w:rsidP="00C72BA8">
      <w:pPr>
        <w:pStyle w:val="ListParagraph"/>
        <w:numPr>
          <w:ilvl w:val="0"/>
          <w:numId w:val="19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غير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حالات الانتهاك غير المتعمد، يمكن أنْ يُخفض مبلغ التعويضات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w:t>
      </w:r>
      <w:r>
        <w:rPr>
          <w:rStyle w:val="None"/>
          <w:rFonts w:ascii="Times New Roman" w:hAnsi="Times New Roman"/>
          <w:sz w:val="24"/>
          <w:szCs w:val="24"/>
          <w:rtl/>
          <w:lang w:val="ar-SA"/>
        </w:rPr>
        <w:t>.</w:t>
      </w:r>
    </w:p>
    <w:p w14:paraId="0666FD84"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وبشكل عام يكون منتهك حقوق الملكية الفكرية الرقمية مسئولًا عن</w:t>
      </w:r>
      <w:r>
        <w:rPr>
          <w:rStyle w:val="None"/>
          <w:rFonts w:ascii="Times New Roman" w:hAnsi="Times New Roman"/>
          <w:rtl/>
          <w:lang w:val="ar-SA"/>
        </w:rPr>
        <w:t xml:space="preserve">: </w:t>
      </w:r>
      <w:r>
        <w:rPr>
          <w:rStyle w:val="None"/>
          <w:rtl/>
          <w:lang w:val="ar-SA"/>
        </w:rPr>
        <w:t xml:space="preserve">الأضرار الفعلية التي لحقت بمالك الحقوق وأي أرباح إضافية حققها، وفقًا لما هو منصوص عليه في الفقرة الفرعية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w:t>
      </w:r>
      <w:r>
        <w:rPr>
          <w:rStyle w:val="None"/>
          <w:rtl/>
          <w:lang w:val="ar-SA"/>
        </w:rPr>
        <w:t xml:space="preserve">، أو الأضرار القانونية، وفقًا لما هو </w:t>
      </w:r>
      <w:r>
        <w:rPr>
          <w:rStyle w:val="None"/>
          <w:rtl/>
          <w:lang w:val="ar-SA"/>
        </w:rPr>
        <w:lastRenderedPageBreak/>
        <w:t xml:space="preserve">منصوص عليه في الفقرة الفرعية </w:t>
      </w:r>
      <w:r>
        <w:rPr>
          <w:rStyle w:val="None"/>
          <w:rFonts w:ascii="Times New Roman" w:hAnsi="Times New Roman"/>
          <w:rtl/>
          <w:lang w:val="ar-SA"/>
        </w:rPr>
        <w:t>(</w:t>
      </w:r>
      <w:r>
        <w:rPr>
          <w:rStyle w:val="None"/>
          <w:rtl/>
          <w:lang w:val="ar-SA"/>
        </w:rPr>
        <w:t>ج</w:t>
      </w:r>
      <w:r>
        <w:rPr>
          <w:rStyle w:val="None"/>
          <w:rFonts w:ascii="Times New Roman" w:hAnsi="Times New Roman"/>
          <w:rtl/>
          <w:lang w:val="ar-SA"/>
        </w:rPr>
        <w:t>)</w:t>
      </w:r>
      <w:r>
        <w:rPr>
          <w:rStyle w:val="None"/>
          <w:rtl/>
          <w:lang w:val="ar-SA"/>
        </w:rPr>
        <w:t xml:space="preserve">، والأضرار والأرباح الفعلية، ويحق للمالك استرداد الأضرار الفعلية التي لحقت به نتيجةً للانتهاك، وأي أرباح حققها المخالف تُعزى إليه ولم تُؤخذ في الاعتبار عند حساب الأضرار الفعلية، كما يجوز للمالك في أي وقت قبل صدور الحكم النهائي، أنْ يختار </w:t>
      </w:r>
      <w:r>
        <w:rPr>
          <w:rStyle w:val="None"/>
          <w:rFonts w:ascii="Times New Roman" w:hAnsi="Times New Roman"/>
          <w:rtl/>
          <w:lang w:val="ar-SA"/>
        </w:rPr>
        <w:t>-</w:t>
      </w:r>
      <w:r>
        <w:rPr>
          <w:rStyle w:val="None"/>
          <w:rtl/>
          <w:lang w:val="ar-SA"/>
        </w:rPr>
        <w:t>بدلًا من التعويضات والأرباح الفعلية</w:t>
      </w:r>
      <w:r>
        <w:rPr>
          <w:rStyle w:val="None"/>
          <w:rFonts w:ascii="Times New Roman" w:hAnsi="Times New Roman"/>
          <w:rtl/>
          <w:lang w:val="ar-SA"/>
        </w:rPr>
        <w:t xml:space="preserve">- </w:t>
      </w:r>
      <w:r>
        <w:rPr>
          <w:rStyle w:val="None"/>
          <w:rtl/>
          <w:lang w:val="ar-SA"/>
        </w:rPr>
        <w:t xml:space="preserve">الحصول على تعويضات قانونية عن جميع الانتهاكات المتضمنة في الدعوى، فيما يتعلق بأي عمل واحد، بمبلغ لا يقل عن </w:t>
      </w:r>
      <w:r>
        <w:rPr>
          <w:rStyle w:val="None"/>
          <w:rFonts w:ascii="Times New Roman" w:hAnsi="Times New Roman"/>
          <w:rtl/>
          <w:lang w:val="ar-SA"/>
        </w:rPr>
        <w:t xml:space="preserve">750 </w:t>
      </w:r>
      <w:r>
        <w:rPr>
          <w:rStyle w:val="None"/>
          <w:rtl/>
          <w:lang w:val="ar-SA"/>
        </w:rPr>
        <w:t xml:space="preserve">دولارًا أمريكيًا، ولا يزيد عن </w:t>
      </w:r>
      <w:r>
        <w:rPr>
          <w:rStyle w:val="None"/>
          <w:rFonts w:ascii="Times New Roman" w:hAnsi="Times New Roman"/>
          <w:rtl/>
          <w:lang w:val="ar-SA"/>
        </w:rPr>
        <w:t xml:space="preserve">30,000 </w:t>
      </w:r>
      <w:r>
        <w:rPr>
          <w:rStyle w:val="None"/>
          <w:rtl/>
          <w:lang w:val="ar-SA"/>
        </w:rPr>
        <w:t>دولارٍ أمريكيٍّ، حسبما تراه المحكمة عادلًا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vertAlign w:val="superscript"/>
          <w:rtl/>
          <w:lang w:val="ar-SA"/>
        </w:rPr>
        <w:footnoteReference w:id="432"/>
      </w:r>
      <w:r>
        <w:rPr>
          <w:rStyle w:val="None"/>
          <w:rFonts w:ascii="Times New Roman" w:hAnsi="Times New Roman"/>
          <w:vertAlign w:val="superscript"/>
          <w:rtl/>
          <w:lang w:val="ar-SA"/>
        </w:rPr>
        <w:t>)</w:t>
      </w:r>
    </w:p>
    <w:p w14:paraId="3818601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للمالك في حالة كسب قضية انتهاك حقوقه الحصول على تعويضات قانونية؛ حيث يحصل على تعويضات تتراوح قيمتها بين </w:t>
      </w:r>
      <w:r>
        <w:rPr>
          <w:rStyle w:val="None"/>
          <w:rFonts w:ascii="Times New Roman" w:hAnsi="Times New Roman"/>
          <w:sz w:val="24"/>
          <w:szCs w:val="24"/>
          <w:rtl/>
          <w:lang w:val="ar-SA"/>
        </w:rPr>
        <w:t xml:space="preserve">750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30,000 </w:t>
      </w:r>
      <w:r>
        <w:rPr>
          <w:rStyle w:val="None"/>
          <w:rFonts w:ascii="Arial Unicode MS" w:hAnsi="Arial Unicode MS" w:cs="Times New Roman" w:hint="cs"/>
          <w:sz w:val="24"/>
          <w:szCs w:val="24"/>
          <w:rtl/>
          <w:lang w:val="ar-SA"/>
        </w:rPr>
        <w:t>دولارٍ أمريكي عن كل عمل مُنتهك، ويعتمد المبلغ الذي يحق للمبدع الحصول عليه على ما إذا كانت التعويضات القانونية للحق الرقمي تُعتبر انتهاكًا بريئًا أو متعمدًا، ويُعرَّف هذان النوعان من الانتهاك أدناه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33"/>
      </w:r>
      <w:r>
        <w:rPr>
          <w:rStyle w:val="None"/>
          <w:rFonts w:ascii="Times New Roman" w:hAnsi="Times New Roman"/>
          <w:sz w:val="24"/>
          <w:szCs w:val="24"/>
          <w:vertAlign w:val="superscript"/>
          <w:rtl/>
          <w:lang w:val="ar-SA"/>
        </w:rPr>
        <w:t>)</w:t>
      </w:r>
    </w:p>
    <w:p w14:paraId="1A2AE923" w14:textId="77777777" w:rsidR="00454428" w:rsidRDefault="00000000" w:rsidP="00C72BA8">
      <w:pPr>
        <w:pStyle w:val="ListParagraph"/>
        <w:numPr>
          <w:ilvl w:val="0"/>
          <w:numId w:val="19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البريء</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المنتهك إثبات عدم علمه بالنشاط، ولم يكن لديه ما يدعوه للاعتقاد بأنَّه يُشكل انتهاكًا، فقد تُقرر المحكمة وجود انتهاك بريء، ولن يُعفي صدور حكم بالانتهاك البريء المدعَى عليه من المسئولية عن الانتهاك، ولكنه قد يُؤدي إلى تخفيض التعويضات القانونية الممنوحة للمالك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 أمريكي كحد أدنى عن كل عمل مُنتهك</w:t>
      </w:r>
      <w:r>
        <w:rPr>
          <w:rStyle w:val="None"/>
          <w:rFonts w:ascii="Times New Roman" w:hAnsi="Times New Roman"/>
          <w:sz w:val="24"/>
          <w:szCs w:val="24"/>
          <w:rtl/>
          <w:lang w:val="ar-SA"/>
        </w:rPr>
        <w:t>.</w:t>
      </w:r>
    </w:p>
    <w:p w14:paraId="7B3E9F94" w14:textId="77777777" w:rsidR="00454428" w:rsidRDefault="00000000" w:rsidP="00C72BA8">
      <w:pPr>
        <w:pStyle w:val="ListParagraph"/>
        <w:numPr>
          <w:ilvl w:val="0"/>
          <w:numId w:val="192"/>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مالك الحقوق الرقمية إثبات أنَّ الانتهاك كان متعمدًا، يجوز للمحكمة زيادة التعويضات القانونية بحد أقصى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أمريكي لكل عمل مُنتهك، ويُعتبر الانتهاك متعمدًا إذا كان المُنتهك على علم بأنَّ النشاط يُشكل انتهاكًا</w:t>
      </w:r>
      <w:r>
        <w:rPr>
          <w:rStyle w:val="None"/>
          <w:rFonts w:ascii="Times New Roman" w:hAnsi="Times New Roman"/>
          <w:sz w:val="24"/>
          <w:szCs w:val="24"/>
          <w:rtl/>
          <w:lang w:val="ar-SA"/>
        </w:rPr>
        <w:t>.</w:t>
      </w:r>
    </w:p>
    <w:p w14:paraId="2C7CF5FD" w14:textId="77777777" w:rsidR="00454428" w:rsidRDefault="00000000" w:rsidP="00C72BA8">
      <w:pPr>
        <w:pStyle w:val="NormalWeb"/>
        <w:bidi/>
        <w:spacing w:before="120" w:after="120" w:line="360" w:lineRule="auto"/>
        <w:ind w:firstLine="720"/>
        <w:jc w:val="both"/>
        <w:rPr>
          <w:rStyle w:val="None"/>
          <w:rFonts w:hint="default"/>
          <w:rtl/>
          <w:lang w:val="ar-SA"/>
        </w:rPr>
      </w:pPr>
      <w:r>
        <w:rPr>
          <w:rStyle w:val="None"/>
          <w:rtl/>
          <w:lang w:val="ar-SA"/>
        </w:rPr>
        <w:t>كما تجدر الإشارة إلى أنَّه يمكن استعراض تطوُّر</w:t>
      </w:r>
      <w:r>
        <w:rPr>
          <w:rStyle w:val="None"/>
          <w:rFonts w:ascii="Times New Roman" w:hAnsi="Times New Roman"/>
          <w:b/>
          <w:bCs/>
          <w:rtl/>
          <w:lang w:val="ar-SA"/>
        </w:rPr>
        <w:t xml:space="preserve"> </w:t>
      </w:r>
      <w:r>
        <w:rPr>
          <w:rStyle w:val="None"/>
          <w:rtl/>
          <w:lang w:val="ar-SA"/>
        </w:rPr>
        <w:t xml:space="preserve">التعويض عن الاعتداء على حقوق الملكية الفكرية في البيئة الرقمية في القانون الأمريكي، وفقًا لما أشار </w:t>
      </w:r>
      <w:r>
        <w:rPr>
          <w:rStyle w:val="None"/>
          <w:rFonts w:ascii="Times New Roman" w:hAnsi="Times New Roman"/>
          <w:vertAlign w:val="superscript"/>
          <w:rtl/>
          <w:lang w:val="ar-SA"/>
        </w:rPr>
        <w:t>(</w:t>
      </w:r>
      <w:r>
        <w:rPr>
          <w:rStyle w:val="None"/>
          <w:vertAlign w:val="superscript"/>
          <w:rtl/>
          <w:lang w:val="ar-SA"/>
        </w:rPr>
        <w:footnoteReference w:id="434"/>
      </w:r>
      <w:r>
        <w:rPr>
          <w:rStyle w:val="None"/>
          <w:rFonts w:ascii="Times New Roman" w:hAnsi="Times New Roman"/>
          <w:vertAlign w:val="superscript"/>
          <w:rtl/>
          <w:lang w:val="ar-SA"/>
        </w:rPr>
        <w:t>)</w:t>
      </w:r>
      <w:r>
        <w:rPr>
          <w:rStyle w:val="None"/>
          <w:rtl/>
          <w:lang w:val="ar-SA"/>
        </w:rPr>
        <w:t xml:space="preserve"> إليه، من خلال النقاط التالية</w:t>
      </w:r>
      <w:r>
        <w:rPr>
          <w:rStyle w:val="None"/>
          <w:rFonts w:ascii="Times New Roman" w:hAnsi="Times New Roman"/>
          <w:rtl/>
          <w:lang w:val="ar-SA"/>
        </w:rPr>
        <w:t xml:space="preserve">: </w:t>
      </w:r>
    </w:p>
    <w:p w14:paraId="50F5C31A"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صدر أول قانون عام </w:t>
      </w:r>
      <w:r>
        <w:rPr>
          <w:rStyle w:val="None"/>
          <w:rFonts w:ascii="Times New Roman" w:hAnsi="Times New Roman"/>
          <w:sz w:val="24"/>
          <w:szCs w:val="24"/>
          <w:rtl/>
          <w:lang w:val="ar-SA"/>
        </w:rPr>
        <w:t>1897</w:t>
      </w:r>
      <w:r>
        <w:rPr>
          <w:rStyle w:val="None"/>
          <w:rFonts w:cs="Times New Roman"/>
          <w:sz w:val="24"/>
          <w:szCs w:val="24"/>
          <w:rtl/>
          <w:lang w:val="ar-SA"/>
        </w:rPr>
        <w:t>، وكان أول تشريع يتضمن إنفاذًا جنائيًا لحماية حقوق الطبع والنشر، وقد جعل القانون التمثيلات العامة وأداء الأعمال الدرامية والموسيقية المحمية بحقوق الطبع والنشر جنحة عندما يكون السلوك المنتهك متعمدًا وبهدف الربح</w:t>
      </w:r>
      <w:r>
        <w:rPr>
          <w:rStyle w:val="None"/>
          <w:rFonts w:ascii="Times New Roman" w:hAnsi="Times New Roman"/>
          <w:sz w:val="24"/>
          <w:szCs w:val="24"/>
          <w:rtl/>
          <w:lang w:val="ar-SA"/>
        </w:rPr>
        <w:t>.</w:t>
      </w:r>
    </w:p>
    <w:p w14:paraId="7F4A8E43"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ثم تم تعديل الأحكام الجنائية لقانون حقوق الطبع والنشر بمرور الوقت؛ حيث أصبحت بعض الانتهاكات تُصنف على أنَّها جرائم جنائية</w:t>
      </w:r>
      <w:r>
        <w:rPr>
          <w:rStyle w:val="None"/>
          <w:rFonts w:ascii="Times New Roman" w:hAnsi="Times New Roman"/>
          <w:sz w:val="24"/>
          <w:szCs w:val="24"/>
          <w:rtl/>
          <w:lang w:val="ar-SA"/>
        </w:rPr>
        <w:t>.</w:t>
      </w:r>
    </w:p>
    <w:p w14:paraId="6A40AE07"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وفي أوائل التسعينيات، أدى النمو السريع لصناعة البرمجيات والزيادة الكبيرة في انتهاكات حقوق الطبع والنشر على نطاق واسع، إلى قيام الكونجرس بسن قانون جرائم حقوق الطبع والنشر لعام </w:t>
      </w:r>
      <w:r>
        <w:rPr>
          <w:rStyle w:val="None"/>
          <w:rFonts w:ascii="Times New Roman" w:hAnsi="Times New Roman"/>
          <w:sz w:val="24"/>
          <w:szCs w:val="24"/>
          <w:rtl/>
          <w:lang w:val="ar-SA"/>
        </w:rPr>
        <w:t>1992</w:t>
      </w:r>
      <w:r>
        <w:rPr>
          <w:rStyle w:val="None"/>
          <w:rFonts w:cs="Times New Roman"/>
          <w:sz w:val="24"/>
          <w:szCs w:val="24"/>
          <w:rtl/>
          <w:lang w:val="ar-SA"/>
        </w:rPr>
        <w:t xml:space="preserve">، والذي وسّع نطاق </w:t>
      </w:r>
      <w:r>
        <w:rPr>
          <w:rStyle w:val="None"/>
          <w:rFonts w:cs="Times New Roman"/>
          <w:sz w:val="24"/>
          <w:szCs w:val="24"/>
          <w:rtl/>
          <w:lang w:val="ar-SA"/>
        </w:rPr>
        <w:lastRenderedPageBreak/>
        <w:t>الأعمال التي يمكن أنْ يُصنف انتهاكها على أنَّه جرائم جنائية؛ ليشمل ليس فقط التسجيلات الصوتية، والأفلام السينمائية، والأعمال السمعية والبصرية، بل جميع الأعمال المحمية بحقوق الطبع والنشر</w:t>
      </w:r>
      <w:r>
        <w:rPr>
          <w:rStyle w:val="None"/>
          <w:rFonts w:ascii="Times New Roman" w:hAnsi="Times New Roman"/>
          <w:sz w:val="24"/>
          <w:szCs w:val="24"/>
          <w:rtl/>
          <w:lang w:val="ar-SA"/>
        </w:rPr>
        <w:t>.</w:t>
      </w:r>
    </w:p>
    <w:p w14:paraId="4E612EF7"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ثم تم  وضع قانون منع السرقة الإلكترونية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NET</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1997</w:t>
      </w:r>
      <w:r>
        <w:rPr>
          <w:rStyle w:val="None"/>
          <w:rFonts w:cs="Times New Roman"/>
          <w:sz w:val="24"/>
          <w:szCs w:val="24"/>
          <w:rtl/>
          <w:lang w:val="ar-SA"/>
        </w:rPr>
        <w:t xml:space="preserve">، والذي كان بمثابة رد فعل مباشر على المخاوف المتزايدة بشأن الانتهاكات الجسيمة لحقوق الطبع والنشر في المجال الرقمي، وقد وسع قانون </w:t>
      </w:r>
      <w:r>
        <w:rPr>
          <w:rStyle w:val="None"/>
          <w:rFonts w:ascii="Times New Roman" w:hAnsi="Times New Roman"/>
          <w:sz w:val="24"/>
          <w:szCs w:val="24"/>
        </w:rPr>
        <w:t>NET</w:t>
      </w:r>
      <w:r>
        <w:rPr>
          <w:rStyle w:val="None"/>
          <w:rFonts w:cs="Times New Roman"/>
          <w:sz w:val="24"/>
          <w:szCs w:val="24"/>
          <w:rtl/>
          <w:lang w:val="ar-SA"/>
        </w:rPr>
        <w:t xml:space="preserve"> نطاق تجريم انتهاك حقوق الطبع والنشر، من خلال السماح </w:t>
      </w:r>
      <w:r>
        <w:rPr>
          <w:rStyle w:val="None"/>
          <w:rFonts w:ascii="Times New Roman" w:hAnsi="Times New Roman"/>
          <w:sz w:val="24"/>
          <w:szCs w:val="24"/>
          <w:rtl/>
          <w:lang w:val="ar-SA"/>
        </w:rPr>
        <w:t>"</w:t>
      </w:r>
      <w:r>
        <w:rPr>
          <w:rStyle w:val="None"/>
          <w:rFonts w:cs="Times New Roman"/>
          <w:sz w:val="24"/>
          <w:szCs w:val="24"/>
          <w:rtl/>
          <w:lang w:val="ar-SA"/>
        </w:rPr>
        <w:t>بمقاضاة الأفراد الذين انتهكوا قوانين حقوق الطبع والنشر الرقمية عمدًا حتى مع عدم وجود أهداف ربحية واضحة بموجب أحكام الجنايات في قانون حقوق الطبع والنشر،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كان قانون </w:t>
      </w:r>
      <w:r>
        <w:rPr>
          <w:rStyle w:val="None"/>
          <w:rFonts w:ascii="Times New Roman" w:hAnsi="Times New Roman"/>
          <w:sz w:val="24"/>
          <w:szCs w:val="24"/>
        </w:rPr>
        <w:t>NET</w:t>
      </w:r>
      <w:r>
        <w:rPr>
          <w:rStyle w:val="None"/>
          <w:rFonts w:cs="Times New Roman"/>
          <w:sz w:val="24"/>
          <w:szCs w:val="24"/>
          <w:rtl/>
          <w:lang w:val="ar-SA"/>
        </w:rPr>
        <w:t xml:space="preserve"> يهدف إلى معالجة المشكلة المتزايدة المتمثلة في الانتهاكات الجسيمة عبر الإنترنت من قبل المستخدمين النهائيين</w:t>
      </w:r>
      <w:r>
        <w:rPr>
          <w:rStyle w:val="None"/>
          <w:rFonts w:ascii="Times New Roman" w:hAnsi="Times New Roman"/>
          <w:sz w:val="24"/>
          <w:szCs w:val="24"/>
          <w:rtl/>
          <w:lang w:val="ar-SA"/>
        </w:rPr>
        <w:t>.</w:t>
      </w:r>
    </w:p>
    <w:p w14:paraId="01538D34"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وقد شكل قانون الألفية الرقمية لحقوق الملكية الفكرية، الذي صدر في عام </w:t>
      </w:r>
      <w:r>
        <w:rPr>
          <w:rStyle w:val="None"/>
          <w:rFonts w:ascii="Times New Roman" w:hAnsi="Times New Roman"/>
          <w:sz w:val="24"/>
          <w:szCs w:val="24"/>
          <w:rtl/>
          <w:lang w:val="ar-SA"/>
        </w:rPr>
        <w:t>1998</w:t>
      </w:r>
      <w:r>
        <w:rPr>
          <w:rStyle w:val="None"/>
          <w:rFonts w:cs="Times New Roman"/>
          <w:sz w:val="24"/>
          <w:szCs w:val="24"/>
          <w:rtl/>
          <w:lang w:val="ar-SA"/>
        </w:rPr>
        <w:t>، خطوةً كبيرةً أخرى في تجريم انتهاك حقوق الطبع والنشر، وقد وسع هذا القانون نطاق العقوبات الجنائية على السلوك المتعلق بالانتهاك من خلال تجريم استخدام والاتجار بالتقنيات المستخدمة للتحايل على ضوابط الوصول المثبتة في بعض الأعمال المحمية بحقوق الطبع والنشر</w:t>
      </w:r>
      <w:r>
        <w:rPr>
          <w:rStyle w:val="None"/>
          <w:rFonts w:ascii="Times New Roman" w:hAnsi="Times New Roman"/>
          <w:sz w:val="24"/>
          <w:szCs w:val="24"/>
          <w:rtl/>
          <w:lang w:val="ar-SA"/>
        </w:rPr>
        <w:t>.</w:t>
      </w:r>
    </w:p>
    <w:p w14:paraId="7D5CC4B3"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 اتجاه التجريم مع قانون تعديلات مكافحة التزوير لعام </w:t>
      </w:r>
      <w:r>
        <w:rPr>
          <w:rStyle w:val="None"/>
          <w:rFonts w:ascii="Times New Roman" w:hAnsi="Times New Roman"/>
          <w:sz w:val="24"/>
          <w:szCs w:val="24"/>
          <w:rtl/>
          <w:lang w:val="ar-SA"/>
        </w:rPr>
        <w:t>2004</w:t>
      </w:r>
      <w:r>
        <w:rPr>
          <w:rStyle w:val="None"/>
          <w:rFonts w:cs="Times New Roman"/>
          <w:sz w:val="24"/>
          <w:szCs w:val="24"/>
          <w:rtl/>
          <w:lang w:val="ar-SA"/>
        </w:rPr>
        <w:t>، الذي يُجرّم الاتجار بالملصقات المقلدة، وغير المشروعة المرفقة بالأعمال المحمية بحقوق الطبع والنشر</w:t>
      </w:r>
      <w:r>
        <w:rPr>
          <w:rStyle w:val="None"/>
          <w:rFonts w:ascii="Times New Roman" w:hAnsi="Times New Roman"/>
          <w:sz w:val="24"/>
          <w:szCs w:val="24"/>
          <w:rtl/>
          <w:lang w:val="ar-SA"/>
        </w:rPr>
        <w:t>.</w:t>
      </w:r>
    </w:p>
    <w:p w14:paraId="6AF30BCD"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الترفيه العائلي لعام </w:t>
      </w:r>
      <w:r>
        <w:rPr>
          <w:rStyle w:val="None"/>
          <w:rFonts w:ascii="Times New Roman" w:hAnsi="Times New Roman"/>
          <w:sz w:val="24"/>
          <w:szCs w:val="24"/>
          <w:rtl/>
          <w:lang w:val="ar-SA"/>
        </w:rPr>
        <w:t>2005</w:t>
      </w:r>
      <w:r>
        <w:rPr>
          <w:rStyle w:val="None"/>
          <w:rFonts w:cs="Times New Roman"/>
          <w:sz w:val="24"/>
          <w:szCs w:val="24"/>
          <w:rtl/>
          <w:lang w:val="ar-SA"/>
        </w:rPr>
        <w:t>، الذي يفرض عقوباتٍ جنائيةً على أي شخص يستخدم أجهزة التسجيل السمعي البصري في دور السينما</w:t>
      </w:r>
      <w:r>
        <w:rPr>
          <w:rStyle w:val="None"/>
          <w:rFonts w:ascii="Times New Roman" w:hAnsi="Times New Roman"/>
          <w:sz w:val="24"/>
          <w:szCs w:val="24"/>
          <w:rtl/>
          <w:lang w:val="ar-SA"/>
        </w:rPr>
        <w:t>.</w:t>
      </w:r>
    </w:p>
    <w:p w14:paraId="091897C2"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إعطاء الأولوية للموارد وتنظيم الملكية الفكرية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PRO-IP</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2008</w:t>
      </w:r>
      <w:r>
        <w:rPr>
          <w:rStyle w:val="None"/>
          <w:rFonts w:cs="Times New Roman"/>
          <w:sz w:val="24"/>
          <w:szCs w:val="24"/>
          <w:rtl/>
          <w:lang w:val="ar-SA"/>
        </w:rPr>
        <w:t xml:space="preserve">، الذي </w:t>
      </w:r>
      <w:r>
        <w:rPr>
          <w:rStyle w:val="None"/>
          <w:rFonts w:ascii="Times New Roman" w:hAnsi="Times New Roman"/>
          <w:sz w:val="24"/>
          <w:szCs w:val="24"/>
          <w:rtl/>
          <w:lang w:val="ar-SA"/>
        </w:rPr>
        <w:t>"</w:t>
      </w:r>
      <w:r>
        <w:rPr>
          <w:rStyle w:val="None"/>
          <w:rFonts w:cs="Times New Roman"/>
          <w:sz w:val="24"/>
          <w:szCs w:val="24"/>
          <w:rtl/>
          <w:lang w:val="ar-SA"/>
        </w:rPr>
        <w:t>يُصنّف انتهاك حقوق الطبع والنشر بأنَّه جناية</w:t>
      </w:r>
      <w:r>
        <w:rPr>
          <w:rStyle w:val="None"/>
          <w:rFonts w:ascii="Times New Roman" w:hAnsi="Times New Roman"/>
          <w:sz w:val="24"/>
          <w:szCs w:val="24"/>
          <w:rtl/>
          <w:lang w:val="ar-SA"/>
        </w:rPr>
        <w:t>".</w:t>
      </w:r>
    </w:p>
    <w:p w14:paraId="0F82B0B1" w14:textId="77777777" w:rsidR="00454428" w:rsidRDefault="00000000" w:rsidP="00C72BA8">
      <w:pPr>
        <w:pStyle w:val="ListParagraph"/>
        <w:numPr>
          <w:ilvl w:val="0"/>
          <w:numId w:val="194"/>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واستمرت العقوبات الجنائية على انتهاك حقوق الطبع والنشر في الازدياد حتى ديسمبر </w:t>
      </w:r>
      <w:r>
        <w:rPr>
          <w:rStyle w:val="None"/>
          <w:rFonts w:ascii="Times New Roman" w:hAnsi="Times New Roman"/>
          <w:sz w:val="24"/>
          <w:szCs w:val="24"/>
          <w:rtl/>
          <w:lang w:val="ar-SA"/>
        </w:rPr>
        <w:t>2020</w:t>
      </w:r>
      <w:r>
        <w:rPr>
          <w:rStyle w:val="None"/>
          <w:rFonts w:cs="Times New Roman"/>
          <w:sz w:val="24"/>
          <w:szCs w:val="24"/>
          <w:rtl/>
          <w:lang w:val="ar-SA"/>
        </w:rPr>
        <w:t xml:space="preserve">، حين صنف قانون حماية البث القانوني </w:t>
      </w:r>
      <w:r>
        <w:rPr>
          <w:rStyle w:val="None"/>
          <w:rFonts w:ascii="Times New Roman" w:hAnsi="Times New Roman"/>
          <w:sz w:val="24"/>
          <w:szCs w:val="24"/>
          <w:rtl/>
          <w:lang w:val="ar-SA"/>
        </w:rPr>
        <w:t>("</w:t>
      </w:r>
      <w:r>
        <w:rPr>
          <w:rStyle w:val="None"/>
          <w:rFonts w:ascii="Times New Roman" w:hAnsi="Times New Roman"/>
          <w:sz w:val="24"/>
          <w:szCs w:val="24"/>
        </w:rPr>
        <w:t>PLSA</w:t>
      </w:r>
      <w:r>
        <w:rPr>
          <w:rStyle w:val="None"/>
          <w:rFonts w:ascii="Times New Roman" w:hAnsi="Times New Roman"/>
          <w:sz w:val="24"/>
          <w:szCs w:val="24"/>
          <w:rtl/>
          <w:lang w:val="ar-SA"/>
        </w:rPr>
        <w:t xml:space="preserve">") </w:t>
      </w:r>
      <w:r>
        <w:rPr>
          <w:rStyle w:val="None"/>
          <w:rFonts w:cs="Times New Roman"/>
          <w:sz w:val="24"/>
          <w:szCs w:val="24"/>
          <w:rtl/>
          <w:lang w:val="ar-SA"/>
        </w:rPr>
        <w:t>انتهاك حقوق الطبع والنشر، الذي يتم عبر البث باعتباره جنايةً وزاد بشكل كبير من العقوبات الجنائية لمثل هذا الانتهاك؛ لتشمل غرامات باهظة والسجن لمدة تصل إلى خمس سنواتٍ، وتصل إلى عشر سنواتٍ للمخالفين للمرة الثانية أو كليهما</w:t>
      </w:r>
      <w:r>
        <w:rPr>
          <w:rStyle w:val="None"/>
          <w:rFonts w:ascii="Times New Roman" w:hAnsi="Times New Roman"/>
          <w:sz w:val="24"/>
          <w:szCs w:val="24"/>
          <w:rtl/>
          <w:lang w:val="ar-SA"/>
        </w:rPr>
        <w:t>.</w:t>
      </w:r>
    </w:p>
    <w:p w14:paraId="23C12728"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 xml:space="preserve">حيث تم وضع قانون منع السرقة الإلكترونية، الذي اقترحه النائب بوب غودلات؛ حيث سيعاقب من ينتهك </w:t>
      </w:r>
      <w:r>
        <w:rPr>
          <w:rStyle w:val="None"/>
          <w:rFonts w:ascii="Times New Roman" w:hAnsi="Times New Roman"/>
          <w:rtl/>
          <w:lang w:val="ar-SA"/>
        </w:rPr>
        <w:t>"</w:t>
      </w:r>
      <w:r>
        <w:rPr>
          <w:rStyle w:val="None"/>
          <w:rtl/>
          <w:lang w:val="ar-SA"/>
        </w:rPr>
        <w:t>عمدًا</w:t>
      </w:r>
      <w:r>
        <w:rPr>
          <w:rStyle w:val="None"/>
          <w:rFonts w:ascii="Times New Roman" w:hAnsi="Times New Roman"/>
          <w:rtl/>
          <w:lang w:val="ar-SA"/>
        </w:rPr>
        <w:t xml:space="preserve">" </w:t>
      </w:r>
      <w:r>
        <w:rPr>
          <w:rStyle w:val="None"/>
          <w:rtl/>
          <w:lang w:val="ar-SA"/>
        </w:rPr>
        <w:t xml:space="preserve">مواد محمية بحقوق الطبع والنشر بقيمة لا تقل عن </w:t>
      </w:r>
      <w:r>
        <w:rPr>
          <w:rStyle w:val="None"/>
          <w:rFonts w:ascii="Times New Roman" w:hAnsi="Times New Roman"/>
          <w:rtl/>
          <w:lang w:val="ar-SA"/>
        </w:rPr>
        <w:t xml:space="preserve">1000 </w:t>
      </w:r>
      <w:r>
        <w:rPr>
          <w:rStyle w:val="None"/>
          <w:rtl/>
          <w:lang w:val="ar-SA"/>
        </w:rPr>
        <w:t>دولارٍ أمريكيٍّ، حتى لو لم يستفد من هذا النشاط، وينطبق القانون على التسجيلات الصوتية، والبرامج، والنصوص، وغيرها من المواد، وقد أكدت مجموعات البرمجيات والترفيه، بما في ذلك</w:t>
      </w:r>
      <w:r>
        <w:rPr>
          <w:rStyle w:val="None"/>
          <w:rFonts w:ascii="Times New Roman" w:hAnsi="Times New Roman"/>
          <w:rtl/>
          <w:lang w:val="ar-SA"/>
        </w:rPr>
        <w:t xml:space="preserve">: </w:t>
      </w:r>
      <w:r>
        <w:rPr>
          <w:rStyle w:val="None"/>
          <w:rtl/>
          <w:lang w:val="ar-SA"/>
        </w:rPr>
        <w:t>تحالف برمجيات الأعمال، وجمعية الأفلام الأمريكية، وجمعية الناشرين الأمريكيين، أنَّ هذا التغيير ضروري لحماية البرمجيات والتسجيلات الموسيقية وغيرها من المنتجات الإبداعية، التي يسهل قرصنتها عبر الإنترنت، ويتضمن القانون الجديد نطاقًا متدرجًا للعقوبات، حسب خطورة انتهاك حقوق النشر، ويتم توضيح ذلك كالآتي</w:t>
      </w:r>
      <w:r>
        <w:rPr>
          <w:rStyle w:val="None"/>
          <w:rFonts w:ascii="Times New Roman" w:hAnsi="Times New Roman"/>
          <w:vertAlign w:val="superscript"/>
          <w:rtl/>
          <w:lang w:val="ar-SA"/>
        </w:rPr>
        <w:t>(</w:t>
      </w:r>
      <w:r>
        <w:rPr>
          <w:rStyle w:val="None"/>
          <w:vertAlign w:val="superscript"/>
          <w:rtl/>
          <w:lang w:val="ar-SA"/>
        </w:rPr>
        <w:footnoteReference w:id="435"/>
      </w:r>
      <w:r>
        <w:rPr>
          <w:rStyle w:val="None"/>
          <w:rFonts w:ascii="Times New Roman" w:hAnsi="Times New Roman"/>
          <w:vertAlign w:val="superscript"/>
          <w:rtl/>
          <w:lang w:val="ar-SA"/>
        </w:rPr>
        <w:t>)</w:t>
      </w:r>
      <w:r>
        <w:rPr>
          <w:rStyle w:val="None"/>
          <w:rFonts w:ascii="Times New Roman" w:hAnsi="Times New Roman"/>
          <w:rtl/>
          <w:lang w:val="ar-SA"/>
        </w:rPr>
        <w:t>:</w:t>
      </w:r>
    </w:p>
    <w:p w14:paraId="4407ED7E" w14:textId="77777777" w:rsidR="00454428" w:rsidRDefault="00000000" w:rsidP="00C72BA8">
      <w:pPr>
        <w:pStyle w:val="ListParagraph"/>
        <w:numPr>
          <w:ilvl w:val="0"/>
          <w:numId w:val="196"/>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في حال إنتاج نسخة واحدة، أو أكثر بقيمة إجمالية للبيع بالتجزئة تتراوح بين </w:t>
      </w:r>
      <w:r>
        <w:rPr>
          <w:rStyle w:val="None"/>
          <w:rFonts w:ascii="Times New Roman" w:hAnsi="Times New Roman"/>
          <w:sz w:val="24"/>
          <w:szCs w:val="24"/>
          <w:rtl/>
          <w:lang w:val="ar-SA"/>
        </w:rPr>
        <w:t xml:space="preserve">1000 </w:t>
      </w:r>
      <w:r>
        <w:rPr>
          <w:rStyle w:val="None"/>
          <w:rFonts w:cs="Times New Roman"/>
          <w:sz w:val="24"/>
          <w:szCs w:val="24"/>
          <w:rtl/>
          <w:lang w:val="ar-SA"/>
        </w:rPr>
        <w:t>دولارٍ أمريكيٍّ، و</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يُعاقب المخالف بالسجن لمدة تصل إلى عام واحد وغرامة تصل إلى </w:t>
      </w:r>
      <w:r>
        <w:rPr>
          <w:rStyle w:val="None"/>
          <w:rFonts w:ascii="Times New Roman" w:hAnsi="Times New Roman"/>
          <w:sz w:val="24"/>
          <w:szCs w:val="24"/>
          <w:rtl/>
          <w:lang w:val="ar-SA"/>
        </w:rPr>
        <w:t xml:space="preserve">100,000 </w:t>
      </w:r>
      <w:r>
        <w:rPr>
          <w:rStyle w:val="None"/>
          <w:rFonts w:cs="Times New Roman"/>
          <w:sz w:val="24"/>
          <w:szCs w:val="24"/>
          <w:rtl/>
          <w:lang w:val="ar-SA"/>
        </w:rPr>
        <w:t>دولارٍ أمريكيٍّ</w:t>
      </w:r>
      <w:r>
        <w:rPr>
          <w:rStyle w:val="None"/>
          <w:rFonts w:ascii="Times New Roman" w:hAnsi="Times New Roman"/>
          <w:sz w:val="24"/>
          <w:szCs w:val="24"/>
          <w:rtl/>
          <w:lang w:val="ar-SA"/>
        </w:rPr>
        <w:t>.</w:t>
      </w:r>
    </w:p>
    <w:p w14:paraId="7F2ECAF1" w14:textId="77777777" w:rsidR="00454428" w:rsidRDefault="00000000" w:rsidP="00C72BA8">
      <w:pPr>
        <w:pStyle w:val="ListParagraph"/>
        <w:numPr>
          <w:ilvl w:val="0"/>
          <w:numId w:val="19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 بقيمة إجمالية للبيع بالتجزئة بقيمة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أو تزيد، يُعاقب المخالف بالسجن لمدة تصل إلى ثلاث سنواتٍ، وغرامة تصل إلى </w:t>
      </w:r>
      <w:r>
        <w:rPr>
          <w:rStyle w:val="None"/>
          <w:rFonts w:ascii="Times New Roman" w:hAnsi="Times New Roman"/>
          <w:sz w:val="24"/>
          <w:szCs w:val="24"/>
          <w:rtl/>
          <w:lang w:val="ar-SA"/>
        </w:rPr>
        <w:t xml:space="preserve">250,000 </w:t>
      </w:r>
      <w:r>
        <w:rPr>
          <w:rStyle w:val="None"/>
          <w:rFonts w:cs="Times New Roman"/>
          <w:sz w:val="24"/>
          <w:szCs w:val="24"/>
          <w:rtl/>
          <w:lang w:val="ar-SA"/>
        </w:rPr>
        <w:t>دولارٍ أمريكيٍّ، وقد يؤدي تكرار المخالفة إلى السجن لمدة تصل إلى ست سنواتٍ</w:t>
      </w:r>
      <w:r>
        <w:rPr>
          <w:rStyle w:val="None"/>
          <w:rFonts w:ascii="Times New Roman" w:hAnsi="Times New Roman"/>
          <w:sz w:val="24"/>
          <w:szCs w:val="24"/>
          <w:rtl/>
          <w:lang w:val="ar-SA"/>
        </w:rPr>
        <w:t>.</w:t>
      </w:r>
    </w:p>
    <w:p w14:paraId="412C8D64"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غير قانون منع السرقة الإلكترونية أسسَ انتهاك حقوق الطبع والنشر الجنائي جذريًا، فقبل هذا القانون، كان انتهاك حقوق الطبع والنشر الجنائي يستهدف المُنتهكين الذين يحققون أرباحًا، أما الآن، فيُركز القانون على خسائر أصحاب حقوق الطبع والنشر، مُعاملًا انتهاك حقوق الطبع والنشر الجنائي كنوع من السرقة، مثل</w:t>
      </w:r>
      <w:r>
        <w:rPr>
          <w:rStyle w:val="None"/>
          <w:rFonts w:ascii="Times New Roman" w:hAnsi="Times New Roman"/>
          <w:rtl/>
          <w:lang w:val="ar-SA"/>
        </w:rPr>
        <w:t xml:space="preserve">: </w:t>
      </w:r>
      <w:r>
        <w:rPr>
          <w:rStyle w:val="None"/>
          <w:rtl/>
          <w:lang w:val="ar-SA"/>
        </w:rPr>
        <w:t>سرقة المتاجر، كما أنَّه قبل هذا القانون، كان انتهاك حقوق الطبع والنشر الجنائي يشترط ارتكاب انتهاكات متعمدة؛ لتحقيق منفعة تجارية أو مكاسب مالية خاصة، وقد ساعد هذا القانون أصحاب حقوق الطبع والنشر بأربع طرقٍ رئيسيةٍ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6"/>
      </w:r>
      <w:r>
        <w:rPr>
          <w:rStyle w:val="None"/>
          <w:rFonts w:ascii="Times New Roman" w:hAnsi="Times New Roman"/>
          <w:vertAlign w:val="superscript"/>
          <w:rtl/>
          <w:lang w:val="ar-SA"/>
        </w:rPr>
        <w:t>)</w:t>
      </w:r>
    </w:p>
    <w:p w14:paraId="65390952" w14:textId="77777777" w:rsidR="00454428" w:rsidRDefault="00000000" w:rsidP="00C72BA8">
      <w:pPr>
        <w:pStyle w:val="ListParagraph"/>
        <w:numPr>
          <w:ilvl w:val="0"/>
          <w:numId w:val="19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تجريم انتهاك حقوق الملكية الفكرية للمنظمات غير الربحية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إنَّه قبل هذا القانون، كان من الصعب مقاضاة الأفراد الذين يمارسون القرصنة الإلكترونية على نطاق واسع طالما لم يستفيدوا منها بشكل مباشر، أما القانون الجديد</w:t>
      </w:r>
      <w:r>
        <w:rPr>
          <w:rStyle w:val="None"/>
          <w:rFonts w:ascii="Times New Roman" w:hAnsi="Times New Roman"/>
          <w:sz w:val="24"/>
          <w:szCs w:val="24"/>
          <w:rtl/>
          <w:lang w:val="ar-SA"/>
        </w:rPr>
        <w:t xml:space="preserve">: </w:t>
      </w:r>
      <w:r>
        <w:rPr>
          <w:rStyle w:val="None"/>
          <w:rFonts w:cs="Times New Roman"/>
          <w:sz w:val="24"/>
          <w:szCs w:val="24"/>
          <w:rtl/>
          <w:lang w:val="ar-SA"/>
        </w:rPr>
        <w:t>فقد جعل إعادة إنتاج، أو توزيع الأعمال المحمية بحقوق الطبع والنشر جريمة جنائية، حتى لو لم يكن القصد هو الربح المالي</w:t>
      </w:r>
      <w:r>
        <w:rPr>
          <w:rStyle w:val="None"/>
          <w:rFonts w:ascii="Times New Roman" w:hAnsi="Times New Roman"/>
          <w:sz w:val="24"/>
          <w:szCs w:val="24"/>
          <w:rtl/>
          <w:lang w:val="ar-SA"/>
        </w:rPr>
        <w:t>.</w:t>
      </w:r>
    </w:p>
    <w:p w14:paraId="58278061" w14:textId="77777777" w:rsidR="00454428" w:rsidRDefault="00000000" w:rsidP="00C72BA8">
      <w:pPr>
        <w:pStyle w:val="ListParagraph"/>
        <w:numPr>
          <w:ilvl w:val="0"/>
          <w:numId w:val="19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توسيع تعريف </w:t>
      </w:r>
      <w:r>
        <w:rPr>
          <w:rStyle w:val="None"/>
          <w:rFonts w:ascii="Times New Roman" w:hAnsi="Times New Roman"/>
          <w:b/>
          <w:bCs/>
          <w:sz w:val="24"/>
          <w:szCs w:val="24"/>
          <w:rtl/>
          <w:lang w:val="ar-SA"/>
        </w:rPr>
        <w:t>"</w:t>
      </w:r>
      <w:r>
        <w:rPr>
          <w:rStyle w:val="None"/>
          <w:rFonts w:cs="Times New Roman"/>
          <w:b/>
          <w:bCs/>
          <w:sz w:val="24"/>
          <w:szCs w:val="24"/>
          <w:rtl/>
          <w:lang w:val="ar-SA"/>
        </w:rPr>
        <w:t>الكسب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وسّع القانون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w:t>
      </w:r>
      <w:r>
        <w:rPr>
          <w:rStyle w:val="None"/>
          <w:rFonts w:cs="Times New Roman"/>
          <w:sz w:val="24"/>
          <w:szCs w:val="24"/>
          <w:rtl/>
          <w:lang w:val="ar-SA"/>
        </w:rPr>
        <w:t>؛ ليشمل أي شيء ذي قيمة،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تبادل الأعمال المحمية بحقوق الطبع والنشر، وكان هذا التغيير يستهدف تحديدًا مجتمعات </w:t>
      </w:r>
      <w:r>
        <w:rPr>
          <w:rStyle w:val="None"/>
          <w:rFonts w:ascii="Times New Roman" w:hAnsi="Times New Roman"/>
          <w:sz w:val="24"/>
          <w:szCs w:val="24"/>
          <w:rtl/>
          <w:lang w:val="ar-SA"/>
        </w:rPr>
        <w:t>"</w:t>
      </w:r>
      <w:r>
        <w:rPr>
          <w:rStyle w:val="None"/>
          <w:rFonts w:cs="Times New Roman"/>
          <w:sz w:val="24"/>
          <w:szCs w:val="24"/>
          <w:rtl/>
          <w:lang w:val="ar-SA"/>
        </w:rPr>
        <w:t>البرمجيات غير الهادفة للربح</w:t>
      </w:r>
      <w:r>
        <w:rPr>
          <w:rStyle w:val="None"/>
          <w:rFonts w:ascii="Times New Roman" w:hAnsi="Times New Roman"/>
          <w:sz w:val="24"/>
          <w:szCs w:val="24"/>
          <w:rtl/>
          <w:lang w:val="ar-SA"/>
        </w:rPr>
        <w:t>"</w:t>
      </w:r>
      <w:r>
        <w:rPr>
          <w:rStyle w:val="None"/>
          <w:rFonts w:cs="Times New Roman"/>
          <w:sz w:val="24"/>
          <w:szCs w:val="24"/>
          <w:rtl/>
          <w:lang w:val="ar-SA"/>
        </w:rPr>
        <w:t>؛ حيث يتبادل الأعضاء برامج مقرصنة دون مقابل، معتبرين هذا التبادل شكلًا من أشكال الربح</w:t>
      </w:r>
      <w:r>
        <w:rPr>
          <w:rStyle w:val="None"/>
          <w:rFonts w:ascii="Times New Roman" w:hAnsi="Times New Roman"/>
          <w:sz w:val="24"/>
          <w:szCs w:val="24"/>
          <w:rtl/>
          <w:lang w:val="ar-SA"/>
        </w:rPr>
        <w:t>.</w:t>
      </w:r>
    </w:p>
    <w:p w14:paraId="7E74F129" w14:textId="77777777" w:rsidR="00454428" w:rsidRDefault="00000000" w:rsidP="00C72BA8">
      <w:pPr>
        <w:pStyle w:val="ListParagraph"/>
        <w:numPr>
          <w:ilvl w:val="0"/>
          <w:numId w:val="19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تحديد حد أدنى للقيمة</w:t>
      </w:r>
      <w:r>
        <w:rPr>
          <w:rStyle w:val="None"/>
          <w:rFonts w:ascii="Times New Roman" w:hAnsi="Times New Roman"/>
          <w:b/>
          <w:bCs/>
          <w:sz w:val="24"/>
          <w:szCs w:val="24"/>
          <w:rtl/>
          <w:lang w:val="ar-SA"/>
        </w:rPr>
        <w:t>:</w:t>
      </w:r>
      <w:r>
        <w:rPr>
          <w:rStyle w:val="None"/>
          <w:rFonts w:cs="Times New Roman"/>
          <w:sz w:val="24"/>
          <w:szCs w:val="24"/>
          <w:rtl/>
          <w:lang w:val="ar-SA"/>
        </w:rPr>
        <w:t xml:space="preserve"> وضع القانون معيارًا واضحًا للانتهاك الجنائي؛ حيث نص على أنَّ إعادة إنتاج أو توزيع ما لا يقل عن عشر نسخٍ، أو أكثر، من عمل بقيمة إجمالية للبيع بالتجزئة تتجاوز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خلال فترة </w:t>
      </w:r>
      <w:r>
        <w:rPr>
          <w:rStyle w:val="None"/>
          <w:rFonts w:ascii="Times New Roman" w:hAnsi="Times New Roman"/>
          <w:sz w:val="24"/>
          <w:szCs w:val="24"/>
          <w:rtl/>
          <w:lang w:val="ar-SA"/>
        </w:rPr>
        <w:t xml:space="preserve">180 </w:t>
      </w:r>
      <w:r>
        <w:rPr>
          <w:rStyle w:val="None"/>
          <w:rFonts w:cs="Times New Roman"/>
          <w:sz w:val="24"/>
          <w:szCs w:val="24"/>
          <w:rtl/>
          <w:lang w:val="ar-SA"/>
        </w:rPr>
        <w:t>يومًا يعتبر انتهاكًا جنائيًا</w:t>
      </w:r>
      <w:r>
        <w:rPr>
          <w:rStyle w:val="None"/>
          <w:rFonts w:ascii="Times New Roman" w:hAnsi="Times New Roman"/>
          <w:sz w:val="24"/>
          <w:szCs w:val="24"/>
          <w:rtl/>
          <w:lang w:val="ar-SA"/>
        </w:rPr>
        <w:t>.</w:t>
      </w:r>
    </w:p>
    <w:p w14:paraId="6754AF9F" w14:textId="77777777" w:rsidR="00454428" w:rsidRDefault="00000000" w:rsidP="00C72BA8">
      <w:pPr>
        <w:pStyle w:val="ListParagraph"/>
        <w:numPr>
          <w:ilvl w:val="0"/>
          <w:numId w:val="19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تشديد العقوبات</w:t>
      </w:r>
      <w:r>
        <w:rPr>
          <w:rStyle w:val="None"/>
          <w:rFonts w:ascii="Times New Roman" w:hAnsi="Times New Roman"/>
          <w:b/>
          <w:bCs/>
          <w:sz w:val="24"/>
          <w:szCs w:val="24"/>
          <w:rtl/>
          <w:lang w:val="ar-SA"/>
        </w:rPr>
        <w:t>:</w:t>
      </w:r>
      <w:r>
        <w:rPr>
          <w:rStyle w:val="None"/>
          <w:rFonts w:cs="Times New Roman"/>
          <w:sz w:val="24"/>
          <w:szCs w:val="24"/>
          <w:rtl/>
          <w:lang w:val="ar-SA"/>
        </w:rPr>
        <w:t xml:space="preserve"> شدّد القانون العقوبات الجنائية على انتهاك حقوق النشر، ووجّه لجنة الأحكام الأمريكية لوضع إرشادات أكثر صرامةً لمثل هذه القضايا، ويستهدف القانون القرصنة عمومًا، مستشهدًا بتقديرات قطاع البرمجيات التي تُشير إلى أنَّ تقليد البرمجيات وقرصنتها كلفا أصحاب حقوق الطبع والنشر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مليار دولارٍ عام </w:t>
      </w:r>
      <w:r>
        <w:rPr>
          <w:rStyle w:val="None"/>
          <w:rFonts w:ascii="Times New Roman" w:hAnsi="Times New Roman"/>
          <w:sz w:val="24"/>
          <w:szCs w:val="24"/>
          <w:rtl/>
          <w:lang w:val="ar-SA"/>
        </w:rPr>
        <w:t xml:space="preserve">1996. </w:t>
      </w:r>
    </w:p>
    <w:p w14:paraId="36E25F06"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 xml:space="preserve">حيث إنَّ يوم الثلاثاء، الموافق </w:t>
      </w:r>
      <w:r>
        <w:rPr>
          <w:rStyle w:val="None"/>
          <w:rFonts w:ascii="Times New Roman" w:hAnsi="Times New Roman"/>
          <w:rtl/>
          <w:lang w:val="ar-SA"/>
        </w:rPr>
        <w:t xml:space="preserve">16 </w:t>
      </w:r>
      <w:r>
        <w:rPr>
          <w:rStyle w:val="None"/>
          <w:rtl/>
          <w:lang w:val="ar-SA"/>
        </w:rPr>
        <w:t xml:space="preserve">ديسمبر </w:t>
      </w:r>
      <w:r>
        <w:rPr>
          <w:rStyle w:val="None"/>
          <w:rFonts w:ascii="Times New Roman" w:hAnsi="Times New Roman"/>
          <w:rtl/>
          <w:lang w:val="ar-SA"/>
        </w:rPr>
        <w:t>1997</w:t>
      </w:r>
      <w:r>
        <w:rPr>
          <w:rStyle w:val="None"/>
          <w:rtl/>
          <w:lang w:val="ar-SA"/>
        </w:rPr>
        <w:t xml:space="preserve">، وقّع الرئيس على قانون </w:t>
      </w:r>
      <w:r>
        <w:rPr>
          <w:rStyle w:val="None"/>
          <w:rFonts w:ascii="Times New Roman" w:hAnsi="Times New Roman"/>
          <w:rtl/>
          <w:lang w:val="ar-SA"/>
        </w:rPr>
        <w:t>"</w:t>
      </w:r>
      <w:r>
        <w:rPr>
          <w:rStyle w:val="None"/>
          <w:rtl/>
          <w:lang w:val="ar-SA"/>
        </w:rPr>
        <w:t>منع السرقة الإلكترونية</w:t>
      </w:r>
      <w:r>
        <w:rPr>
          <w:rStyle w:val="None"/>
          <w:rFonts w:ascii="Times New Roman" w:hAnsi="Times New Roman"/>
          <w:rtl/>
          <w:lang w:val="ar-SA"/>
        </w:rPr>
        <w:t xml:space="preserve">" </w:t>
      </w:r>
      <w:r>
        <w:rPr>
          <w:rStyle w:val="None"/>
          <w:rtl/>
          <w:lang w:val="ar-SA"/>
        </w:rPr>
        <w:t xml:space="preserve">رقم </w:t>
      </w:r>
      <w:r>
        <w:rPr>
          <w:rStyle w:val="None"/>
          <w:rFonts w:ascii="Times New Roman" w:hAnsi="Times New Roman"/>
          <w:rtl/>
          <w:lang w:val="ar-SA"/>
        </w:rPr>
        <w:t>2265</w:t>
      </w:r>
      <w:r>
        <w:rPr>
          <w:rStyle w:val="None"/>
          <w:rtl/>
          <w:lang w:val="ar-SA"/>
        </w:rPr>
        <w:t xml:space="preserve">، ويُعزّز قانون منع السرقة الإلكترونية قوانين حقوق الطبع والنشر والعلامات التجارية، موفرًا حمايةً مُعزّزة في </w:t>
      </w:r>
      <w:r>
        <w:rPr>
          <w:rStyle w:val="None"/>
          <w:rtl/>
          <w:lang w:val="ar-SA"/>
        </w:rPr>
        <w:lastRenderedPageBreak/>
        <w:t xml:space="preserve">العصر الرقمي بطريقة دقيقة ومتوازنة؛ حيث عُدّلت الأحكام الجنائية المتعلقة بحقوق الطبع والنشر والعلامات التجارية في البابين </w:t>
      </w:r>
      <w:r>
        <w:rPr>
          <w:rStyle w:val="None"/>
          <w:rFonts w:ascii="Times New Roman" w:hAnsi="Times New Roman"/>
          <w:rtl/>
          <w:lang w:val="ar-SA"/>
        </w:rPr>
        <w:t xml:space="preserve">17 </w:t>
      </w:r>
      <w:r>
        <w:rPr>
          <w:rStyle w:val="None"/>
          <w:rtl/>
          <w:lang w:val="ar-SA"/>
        </w:rPr>
        <w:t>و</w:t>
      </w:r>
      <w:r>
        <w:rPr>
          <w:rStyle w:val="None"/>
          <w:rFonts w:ascii="Times New Roman" w:hAnsi="Times New Roman"/>
          <w:rtl/>
          <w:lang w:val="ar-SA"/>
        </w:rPr>
        <w:t xml:space="preserve">18 </w:t>
      </w:r>
      <w:r>
        <w:rPr>
          <w:rStyle w:val="None"/>
          <w:rtl/>
          <w:lang w:val="ar-SA"/>
        </w:rPr>
        <w:t>من قانون الولايات المتحدة على النحو التالي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7"/>
      </w:r>
      <w:r>
        <w:rPr>
          <w:rStyle w:val="None"/>
          <w:rFonts w:ascii="Times New Roman" w:hAnsi="Times New Roman"/>
          <w:vertAlign w:val="superscript"/>
          <w:rtl/>
          <w:lang w:val="ar-SA"/>
        </w:rPr>
        <w:t>)</w:t>
      </w:r>
    </w:p>
    <w:p w14:paraId="2564311D"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يسمح للوزارة بمقاضاة الأفراد بموجب أحكام الجنح أو الجنايات في القضايا التي تنطوي على إعادة إنتاج، أو توزيع غير قانوني واسع النطاق لأعمال محمية بحقوق الطبع والنشر؛ حيث يتصرف المُنتهكون عمدًا دون دافع ربحي واضح</w:t>
      </w:r>
      <w:r>
        <w:rPr>
          <w:rStyle w:val="None"/>
          <w:rFonts w:ascii="Times New Roman" w:hAnsi="Times New Roman"/>
          <w:sz w:val="24"/>
          <w:szCs w:val="24"/>
          <w:rtl/>
          <w:lang w:val="ar-SA"/>
        </w:rPr>
        <w:t>.</w:t>
      </w:r>
    </w:p>
    <w:p w14:paraId="0FBCE767"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الإعفاء من الملاحقة الجنائية في حال إعادة الإنتاج، أو التوزيع غير المتعمد، أو الذي يُشكل نسخًا غير تجاري على نطاق صغير بقيمة إجمالية للبيع بالتجزئة أقل من ١٠٠٠ دولارٍ أمريكيٍّ</w:t>
      </w:r>
      <w:r>
        <w:rPr>
          <w:rStyle w:val="None"/>
          <w:rFonts w:ascii="Times New Roman" w:hAnsi="Times New Roman"/>
          <w:sz w:val="24"/>
          <w:szCs w:val="24"/>
          <w:rtl/>
          <w:lang w:val="ar-SA"/>
        </w:rPr>
        <w:t>.</w:t>
      </w:r>
    </w:p>
    <w:p w14:paraId="5D0600EE"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يجب أنْ يتضمن الانتهاك المتعمد أدلةً تتجاوز مجرد إعادة الإنتاج أو التوزيع المتعمد للأعمال المحمية بحقوق الطبع والنشر</w:t>
      </w:r>
      <w:r>
        <w:rPr>
          <w:rStyle w:val="None"/>
          <w:rFonts w:ascii="Times New Roman" w:hAnsi="Times New Roman"/>
          <w:sz w:val="24"/>
          <w:szCs w:val="24"/>
          <w:rtl/>
          <w:lang w:val="ar-SA"/>
        </w:rPr>
        <w:t>.</w:t>
      </w:r>
    </w:p>
    <w:p w14:paraId="4A5E923C"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إعادة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قانون حقوق الطبع والنشر؛ ليشمل </w:t>
      </w:r>
      <w:r>
        <w:rPr>
          <w:rStyle w:val="None"/>
          <w:rFonts w:ascii="Times New Roman" w:hAnsi="Times New Roman"/>
          <w:sz w:val="24"/>
          <w:szCs w:val="24"/>
          <w:rtl/>
          <w:lang w:val="ar-SA"/>
        </w:rPr>
        <w:t>"</w:t>
      </w:r>
      <w:r>
        <w:rPr>
          <w:rStyle w:val="None"/>
          <w:rFonts w:cs="Times New Roman"/>
          <w:sz w:val="24"/>
          <w:szCs w:val="24"/>
          <w:rtl/>
          <w:lang w:val="ar-SA"/>
        </w:rPr>
        <w:t>استلام، أو توقع استلام، أي شيء ذي قيمة، من خلال استغلال أعمال محمية بحقوق الطبع والنشر</w:t>
      </w:r>
      <w:r>
        <w:rPr>
          <w:rStyle w:val="None"/>
          <w:rFonts w:ascii="Times New Roman" w:hAnsi="Times New Roman"/>
          <w:sz w:val="24"/>
          <w:szCs w:val="24"/>
          <w:rtl/>
          <w:lang w:val="ar-SA"/>
        </w:rPr>
        <w:t>"</w:t>
      </w:r>
      <w:r>
        <w:rPr>
          <w:rStyle w:val="None"/>
          <w:rFonts w:cs="Times New Roman"/>
          <w:sz w:val="24"/>
          <w:szCs w:val="24"/>
          <w:rtl/>
          <w:lang w:val="ar-SA"/>
        </w:rPr>
        <w:t>، وذلك لضمان شمول القانون للأشخاص الذين يتاجرون بشكل غير قانوني بالأعمال المحمية بحقوق الطبع والنشر باستخدام المقايضة بدلًا من النقد</w:t>
      </w:r>
      <w:r>
        <w:rPr>
          <w:rStyle w:val="None"/>
          <w:rFonts w:ascii="Times New Roman" w:hAnsi="Times New Roman"/>
          <w:sz w:val="24"/>
          <w:szCs w:val="24"/>
          <w:rtl/>
          <w:lang w:val="ar-SA"/>
        </w:rPr>
        <w:t>.</w:t>
      </w:r>
    </w:p>
    <w:p w14:paraId="291CF797"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التأكيد على أنَّ النسخ والتوزيع يشملان الوسائل الإلكترونية والملموسة</w:t>
      </w:r>
      <w:r>
        <w:rPr>
          <w:rStyle w:val="None"/>
          <w:rFonts w:ascii="Times New Roman" w:hAnsi="Times New Roman"/>
          <w:sz w:val="24"/>
          <w:szCs w:val="24"/>
          <w:rtl/>
          <w:lang w:val="ar-SA"/>
        </w:rPr>
        <w:t>.</w:t>
      </w:r>
    </w:p>
    <w:p w14:paraId="575335FE"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تمديد فترة التقادم من ثلاث إلى خمس سنواتٍ؛ ممَّا يجعل قانون حقوق الطبع والنشر الجنائي متسقًا مع معظم القوانين الجنائية الأخرى</w:t>
      </w:r>
      <w:r>
        <w:rPr>
          <w:rStyle w:val="None"/>
          <w:rFonts w:ascii="Times New Roman" w:hAnsi="Times New Roman"/>
          <w:sz w:val="24"/>
          <w:szCs w:val="24"/>
          <w:rtl/>
          <w:lang w:val="ar-SA"/>
        </w:rPr>
        <w:t>.</w:t>
      </w:r>
    </w:p>
    <w:p w14:paraId="2E4B3ED2"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وضع حكم خاص بتكرار الجريمة؛ حيث يتم تشديد العقوبات في حال ارتكاب جرائم حقوق الطبع والنشر للمرة الثانية أو لمرات لاحقة</w:t>
      </w:r>
      <w:r>
        <w:rPr>
          <w:rStyle w:val="None"/>
          <w:rFonts w:ascii="Times New Roman" w:hAnsi="Times New Roman"/>
          <w:sz w:val="24"/>
          <w:szCs w:val="24"/>
          <w:rtl/>
          <w:lang w:val="ar-SA"/>
        </w:rPr>
        <w:t>.</w:t>
      </w:r>
    </w:p>
    <w:p w14:paraId="17B5C732"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الاعتراف بحقوق الضحايا من خلال السماح للأطراف المالكة بتقديم بيان ضرر يوضح مدى الأذى الذي لحق بالضحية إلى المحكمة التي تصدر الحكم</w:t>
      </w:r>
      <w:r>
        <w:rPr>
          <w:rStyle w:val="None"/>
          <w:rFonts w:ascii="Times New Roman" w:hAnsi="Times New Roman"/>
          <w:sz w:val="24"/>
          <w:szCs w:val="24"/>
          <w:rtl/>
          <w:lang w:val="ar-SA"/>
        </w:rPr>
        <w:t>.</w:t>
      </w:r>
    </w:p>
    <w:p w14:paraId="33A798E4" w14:textId="77777777" w:rsidR="00454428" w:rsidRDefault="00000000" w:rsidP="00C72BA8">
      <w:pPr>
        <w:pStyle w:val="ListParagraph"/>
        <w:numPr>
          <w:ilvl w:val="0"/>
          <w:numId w:val="20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القوة الرادعة لقوانين حقوق الطبع والنشر الجنائية، من خلال توجيه لجنة إصدار الأحكام؛ لتعديل دليل إصدار الأحكام بشأن انتهاكات حقوق الطبع والنشر والعلامات التجارية، بما يسمح للمحاكم بالنظر في كمية السلع المخالفة وقيمتها التجارية</w:t>
      </w:r>
      <w:r>
        <w:rPr>
          <w:rStyle w:val="None"/>
          <w:rFonts w:ascii="Times New Roman" w:hAnsi="Times New Roman"/>
          <w:sz w:val="24"/>
          <w:szCs w:val="24"/>
          <w:rtl/>
          <w:lang w:val="ar-SA"/>
        </w:rPr>
        <w:t>.</w:t>
      </w:r>
    </w:p>
    <w:p w14:paraId="3FA1207F" w14:textId="77777777" w:rsidR="00454428" w:rsidRDefault="00000000" w:rsidP="00C72BA8">
      <w:pPr>
        <w:pStyle w:val="NormalWeb"/>
        <w:bidi/>
        <w:spacing w:before="120" w:after="120" w:line="360" w:lineRule="auto"/>
        <w:ind w:firstLine="720"/>
        <w:jc w:val="both"/>
        <w:rPr>
          <w:rStyle w:val="None"/>
          <w:rFonts w:hint="default"/>
          <w:rtl/>
        </w:rPr>
      </w:pPr>
      <w:r>
        <w:rPr>
          <w:rStyle w:val="None"/>
          <w:rtl/>
          <w:lang w:val="ar-SA"/>
        </w:rPr>
        <w:t xml:space="preserve">حيث إنَّ الفرد الذي يقوم بمخالفة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الخاصة بحماية الملكية الفكرية الأمريكية، يكون مسئولًا عن أحد أنواع التعويضات التالية، والتي يختارها الطرف المتضرر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8"/>
      </w:r>
      <w:r>
        <w:rPr>
          <w:rStyle w:val="None"/>
          <w:rFonts w:ascii="Times New Roman" w:hAnsi="Times New Roman"/>
          <w:vertAlign w:val="superscript"/>
          <w:rtl/>
          <w:lang w:val="ar-SA"/>
        </w:rPr>
        <w:t>)</w:t>
      </w:r>
    </w:p>
    <w:p w14:paraId="23686E6C" w14:textId="77777777" w:rsidR="00454428" w:rsidRDefault="00000000" w:rsidP="00C72BA8">
      <w:pPr>
        <w:pStyle w:val="ListParagraph"/>
        <w:numPr>
          <w:ilvl w:val="0"/>
          <w:numId w:val="2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حيث تمنح المحكمة للطرف المتضرر الحق في تعويض عن الأضرار الفعلية، التي تتمثل في الخسائر التي تكبدها نتيجة للانتهاك، فضلًا عن التعويض عن الأرباح الإضافية التي تحصل عليها المخالف بسبب الانتهاك</w:t>
      </w:r>
      <w:r>
        <w:rPr>
          <w:rStyle w:val="None"/>
          <w:rFonts w:ascii="Times New Roman" w:hAnsi="Times New Roman"/>
          <w:sz w:val="24"/>
          <w:szCs w:val="24"/>
          <w:rtl/>
          <w:lang w:val="ar-SA"/>
        </w:rPr>
        <w:t>.</w:t>
      </w:r>
    </w:p>
    <w:p w14:paraId="7860E73E" w14:textId="77777777" w:rsidR="00454428" w:rsidRDefault="00000000" w:rsidP="00C72BA8">
      <w:pPr>
        <w:pStyle w:val="ListParagraph"/>
        <w:numPr>
          <w:ilvl w:val="0"/>
          <w:numId w:val="2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يمكن للطرف المتضرر أنْ يختار الحصول على الأضرار القانونية في أي وقت قبل صدور الحكم النهائي، وتختلف المبالغ التي يتحصل عليها حسب نوع الانتهاك؛ حيث يتم دفع مبلغ لا يقل عن </w:t>
      </w:r>
      <w:r>
        <w:rPr>
          <w:rStyle w:val="None"/>
          <w:rFonts w:ascii="Times New Roman" w:hAnsi="Times New Roman"/>
          <w:sz w:val="24"/>
          <w:szCs w:val="24"/>
          <w:rtl/>
          <w:lang w:val="ar-SA"/>
        </w:rPr>
        <w:t xml:space="preserve">200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لكل فعل مخالف من النوع البريء، أو غير المتعمد، بينما يتم دفع مبلغ لا يقل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25,000 </w:t>
      </w:r>
      <w:r>
        <w:rPr>
          <w:rStyle w:val="None"/>
          <w:rFonts w:cs="Times New Roman"/>
          <w:sz w:val="24"/>
          <w:szCs w:val="24"/>
          <w:rtl/>
          <w:lang w:val="ar-SA"/>
        </w:rPr>
        <w:t>دولارٍ لكل انتهاك متعمد</w:t>
      </w:r>
      <w:r>
        <w:rPr>
          <w:rStyle w:val="None"/>
          <w:rFonts w:ascii="Times New Roman" w:hAnsi="Times New Roman"/>
          <w:sz w:val="24"/>
          <w:szCs w:val="24"/>
          <w:rtl/>
          <w:lang w:val="ar-SA"/>
        </w:rPr>
        <w:t>.</w:t>
      </w:r>
    </w:p>
    <w:p w14:paraId="389436B3" w14:textId="77777777" w:rsidR="00454428" w:rsidRDefault="00000000" w:rsidP="00C72BA8">
      <w:pPr>
        <w:pStyle w:val="ListParagraph"/>
        <w:numPr>
          <w:ilvl w:val="0"/>
          <w:numId w:val="202"/>
        </w:numPr>
        <w:spacing w:before="120" w:after="120" w:line="360" w:lineRule="auto"/>
        <w:jc w:val="both"/>
        <w:rPr>
          <w:rFonts w:cs="Times New Roman" w:hint="default"/>
          <w:color w:val="FF0000"/>
          <w:sz w:val="24"/>
          <w:szCs w:val="24"/>
          <w:rtl/>
          <w:lang w:val="ar-SA"/>
        </w:rPr>
      </w:pPr>
      <w:r>
        <w:rPr>
          <w:rStyle w:val="None"/>
          <w:rFonts w:cs="Times New Roman"/>
          <w:b/>
          <w:bCs/>
          <w:sz w:val="24"/>
          <w:szCs w:val="24"/>
          <w:rtl/>
          <w:lang w:val="ar-SA"/>
        </w:rPr>
        <w:t>الانتهاكات المتكررة</w:t>
      </w:r>
      <w:r>
        <w:rPr>
          <w:rStyle w:val="None"/>
          <w:rFonts w:ascii="Times New Roman" w:hAnsi="Times New Roman"/>
          <w:b/>
          <w:bCs/>
          <w:sz w:val="24"/>
          <w:szCs w:val="24"/>
          <w:rtl/>
          <w:lang w:val="ar-SA"/>
        </w:rPr>
        <w:t>:</w:t>
      </w:r>
      <w:r>
        <w:rPr>
          <w:rStyle w:val="None"/>
          <w:rFonts w:cs="Times New Roman"/>
          <w:sz w:val="24"/>
          <w:szCs w:val="24"/>
          <w:rtl/>
          <w:lang w:val="ar-SA"/>
        </w:rPr>
        <w:t xml:space="preserve"> وفي حال تكرار الانتهاك من خلال قيام شخص ما بانتهاك حقوق الملكية الفكرية المنصوص عليها في المادتين </w:t>
      </w:r>
      <w:r>
        <w:rPr>
          <w:rStyle w:val="None"/>
          <w:rFonts w:ascii="Times New Roman" w:hAnsi="Times New Roman"/>
          <w:sz w:val="24"/>
          <w:szCs w:val="24"/>
          <w:rtl/>
          <w:lang w:val="ar-SA"/>
        </w:rPr>
        <w:t xml:space="preserve">1201 </w:t>
      </w:r>
      <w:r>
        <w:rPr>
          <w:rStyle w:val="None"/>
          <w:rFonts w:cs="Times New Roman"/>
          <w:sz w:val="24"/>
          <w:szCs w:val="24"/>
          <w:rtl/>
          <w:lang w:val="ar-SA"/>
        </w:rPr>
        <w:t xml:space="preserve">أو </w:t>
      </w:r>
      <w:r>
        <w:rPr>
          <w:rStyle w:val="None"/>
          <w:rFonts w:ascii="Times New Roman" w:hAnsi="Times New Roman"/>
          <w:sz w:val="24"/>
          <w:szCs w:val="24"/>
          <w:rtl/>
          <w:lang w:val="ar-SA"/>
        </w:rPr>
        <w:t xml:space="preserve">1202 </w:t>
      </w:r>
      <w:r>
        <w:rPr>
          <w:rStyle w:val="None"/>
          <w:rFonts w:cs="Times New Roman"/>
          <w:sz w:val="24"/>
          <w:szCs w:val="24"/>
          <w:rtl/>
          <w:lang w:val="ar-SA"/>
        </w:rPr>
        <w:t>في غضون ثلاث سنواتٍ من صدور حكم نهائي ضده لارتكابه انتهاك سابق، يحق للمحكمة أنْ تزيد مبلغ التعويض، بما يصل إلى ثلاثة أضعافِ المبلغ الذي قد فُرض عليه في المرة الأولى</w:t>
      </w:r>
      <w:r>
        <w:rPr>
          <w:rStyle w:val="None"/>
          <w:rFonts w:ascii="Times New Roman" w:hAnsi="Times New Roman"/>
          <w:sz w:val="24"/>
          <w:szCs w:val="24"/>
          <w:rtl/>
          <w:lang w:val="ar-SA"/>
        </w:rPr>
        <w:t>.</w:t>
      </w:r>
    </w:p>
    <w:p w14:paraId="29035090"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 xml:space="preserve">ويسمح قانون حقوق الملكية الرقمية الأمريكي للمدعِي الذي قد سجل عمله بالفعل، وأبلغ عن الانتهاك، القدرة على اختيار الحصول على التعويضات القانونية بدلًا من الأضرار الفعلية، هذه التعويضات تتراوح بشكل واسع، وتُمنح بِناءً على تقدير المحكمة، وتتراوح تلك التعويضات بين </w:t>
      </w:r>
      <w:r>
        <w:rPr>
          <w:rStyle w:val="None"/>
          <w:rFonts w:ascii="Times New Roman" w:hAnsi="Times New Roman"/>
          <w:rtl/>
          <w:lang w:val="ar-SA"/>
        </w:rPr>
        <w:t xml:space="preserve">750 </w:t>
      </w:r>
      <w:r>
        <w:rPr>
          <w:rStyle w:val="None"/>
          <w:rtl/>
          <w:lang w:val="ar-SA"/>
        </w:rPr>
        <w:t>دولارًا و</w:t>
      </w:r>
      <w:r>
        <w:rPr>
          <w:rStyle w:val="None"/>
          <w:rFonts w:ascii="Times New Roman" w:hAnsi="Times New Roman"/>
          <w:rtl/>
          <w:lang w:val="ar-SA"/>
        </w:rPr>
        <w:t xml:space="preserve">30,000 </w:t>
      </w:r>
      <w:r>
        <w:rPr>
          <w:rStyle w:val="None"/>
          <w:rtl/>
          <w:lang w:val="ar-SA"/>
        </w:rPr>
        <w:t xml:space="preserve">دولارٍ لكل عمل تم انتهاكه، وفي حالات الانتهاك المتعمد، يمكن للمحكمة زيادة المبلغ بشكل كبير، ليصل إلى </w:t>
      </w:r>
      <w:r>
        <w:rPr>
          <w:rStyle w:val="None"/>
          <w:rFonts w:ascii="Times New Roman" w:hAnsi="Times New Roman"/>
          <w:rtl/>
          <w:lang w:val="ar-SA"/>
        </w:rPr>
        <w:t xml:space="preserve">150,000 </w:t>
      </w:r>
      <w:r>
        <w:rPr>
          <w:rStyle w:val="None"/>
          <w:rtl/>
          <w:lang w:val="ar-SA"/>
        </w:rPr>
        <w:t>دولارٍ لكل عمل، ومع ذلك</w:t>
      </w:r>
      <w:r>
        <w:rPr>
          <w:rStyle w:val="None"/>
          <w:rFonts w:ascii="Times New Roman" w:hAnsi="Times New Roman"/>
          <w:rtl/>
          <w:lang w:val="ar-SA"/>
        </w:rPr>
        <w:t xml:space="preserve">: </w:t>
      </w:r>
      <w:r>
        <w:rPr>
          <w:rStyle w:val="None"/>
          <w:rtl/>
          <w:lang w:val="ar-SA"/>
        </w:rPr>
        <w:t>تواجه المحاكم تحديًا كبيرًا في تطبيق هذا القانون؛ وذلك بسبب غياب الإرشادات؛ حيث إنَّه تفشل المحاكم في تطوير فقه قانوني ثابت يُرشد القضاة في تحديد قيمة التعويضات، والسبب الثاني يتمثل في النتائج الغير متسقة؛ حيث إنَّه بسبب هذا الغموض، غالبًا ما تكون قرارات المحاكم تعسفية وغير متسقة، وقد تصل في بعض الأحيان إلى مبالغ مفرطة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39"/>
      </w:r>
      <w:r>
        <w:rPr>
          <w:rStyle w:val="None"/>
          <w:rFonts w:ascii="Times New Roman" w:hAnsi="Times New Roman"/>
          <w:vertAlign w:val="superscript"/>
          <w:rtl/>
          <w:lang w:val="ar-SA"/>
        </w:rPr>
        <w:t>)</w:t>
      </w:r>
    </w:p>
    <w:p w14:paraId="7F366E7D" w14:textId="77777777" w:rsidR="00454428" w:rsidRDefault="00000000" w:rsidP="00C72BA8">
      <w:pPr>
        <w:pStyle w:val="NormalWeb"/>
        <w:bidi/>
        <w:spacing w:before="120" w:after="120" w:line="360" w:lineRule="auto"/>
        <w:ind w:firstLine="720"/>
        <w:jc w:val="both"/>
        <w:rPr>
          <w:rFonts w:hint="default"/>
          <w:rtl/>
        </w:rPr>
      </w:pPr>
      <w:r>
        <w:rPr>
          <w:rStyle w:val="None"/>
          <w:rtl/>
          <w:lang w:val="ar-SA"/>
        </w:rPr>
        <w:t xml:space="preserve">تُعَدُّ التعويضات القانونية هي خيار يُمنح لمالكي حقوق الملكية الفكرية بديلًا عن التعويضات التقليدية، والتي تتمثل في الأرباح المفقودة أو أرباح المنتهك، ويتراوح النطاق الطبيعي لتعويضات الأضرار القانونية في الولايات المتحدة بين </w:t>
      </w:r>
      <w:r>
        <w:rPr>
          <w:rStyle w:val="None"/>
          <w:rFonts w:ascii="Times New Roman" w:hAnsi="Times New Roman"/>
          <w:rtl/>
          <w:lang w:val="ar-SA"/>
        </w:rPr>
        <w:t xml:space="preserve">750 </w:t>
      </w:r>
      <w:r>
        <w:rPr>
          <w:rStyle w:val="None"/>
          <w:rtl/>
          <w:lang w:val="ar-SA"/>
        </w:rPr>
        <w:t>و</w:t>
      </w:r>
      <w:r>
        <w:rPr>
          <w:rStyle w:val="None"/>
          <w:rFonts w:ascii="Times New Roman" w:hAnsi="Times New Roman"/>
          <w:rtl/>
          <w:lang w:val="ar-SA"/>
        </w:rPr>
        <w:t xml:space="preserve">30,000 </w:t>
      </w:r>
      <w:r>
        <w:rPr>
          <w:rStyle w:val="None"/>
          <w:rtl/>
          <w:lang w:val="ar-SA"/>
        </w:rPr>
        <w:t>دولارٍ أمريكي لكل عمل مُنتهك، ولا يشترط تعويض الضرر القانوني أنْ يكون له أي علاقة بالخسائر الفعلية التي لحقت بالمتضرر، وقد المحاكم إلى هذا النوع من التعويضات لعدة مبررات أساسية</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40"/>
      </w:r>
      <w:r>
        <w:rPr>
          <w:rStyle w:val="None"/>
          <w:rFonts w:ascii="Times New Roman" w:hAnsi="Times New Roman"/>
          <w:vertAlign w:val="superscript"/>
          <w:rtl/>
          <w:lang w:val="ar-SA"/>
        </w:rPr>
        <w:t>)</w:t>
      </w:r>
    </w:p>
    <w:p w14:paraId="6639AADE" w14:textId="77777777" w:rsidR="00454428" w:rsidRDefault="00000000" w:rsidP="00C72BA8">
      <w:pPr>
        <w:pStyle w:val="NormalWeb"/>
        <w:numPr>
          <w:ilvl w:val="0"/>
          <w:numId w:val="204"/>
        </w:numPr>
        <w:bidi/>
        <w:spacing w:before="120" w:after="120" w:line="360" w:lineRule="auto"/>
        <w:jc w:val="both"/>
        <w:rPr>
          <w:rFonts w:hint="default"/>
          <w:rtl/>
          <w:lang w:val="ar-SA"/>
        </w:rPr>
      </w:pPr>
      <w:r>
        <w:rPr>
          <w:rStyle w:val="None"/>
          <w:b/>
          <w:bCs/>
          <w:rtl/>
          <w:lang w:val="ar-SA"/>
        </w:rPr>
        <w:t>صعوبة إثبات الضرر</w:t>
      </w:r>
      <w:r>
        <w:rPr>
          <w:rStyle w:val="None"/>
          <w:rFonts w:ascii="Times New Roman" w:hAnsi="Times New Roman"/>
          <w:b/>
          <w:bCs/>
          <w:rtl/>
          <w:lang w:val="ar-SA"/>
        </w:rPr>
        <w:t xml:space="preserve">: </w:t>
      </w:r>
      <w:r>
        <w:rPr>
          <w:rStyle w:val="None"/>
          <w:rtl/>
          <w:lang w:val="ar-SA"/>
        </w:rPr>
        <w:t>يُعَدُّ الهدف الأصلي من التعويضات القانونية هو مساعدة مالكي الحقوق في الحصول على تعويض عادل، خاصةً عندما يكون من الصعب أو المكلف جدًا إثبات حجم الخسائر الفعلية التي تكبدوها بسبب الانتهاك</w:t>
      </w:r>
      <w:r>
        <w:rPr>
          <w:rStyle w:val="None"/>
          <w:rFonts w:ascii="Times New Roman" w:hAnsi="Times New Roman"/>
        </w:rPr>
        <w:t>.</w:t>
      </w:r>
    </w:p>
    <w:p w14:paraId="4D5CF16C" w14:textId="77777777" w:rsidR="00454428" w:rsidRDefault="00000000" w:rsidP="00C72BA8">
      <w:pPr>
        <w:pStyle w:val="NormalWeb"/>
        <w:numPr>
          <w:ilvl w:val="0"/>
          <w:numId w:val="204"/>
        </w:numPr>
        <w:bidi/>
        <w:spacing w:before="120" w:after="120" w:line="360" w:lineRule="auto"/>
        <w:jc w:val="both"/>
        <w:rPr>
          <w:rFonts w:hint="default"/>
          <w:rtl/>
          <w:lang w:val="ar-SA"/>
        </w:rPr>
      </w:pPr>
      <w:r>
        <w:rPr>
          <w:rStyle w:val="None"/>
          <w:b/>
          <w:bCs/>
          <w:rtl/>
          <w:lang w:val="ar-SA"/>
        </w:rPr>
        <w:t>التغلب على تكاليف التقاضي</w:t>
      </w:r>
      <w:r>
        <w:rPr>
          <w:rStyle w:val="None"/>
          <w:rFonts w:ascii="Times New Roman" w:hAnsi="Times New Roman"/>
          <w:b/>
          <w:bCs/>
          <w:rtl/>
          <w:lang w:val="ar-SA"/>
        </w:rPr>
        <w:t xml:space="preserve">: </w:t>
      </w:r>
      <w:r>
        <w:rPr>
          <w:rStyle w:val="None"/>
          <w:rtl/>
          <w:lang w:val="ar-SA"/>
        </w:rPr>
        <w:t>كما تم تطوير هذا القانون لاحقًا لمواجهة حالات الانتهاكات الصغيرة، التي قد لا تكون الأضرار المادية فيها كبيرة، لكن تكاليف رفع الدعوى قد تتجاوز المبلغ الذي يمكن استرداده، وبالتالي</w:t>
      </w:r>
      <w:r>
        <w:rPr>
          <w:rStyle w:val="None"/>
          <w:rFonts w:ascii="Times New Roman" w:hAnsi="Times New Roman"/>
          <w:rtl/>
          <w:lang w:val="ar-SA"/>
        </w:rPr>
        <w:t xml:space="preserve">: </w:t>
      </w:r>
      <w:r>
        <w:rPr>
          <w:rStyle w:val="None"/>
          <w:rtl/>
          <w:lang w:val="ar-SA"/>
        </w:rPr>
        <w:t>تُمكن التعويضات القانونية مالك الحق من الدفاع عن حقوقه، دون أنْ تُشكّل تكاليف التقاضي عبئًا ماليًا كبيرًا</w:t>
      </w:r>
      <w:r>
        <w:rPr>
          <w:rStyle w:val="None"/>
          <w:rFonts w:ascii="Times New Roman" w:hAnsi="Times New Roman"/>
        </w:rPr>
        <w:t>.</w:t>
      </w:r>
    </w:p>
    <w:p w14:paraId="01A68FDC" w14:textId="77777777" w:rsidR="00454428" w:rsidRDefault="00000000" w:rsidP="00C72BA8">
      <w:pPr>
        <w:pStyle w:val="NormalWeb"/>
        <w:numPr>
          <w:ilvl w:val="0"/>
          <w:numId w:val="204"/>
        </w:numPr>
        <w:bidi/>
        <w:spacing w:before="120" w:after="120" w:line="360" w:lineRule="auto"/>
        <w:jc w:val="both"/>
        <w:rPr>
          <w:rFonts w:hint="default"/>
          <w:rtl/>
          <w:lang w:val="ar-SA"/>
        </w:rPr>
      </w:pPr>
      <w:r>
        <w:rPr>
          <w:rStyle w:val="None"/>
          <w:b/>
          <w:bCs/>
          <w:rtl/>
          <w:lang w:val="ar-SA"/>
        </w:rPr>
        <w:lastRenderedPageBreak/>
        <w:t>وظيفة رادعة</w:t>
      </w:r>
      <w:r>
        <w:rPr>
          <w:rStyle w:val="None"/>
          <w:rFonts w:ascii="Times New Roman" w:hAnsi="Times New Roman"/>
          <w:b/>
          <w:bCs/>
          <w:rtl/>
          <w:lang w:val="ar-SA"/>
        </w:rPr>
        <w:t>:</w:t>
      </w:r>
      <w:r>
        <w:rPr>
          <w:rStyle w:val="None"/>
          <w:rFonts w:ascii="Times New Roman" w:hAnsi="Times New Roman"/>
        </w:rPr>
        <w:t xml:space="preserve"> </w:t>
      </w:r>
      <w:r>
        <w:rPr>
          <w:rStyle w:val="None"/>
          <w:rtl/>
          <w:lang w:val="ar-SA"/>
        </w:rPr>
        <w:t>كما أصبحت التعويضات القانونية أداةً رادعةً قويةً ضد الانتهاكات المستقبلية؛ حيث تفرض غرامات مالية كبيرة على المنتهكين؛ ممَّا يثنيهم عن تكرار المخالفة</w:t>
      </w:r>
      <w:r>
        <w:rPr>
          <w:rStyle w:val="None"/>
          <w:rFonts w:ascii="Times New Roman" w:hAnsi="Times New Roman"/>
        </w:rPr>
        <w:t>.</w:t>
      </w:r>
    </w:p>
    <w:p w14:paraId="6DE9934E" w14:textId="77777777" w:rsidR="00454428" w:rsidRDefault="00000000" w:rsidP="00C72BA8">
      <w:pPr>
        <w:pStyle w:val="NormalWeb"/>
        <w:bidi/>
        <w:spacing w:before="120" w:after="120" w:line="360" w:lineRule="auto"/>
        <w:ind w:firstLine="720"/>
        <w:jc w:val="both"/>
        <w:rPr>
          <w:rFonts w:hint="default"/>
          <w:rtl/>
          <w:lang w:val="ar-SA"/>
        </w:rPr>
      </w:pPr>
      <w:r>
        <w:rPr>
          <w:rStyle w:val="None"/>
          <w:rtl/>
          <w:lang w:val="ar-SA"/>
        </w:rPr>
        <w:t xml:space="preserve">يحق لأي شخص تضرر من انتهاك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 xml:space="preserve">رفع دعوى قضائية مدنية أمام المحكمة الفيدرالية، وللمحكمة سلطة تقديرية؛ لمنح تعويضات عادلة ومالية، مشابهة لما هو متاح في قضايا حقوق النشر، وتشمل هذه التعويضات </w:t>
      </w:r>
      <w:r>
        <w:rPr>
          <w:rStyle w:val="None"/>
          <w:rFonts w:ascii="Times New Roman" w:hAnsi="Times New Roman"/>
          <w:rtl/>
          <w:lang w:val="ar-SA"/>
        </w:rPr>
        <w:t>"</w:t>
      </w:r>
      <w:r>
        <w:rPr>
          <w:rStyle w:val="None"/>
          <w:rtl/>
          <w:lang w:val="ar-SA"/>
        </w:rPr>
        <w:t>التعويضات القانونية</w:t>
      </w:r>
      <w:r>
        <w:rPr>
          <w:rStyle w:val="None"/>
          <w:rFonts w:ascii="Times New Roman" w:hAnsi="Times New Roman"/>
          <w:rtl/>
          <w:lang w:val="ar-SA"/>
        </w:rPr>
        <w:t>"</w:t>
      </w:r>
      <w:r>
        <w:rPr>
          <w:rStyle w:val="None"/>
          <w:rtl/>
          <w:lang w:val="ar-SA"/>
        </w:rPr>
        <w:t xml:space="preserve">، التي تسمح للمحكمة بتحديد مبلغ التعويض دون الحاجة إلى إثبات الضرر الفعلي، وللمحكمة سلطة تخفيض أو إلغاء التعويضات إذا أثبت المخالف أنَّه لم يكن على علم أو لم يكن لديه سبب للاعتقاد بأنَّ أفعاله كانت تشكل انتهاكًا، ويعتبر انتهاك المادتين جريمةً جنائيةً فقط في حالة ارتكابه </w:t>
      </w:r>
      <w:r>
        <w:rPr>
          <w:rStyle w:val="None"/>
          <w:rFonts w:ascii="Times New Roman" w:hAnsi="Times New Roman"/>
          <w:rtl/>
          <w:lang w:val="ar-SA"/>
        </w:rPr>
        <w:t>"</w:t>
      </w:r>
      <w:r>
        <w:rPr>
          <w:rStyle w:val="None"/>
          <w:rtl/>
          <w:lang w:val="ar-SA"/>
        </w:rPr>
        <w:t>عمدًا ولأغراض تحقيق منفعة تجارية أو مكاسب مالية خاصة، وتُعفى المكتبات، والمحفوظات، والمؤسسات التعليمية غير الربحية تمامًا من المسئولية الجنائية، وتتمثل العقوبات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41"/>
      </w:r>
      <w:r>
        <w:rPr>
          <w:rStyle w:val="None"/>
          <w:rFonts w:ascii="Times New Roman" w:hAnsi="Times New Roman"/>
          <w:vertAlign w:val="superscript"/>
          <w:rtl/>
          <w:lang w:val="ar-SA"/>
        </w:rPr>
        <w:t>)</w:t>
      </w:r>
    </w:p>
    <w:p w14:paraId="34C513DE" w14:textId="77777777" w:rsidR="00454428" w:rsidRDefault="00000000" w:rsidP="00C72BA8">
      <w:pPr>
        <w:pStyle w:val="NormalWeb"/>
        <w:numPr>
          <w:ilvl w:val="0"/>
          <w:numId w:val="206"/>
        </w:numPr>
        <w:bidi/>
        <w:spacing w:before="120" w:after="120" w:line="360" w:lineRule="auto"/>
        <w:jc w:val="both"/>
        <w:rPr>
          <w:rFonts w:hint="default"/>
          <w:rtl/>
          <w:lang w:val="ar-SA"/>
        </w:rPr>
      </w:pPr>
      <w:r>
        <w:rPr>
          <w:rStyle w:val="None"/>
          <w:b/>
          <w:bCs/>
          <w:rtl/>
          <w:lang w:val="ar-SA"/>
        </w:rPr>
        <w:t>المخالفة الأولى</w:t>
      </w:r>
      <w:r>
        <w:rPr>
          <w:rStyle w:val="None"/>
          <w:rFonts w:ascii="Times New Roman" w:hAnsi="Times New Roman"/>
          <w:b/>
          <w:bCs/>
          <w:rtl/>
          <w:lang w:val="ar-SA"/>
        </w:rPr>
        <w:t xml:space="preserve">: </w:t>
      </w:r>
      <w:r>
        <w:rPr>
          <w:rStyle w:val="None"/>
          <w:rtl/>
          <w:lang w:val="ar-SA"/>
        </w:rPr>
        <w:t xml:space="preserve">غرامة تصل إلى </w:t>
      </w:r>
      <w:r>
        <w:rPr>
          <w:rStyle w:val="None"/>
          <w:rFonts w:ascii="Times New Roman" w:hAnsi="Times New Roman"/>
          <w:rtl/>
          <w:lang w:val="ar-SA"/>
        </w:rPr>
        <w:t>500000</w:t>
      </w:r>
      <w:r>
        <w:rPr>
          <w:rStyle w:val="None"/>
          <w:rFonts w:ascii="Times New Roman" w:hAnsi="Times New Roman"/>
        </w:rPr>
        <w:t xml:space="preserve"> </w:t>
      </w:r>
      <w:r>
        <w:rPr>
          <w:rStyle w:val="None"/>
          <w:rtl/>
          <w:lang w:val="ar-SA"/>
        </w:rPr>
        <w:t>دولارٍ، أو السجن لمدة تصل إلى خمس سنواتٍ</w:t>
      </w:r>
      <w:r>
        <w:rPr>
          <w:rStyle w:val="None"/>
          <w:rFonts w:ascii="Times New Roman" w:hAnsi="Times New Roman"/>
          <w:rtl/>
          <w:lang w:val="ar-SA"/>
        </w:rPr>
        <w:t>.</w:t>
      </w:r>
    </w:p>
    <w:p w14:paraId="07980CAF" w14:textId="77777777" w:rsidR="00454428" w:rsidRDefault="00000000" w:rsidP="00C72BA8">
      <w:pPr>
        <w:pStyle w:val="NormalWeb"/>
        <w:numPr>
          <w:ilvl w:val="0"/>
          <w:numId w:val="206"/>
        </w:numPr>
        <w:bidi/>
        <w:spacing w:before="120" w:after="120" w:line="360" w:lineRule="auto"/>
        <w:jc w:val="both"/>
        <w:rPr>
          <w:rFonts w:hint="default"/>
          <w:rtl/>
          <w:lang w:val="ar-SA"/>
        </w:rPr>
      </w:pPr>
      <w:r>
        <w:rPr>
          <w:rStyle w:val="None"/>
          <w:b/>
          <w:bCs/>
          <w:rtl/>
          <w:lang w:val="ar-SA"/>
        </w:rPr>
        <w:t>المخالفات في حال تكرار الانتهاك</w:t>
      </w:r>
      <w:r>
        <w:rPr>
          <w:rStyle w:val="None"/>
          <w:rFonts w:ascii="Times New Roman" w:hAnsi="Times New Roman"/>
          <w:b/>
          <w:bCs/>
          <w:rtl/>
          <w:lang w:val="ar-SA"/>
        </w:rPr>
        <w:t xml:space="preserve">: </w:t>
      </w:r>
      <w:r>
        <w:rPr>
          <w:rStyle w:val="None"/>
          <w:rtl/>
          <w:lang w:val="ar-SA"/>
        </w:rPr>
        <w:t>غرامة تصل إلى مليون دولارٍ، أو السجن لمدة تصل إلى عشر سنواتٍ في حال تكرار نفس المخافة في وقت لاحق</w:t>
      </w:r>
      <w:r>
        <w:rPr>
          <w:rStyle w:val="None"/>
          <w:rFonts w:ascii="Times New Roman" w:hAnsi="Times New Roman"/>
        </w:rPr>
        <w:t>.</w:t>
      </w:r>
    </w:p>
    <w:p w14:paraId="6F2B51AA" w14:textId="77777777" w:rsidR="00454428" w:rsidRDefault="00000000" w:rsidP="00C72BA8">
      <w:pPr>
        <w:pStyle w:val="a"/>
        <w:rPr>
          <w:rStyle w:val="None"/>
          <w:lang w:val="ar-SA"/>
        </w:rPr>
      </w:pPr>
      <w:bookmarkStart w:id="132" w:name="_Toc84"/>
      <w:r>
        <w:rPr>
          <w:rStyle w:val="None"/>
          <w:rFonts w:ascii="Arial Unicode MS" w:eastAsia="Arial Unicode MS" w:hAnsi="Arial Unicode MS" w:hint="cs"/>
          <w:rtl/>
          <w:lang w:val="ar-SA"/>
        </w:rPr>
        <w:t>المبحث الثاني</w:t>
      </w:r>
      <w:bookmarkEnd w:id="132"/>
    </w:p>
    <w:p w14:paraId="6BE8DA85" w14:textId="77777777" w:rsidR="00454428" w:rsidRDefault="00000000" w:rsidP="00C72BA8">
      <w:pPr>
        <w:pStyle w:val="a"/>
        <w:rPr>
          <w:rStyle w:val="None"/>
          <w:lang w:val="ar-SA"/>
        </w:rPr>
      </w:pPr>
      <w:bookmarkStart w:id="133" w:name="_Toc85"/>
      <w:r>
        <w:rPr>
          <w:rStyle w:val="None"/>
          <w:rFonts w:ascii="Arial Unicode MS" w:eastAsia="Arial Unicode MS" w:hAnsi="Arial Unicode MS" w:hint="cs"/>
          <w:rtl/>
          <w:lang w:val="ar-SA"/>
        </w:rPr>
        <w:t>الحماية الجنائية والتجريم الرقمي</w:t>
      </w:r>
      <w:bookmarkEnd w:id="133"/>
    </w:p>
    <w:p w14:paraId="5F14129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التطوُّر الهائل في تقنيات المعلومات والاتصالات، شهد العالم تحولاتٍ جذريةً في طرق إنتاج وتبادل المعرفة، فأصبحت البيئة الرقمية فضاءً مفتوحًا لنشر المصنفات والابتكارات على نطاق واسع، ورغم ما يتيحه هذا الانفتاح من فرص للإبداع والابتكار إلا أنَّه أدى إلى ظهور أنماط جديدة من الاعتداءات على الملكية الفكرية، اتسمت بالسرعة والانتشار والعابر للحدود؛ ممَّا جعل من الضروري إيجاد آليات قانونية فعَّالة لمواجهتها، ومع تعقيد الجرائم في هذا المجال أصبحت الحماية المدنية غير كافية؛ ممَّا استدعى اللجوء إلى الحماية الجنائية كأداة لردع وحماية الحقوق</w:t>
      </w:r>
      <w:r>
        <w:rPr>
          <w:rStyle w:val="None"/>
          <w:rFonts w:ascii="Times New Roman" w:hAnsi="Times New Roman"/>
          <w:sz w:val="24"/>
          <w:szCs w:val="24"/>
          <w:rtl/>
          <w:lang w:val="ar-SA"/>
        </w:rPr>
        <w:t>.</w:t>
      </w:r>
    </w:p>
    <w:p w14:paraId="2019B8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الحماية الجنائية والتجريم الرقمي وضع نصوص نظامية تجرم الأفعال التي تنتهك الملكية الفكرية في الفضاء الرقمي، وفرض عقوبات رادعة على مرتكبيها، سواء كانت هذه الأفعال تتمثل في نسخ، أو توزيع، أو تعديل، أو قرصنة المحتوى المحمي، فيأتي النظام السعودي في هذا الإطار منسجمًا مع الاتفاقيات الدولية، من خلال دمج النصوص المجرمة للاعتداءات الرقمية، وسنتناول ذلك على النحو التالي</w:t>
      </w:r>
      <w:r>
        <w:rPr>
          <w:rStyle w:val="None"/>
          <w:rFonts w:ascii="Times New Roman" w:hAnsi="Times New Roman"/>
          <w:sz w:val="24"/>
          <w:szCs w:val="24"/>
          <w:rtl/>
          <w:lang w:val="ar-SA"/>
        </w:rPr>
        <w:t>:</w:t>
      </w:r>
    </w:p>
    <w:p w14:paraId="15B93683" w14:textId="77777777" w:rsidR="00454428" w:rsidRDefault="00000000" w:rsidP="00C72BA8">
      <w:pPr>
        <w:pStyle w:val="ListParagraph"/>
        <w:numPr>
          <w:ilvl w:val="0"/>
          <w:numId w:val="20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 السعودي</w:t>
      </w:r>
      <w:r>
        <w:rPr>
          <w:rStyle w:val="None"/>
          <w:rFonts w:ascii="Times New Roman" w:hAnsi="Times New Roman"/>
          <w:sz w:val="24"/>
          <w:szCs w:val="24"/>
          <w:rtl/>
          <w:lang w:val="ar-SA"/>
        </w:rPr>
        <w:t>.</w:t>
      </w:r>
    </w:p>
    <w:p w14:paraId="7D6CEA5F" w14:textId="77777777" w:rsidR="00454428" w:rsidRDefault="00000000" w:rsidP="00C72BA8">
      <w:pPr>
        <w:pStyle w:val="ListParagraph"/>
        <w:numPr>
          <w:ilvl w:val="0"/>
          <w:numId w:val="20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النظامين الفَرنسي والأمريكي</w:t>
      </w:r>
      <w:r>
        <w:rPr>
          <w:rStyle w:val="None"/>
          <w:rFonts w:ascii="Times New Roman" w:hAnsi="Times New Roman"/>
          <w:sz w:val="24"/>
          <w:szCs w:val="24"/>
          <w:rtl/>
          <w:lang w:val="ar-SA"/>
        </w:rPr>
        <w:t>.</w:t>
      </w:r>
    </w:p>
    <w:p w14:paraId="566833D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699F6E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CC2C6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5D13A59" w14:textId="77777777" w:rsidR="00454428" w:rsidRDefault="00000000" w:rsidP="00C72BA8">
      <w:pPr>
        <w:pStyle w:val="a"/>
        <w:rPr>
          <w:rStyle w:val="None"/>
          <w:lang w:val="ar-SA"/>
        </w:rPr>
      </w:pPr>
      <w:bookmarkStart w:id="134" w:name="_Toc86"/>
      <w:r>
        <w:rPr>
          <w:rStyle w:val="None"/>
          <w:rFonts w:ascii="Arial Unicode MS" w:eastAsia="Arial Unicode MS" w:hAnsi="Arial Unicode MS" w:hint="cs"/>
          <w:rtl/>
          <w:lang w:val="ar-SA"/>
        </w:rPr>
        <w:t>المطلب الأول</w:t>
      </w:r>
      <w:bookmarkEnd w:id="134"/>
    </w:p>
    <w:p w14:paraId="06B83FA1" w14:textId="77777777" w:rsidR="00454428" w:rsidRDefault="00000000" w:rsidP="00C72BA8">
      <w:pPr>
        <w:pStyle w:val="a"/>
        <w:rPr>
          <w:rStyle w:val="None"/>
          <w:lang w:val="ar-SA"/>
        </w:rPr>
      </w:pPr>
      <w:bookmarkStart w:id="135" w:name="_Toc87"/>
      <w:r>
        <w:rPr>
          <w:rStyle w:val="None"/>
          <w:rFonts w:ascii="Arial Unicode MS" w:eastAsia="Arial Unicode MS" w:hAnsi="Arial Unicode MS" w:hint="cs"/>
          <w:rtl/>
          <w:lang w:val="ar-SA"/>
        </w:rPr>
        <w:t>الحماية الجنائية للملكية الفكرية في البيئة الرقمية في النظام السعودي</w:t>
      </w:r>
      <w:bookmarkEnd w:id="135"/>
    </w:p>
    <w:p w14:paraId="656DA8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تطوُّرًا تقنيًّا غير مسبوق، أدى إلى انتشار البيئة الرقمية في مختلف جوانب الحياة، فأصبح تداول المعلومات والابتكارات يتم عبر شبكات إلكترونية عالمية، متجاوزة الحدود الجغرافية والزمنية، ورغم الفرص الهائلة التي وفرتها هذه البيئة لتعزيز الإبداع ونشر المعرفة، إلا أنَّها أوجدت تحديات قانونية معقدة، أبرزها الاعتداء على الملكية الفكرية بطرق رقمية يصعب رصدها أو السيطرة عليها بالأساليب التقليدية، وقد تزايدت هذه الاعتداءات؛ نتيجة سهولة نسخ وتوزيع المصنفات الرقمية وانتشار القرصنة الإلكترونية؛ ممَّا أدى إلى الحاجة لمنظومة حماية أكثر صرامةً وفاعليةً</w:t>
      </w:r>
      <w:r>
        <w:rPr>
          <w:rStyle w:val="None"/>
          <w:rFonts w:ascii="Times New Roman" w:hAnsi="Times New Roman"/>
          <w:sz w:val="24"/>
          <w:szCs w:val="24"/>
          <w:rtl/>
          <w:lang w:val="ar-SA"/>
        </w:rPr>
        <w:t>.</w:t>
      </w:r>
    </w:p>
    <w:p w14:paraId="3AD4ED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برزت الحاجة الجنائية كأداة أساسية لمواجهة التعديات الرقمية للملكية الفكرية، من خلال تجريم الأفعال التي تمس الحقوق المحمية، وفرض عقوبات رادعة لتحقيق الردع العام والخاص، وقد أولى النظام السعودي أهميةً كبيرةً لهذا الجانب؛ بهدف إقامة بيئة رقمية آمنة تحافظ على الحقوق وتدعم مسيرة الابتكار</w:t>
      </w:r>
      <w:r>
        <w:rPr>
          <w:rStyle w:val="None"/>
          <w:rFonts w:ascii="Times New Roman" w:hAnsi="Times New Roman"/>
          <w:sz w:val="24"/>
          <w:szCs w:val="24"/>
          <w:rtl/>
          <w:lang w:val="ar-SA"/>
        </w:rPr>
        <w:t xml:space="preserve">. </w:t>
      </w:r>
    </w:p>
    <w:p w14:paraId="159A3F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فقد وضع المنظم السعودي نظامَ حماية 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شوال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p>
    <w:p w14:paraId="59856E1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الجزاء</w:t>
      </w:r>
      <w:r>
        <w:rPr>
          <w:rStyle w:val="None"/>
          <w:rFonts w:ascii="Times New Roman" w:hAnsi="Times New Roman"/>
          <w:b/>
          <w:bCs/>
          <w:sz w:val="28"/>
          <w:szCs w:val="28"/>
          <w:rtl/>
          <w:lang w:val="ar-SA"/>
        </w:rPr>
        <w:t>:</w:t>
      </w:r>
    </w:p>
    <w:p w14:paraId="6EDCA4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الجزاء أحد الأعمدة الأساسية في النظم القانونية؛ حيث يمثل الأداة التي يعتمد عليها المنظم لضمان احترام القواعد والنصوص القانونية، ويمثل رادعًا للمخالفين عن ارتكاب الأفعال المجرمة، فالجزاء ليس هدفًا بحد ذاته، بل هو وسيلة لتحقيق الانضباط الاجتماعي، وحماية الحقوق والمصالح التي يسعى القانون إلى حمايتها</w:t>
      </w:r>
      <w:r>
        <w:rPr>
          <w:rStyle w:val="None"/>
          <w:rFonts w:ascii="Times New Roman" w:hAnsi="Times New Roman"/>
          <w:sz w:val="24"/>
          <w:szCs w:val="24"/>
          <w:rtl/>
          <w:lang w:val="ar-SA"/>
        </w:rPr>
        <w:t>.</w:t>
      </w:r>
    </w:p>
    <w:p w14:paraId="21AFB9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الجزاء الجنائي ذلك الأثر الذي يترتب قانونًا على سلوك يُعَدُّ جريمة، وإعماله هو النتيجة القانونية المترتبة على مخالفة نصوص التجريم الواردة في قانون العقوبات، أو غيره من القوانين المكملة، فقد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إجراء يقرره القانون ويوقعه القاضي على شخص ثبتت مسئوليته عن 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فالجزاء الجنائي هو رد الفعل الاجتماعي الذي يوقعه المجتمع بواسطة سلطاته العامة على من اقترف الجريمة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6437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الجزاء يرتبط بالتجريم تمام الارتباط؛ حيث إنَّه لا جريمة بدون جزاء؛ ولذلك يأخذ الجزاء وضعه القانوني من كونه المقابل للواقعة التي جرمها القانون، ويتمثل مضمون الجزاء في أثر معين يلحق بالمحكوم عليه، وهو إيلامه عن </w:t>
      </w:r>
      <w:r>
        <w:rPr>
          <w:rStyle w:val="None"/>
          <w:rFonts w:ascii="Arial Unicode MS" w:hAnsi="Arial Unicode MS" w:cs="Times New Roman" w:hint="cs"/>
          <w:sz w:val="24"/>
          <w:szCs w:val="24"/>
          <w:rtl/>
          <w:lang w:val="ar-SA"/>
        </w:rPr>
        <w:lastRenderedPageBreak/>
        <w:t>طريق الانتقاص من حقوقه أو مصالحه، وقد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ينص عليه القانون ليلحق المجرم بسبب ارتكابه الجريمة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B9DC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أشار جانب من الفقه إلى تعريف الجزاء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يقرره المنظم ويوقعه القاضي على من تثبت مسئوليته في ارتكاب جريمة، ويتمثل الجزاء في إيلام الجاني بالإنقاص من بعض حقوقه الشخصية وأهمها في الحق في الحياة والحق في الحرية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5A0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الجزاء الجنائي يُعَدُّ الأداة القانونية التي يعبر بها المجتمع عن رد فعله تجاه الأفعال المجرمة، من خلال فرض عقوبة تتناسب مع خطورة الفعل ودرجة إجرام الجاني، فهو نتيجة طبيعية لارتكاب الجريمة وثبوت المسئولية، ويهدف هذا الجزاء إلى إيلام الجاني من خلال تقييد بعض حقوقه أو حرياته؛ ممَّا يشكل رسالةً واضحةً بأنَّ انتهاك القواعد الجنائية يترتب عليه حتمًا إجراء قانوني يعزّز هيبة القانون، ويضمن أمن المجتمع واستقراره</w:t>
      </w:r>
      <w:r>
        <w:rPr>
          <w:rStyle w:val="None"/>
          <w:rFonts w:ascii="Times New Roman" w:hAnsi="Times New Roman"/>
          <w:sz w:val="24"/>
          <w:szCs w:val="24"/>
          <w:rtl/>
          <w:lang w:val="ar-SA"/>
        </w:rPr>
        <w:t xml:space="preserve">. </w:t>
      </w:r>
    </w:p>
    <w:p w14:paraId="11A0B0E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أهداف الجزاءات</w:t>
      </w:r>
      <w:r>
        <w:rPr>
          <w:rStyle w:val="None"/>
          <w:rFonts w:ascii="Times New Roman" w:hAnsi="Times New Roman"/>
          <w:b/>
          <w:bCs/>
          <w:sz w:val="28"/>
          <w:szCs w:val="28"/>
          <w:rtl/>
          <w:lang w:val="ar-SA"/>
        </w:rPr>
        <w:t>:</w:t>
      </w:r>
    </w:p>
    <w:p w14:paraId="5CAE72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تسعى الجزاءات في جوهرها إلى تحقيق أهداف أسمى تتجاوز مجرد معاقبة الجاني، فهي أداة ينظم بها المجتمع سلوك أفراده ويضمن استقراره وأمنه، ويهدف الجزاء إلى حماية القيم والمصالح التي يسعى القانون إلى صونها، وردع الأفراد عن ارتكاب الأفعال المجرمة، سواء من خلال ردعهم شخصيًا، أو ردع الآخرين عن التفكير في ارتكاب الجريمة، كما يساهم الجزاء في إصلاح الجاني وإعادة تأهيله ليصبح فردًا صالحًا في المجتمع</w:t>
      </w:r>
      <w:r>
        <w:rPr>
          <w:rStyle w:val="None"/>
          <w:rFonts w:ascii="Times New Roman" w:hAnsi="Times New Roman"/>
          <w:sz w:val="24"/>
          <w:szCs w:val="24"/>
          <w:rtl/>
          <w:lang w:val="ar-SA"/>
        </w:rPr>
        <w:t>.</w:t>
      </w:r>
    </w:p>
    <w:p w14:paraId="2B6376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الهدف الأصلي لاختيار الجزاء هو تقويم سلوك المجرم وإصلاحه، والتنفيذ الجزائي هو المرحلة التي يتحقق فيها الهدف من هذا الاختيار، ولا يمكن تحقيق هذا الهدف ما لم تعمل السلطة القائمة على تنفيذ العقوبة على تحقيق، فالتنفيذ ليس مجرد حرمان المحكوم عليه من حريته أو إيلامه بقدر معين ولمدة معينة، وإنما هو إعادة تربية المجرم؛ لتأهيله للحياة الاجتماعية الشريفة بعيدًا عن خطر التردي في الإجرام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1D22C6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تحتل وظيفة الردع مكانًا مرموقًا في اختيار المنظم للعقوبات، الأمر الذي يفسر اختياره أشد العقوبات للأعمال التي تتسبب في الاضطرابات الاجتماعية الأكثر خطورة، والتي تثير استياءً أكبر لدى الرأي العام، فقد عرف جانب من الفقه الردع الخاص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إيلام الجاني بالقدر اللازم الذي يمنعه من التفكير في العودة إلى ارتكاب الجريمة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الردع العام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فيقصد به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تحذير باقي أفراد المجتمع الذين تراودهم فكرة ارتكاب الجريمة من أنَّهم سينالون نفس الجزاء الذي يوقع على المجرم الذي ارتكبها فعلًا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D7A2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وبذلك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الغاية من الجزاء لا يقتصر على إيلام الجاني، بل يهدف إلى إصلاحه ومنع تكرار سلوكه بالإضافة إلى ردع الآخرين من ارتكاب نفس الجريمة، فالاعتداء على المصنفات الفكرية يؤثر على النظام الاقتصادي، والاجتماعي، ويضعف الثقة في بيئة الابتكار والإبداع؛ لذا فإنَّ توقيع الجزاءات على المعتدين على حقوق المؤلف يسعى لحماية المصالح العامة، وتعزيز مكانة الملكية الفكرية كعنصر أساسي في البناء الاقتصادي</w:t>
      </w:r>
      <w:r>
        <w:rPr>
          <w:rStyle w:val="None"/>
          <w:rFonts w:ascii="Times New Roman" w:hAnsi="Times New Roman"/>
          <w:sz w:val="24"/>
          <w:szCs w:val="24"/>
          <w:rtl/>
          <w:lang w:val="ar-SA"/>
        </w:rPr>
        <w:t>.</w:t>
      </w:r>
    </w:p>
    <w:p w14:paraId="15430541" w14:textId="77777777" w:rsidR="00454428" w:rsidRDefault="00000000" w:rsidP="00C72BA8">
      <w:pPr>
        <w:pStyle w:val="ListParagraph"/>
        <w:numPr>
          <w:ilvl w:val="0"/>
          <w:numId w:val="21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الردع الخاص</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إنَّ الجزاء يهدف إلى التأثير في السلوك الإنساني داخل المجتمع؛ حتى يتلاءم مع الأوامر والنواهي الاجتماعية التي تنطوي عليها قواعد التجريم، وهي في حالتها الساكنة في النص تهدف إلى التأثير في سلوك جميع الأفراد المخاطبين بأحكام القانون، عن طريق التهديد بما تنطوي عليه من جسامة معينة، وهو ما يسمى بالردع العام، أما في حالتها الديناميكية عند تطبيقها بواسطة القضاء، فإنَّها تهدف أساسًا إلى التأثير في سلوك المحكوم عليه حتى يتطابق مستقبلًا مع قواعد القانون، وهو ما يسمى بالردع الخاص، أو الإصلاح، أو إعادة التأهيل الاجتماعي، ويقتضي هذا الهدف أنْ تتوافر لدى المحكوم عليه خطورة إجرامية معينة، أي استعداد نحو ارتكاب الجريمة مستقبلًا، فإذا قلت هذه الخطورة أو انعدمت قل شأن الهدف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2D4A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يعني الردع الخاص أنَّه علاج الخطورة الإجرامية الكامنة في شخص المجرم، وللردع الخاص طابع فردي؛ إذ يتجه إلى شخص معين يغير من معالم شخصيته، ويحقق التآلف بينها وبين القيم الاجتماعية، وهو من ناحية أخرى يعتد بالظروف الخاصة للفرد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80D0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ناحية أخرى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يفترض الاعتداد بالظروف الفردية، ويجتهد في الملائمة بين أساليبه وهذه الظروف، وللردع الخاص صلة وثيقة بنظرية الخطورة الجرمية باعتبارها موضوع أساليبه؛ ولذلك كان كل منهما واضعًا في اعتباره السلوك المستقبل للمجرم، فإذا كانت الخطورة الجرمية هي احتمال إقدام المجرم على جريمة تالية، فإنَّ هدف الردع الخاص هو القضاء على هذا الاحتمال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BBFAE3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الردع الخاص يعمل على حماية الملكية الفكرية؛ حيث إنَّ الاعتداء على حقوق المؤلف أو المصنفات الفكرية لا يقتصر أثره على صاحب الحق فحسب، بل يهدد الثقة في بيئة الإبداع والاقتصاد المعرفي، ومِنْ ثَمَّ فإنَّ توجيه الجزاء نحو إصلاح المعتدي وردعه بشكل فردي يساهم في تقليل احتمالية تكرار جرائم الاعتداء على الملكية الفكرية</w:t>
      </w:r>
      <w:r>
        <w:rPr>
          <w:rStyle w:val="None"/>
          <w:rFonts w:ascii="Times New Roman" w:hAnsi="Times New Roman"/>
          <w:sz w:val="24"/>
          <w:szCs w:val="24"/>
          <w:rtl/>
          <w:lang w:val="ar-SA"/>
        </w:rPr>
        <w:t>.</w:t>
      </w:r>
    </w:p>
    <w:p w14:paraId="038C03C0" w14:textId="77777777" w:rsidR="00454428" w:rsidRDefault="00000000" w:rsidP="00C72BA8">
      <w:pPr>
        <w:pStyle w:val="ListParagraph"/>
        <w:numPr>
          <w:ilvl w:val="0"/>
          <w:numId w:val="210"/>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الردع العام</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لا يعني الردع الخاص مطلقًا إسقاط الردع العام من الاعتبار، وإنما يعني مجرد وضعه في المرتبة التالية، فاختيار العقوبة من أجل إصلاح المجرم يعني الاعتماد على مطلق شخصية المجرم، فهي </w:t>
      </w:r>
      <w:r>
        <w:rPr>
          <w:rStyle w:val="None"/>
          <w:rFonts w:cs="Times New Roman"/>
          <w:sz w:val="24"/>
          <w:szCs w:val="24"/>
          <w:rtl/>
          <w:lang w:val="ar-SA"/>
        </w:rPr>
        <w:lastRenderedPageBreak/>
        <w:t>وحدها الخاضعة لهذا الإصلاح، أما الردع العام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فإنَّه يتحقق ضمنًا من خلال الإيلام المستفاد من الجزاء الموقع على المجرم مهما اختلف قدره وكيفيته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88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وتحقيق الردع العام كأحد أغراض العقوبة يواجه الدوافع الإجرامية بأخرى مضادة للإجرام؛ حتى تتوازن معها أو ترجع عليها فلا تتولد الجريمة، وهو أمر يتحقق بمجرد وضع النصوص التي تجرم سلوكًا معينًا وتقرر له قدر من الجزاء الذي يجدر إنزاله بفاعله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42DDF2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وللردع العام أهمية أساسية؛ حيث إنَّ الدوافع الإجرامية تتوافر لدى أغلب الناس، وهي بقايا نوازع نفسية تنبع عن الطبيعة البدائية للإنسان، وكانت للإنسان الأول أهم أسلحته في اجتياز طريقه العسير إلى إشباع حاجاته، وكانت من هذه الوجهة ذات نفع له، وإذا كانت المدنية قد جعلت الإنسان الحديث في غير حاجة مشروعة إليها، فإنَّ ذلك لا ينفي وجودها، وهذه الدوافع تخلق في المجتمع والتطوُّر العادي لهذا النوع من الإجرام هو أنْ يتحول إلى إجرام فعلي، ويُعَدُّ الجزاء بأنَّه الحائل دون هذا التحول، ولها من هذه الوجهة دور اجتماعي أساسي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D6E6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فرض الجزاءات الرادعة على المعتدين على حقوق المؤلف والمصنفات الفكرية، يؤدي إلى حماية هذه الحقوق ليس فقط لصالح المؤلف المعتدى على مصنفه، وإنما أيضًا لصالح المجتمع كله، من خلال احترام القواعد القانونية وتشجيع الالتزام بها، وبهذا يصبح الردع العام أداءً أساسية لحماية بيئة الإبداع والابتكار</w:t>
      </w:r>
      <w:r>
        <w:rPr>
          <w:rStyle w:val="None"/>
          <w:rFonts w:ascii="Times New Roman" w:hAnsi="Times New Roman"/>
          <w:sz w:val="24"/>
          <w:szCs w:val="24"/>
          <w:rtl/>
          <w:lang w:val="ar-SA"/>
        </w:rPr>
        <w:t>.</w:t>
      </w:r>
    </w:p>
    <w:p w14:paraId="456549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أهمية الحماية الجنائية للملكية الفكرية</w:t>
      </w:r>
      <w:r>
        <w:rPr>
          <w:rStyle w:val="None"/>
          <w:rFonts w:ascii="Times New Roman" w:hAnsi="Times New Roman"/>
          <w:b/>
          <w:bCs/>
          <w:sz w:val="28"/>
          <w:szCs w:val="28"/>
          <w:rtl/>
          <w:lang w:val="ar-SA"/>
        </w:rPr>
        <w:t>:</w:t>
      </w:r>
    </w:p>
    <w:p w14:paraId="59B8A0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تكتسب الحماية الجنائية للملكية الفكرية أهميةً كبيرةً في ظل التطوُّر المعرفي والتكنولوجي المتسارع الذي تشهده المجتمعات المعاصرة، وتمثل هذه الحماية خط الدفاع الأول ضد الاعتداءات على حقوق المبدعين والمخترعين والمؤلفين، سواء في الواقع التقليدي أو في الفضاء الرقمي، ويُعَدُّ التجريم والعقاب أداةً فعَّالةً للحد من الانتهاكات، ويعكسان حرص المنظم على حماية حقوق الملكية الفكرية، التي تعتبر من أهم مقومات الابتكار والتنمية الاقتصادية، وتساهم هذه الحماية في ضمان بيئة قانونية آمنة تشجع على الإبداع والاستثمار في المعرفة</w:t>
      </w:r>
      <w:r>
        <w:rPr>
          <w:rStyle w:val="None"/>
          <w:rFonts w:ascii="Times New Roman" w:hAnsi="Times New Roman"/>
          <w:sz w:val="24"/>
          <w:szCs w:val="24"/>
          <w:rtl/>
          <w:lang w:val="ar-SA"/>
        </w:rPr>
        <w:t>.</w:t>
      </w:r>
    </w:p>
    <w:p w14:paraId="1AF6FB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فالمعلومة هي إحدى ثمرات فكر الإنسان، والتي تتحول فيما بعد إلى رصيد معرفي تستفيد منه البشرية لتسيير حياتهم؛ ممَّا استوجب الاعتراف بالملكية الفكرية للأشياء المبتكرة؛ ونظرًا لأهمية الأفكار، ومع تزايد الوعي الإنساني والتطوُّر العلمي لدى الأمم، ومدى تأثير تلك الأفكار على الأنظمة الاقتصادية، وعلى رفع المستوى الثقافي والحضاري للشعوب والدول، هذا ما جعل الدول تسعى إلى حماية حقوق الملكية الفكرية وردها إلى أصحابها، بحكم أنَّ قوة الأمم تقاس بحجم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222F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أنَّ تطوُّر الوسائل التكنولوجية الحديثة، وما رافقها من جمع وتخزين للبيانات الشخصية سهل الاعتداء على حرمة الحياة الخاصة، من خلال التعامل غير المشروع مع هذه البيانات واستغلالها بدون وجه حق، وهو ما شكل تهديدًا حقيقيًا للحق في الحياة الخاصة في البيئة الرقمية، وأثر على موقف الفقه والقانون من مفهوم هذا الحق، وأدى إلى تطوُّر في مظاهر الحماية القانونية له ومنها الحماية الجنائية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A750F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تحديث السياسات والقوانين بسرعة لمواكبة التطوُّرات التكنولوجية الجديدة أساسيًا؛ لضمان فاعلية الإطار القانوني في حماية حقوق الأفراد ومواجهة التحديات الجديدة، التي تطرأ من خلال مراجعة دورية للقوانين والسياسات؛ لضمان توافقها مع التطوُّرات التكنولوجية الجديدة والتحديات المستجدة، كما ينبغي إنشاء آليات مرنة وسريعة تمكن من تعديل القوانين بسرعة ومرونة؛ لتضمين التحديات والفرص الجديدة التي تطرأ نتيجة للتطوُّرات التكنولوجية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E23C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فتُعَدُّ قضية حماية الملكية الفكرية الرقمية من أهم المسائل المستحدثة في العصر الحاضر، تتعرض له من نقد، وسرقات، وانتهاكات يومية متكررة؛ بسبب الطبيعة العالمية لشبكة الإنترنت التي تُعَدُّ قوةً إيجابيةً لانتشار المؤلفات والمصنفات، غير أنَّها تُعَدُّ خطرًا كبيرًا يواجه حقوق أصحاب المصنفات لما سبق عرضه من استحالة السيطرة الكاملة على شبكة الإنترنت أو مستخدميها، وهو ما فرض على أصحاب الحقوق المتضررين والدول اتخاذ الاحتياطات التي يمكن بها حماية الملكية الفكرية من أي انتهاكات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3083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الملكية الفكرية في البيئة الرقمية لم تَعُدْ خيارًا إضافيًا، بل أصبحت ضرورةً ملحةً تفرضها التحديات الناتجة عن التطوُّر التكنولوجي وتسارع الابتكار، مع اتساع نطاق تداول المعلومات والمصنفات عبر الإنترنت زادت الاعتداءات والسرقات الفكرية؛ ممَّا يهدد الحقوق الفردية، ويؤثر سلبًا على مكانة الدول الاقتصادية والحضارية؛ ولضمان فاعلية هذه الحماية يجب اعتماد إطار قانوني مرن وقابل للتجديد لمواكبة المستجدات التقنية، كما ينبغي تعزيز الحماية الجنائية كأداة ردع أساسية؛ ممَّا يضمن التوازن بين إتاحة المعرفة وحماية حقوق أصحابها، ويساهم في ترسيخ بيئة رقمية آمنة تدعم الإبداع والتنمية المستدامة</w:t>
      </w:r>
      <w:r>
        <w:rPr>
          <w:rStyle w:val="None"/>
          <w:rFonts w:ascii="Times New Roman" w:hAnsi="Times New Roman"/>
          <w:sz w:val="24"/>
          <w:szCs w:val="24"/>
          <w:rtl/>
          <w:lang w:val="ar-SA"/>
        </w:rPr>
        <w:t>.</w:t>
      </w:r>
    </w:p>
    <w:p w14:paraId="592C20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فالحماية هي تأمين الحق من التعدي في جميع صوره ممن لا صلة لهم به، وتعني الدعوة لحماية حقوق الملكية الفكرية أنَّ هذه الحقوق أصبحت موقفًا يشكل درجةً متقدمةً من خطورة التعدي، يلزم مواجهته بشتى السبل، وسرعة الاتفاق حول صيغة قادرة على الحماية والردع، ويقصد بحماية حقوق الملكية الفكرية منع الدول أو الأفراد المستوردين للمنتجات والتكنولوجيا من استعمال تلك الحقوق دون موافقة أصحابها، وبصفة خاصة براءات الاختراع، باعتبار أنَّ </w:t>
      </w:r>
      <w:r>
        <w:rPr>
          <w:rStyle w:val="None"/>
          <w:rFonts w:ascii="Arial Unicode MS" w:hAnsi="Arial Unicode MS" w:cs="Times New Roman" w:hint="cs"/>
          <w:sz w:val="24"/>
          <w:szCs w:val="24"/>
          <w:rtl/>
          <w:lang w:val="ar-SA"/>
        </w:rPr>
        <w:lastRenderedPageBreak/>
        <w:t xml:space="preserve">الاختراعات في وقتنا الحالي تمثل الأساس لإقامة الصناعات الحديثة في مجالات التنمية القائمة على التكنولوجيا والتقنيات المتقدمة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D5DB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لا بُدَّ من حماية حقوق المؤلف والحقوق المجاورة في البيئة الرقمية؛ وذلك من خلال العمل على نشر الوعي القانوني بهذه الحقوق بين المؤلفين ومستخدمي شبكة الإنترنت، وتفعيل الحماية القانونية من خلال إصدار تشريعات خاصة لحماية الحقوق في البيئة الرقمية، بالإضافة إلى وضع أنظمة موحدة تتبنى التدابير التقنية بمنع التحايل على وسائل الحماية الإلكترونية، كما ينبغي أيضًا الحد من النسخ غير المشروع للمصنفات الرقمية، وتفعيل العقود الإلكترونية؛ كوسيلة لحماية أصحاب الحقوق، وتحديد قانون واجب التطبيق والاختصاص القضائي للمؤلف في المنازعات الرقمية</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458"/>
      </w:r>
      <w:r>
        <w:rPr>
          <w:rStyle w:val="None"/>
          <w:rFonts w:ascii="Times New Roman" w:hAnsi="Times New Roman"/>
          <w:vertAlign w:val="superscript"/>
          <w:rtl/>
          <w:lang w:val="ar-SA"/>
        </w:rPr>
        <w:t>)</w:t>
      </w:r>
      <w:r>
        <w:rPr>
          <w:rStyle w:val="None"/>
          <w:rFonts w:ascii="Times New Roman" w:hAnsi="Times New Roman"/>
          <w:sz w:val="24"/>
          <w:szCs w:val="24"/>
          <w:rtl/>
          <w:lang w:val="ar-SA"/>
        </w:rPr>
        <w:t>.</w:t>
      </w:r>
    </w:p>
    <w:p w14:paraId="0349FC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حقوق الملكية الفكرية خاصةً في البيئة الرقمية، أصبحت ضرورةً استراتيجيةً تفرضها التحديات المعاصرة، الناتجة عن الانفتاح المعلوماتي وسهولة تداول المحتوى عبر الإنترنت، فإنَّ الاعتداءات المتكررة وصعوبة ملاحقة مرتبكيها بالوسائل التقليدية تتطلب إطارًا قانونيًا وتقنيًا متكاملًا يجمع بين نشر الوعي، وتفعيل الحماية القانونية، كما يجب تبني تدابير تقنية فعَّالة لمنع التحايل على الحقوق، فإنَّ وضع أنظمة موحدة وتحديد الاختصاص القضائي، بالإضافة إلى إنشاء هيئات متخصصة، يمثل أساسًا؛ لضمان حماية فعَّالة وردع الانتهاكات، فمن شأن هذه الجهود أنْ تحقق التوازن بين إتاحة المعرفة وتشجيع الابتكار، وصون الحقوق في فضاء رقمي آمن ومتطوِّر</w:t>
      </w:r>
      <w:r>
        <w:rPr>
          <w:rStyle w:val="None"/>
          <w:rFonts w:ascii="Times New Roman" w:hAnsi="Times New Roman"/>
          <w:sz w:val="24"/>
          <w:szCs w:val="24"/>
          <w:rtl/>
          <w:lang w:val="ar-SA"/>
        </w:rPr>
        <w:t>.</w:t>
      </w:r>
    </w:p>
    <w:p w14:paraId="48720FF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للحماية الجنائية</w:t>
      </w:r>
      <w:r>
        <w:rPr>
          <w:rStyle w:val="None"/>
          <w:rFonts w:ascii="Times New Roman" w:hAnsi="Times New Roman"/>
          <w:b/>
          <w:bCs/>
          <w:sz w:val="28"/>
          <w:szCs w:val="28"/>
          <w:rtl/>
          <w:lang w:val="ar-SA"/>
        </w:rPr>
        <w:t>:</w:t>
      </w:r>
    </w:p>
    <w:p w14:paraId="5ADA61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تستند الحماية الجنائية في أي نظام قانوني إلى نصوص نظامية محددة تضع الإطار القانوني؛ لتجريم الأفعال التي تمس المصالح المحمية وفرض العقوبات المناسبة، وتمثل هذه النصوص الأساس القانوني الذي يحدد نطاق الحماية، ويبين صور السلوك المجرم والجزاء المقرر له؛ ممَّا يضمن وضوح القاعدة الجنائية وفاعليتها في الردع في مجال حماية الملكية الفكرية، ويكتسب من وجود نصوص نظامية دقيقة أهميةً مضاعفةً، خاصةً في البيئة الرقمية التي تتسم بسرعة التطوُّر وتعدد وسائل الاعتداء</w:t>
      </w:r>
      <w:r>
        <w:rPr>
          <w:rStyle w:val="None"/>
          <w:rFonts w:ascii="Times New Roman" w:hAnsi="Times New Roman"/>
          <w:sz w:val="24"/>
          <w:szCs w:val="24"/>
          <w:rtl/>
          <w:lang w:val="ar-SA"/>
        </w:rPr>
        <w:t xml:space="preserve">. </w:t>
      </w:r>
    </w:p>
    <w:p w14:paraId="06D1B6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أوضح المنظم السعودي العقوبات الخاصة حقوق المؤلف من خلال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يعاقب كل من خالف حكمًا من أحكام هذا النظام بعقوبة أو أكثر من العقوبات الآتية</w:t>
      </w:r>
      <w:r>
        <w:rPr>
          <w:rStyle w:val="None"/>
          <w:rFonts w:ascii="Times New Roman" w:hAnsi="Times New Roman"/>
          <w:sz w:val="24"/>
          <w:szCs w:val="24"/>
          <w:rtl/>
          <w:lang w:val="ar-SA"/>
        </w:rPr>
        <w:t>:</w:t>
      </w:r>
    </w:p>
    <w:p w14:paraId="365DEB07" w14:textId="77777777" w:rsidR="00454428" w:rsidRDefault="00000000" w:rsidP="00C72BA8">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الإنذار</w:t>
      </w:r>
      <w:r>
        <w:rPr>
          <w:rStyle w:val="None"/>
          <w:rFonts w:ascii="Times New Roman" w:hAnsi="Times New Roman"/>
          <w:sz w:val="24"/>
          <w:szCs w:val="24"/>
          <w:rtl/>
          <w:lang w:val="ar-SA"/>
        </w:rPr>
        <w:t>.</w:t>
      </w:r>
    </w:p>
    <w:p w14:paraId="4C0E3340" w14:textId="77777777" w:rsidR="00454428" w:rsidRDefault="00000000" w:rsidP="00C72BA8">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غرامة مالية لا تزيد على مائتين وخمسين ألف ريالٍ</w:t>
      </w:r>
      <w:r>
        <w:rPr>
          <w:rStyle w:val="None"/>
          <w:rFonts w:ascii="Times New Roman" w:hAnsi="Times New Roman"/>
          <w:sz w:val="24"/>
          <w:szCs w:val="24"/>
          <w:rtl/>
          <w:lang w:val="ar-SA"/>
        </w:rPr>
        <w:t>.</w:t>
      </w:r>
    </w:p>
    <w:p w14:paraId="57D0F192" w14:textId="77777777" w:rsidR="00454428" w:rsidRDefault="00000000" w:rsidP="00C72BA8">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إغلاق المنشأة المتعدية أو التي ساهمت في الاعتداء على حق المؤلف مدة لا تزيد على شهرين</w:t>
      </w:r>
      <w:r>
        <w:rPr>
          <w:rStyle w:val="None"/>
          <w:rFonts w:ascii="Times New Roman" w:hAnsi="Times New Roman"/>
          <w:sz w:val="24"/>
          <w:szCs w:val="24"/>
          <w:rtl/>
          <w:lang w:val="ar-SA"/>
        </w:rPr>
        <w:t>.</w:t>
      </w:r>
    </w:p>
    <w:p w14:paraId="05D04748" w14:textId="77777777" w:rsidR="00454428" w:rsidRDefault="00000000" w:rsidP="00C72BA8">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مصادرة جميع نسخ المصنف، وكذا المواد المخصصة أو المستخدمة في ارتكاب التعدي على حق المؤلف</w:t>
      </w:r>
      <w:r>
        <w:rPr>
          <w:rStyle w:val="None"/>
          <w:rFonts w:ascii="Times New Roman" w:hAnsi="Times New Roman"/>
          <w:sz w:val="24"/>
          <w:szCs w:val="24"/>
          <w:rtl/>
          <w:lang w:val="ar-SA"/>
        </w:rPr>
        <w:t>.</w:t>
      </w:r>
    </w:p>
    <w:p w14:paraId="224B5572" w14:textId="77777777" w:rsidR="00454428" w:rsidRDefault="00000000" w:rsidP="00C72BA8">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السجن مدة لا تزيد على ستة أشهرٍ</w:t>
      </w:r>
      <w:r>
        <w:rPr>
          <w:rStyle w:val="None"/>
          <w:rFonts w:ascii="Times New Roman" w:hAnsi="Times New Roman"/>
          <w:sz w:val="24"/>
          <w:szCs w:val="24"/>
          <w:rtl/>
          <w:lang w:val="ar-SA"/>
        </w:rPr>
        <w:t>.</w:t>
      </w:r>
    </w:p>
    <w:p w14:paraId="3F19CA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حالة تكرار التعدي على المصنف نفسه أو غيره تجوز مضاعفة الحد الأعلى للعقوبة والغرامة والإغلاق</w:t>
      </w:r>
      <w:r>
        <w:rPr>
          <w:rStyle w:val="None"/>
          <w:rFonts w:ascii="Times New Roman" w:hAnsi="Times New Roman"/>
          <w:sz w:val="24"/>
          <w:szCs w:val="24"/>
          <w:rtl/>
          <w:lang w:val="ar-SA"/>
        </w:rPr>
        <w:t>.</w:t>
      </w:r>
    </w:p>
    <w:p w14:paraId="5B76E9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ثالثًا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إذا رأت اللجنة أنَّ المخالفة تستوجب عقوبة السجن أو غرامة مالية تزيد على مائة ألف ريالٍ، أو تستوجب شطب الترخيص، ترفع الموضوع للمجلس لإحالته إلى ديوان المظالم</w:t>
      </w:r>
      <w:r>
        <w:rPr>
          <w:rStyle w:val="None"/>
          <w:rFonts w:ascii="Times New Roman" w:hAnsi="Times New Roman"/>
          <w:sz w:val="24"/>
          <w:szCs w:val="24"/>
          <w:rtl/>
          <w:lang w:val="ar-SA"/>
        </w:rPr>
        <w:t>.</w:t>
      </w:r>
    </w:p>
    <w:p w14:paraId="7BE3C9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رابعًا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Pr>
          <w:rStyle w:val="None"/>
          <w:rFonts w:ascii="Times New Roman" w:hAnsi="Times New Roman"/>
          <w:sz w:val="24"/>
          <w:szCs w:val="24"/>
          <w:rtl/>
          <w:lang w:val="ar-SA"/>
        </w:rPr>
        <w:t>.</w:t>
      </w:r>
    </w:p>
    <w:p w14:paraId="6CB3A5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خامسًا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يجوز للجنة أنْ تضمن قرارها عقوبة التشهير بحق المعتدي، ويكون النشر على نفقته وبالطريقة التي تراها اللجنة مناسبة</w:t>
      </w:r>
      <w:r>
        <w:rPr>
          <w:rStyle w:val="None"/>
          <w:rFonts w:ascii="Times New Roman" w:hAnsi="Times New Roman"/>
          <w:sz w:val="24"/>
          <w:szCs w:val="24"/>
          <w:rtl/>
          <w:lang w:val="ar-SA"/>
        </w:rPr>
        <w:t>.</w:t>
      </w:r>
    </w:p>
    <w:p w14:paraId="42CFDBF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سادسًا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يجوز للجنة أنْ تضمن قرارها في تعليق مشاركة المنشأة المعتدية في الأنشطة، أو المناسبات، أو المعارض، إذا ضبطت المخالفة في مناسبة تجارية، على ألا تزيد مدة التعليق على عامين</w:t>
      </w:r>
      <w:r>
        <w:rPr>
          <w:rStyle w:val="None"/>
          <w:rFonts w:ascii="Times New Roman" w:hAnsi="Times New Roman"/>
          <w:sz w:val="24"/>
          <w:szCs w:val="24"/>
          <w:rtl/>
          <w:lang w:val="ar-SA"/>
        </w:rPr>
        <w:t>.</w:t>
      </w:r>
    </w:p>
    <w:p w14:paraId="3B371A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سابعًا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يجوز للجنة أنْ تصدر قرارًا مؤقتًا بوقف طبع المصنف المعتدى عليه، أو إنتاجه، أو نشره، أو توزيعه، وإجراء الحجز التحفظي على النسخ، والمواد، والصور التي استخرجت منه، أو القيام بأي إجراء مؤقت تراه ضروريًا لحماية حق المؤلف، وذلك إلى حين الفصل النهائي في الشكوى أو التظلم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C0282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أنشأ نظامًا متكاملًا لحماية حقوق المؤلف، يجمع بين العقوبات المالية والبدنية والتدابير؛ بما يحقق الردع العام والخاص، ويضمن صون الحقوق الفكرية، كما أتاح النص إمكانية تشديد العقوبة في حالات التكرار، ومنح اللجنة المختصة صلاحيات واسعة لاتخاذ إجراءات تحفظية أو مؤقتة؛ لحماية المصنفات من أي اعتداء حتى يتم البت في النزاع، ويمثل هذا الإطار القانوني خطوةً مهمةً في تعزيز الحماية الجنائية للملكية الفكرية، ومواكبة التحديات التي تفرضها البيئة الرقمية؛ ممَّا يساعد على خلق بيئة إبداعية آمنة تدعم الابتكار وتحترم حقوق المبدعين</w:t>
      </w:r>
      <w:r>
        <w:rPr>
          <w:rStyle w:val="None"/>
          <w:rFonts w:ascii="Times New Roman" w:hAnsi="Times New Roman"/>
          <w:sz w:val="24"/>
          <w:szCs w:val="24"/>
          <w:rtl/>
          <w:lang w:val="ar-SA"/>
        </w:rPr>
        <w:t>.</w:t>
      </w:r>
    </w:p>
    <w:p w14:paraId="17520B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العقوبات الخاصة بالعلامات التجارية في المادة </w:t>
      </w:r>
      <w:r>
        <w:rPr>
          <w:rStyle w:val="None"/>
          <w:rFonts w:ascii="Times New Roman" w:hAnsi="Times New Roman"/>
          <w:sz w:val="24"/>
          <w:szCs w:val="24"/>
          <w:rtl/>
          <w:lang w:val="ar-SA"/>
        </w:rPr>
        <w:t xml:space="preserve">(42)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w:t>
      </w:r>
    </w:p>
    <w:p w14:paraId="4194E147" w14:textId="77777777" w:rsidR="00454428" w:rsidRDefault="00000000" w:rsidP="00C72BA8">
      <w:pPr>
        <w:pStyle w:val="ListParagraph"/>
        <w:numPr>
          <w:ilvl w:val="0"/>
          <w:numId w:val="214"/>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ثلاث سنواتٍ وبغرامة لا تقل عن خمسة آلاف ريالٍ سعوديٍّ، أو ما يعادلها بعملات دول المجلس، ولا تزيد على مليون ريال أو بإحدى هاتين العقوبتين</w:t>
      </w:r>
      <w:r>
        <w:rPr>
          <w:rStyle w:val="None"/>
          <w:rFonts w:ascii="Times New Roman" w:hAnsi="Times New Roman"/>
          <w:sz w:val="24"/>
          <w:szCs w:val="24"/>
          <w:rtl/>
          <w:lang w:val="ar-SA"/>
        </w:rPr>
        <w:t>:</w:t>
      </w:r>
    </w:p>
    <w:p w14:paraId="079326B4" w14:textId="77777777" w:rsidR="00454428" w:rsidRDefault="00000000" w:rsidP="00C72BA8">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كلُّ من زوَّر علامةً تم تسجيلها طبقًا لهذا النظام، أو قلدها بطريقة تدعو إلى تضليل الجمهور، وكل من استعمل وهو سيء النية علامة مزورة أو مقلدة</w:t>
      </w:r>
      <w:r>
        <w:rPr>
          <w:rStyle w:val="None"/>
          <w:rFonts w:ascii="Times New Roman" w:hAnsi="Times New Roman"/>
          <w:sz w:val="24"/>
          <w:szCs w:val="24"/>
          <w:rtl/>
          <w:lang w:val="ar-SA"/>
        </w:rPr>
        <w:t>.</w:t>
      </w:r>
    </w:p>
    <w:p w14:paraId="33408CED" w14:textId="77777777" w:rsidR="00454428" w:rsidRDefault="00000000" w:rsidP="00C72BA8">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وضع وهو سيء النية على سلعة أو استعمل فيما يتعلق بخدماته علامة مملوكة لغيره</w:t>
      </w:r>
      <w:r>
        <w:rPr>
          <w:rStyle w:val="None"/>
          <w:rFonts w:ascii="Times New Roman" w:hAnsi="Times New Roman"/>
          <w:sz w:val="24"/>
          <w:szCs w:val="24"/>
          <w:rtl/>
          <w:lang w:val="ar-SA"/>
        </w:rPr>
        <w:t>.</w:t>
      </w:r>
    </w:p>
    <w:p w14:paraId="4E6B2927" w14:textId="77777777" w:rsidR="00454428" w:rsidRDefault="00000000" w:rsidP="00C72BA8">
      <w:pPr>
        <w:pStyle w:val="ListParagraph"/>
        <w:numPr>
          <w:ilvl w:val="0"/>
          <w:numId w:val="217"/>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سنة، وبغرامة لا تقل عن ألف ريالٍ سعوديٍّ، أو ما يعادلها بعملات دول المجلس ولا تزيد على مائة ألف ريال أو بإحدى هاتين العقوبتين</w:t>
      </w:r>
      <w:r>
        <w:rPr>
          <w:rStyle w:val="None"/>
          <w:rFonts w:ascii="Times New Roman" w:hAnsi="Times New Roman"/>
          <w:sz w:val="24"/>
          <w:szCs w:val="24"/>
          <w:rtl/>
          <w:lang w:val="ar-SA"/>
        </w:rPr>
        <w:t>:</w:t>
      </w:r>
    </w:p>
    <w:p w14:paraId="00169AD5" w14:textId="77777777" w:rsidR="00454428" w:rsidRDefault="00000000" w:rsidP="00C72BA8">
      <w:pPr>
        <w:pStyle w:val="ListParagraph"/>
        <w:numPr>
          <w:ilvl w:val="0"/>
          <w:numId w:val="21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باع، أو عرض للبيع، أو للتداول أو حاز بقصد البيع سلعًا عليها علامة مزورة؛ أو مقلدة، أو موضوعة، أو مستعملة بغير حق مع علمه بذلك، وكذلك كل من عرض خدمات في ظل هذه العلامة</w:t>
      </w:r>
      <w:r>
        <w:rPr>
          <w:rStyle w:val="None"/>
          <w:rFonts w:ascii="Times New Roman" w:hAnsi="Times New Roman"/>
          <w:sz w:val="24"/>
          <w:szCs w:val="24"/>
          <w:rtl/>
          <w:lang w:val="ar-SA"/>
        </w:rPr>
        <w:t>.</w:t>
      </w:r>
    </w:p>
    <w:p w14:paraId="7E3E92CD" w14:textId="77777777" w:rsidR="00454428" w:rsidRDefault="00000000" w:rsidP="00C72BA8">
      <w:pPr>
        <w:pStyle w:val="ListParagraph"/>
        <w:numPr>
          <w:ilvl w:val="0"/>
          <w:numId w:val="21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استعمل علامةً غير مسجلة في الأحوال المنصوص عليها في البنود </w:t>
      </w:r>
      <w:r>
        <w:rPr>
          <w:rStyle w:val="None"/>
          <w:rFonts w:ascii="Times New Roman" w:hAnsi="Times New Roman"/>
          <w:sz w:val="24"/>
          <w:szCs w:val="24"/>
          <w:rtl/>
          <w:lang w:val="ar-SA"/>
        </w:rPr>
        <w:t>(</w:t>
      </w:r>
      <w:r>
        <w:rPr>
          <w:rStyle w:val="None"/>
          <w:rFonts w:cs="Times New Roman"/>
          <w:sz w:val="24"/>
          <w:szCs w:val="24"/>
          <w:rtl/>
          <w:lang w:val="ar-SA"/>
        </w:rPr>
        <w:t xml:space="preserve">من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من المادة </w:t>
      </w:r>
      <w:r>
        <w:rPr>
          <w:rStyle w:val="None"/>
          <w:rFonts w:ascii="Times New Roman" w:hAnsi="Times New Roman"/>
          <w:sz w:val="24"/>
          <w:szCs w:val="24"/>
          <w:rtl/>
          <w:lang w:val="ar-SA"/>
        </w:rPr>
        <w:t>(3).</w:t>
      </w:r>
    </w:p>
    <w:p w14:paraId="4192AFDF" w14:textId="77777777" w:rsidR="00454428" w:rsidRDefault="00000000" w:rsidP="00C72BA8">
      <w:pPr>
        <w:pStyle w:val="ListParagraph"/>
        <w:numPr>
          <w:ilvl w:val="0"/>
          <w:numId w:val="21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دوَّن بغير حق على علامته، أو أوراقه، أو مستنداته التجارية ما يؤدي إلى الاعتقاد بحصول تسجيل العلامة</w:t>
      </w:r>
      <w:r>
        <w:rPr>
          <w:rStyle w:val="None"/>
          <w:rFonts w:ascii="Times New Roman" w:hAnsi="Times New Roman"/>
          <w:sz w:val="24"/>
          <w:szCs w:val="24"/>
          <w:rtl/>
          <w:lang w:val="ar-SA"/>
        </w:rPr>
        <w:t>.</w:t>
      </w:r>
    </w:p>
    <w:p w14:paraId="3371C69E" w14:textId="77777777" w:rsidR="00454428" w:rsidRDefault="00000000" w:rsidP="00C72BA8">
      <w:pPr>
        <w:pStyle w:val="ListParagraph"/>
        <w:numPr>
          <w:ilvl w:val="0"/>
          <w:numId w:val="21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تعمد وهو سيء النية إغفال وضع علامته التجارية المسجلة على السلع أو الخدمات التي تميزها</w:t>
      </w:r>
      <w:r>
        <w:rPr>
          <w:rStyle w:val="None"/>
          <w:rFonts w:ascii="Times New Roman" w:hAnsi="Times New Roman"/>
          <w:sz w:val="24"/>
          <w:szCs w:val="24"/>
          <w:rtl/>
          <w:lang w:val="ar-SA"/>
        </w:rPr>
        <w:t>.</w:t>
      </w:r>
    </w:p>
    <w:p w14:paraId="2EDD759D" w14:textId="77777777" w:rsidR="00454428" w:rsidRDefault="00000000" w:rsidP="00C72BA8">
      <w:pPr>
        <w:pStyle w:val="ListParagraph"/>
        <w:numPr>
          <w:ilvl w:val="0"/>
          <w:numId w:val="21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حاز أدوات أو مواد بقصد استعمالها في تقليد أو تزوير العلامات التجارية المسجلة أو المشهورة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0F5D6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أرسى نظامًا صارمًا لحماية العلامات التجارية؛ يهدف إلى مواجهة جميع أشكال التزوير والتقليد والاستعمال غير المشروع، سواء في مراحل الإنتاج أو العرض أو التداول، وقد جمع النص بين الجزاءات السالبة للحرية والعقوبات المالية، مع تشديدها في حالات سوء النية؛ ممَّا يحقق ردعًا فعَّالًا، ويحافظ على الثقة في السوق، ويحمي المستهلكين من التضليل، كما أنَّ هذه العقوبات تأخذ في الاعتبار خطورة الفعل وتأثيره على المنافسة المشروعة؛ ممَّا يجعلها أداةً أساسيةً لتعزيز بيئة تجارية نزيهة وحماية حقوق أصحاب العلامات تجاه التحديات التقليدية والرقمية على حد سواء</w:t>
      </w:r>
      <w:r>
        <w:rPr>
          <w:rStyle w:val="None"/>
          <w:rFonts w:ascii="Times New Roman" w:hAnsi="Times New Roman"/>
          <w:sz w:val="24"/>
          <w:szCs w:val="24"/>
          <w:rtl/>
          <w:lang w:val="ar-SA"/>
        </w:rPr>
        <w:t xml:space="preserve">. </w:t>
      </w:r>
    </w:p>
    <w:p w14:paraId="7226B4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عقوبةَ العود من خلال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حالة العود يعاقب العائد بعقوبة لا تزيد عن ضعف الحد الأقصى للعقوبة المقررة للمخالفة، مع إغلاق المحل التجاري أو المشروع لمدة لا تقل عن خمسة عشر يومًا، ولا تزيد عن ستة أشهرٍ، مع نشر الحكم على نفقة المخالف وفقًا للإجراءات التي تحددها اللائحة التنفيذية</w:t>
      </w:r>
      <w:r>
        <w:rPr>
          <w:rStyle w:val="None"/>
          <w:rFonts w:ascii="Times New Roman" w:hAnsi="Times New Roman"/>
          <w:sz w:val="24"/>
          <w:szCs w:val="24"/>
          <w:rtl/>
          <w:lang w:val="ar-SA"/>
        </w:rPr>
        <w:t>.</w:t>
      </w:r>
    </w:p>
    <w:p w14:paraId="51DCBE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عائدًا في تطبيق أحكام هذا النظام من حكم عليه في مخالفة من المخالفات المنصوص عليه فيه وعاد إلى ارتكاب مخالفةً أخرى مماثلةً خلال ثلاث سنواتٍ من تاريخ الحكم عليه نهائيًا في المخالفة السابقة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90D0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شدد الجزاء في حالة العود؛ وذلك إدراكًا منه لخطورة تكرار المخالفة، وما تمثله من استخفاف بالقوانين والأنظمة، فقد أتاح النص مضاعفة الحد الأقصى للعقوبة المقررة، بالإضافة إلى إمكانية إغلاق المحل التجاري أو المشروع لفترة محددة، مع نشر الحكم على نفقة المخالف؛ ممَّا يعزّز من الردع العام والخاص، كما حدد النظام مفهوم العود بدقة؛ لضمان وضوع التطبيق؛ ممَّا يعكس حرص المشرع على مواجهة المخالفات الممنهجة وحماية بيئة التجارة من الممارسات غير المشروعة</w:t>
      </w:r>
      <w:r>
        <w:rPr>
          <w:rStyle w:val="None"/>
          <w:rFonts w:ascii="Times New Roman" w:hAnsi="Times New Roman"/>
          <w:sz w:val="24"/>
          <w:szCs w:val="24"/>
          <w:rtl/>
          <w:lang w:val="ar-SA"/>
        </w:rPr>
        <w:t>.</w:t>
      </w:r>
    </w:p>
    <w:p w14:paraId="7AA765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ورغم ذلك لا زالت العقوبات المقررة على انتهاك حق المؤلف غير كافية لتحقيق الردع الفعلي مع الوضع في الاعتبار صعوبة مطاردة منتهكي حقوق الملكية خصوصا إن كانت الاعتداء واقع في دولة أخرى، الأمر ا لذي يتطلب تشديد العقوبات المقررة على الجرائم المتعلقة بانتهاك حقوق الملكية الفكرية</w:t>
      </w:r>
      <w:r>
        <w:rPr>
          <w:rStyle w:val="None"/>
          <w:rFonts w:ascii="Times New Roman" w:hAnsi="Times New Roman"/>
          <w:sz w:val="24"/>
          <w:szCs w:val="24"/>
          <w:rtl/>
          <w:lang w:val="ar-SA"/>
        </w:rPr>
        <w:t>.</w:t>
      </w:r>
    </w:p>
    <w:p w14:paraId="02E3154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CB2EE1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7660C1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0EB476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D1FA50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0A7FC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D55E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FA744D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F090CC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93B0C5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795684A1"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2B18D1"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B63B4D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B1E38D5"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E7DE07E" w14:textId="77777777" w:rsidR="00C72BA8" w:rsidRDefault="00C72BA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25A30142" w14:textId="77777777" w:rsidR="00C72BA8" w:rsidRDefault="00C72BA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75B6CA0B" w14:textId="77777777" w:rsidR="00C72BA8" w:rsidRDefault="00C72BA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1C79010" w14:textId="77777777" w:rsidR="00C72BA8" w:rsidRDefault="00C72BA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BE8C4A6" w14:textId="77777777" w:rsidR="00C72BA8" w:rsidRDefault="00C72BA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772636" w14:textId="77777777" w:rsidR="00454428" w:rsidRDefault="00000000" w:rsidP="00C72BA8">
      <w:pPr>
        <w:pStyle w:val="a"/>
        <w:rPr>
          <w:rStyle w:val="None"/>
          <w:lang w:val="ar-SA"/>
        </w:rPr>
      </w:pPr>
      <w:bookmarkStart w:id="136" w:name="_Toc88"/>
      <w:r>
        <w:rPr>
          <w:rStyle w:val="None"/>
          <w:rFonts w:ascii="Arial Unicode MS" w:eastAsia="Arial Unicode MS" w:hAnsi="Arial Unicode MS" w:hint="cs"/>
          <w:rtl/>
          <w:lang w:val="ar-SA"/>
        </w:rPr>
        <w:lastRenderedPageBreak/>
        <w:t>المطلب الثاني</w:t>
      </w:r>
      <w:bookmarkEnd w:id="136"/>
    </w:p>
    <w:p w14:paraId="4301AF7F" w14:textId="77777777" w:rsidR="00454428" w:rsidRDefault="00000000" w:rsidP="00C72BA8">
      <w:pPr>
        <w:pStyle w:val="a"/>
        <w:rPr>
          <w:rStyle w:val="None"/>
          <w:lang w:val="ar-SA"/>
        </w:rPr>
      </w:pPr>
      <w:bookmarkStart w:id="137" w:name="_Toc89"/>
      <w:r>
        <w:rPr>
          <w:rStyle w:val="None"/>
          <w:rFonts w:ascii="Arial Unicode MS" w:eastAsia="Arial Unicode MS" w:hAnsi="Arial Unicode MS" w:hint="cs"/>
          <w:rtl/>
          <w:lang w:val="ar-SA"/>
        </w:rPr>
        <w:t>الحماية الجنائية للملكية الفكرية في البيئة الرقمية في النظامين الفَرنسي والأمريكي</w:t>
      </w:r>
      <w:bookmarkEnd w:id="137"/>
    </w:p>
    <w:p w14:paraId="32B678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تشكيل مجتمع المعلومات إلى إزالة الطابع المادي لحماية حقوق الملكية الفكرية، وتكتسب الكيانات العاملة في البيئة الرقمية وضعًا قانونيًا معينًا كمشاركين فرديين في هذه العلاقات القانونية، ويعود ذلك إلى تعديلات قانون حقوق التأليف والنشر، وقد أدى تطبيق الرقمنة حتمًا إلى تحول جذري؛ ممَّا تطلب تعديل الإطار القانوني لحقوق التأليف والنشر، الذي كان قائمًا سابقًا على الأصول الملموسة، ويتضمن قانون الملكية الفكرية مجموعةً من قواعد القانون المدني وقانون المعلومات التي تنظم علاقة الاعتراف بالتأليف وحماية أعمال العلوم، والأدب، والفنون، وتتزايد أهمية حماية الملكية الفكرية من الجريمة بشكل خاص مع تطوُّر السوق العالمية للتقنيات المتقدمة؛ ممَّا يتطلب توفير الحماية الجنائية للملكية الفكرية</w:t>
      </w:r>
      <w:r>
        <w:rPr>
          <w:rStyle w:val="None"/>
          <w:rFonts w:ascii="Times New Roman" w:hAnsi="Times New Roman"/>
          <w:sz w:val="24"/>
          <w:szCs w:val="24"/>
          <w:rtl/>
          <w:lang w:val="ar-SA"/>
        </w:rPr>
        <w:t>.(</w:t>
      </w:r>
      <w:r>
        <w:rPr>
          <w:rStyle w:val="None"/>
          <w:rFonts w:ascii="Times New Roman" w:eastAsia="Times New Roman" w:hAnsi="Times New Roman" w:cs="Times New Roman"/>
          <w:sz w:val="24"/>
          <w:szCs w:val="24"/>
          <w:lang w:val="ar-SA"/>
        </w:rPr>
        <w:footnoteReference w:id="462"/>
      </w:r>
      <w:r>
        <w:rPr>
          <w:rStyle w:val="None"/>
          <w:rFonts w:ascii="Times New Roman" w:hAnsi="Times New Roman"/>
          <w:sz w:val="24"/>
          <w:szCs w:val="24"/>
          <w:rtl/>
          <w:lang w:val="ar-SA"/>
        </w:rPr>
        <w:t>)</w:t>
      </w:r>
    </w:p>
    <w:p w14:paraId="1D422607"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وتُوفر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النشر، وبراءات الاختراع، والعلامات التجارية، وما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الحماية القانونية التي يعتمد عليها المؤلفون، والمخترعون، والشركات، والباحثون، وغيرهم لحماية إبداعاتهم، وتُحدد حقوق الملكية الفكرية الاستخدام القانوني للعمل الإبداعي،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ضرورية لضمان مكافأة المؤلفين على جهودهم،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أثار ظهور الإنترنت تحديًا جديدًا وغير متوقع؛ ممَّا زاد من صعوبة تحقيق التوازن، وعزّز بيئةً شديدة الحماية تُعتبر فيها الأعمال مماثلةً للخصائص المادية، مع منح أصحاب الحقوق سيطرةً واسعةً عليها، وهو ما تطلب توفير الحماية الجنائية للملكية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3"/>
      </w:r>
      <w:r>
        <w:rPr>
          <w:rStyle w:val="None"/>
          <w:rFonts w:ascii="Times New Roman" w:hAnsi="Times New Roman"/>
          <w:sz w:val="24"/>
          <w:szCs w:val="24"/>
          <w:vertAlign w:val="superscript"/>
          <w:rtl/>
          <w:lang w:val="ar-SA"/>
        </w:rPr>
        <w:t>)</w:t>
      </w:r>
    </w:p>
    <w:p w14:paraId="0DB9A5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جميع حقوق الملكية الفكرية إلى ثلاث فئاتٍ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وتُعَدُّ حقوق الطبع والنشر من أصعب المفاهيم فهمًا في العالم الرقمي، وذلك لسببين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تسمح الوسائط الرقمية بطبيعتها بإعادة إنتاج مثالية ومنخفضة التكلفة للمواد المحمية بحقوق الطبع والنشر،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تستند معظم نماذج الأعمال المتعلقة بالبيانات الرقمية إلى افتراض أنَّ</w:t>
      </w:r>
      <w:r>
        <w:rPr>
          <w:rStyle w:val="None"/>
          <w:rFonts w:ascii="Times New Roman" w:hAnsi="Times New Roman"/>
          <w:sz w:val="24"/>
          <w:szCs w:val="24"/>
          <w:rtl/>
          <w:lang w:val="ar-SA"/>
        </w:rPr>
        <w:t xml:space="preserve">: (1) </w:t>
      </w:r>
      <w:r>
        <w:rPr>
          <w:rStyle w:val="None"/>
          <w:rFonts w:ascii="Arial Unicode MS" w:hAnsi="Arial Unicode MS" w:cs="Times New Roman" w:hint="cs"/>
          <w:sz w:val="24"/>
          <w:szCs w:val="24"/>
          <w:rtl/>
          <w:lang w:val="ar-SA"/>
        </w:rPr>
        <w:t xml:space="preserve">المنتج يمتلك حقوق الطبع والنشر على بعض أو كل البيانات،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يمكن لمالك البيانات المحمية بحقوق الطبع والنشر إنشاء شبكة من العقود التي تُحيط بالبيانات نفسها وأدوات عرضها وتعديلها،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يجب أنْ يُدرك مُصمم الملكية الرقمية أنَّه يتمتع بحرية اختيار إعلان العمل المُنتج كحقوق طبع ونشر، ولكل نوع من أنواع الملكية الفكرية قواعد مُختلفة تُنظم إصداره ومدته وانتهاكه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4"/>
      </w:r>
      <w:r>
        <w:rPr>
          <w:rStyle w:val="None"/>
          <w:rFonts w:ascii="Times New Roman" w:hAnsi="Times New Roman"/>
          <w:sz w:val="24"/>
          <w:szCs w:val="24"/>
          <w:vertAlign w:val="superscript"/>
          <w:rtl/>
          <w:lang w:val="ar-SA"/>
        </w:rPr>
        <w:t>)</w:t>
      </w:r>
    </w:p>
    <w:p w14:paraId="26167EA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480475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E12E9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فقد تُقسّم حقوق الملكية الفكرية عادةً إلى قسمين رئيسيين</w:t>
      </w:r>
      <w:r>
        <w:rPr>
          <w:rStyle w:val="None"/>
          <w:rFonts w:ascii="Times New Roman" w:hAnsi="Times New Roman"/>
          <w:b/>
          <w:bCs/>
          <w:sz w:val="24"/>
          <w:szCs w:val="24"/>
          <w:rtl/>
          <w:lang w:val="ar-SA"/>
        </w:rPr>
        <w:t>:</w:t>
      </w:r>
      <w:r>
        <w:rPr>
          <w:rStyle w:val="None"/>
          <w:rFonts w:ascii="Times New Roman" w:hAnsi="Times New Roman"/>
          <w:b/>
          <w:bCs/>
          <w:sz w:val="24"/>
          <w:szCs w:val="24"/>
          <w:vertAlign w:val="superscript"/>
          <w:rtl/>
          <w:lang w:val="ar-SA"/>
        </w:rPr>
        <w:t xml:space="preserve"> (</w:t>
      </w:r>
      <w:r>
        <w:rPr>
          <w:rStyle w:val="None"/>
          <w:rFonts w:ascii="Times New Roman" w:eastAsia="Times New Roman" w:hAnsi="Times New Roman" w:cs="Times New Roman"/>
          <w:b/>
          <w:bCs/>
          <w:sz w:val="24"/>
          <w:szCs w:val="24"/>
          <w:vertAlign w:val="superscript"/>
          <w:lang w:val="ar-SA"/>
        </w:rPr>
        <w:footnoteReference w:id="465"/>
      </w:r>
      <w:r>
        <w:rPr>
          <w:rStyle w:val="None"/>
          <w:rFonts w:ascii="Times New Roman" w:hAnsi="Times New Roman"/>
          <w:b/>
          <w:bCs/>
          <w:sz w:val="24"/>
          <w:szCs w:val="24"/>
          <w:vertAlign w:val="superscript"/>
          <w:rtl/>
          <w:lang w:val="ar-SA"/>
        </w:rPr>
        <w:t>)</w:t>
      </w:r>
    </w:p>
    <w:p w14:paraId="669F1C61" w14:textId="77777777" w:rsidR="00454428" w:rsidRDefault="00000000" w:rsidP="00C72BA8">
      <w:pPr>
        <w:pStyle w:val="ListParagraph"/>
        <w:numPr>
          <w:ilvl w:val="0"/>
          <w:numId w:val="22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المؤلف والحقوق المرتبطة 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تتمتع حقوق مؤلفي الأعمال الأدبية والفنية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الأخرى، والمقطوعات الموسيقية، واللوحات، والمنحوتات، وبرامج الحاسوب، والأفلام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بالحماية بموجب حق المؤلف، لمدة لا تقل عن </w:t>
      </w:r>
      <w:r>
        <w:rPr>
          <w:rStyle w:val="None"/>
          <w:rFonts w:ascii="Times New Roman" w:hAnsi="Times New Roman"/>
          <w:sz w:val="24"/>
          <w:szCs w:val="24"/>
          <w:rtl/>
          <w:lang w:val="ar-SA"/>
        </w:rPr>
        <w:t xml:space="preserve">50 </w:t>
      </w:r>
      <w:r>
        <w:rPr>
          <w:rStyle w:val="None"/>
          <w:rFonts w:cs="Times New Roman"/>
          <w:sz w:val="24"/>
          <w:szCs w:val="24"/>
          <w:rtl/>
          <w:lang w:val="ar-SA"/>
        </w:rPr>
        <w:t xml:space="preserve">عامًا بعد وفاة المؤلف، كما يتمتع فنانو الأداء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الممثلين، والمغنين، والموسيقيين</w:t>
      </w:r>
      <w:r>
        <w:rPr>
          <w:rStyle w:val="None"/>
          <w:rFonts w:ascii="Times New Roman" w:hAnsi="Times New Roman"/>
          <w:sz w:val="24"/>
          <w:szCs w:val="24"/>
          <w:rtl/>
          <w:lang w:val="ar-SA"/>
        </w:rPr>
        <w:t>)</w:t>
      </w:r>
      <w:r>
        <w:rPr>
          <w:rStyle w:val="None"/>
          <w:rFonts w:cs="Times New Roman"/>
          <w:sz w:val="24"/>
          <w:szCs w:val="24"/>
          <w:rtl/>
          <w:lang w:val="ar-SA"/>
        </w:rPr>
        <w:t xml:space="preserve">، ومنتجو التسجيلات الصوتية </w:t>
      </w:r>
      <w:r>
        <w:rPr>
          <w:rStyle w:val="None"/>
          <w:rFonts w:ascii="Times New Roman" w:hAnsi="Times New Roman"/>
          <w:sz w:val="24"/>
          <w:szCs w:val="24"/>
          <w:rtl/>
          <w:lang w:val="ar-SA"/>
        </w:rPr>
        <w:t>(</w:t>
      </w:r>
      <w:r>
        <w:rPr>
          <w:rStyle w:val="None"/>
          <w:rFonts w:cs="Times New Roman"/>
          <w:sz w:val="24"/>
          <w:szCs w:val="24"/>
          <w:rtl/>
          <w:lang w:val="ar-SA"/>
        </w:rPr>
        <w:t>التسجيلات الصوتية</w:t>
      </w:r>
      <w:r>
        <w:rPr>
          <w:rStyle w:val="None"/>
          <w:rFonts w:ascii="Times New Roman" w:hAnsi="Times New Roman"/>
          <w:sz w:val="24"/>
          <w:szCs w:val="24"/>
          <w:rtl/>
          <w:lang w:val="ar-SA"/>
        </w:rPr>
        <w:t>)</w:t>
      </w:r>
      <w:r>
        <w:rPr>
          <w:rStyle w:val="None"/>
          <w:rFonts w:cs="Times New Roman"/>
          <w:sz w:val="24"/>
          <w:szCs w:val="24"/>
          <w:rtl/>
          <w:lang w:val="ar-SA"/>
        </w:rPr>
        <w:t>، وهيئات البث بالحماية بموجب حق المؤلف والحقوق المجاورة، ويتمثل الهدف الاجتماعي الرئيسي لحماية حق المؤلف والحقوق المرتبطة به في تشجيع العمل الإبداعي ومكافأته</w:t>
      </w:r>
      <w:r>
        <w:rPr>
          <w:rStyle w:val="None"/>
          <w:rFonts w:ascii="Times New Roman" w:hAnsi="Times New Roman"/>
          <w:sz w:val="24"/>
          <w:szCs w:val="24"/>
          <w:rtl/>
          <w:lang w:val="ar-SA"/>
        </w:rPr>
        <w:t>.</w:t>
      </w:r>
    </w:p>
    <w:p w14:paraId="0110B226" w14:textId="77777777" w:rsidR="00454428" w:rsidRDefault="00000000" w:rsidP="00C72BA8">
      <w:pPr>
        <w:pStyle w:val="ListParagraph"/>
        <w:numPr>
          <w:ilvl w:val="0"/>
          <w:numId w:val="22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الملكية الصناعية</w:t>
      </w:r>
      <w:r>
        <w:rPr>
          <w:rStyle w:val="None"/>
          <w:rFonts w:ascii="Times New Roman" w:hAnsi="Times New Roman"/>
          <w:b/>
          <w:bCs/>
          <w:sz w:val="24"/>
          <w:szCs w:val="24"/>
          <w:rtl/>
          <w:lang w:val="ar-SA"/>
        </w:rPr>
        <w:t>:</w:t>
      </w:r>
      <w:r>
        <w:rPr>
          <w:rStyle w:val="None"/>
          <w:rFonts w:cs="Times New Roman"/>
          <w:sz w:val="24"/>
          <w:szCs w:val="24"/>
          <w:rtl/>
          <w:lang w:val="ar-SA"/>
        </w:rPr>
        <w:t xml:space="preserve"> يمكن تقسيم الملكية الصناعية إلى مجالين رئيسيين</w:t>
      </w:r>
      <w:r>
        <w:rPr>
          <w:rStyle w:val="None"/>
          <w:rFonts w:ascii="Times New Roman" w:hAnsi="Times New Roman"/>
          <w:sz w:val="24"/>
          <w:szCs w:val="24"/>
          <w:rtl/>
          <w:lang w:val="ar-SA"/>
        </w:rPr>
        <w:t xml:space="preserve">: </w:t>
      </w:r>
      <w:r>
        <w:rPr>
          <w:rStyle w:val="None"/>
          <w:rFonts w:cs="Times New Roman"/>
          <w:sz w:val="24"/>
          <w:szCs w:val="24"/>
          <w:rtl/>
          <w:lang w:val="ar-SA"/>
        </w:rPr>
        <w:t>يُعرّف المجال الأول بأنَّه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حماية العلامات المميزة، وتحديدًا العلامات التجارية </w:t>
      </w:r>
      <w:r>
        <w:rPr>
          <w:rStyle w:val="None"/>
          <w:rFonts w:ascii="Times New Roman" w:hAnsi="Times New Roman"/>
          <w:sz w:val="24"/>
          <w:szCs w:val="24"/>
          <w:rtl/>
          <w:lang w:val="ar-SA"/>
        </w:rPr>
        <w:t>(</w:t>
      </w:r>
      <w:r>
        <w:rPr>
          <w:rStyle w:val="None"/>
          <w:rFonts w:cs="Times New Roman"/>
          <w:sz w:val="24"/>
          <w:szCs w:val="24"/>
          <w:rtl/>
          <w:lang w:val="ar-SA"/>
        </w:rPr>
        <w:t>التي تُميّز سلع أو خدمات منشأة ما عن سلع أو خدمات منشآت أخرى</w:t>
      </w:r>
      <w:r>
        <w:rPr>
          <w:rStyle w:val="None"/>
          <w:rFonts w:ascii="Times New Roman" w:hAnsi="Times New Roman"/>
          <w:sz w:val="24"/>
          <w:szCs w:val="24"/>
          <w:rtl/>
          <w:lang w:val="ar-SA"/>
        </w:rPr>
        <w:t>)</w:t>
      </w:r>
      <w:r>
        <w:rPr>
          <w:rStyle w:val="None"/>
          <w:rFonts w:cs="Times New Roman"/>
          <w:sz w:val="24"/>
          <w:szCs w:val="24"/>
          <w:rtl/>
          <w:lang w:val="ar-SA"/>
        </w:rPr>
        <w:t xml:space="preserve">، والمؤشرات الجغرافية </w:t>
      </w:r>
      <w:r>
        <w:rPr>
          <w:rStyle w:val="None"/>
          <w:rFonts w:ascii="Times New Roman" w:hAnsi="Times New Roman"/>
          <w:sz w:val="24"/>
          <w:szCs w:val="24"/>
          <w:rtl/>
          <w:lang w:val="ar-SA"/>
        </w:rPr>
        <w:t>(</w:t>
      </w:r>
      <w:r>
        <w:rPr>
          <w:rStyle w:val="None"/>
          <w:rFonts w:cs="Times New Roman"/>
          <w:sz w:val="24"/>
          <w:szCs w:val="24"/>
          <w:rtl/>
          <w:lang w:val="ar-SA"/>
        </w:rPr>
        <w:t>التي تُعرّف السلعة بأنَّها صادرة من مكان تُعزى فيه سمة مُحددة للسلعة أساسًا إلى منشأها الجغرافي</w:t>
      </w:r>
      <w:r>
        <w:rPr>
          <w:rStyle w:val="None"/>
          <w:rFonts w:ascii="Times New Roman" w:hAnsi="Times New Roman"/>
          <w:sz w:val="24"/>
          <w:szCs w:val="24"/>
          <w:rtl/>
          <w:lang w:val="ar-SA"/>
        </w:rPr>
        <w:t>)</w:t>
      </w:r>
      <w:r>
        <w:rPr>
          <w:rStyle w:val="None"/>
          <w:rFonts w:cs="Times New Roman"/>
          <w:sz w:val="24"/>
          <w:szCs w:val="24"/>
          <w:rtl/>
          <w:lang w:val="ar-SA"/>
        </w:rPr>
        <w:t>، وتهدف حماية هذه العلامات المميزة إلى تحفيز وضمان المنافسة العادلة، وحماية المستهلكين، من خلال تمكينهم من اتخاذ خياراتٍ مدروسةٍ بين مختلف السلع والخدمات، ويجوز أنْ تستمر الحماية لأجل غير مسمى، شريطة أنْ تظل العلامة المعنية مميزةً</w:t>
      </w:r>
      <w:r>
        <w:rPr>
          <w:rStyle w:val="None"/>
          <w:rFonts w:ascii="Times New Roman" w:hAnsi="Times New Roman"/>
          <w:sz w:val="24"/>
          <w:szCs w:val="24"/>
          <w:rtl/>
          <w:lang w:val="ar-SA"/>
        </w:rPr>
        <w:t>.</w:t>
      </w:r>
    </w:p>
    <w:p w14:paraId="788F07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الملكية الفكرية جميع أنواع الإبداعات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الاختراعات الصناعية، والأعمال الأدبية والفنية، والتصاميم الصناعية، أو الرموز والأسماء والصور المميزة المستخدمة في التجارة، وتتمتع الملكية الفكرية بحماية قانونية بموجب حقوق حصرية، وتنقسم هذه الحقوق عادةً إلى فئتين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وحقوق التأليف والنشر، 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براءات الاختراع، والعلامات التجارية، والتصاميم الصناعية، أما حقوق التأليف والنشر، فتشمل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جميع أنواع الأعمال الفنية،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الكتابات، والموسيقى، والأفلام، واللوحات، والمنحوتات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6"/>
      </w:r>
      <w:r>
        <w:rPr>
          <w:rStyle w:val="None"/>
          <w:rFonts w:ascii="Times New Roman" w:hAnsi="Times New Roman"/>
          <w:sz w:val="24"/>
          <w:szCs w:val="24"/>
          <w:vertAlign w:val="superscript"/>
          <w:rtl/>
          <w:lang w:val="ar-SA"/>
        </w:rPr>
        <w:t>)</w:t>
      </w:r>
    </w:p>
    <w:p w14:paraId="14ABAEEF" w14:textId="6816D9CA" w:rsidR="00454428" w:rsidRPr="00C72BA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تخضع الملكية الفكرية في البيئات الرقمية وأنظمة الحاسوب أيضًا للحماية القانونية، وتحظى هذه الحقوق بالحماية بشكل رئيسي بموجب قانون حقوق الملكية، ويمكن لبعضها أنْ يحظى أيضًا بحماية براءات الاختراع، وقد تتمتع الخصائص التقنية لبرامج الحاسوب، أي مزيج الأجهزة والبرمجيات، بحماية قانونية بموجب براءات الاختراع، ويخضع برنامج الحاسوب، باعتباره ترتيبًا للأحرف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الأصفار والآحاد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للحماية كعمل أدبي وحماية بموجب قانون حقوق النشر، كما تتمتع بعض عناصر الملكية الفكرية في البيئة الرقمية بحماية خاصة، والتي يمكن استخدامها كحماية مستقلة أو مكملة </w:t>
      </w:r>
      <w:r>
        <w:rPr>
          <w:rStyle w:val="None"/>
          <w:rFonts w:ascii="Arial Unicode MS" w:hAnsi="Arial Unicode MS" w:cs="Times New Roman" w:hint="cs"/>
          <w:sz w:val="24"/>
          <w:szCs w:val="24"/>
          <w:rtl/>
          <w:lang w:val="ar-SA"/>
        </w:rPr>
        <w:lastRenderedPageBreak/>
        <w:t>لقانون حقوق النشر، ويتحقق الربح المادي لعناصر الملكية الفكرية في البيئة الرقمية من خلال إدارة الحقوق على هذه العناصر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7"/>
      </w:r>
      <w:r>
        <w:rPr>
          <w:rStyle w:val="None"/>
          <w:rFonts w:ascii="Times New Roman" w:hAnsi="Times New Roman"/>
          <w:sz w:val="24"/>
          <w:szCs w:val="24"/>
          <w:vertAlign w:val="superscript"/>
          <w:rtl/>
          <w:lang w:val="ar-SA"/>
        </w:rPr>
        <w:t>)</w:t>
      </w:r>
    </w:p>
    <w:p w14:paraId="1962B402"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الأمريكي</w:t>
      </w:r>
      <w:r>
        <w:rPr>
          <w:rStyle w:val="None"/>
          <w:rFonts w:ascii="Times New Roman" w:hAnsi="Times New Roman"/>
          <w:b/>
          <w:bCs/>
          <w:sz w:val="24"/>
          <w:szCs w:val="24"/>
          <w:rtl/>
          <w:lang w:val="ar-SA"/>
        </w:rPr>
        <w:t>:</w:t>
      </w:r>
    </w:p>
    <w:p w14:paraId="7AA078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ساهم التقدم التكنولوجي وتغيرات البيئة الاقتصادية في تطوُّر حقوق الملكية الفكرية في الولايات المتحدة الأمريكية؛ حيث توسع نطاق حماية حقوق النشر ليشمل الوسائط الرقمية؛ ممَّا يعكس الأهمية المتزايدة للمحتوى الرقمي، وشهدت طلبات براءات الاختراع المتعلقة بالابتكارات التكنولوجية والبرمجية زيادة ملحوظة؛ ممَّا يُبرز دور براءات الاختراع في حماية التقدم التكنولوجي، كما شهدت تسجيلات العلامات التجارية ارتفاعًا ملحوظًا؛ نتيجةً لعولمة الأسواق المتزايدة وظهور التجارة الإلكترونية؛ ممَّا يؤكد أهمية حماية العلامات التجارية، وتُؤكد هذه التطوُّرات على ضرورة تكييف حقوق الملكية الفكرية لمواكبة التقنيات الناشئة وبيئات العمل المتغيرة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8"/>
      </w:r>
      <w:r>
        <w:rPr>
          <w:rStyle w:val="None"/>
          <w:rFonts w:ascii="Times New Roman" w:hAnsi="Times New Roman"/>
          <w:sz w:val="24"/>
          <w:szCs w:val="24"/>
          <w:vertAlign w:val="superscript"/>
          <w:rtl/>
          <w:lang w:val="ar-SA"/>
        </w:rPr>
        <w:t>)</w:t>
      </w:r>
    </w:p>
    <w:p w14:paraId="793BED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إنشاء نظام براءات الاختراع الحديث أحد أهمّ الإنجازات في تاريخ حماية الملكية الفكرية، ففي عام </w:t>
      </w:r>
      <w:r>
        <w:rPr>
          <w:rStyle w:val="None"/>
          <w:rFonts w:ascii="Times New Roman" w:hAnsi="Times New Roman"/>
          <w:sz w:val="24"/>
          <w:szCs w:val="24"/>
          <w:rtl/>
          <w:lang w:val="ar-SA"/>
        </w:rPr>
        <w:t>1790</w:t>
      </w:r>
      <w:r>
        <w:rPr>
          <w:rStyle w:val="None"/>
          <w:rFonts w:ascii="Arial Unicode MS" w:hAnsi="Arial Unicode MS" w:cs="Times New Roman" w:hint="cs"/>
          <w:sz w:val="24"/>
          <w:szCs w:val="24"/>
          <w:rtl/>
          <w:lang w:val="ar-SA"/>
        </w:rPr>
        <w:t xml:space="preserve">، أصدرت الولايات المتحدة قانون براءات الاختراع، وشهد قانون حقوق الطبع والنشر تحولاتٍ جوهريةً منذ نشأته، وكان قانون حقوق الطبع والنشر لعام </w:t>
      </w:r>
      <w:r>
        <w:rPr>
          <w:rStyle w:val="None"/>
          <w:rFonts w:ascii="Times New Roman" w:hAnsi="Times New Roman"/>
          <w:sz w:val="24"/>
          <w:szCs w:val="24"/>
          <w:rtl/>
          <w:lang w:val="ar-SA"/>
        </w:rPr>
        <w:t xml:space="preserve">1909 </w:t>
      </w:r>
      <w:r>
        <w:rPr>
          <w:rStyle w:val="None"/>
          <w:rFonts w:ascii="Arial Unicode MS" w:hAnsi="Arial Unicode MS" w:cs="Times New Roman" w:hint="cs"/>
          <w:sz w:val="24"/>
          <w:szCs w:val="24"/>
          <w:rtl/>
          <w:lang w:val="ar-SA"/>
        </w:rPr>
        <w:t xml:space="preserve">في الولايات المتحدة إنجازًا بارزًا؛ إذْ اعترف بحقوق المؤلفين والملحنين وغيرهم من المبدعين، ولقد جلب العصر الرقمي تحدياتٍ جديدةً لقانون حقوق الطبع والنشر، ومع سهولة مشاركة الملفات عبر الإنترنت، ازداد خطر انتهاك حقوق الطبع والنشر بشكل ملحوظ، ولمعالجة هذه المشكلة،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في الولايات المتحدة؛ ممَّا مكّن مالكي المحتوى من طلب إزالة المحتوى المُنتهك عبر الإنترنت، واليوم لا يزال قانون حقوق الطبع والنشر يتكيّف مع التطوُّرات، مع استمرار النقاشات حول موضوعات،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الاستخدام العادل، والقرصنة الإلكترونية، وحماية الأعمال الإبداعية في العصر الرقمي </w:t>
      </w:r>
      <w:r>
        <w:rPr>
          <w:rStyle w:val="None"/>
          <w:rFonts w:ascii="Times New Roman" w:hAnsi="Times New Roman"/>
          <w:sz w:val="24"/>
          <w:szCs w:val="24"/>
        </w:rPr>
        <w:t>(CIO Hub, 2025)</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B13B626"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كان لدى الولايات المتحدة مفهومٌ لحقوق الملكية الفكرية، ونظامٌ رسميٌّ لحمايتها</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منذ نشأتها، وقد شجّع جورج واشنطن، في خطابه الافتتاحي الأول، على نظامٍ لحماية المخترعين، وكان أبراهام لينكولن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الرئيس الأمريكي الوحيد الذي حصل على براءة 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أشدّ المؤيدين لحقوق الملكية الفكرية، وتضمّن دستور الولايات المتحدة، المُعتمد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xml:space="preserve">، بندًا لحماية حقوق الملكية الفكرية في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والذي ينص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للكونغرس سلطة تعزيز تقدم </w:t>
      </w:r>
      <w:r>
        <w:rPr>
          <w:rStyle w:val="None"/>
          <w:rFonts w:ascii="Arial Unicode MS" w:hAnsi="Arial Unicode MS" w:cs="Times New Roman" w:hint="cs"/>
          <w:sz w:val="24"/>
          <w:szCs w:val="24"/>
          <w:rtl/>
          <w:lang w:val="ar-SA"/>
        </w:rPr>
        <w:lastRenderedPageBreak/>
        <w:t>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0"/>
      </w:r>
      <w:r>
        <w:rPr>
          <w:rStyle w:val="None"/>
          <w:rFonts w:ascii="Times New Roman" w:hAnsi="Times New Roman"/>
          <w:sz w:val="24"/>
          <w:szCs w:val="24"/>
          <w:vertAlign w:val="superscript"/>
          <w:rtl/>
          <w:lang w:val="ar-SA"/>
        </w:rPr>
        <w:t>)</w:t>
      </w:r>
    </w:p>
    <w:p w14:paraId="0E3F97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أصبح الإنترنت قضيةً مثيرةً للجدل، وتُمكّن تسميات أسماء النطاقات من إيصال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حزم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المُرسلة عبر الإنترنت إلى وجهاتها المقصودة، كما يُساعد الطابع التذكيري لأسماء النطاقات  المستهلكين على تحديد مواقع الشركات القائمة على الإنترنت، ومع نمو النشاط التجاري على الإنترنت، ازدادت قيمة أسماء النطاقات المُثيرة للاهتمام، وتضاعفت الصراعات عليها، لا سيما نتيجةً لأنشطة ما يُسمى بقراصنة الإنترنت</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الذين سجلوا أسماء نطاقات شائعة؛ بهدف بيعها للشركات بأرباح طائلة، وفي عام </w:t>
      </w:r>
      <w:r>
        <w:rPr>
          <w:rStyle w:val="None"/>
          <w:rFonts w:ascii="Times New Roman" w:hAnsi="Times New Roman"/>
          <w:sz w:val="24"/>
          <w:szCs w:val="24"/>
          <w:rtl/>
          <w:lang w:val="ar-SA"/>
        </w:rPr>
        <w:t xml:space="preserve">1999 </w:t>
      </w:r>
      <w:r>
        <w:rPr>
          <w:rStyle w:val="None"/>
          <w:rFonts w:ascii="Arial Unicode MS" w:hAnsi="Arial Unicode MS" w:cs="Times New Roman" w:hint="cs"/>
          <w:sz w:val="24"/>
          <w:szCs w:val="24"/>
          <w:rtl/>
          <w:lang w:val="ar-SA"/>
        </w:rPr>
        <w:t xml:space="preserve">أنشأت الولايات المتحدة نظامًا وطنيًا، يُعرف باسم قانون حماية المستهلك لمكافحة التطفل الإلكتروني، والذي تُديره المحاكم الفيدرالية، وبموجب هذا القانون، يُمكن تغريم الأفراد ما يصل إلى </w:t>
      </w:r>
      <w:r>
        <w:rPr>
          <w:rStyle w:val="None"/>
          <w:rFonts w:ascii="Times New Roman" w:hAnsi="Times New Roman"/>
          <w:sz w:val="24"/>
          <w:szCs w:val="24"/>
          <w:rtl/>
          <w:lang w:val="ar-SA"/>
        </w:rPr>
        <w:t xml:space="preserve">100 </w:t>
      </w:r>
      <w:r>
        <w:rPr>
          <w:rStyle w:val="None"/>
          <w:rFonts w:ascii="Arial Unicode MS" w:hAnsi="Arial Unicode MS" w:cs="Times New Roman" w:hint="cs"/>
          <w:sz w:val="24"/>
          <w:szCs w:val="24"/>
          <w:rtl/>
          <w:lang w:val="ar-SA"/>
        </w:rPr>
        <w:t>ألف دولارٍ أمريكي في حال قرصنة المواقع، وجادل المدافعون عن القانون بأنَّه ضروري لحماية القيمة التجارية للعلامات التجارية وحماية الشركات من الابتزاز</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1"/>
      </w:r>
      <w:r>
        <w:rPr>
          <w:rStyle w:val="None"/>
          <w:rFonts w:ascii="Times New Roman" w:hAnsi="Times New Roman"/>
          <w:sz w:val="24"/>
          <w:szCs w:val="24"/>
          <w:vertAlign w:val="superscript"/>
          <w:rtl/>
          <w:lang w:val="ar-SA"/>
        </w:rPr>
        <w:t>)</w:t>
      </w:r>
    </w:p>
    <w:p w14:paraId="38A44FE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دخل القانون حيز التنفيذ في أكتوبر </w:t>
      </w:r>
      <w:r>
        <w:rPr>
          <w:rStyle w:val="None"/>
          <w:rFonts w:ascii="Times New Roman" w:hAnsi="Times New Roman"/>
          <w:sz w:val="24"/>
          <w:szCs w:val="24"/>
          <w:rtl/>
          <w:lang w:val="ar-SA"/>
        </w:rPr>
        <w:t>2000</w:t>
      </w:r>
      <w:r>
        <w:rPr>
          <w:rStyle w:val="None"/>
          <w:rFonts w:ascii="Arial Unicode MS" w:hAnsi="Arial Unicode MS" w:cs="Times New Roman" w:hint="cs"/>
          <w:sz w:val="24"/>
          <w:szCs w:val="24"/>
          <w:rtl/>
          <w:lang w:val="ar-SA"/>
        </w:rPr>
        <w:t xml:space="preserve">، وأُدمج في قانون حقوق الطبع والنشر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الباب </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من القانون الأمريكي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حدّث هذا التشريع التاريخي قانون حقوق الطبع والنشر الأمريكي لتلبية متطلبات العصر الرقمي، ولجعله متوافقًا مع متطلبات المنظمة العالمية للملكية الفكرية </w:t>
      </w:r>
      <w:r>
        <w:rPr>
          <w:rStyle w:val="None"/>
          <w:rFonts w:ascii="Times New Roman" w:hAnsi="Times New Roman"/>
          <w:sz w:val="24"/>
          <w:szCs w:val="24"/>
          <w:rtl/>
          <w:lang w:val="ar-SA"/>
        </w:rPr>
        <w:t>(</w:t>
      </w:r>
      <w:r>
        <w:rPr>
          <w:rStyle w:val="None"/>
          <w:rFonts w:ascii="Times New Roman" w:hAnsi="Times New Roman"/>
          <w:sz w:val="24"/>
          <w:szCs w:val="24"/>
          <w:lang w:val="en-US"/>
        </w:rPr>
        <w:t>WIPO</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والمعاهدات التي وقّعتها الولايات المتحدة، وبالإضافة إلى وضع قواعد جديدة للمواد الرقمية، يُلزم قانون الألفية الرقمية مكتب حقوق الطبع والنشر الأمريكي بإجراء العديد من الدراسات والتقارير المهمة، ويحدد الأطر الزمنية لإتمامها، كما يُقسَّم قانون الألفية الرقمية لحقوق الطبع والنشر إلى خمسة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بنودٍ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ومن بين أحكامه العديدة، ينص القانون على ما يلي</w:t>
      </w:r>
      <w:r>
        <w:rPr>
          <w:rStyle w:val="None"/>
          <w:rFonts w:ascii="Times New Roman" w:hAnsi="Times New Roman"/>
          <w:sz w:val="24"/>
          <w:szCs w:val="24"/>
          <w:rtl/>
          <w:lang w:val="ar-SA"/>
        </w:rPr>
        <w:t>:</w:t>
      </w:r>
    </w:p>
    <w:p w14:paraId="129A76E3" w14:textId="77777777" w:rsidR="00454428" w:rsidRDefault="00000000" w:rsidP="00C72BA8">
      <w:pPr>
        <w:pStyle w:val="ListParagraph"/>
        <w:numPr>
          <w:ilvl w:val="0"/>
          <w:numId w:val="2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يفرض القانون قواعد تحظر التحايل على تدابير الحماية التكنولوجية</w:t>
      </w:r>
      <w:r>
        <w:rPr>
          <w:rStyle w:val="None"/>
          <w:rFonts w:ascii="Times New Roman" w:hAnsi="Times New Roman"/>
          <w:sz w:val="24"/>
          <w:szCs w:val="24"/>
          <w:rtl/>
          <w:lang w:val="ar-SA"/>
        </w:rPr>
        <w:t>.</w:t>
      </w:r>
    </w:p>
    <w:p w14:paraId="4ACFA2C1" w14:textId="77777777" w:rsidR="00454428" w:rsidRDefault="00000000" w:rsidP="00C72BA8">
      <w:pPr>
        <w:pStyle w:val="ListParagraph"/>
        <w:numPr>
          <w:ilvl w:val="0"/>
          <w:numId w:val="2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يضع قيودًا على مسئولية انتهاك حقوق الطبع والنشر لمقدمي الخدمات عبر الإنترنت</w:t>
      </w:r>
      <w:r>
        <w:rPr>
          <w:rStyle w:val="None"/>
          <w:rFonts w:ascii="Times New Roman" w:hAnsi="Times New Roman"/>
          <w:sz w:val="24"/>
          <w:szCs w:val="24"/>
          <w:rtl/>
          <w:lang w:val="ar-SA"/>
        </w:rPr>
        <w:t>.</w:t>
      </w:r>
    </w:p>
    <w:p w14:paraId="1AA39A1C" w14:textId="77777777" w:rsidR="00454428" w:rsidRDefault="00000000" w:rsidP="00C72BA8">
      <w:pPr>
        <w:pStyle w:val="ListParagraph"/>
        <w:numPr>
          <w:ilvl w:val="0"/>
          <w:numId w:val="2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يوسع نطاق الإعفاء الحالي لنسخ برامج الحاسوب</w:t>
      </w:r>
      <w:r>
        <w:rPr>
          <w:rStyle w:val="None"/>
          <w:rFonts w:ascii="Times New Roman" w:hAnsi="Times New Roman"/>
          <w:sz w:val="24"/>
          <w:szCs w:val="24"/>
          <w:rtl/>
          <w:lang w:val="ar-SA"/>
        </w:rPr>
        <w:t>.</w:t>
      </w:r>
    </w:p>
    <w:p w14:paraId="115BEF67" w14:textId="77777777" w:rsidR="00454428" w:rsidRDefault="00000000" w:rsidP="00C72BA8">
      <w:pPr>
        <w:pStyle w:val="ListParagraph"/>
        <w:numPr>
          <w:ilvl w:val="0"/>
          <w:numId w:val="223"/>
        </w:numPr>
        <w:spacing w:before="120" w:after="120" w:line="360" w:lineRule="auto"/>
        <w:jc w:val="both"/>
        <w:rPr>
          <w:rFonts w:cs="Times New Roman" w:hint="default"/>
          <w:sz w:val="24"/>
          <w:szCs w:val="24"/>
          <w:rtl/>
          <w:lang w:val="ar-SA"/>
        </w:rPr>
      </w:pPr>
      <w:r>
        <w:rPr>
          <w:rStyle w:val="None"/>
          <w:rFonts w:cs="Times New Roman"/>
          <w:sz w:val="24"/>
          <w:szCs w:val="24"/>
          <w:rtl/>
          <w:lang w:val="ar-SA"/>
        </w:rPr>
        <w:t>يُقدم تحديثًا مهمًّا للقواعد والإجراءات المتعلقة بحفظ الأرشيف</w:t>
      </w:r>
      <w:r>
        <w:rPr>
          <w:rStyle w:val="None"/>
          <w:rFonts w:ascii="Times New Roman" w:hAnsi="Times New Roman"/>
          <w:sz w:val="24"/>
          <w:szCs w:val="24"/>
          <w:rtl/>
          <w:lang w:val="ar-SA"/>
        </w:rPr>
        <w:t>.</w:t>
      </w:r>
    </w:p>
    <w:p w14:paraId="0EFC03FC" w14:textId="77777777" w:rsidR="00454428" w:rsidRDefault="00000000" w:rsidP="00C72BA8">
      <w:pPr>
        <w:pStyle w:val="ListParagraph"/>
        <w:numPr>
          <w:ilvl w:val="0"/>
          <w:numId w:val="22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يُلزم بدراسة آثار قواعد حماية مكافحة التحايل على مبدأ </w:t>
      </w:r>
      <w:r>
        <w:rPr>
          <w:rStyle w:val="None"/>
          <w:rFonts w:ascii="Times New Roman" w:hAnsi="Times New Roman"/>
          <w:sz w:val="24"/>
          <w:szCs w:val="24"/>
          <w:rtl/>
          <w:lang w:val="ar-SA"/>
        </w:rPr>
        <w:t>"</w:t>
      </w:r>
      <w:r>
        <w:rPr>
          <w:rStyle w:val="None"/>
          <w:rFonts w:cs="Times New Roman"/>
          <w:sz w:val="24"/>
          <w:szCs w:val="24"/>
          <w:rtl/>
          <w:lang w:val="ar-SA"/>
        </w:rPr>
        <w:t>البيع الأول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2"/>
      </w:r>
      <w:r>
        <w:rPr>
          <w:rStyle w:val="None"/>
          <w:rFonts w:ascii="Times New Roman" w:hAnsi="Times New Roman"/>
          <w:sz w:val="24"/>
          <w:szCs w:val="24"/>
          <w:vertAlign w:val="superscript"/>
          <w:rtl/>
          <w:lang w:val="ar-SA"/>
        </w:rPr>
        <w:t>)</w:t>
      </w:r>
    </w:p>
    <w:p w14:paraId="75318B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الأدوات القليلة المتاحة لإزالة المحتوى غير المطبوع، وقد صدر هذا القانون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ويلزم مواقع الويب الأمريكية باحترام حقوق الطبع والنشر الرقمية، وحماية الأعمال الإبداعية من خلال السماح لأصحاب حقوق الطبع والنشر بطلب إزالة المحتوى المخالف، ويُستخدم هذا القانون </w:t>
      </w:r>
      <w:r>
        <w:rPr>
          <w:rStyle w:val="None"/>
          <w:rFonts w:ascii="Arial Unicode MS" w:hAnsi="Arial Unicode MS" w:cs="Times New Roman" w:hint="cs"/>
          <w:sz w:val="24"/>
          <w:szCs w:val="24"/>
          <w:rtl/>
          <w:lang w:val="ar-SA"/>
        </w:rPr>
        <w:lastRenderedPageBreak/>
        <w:t>على نطاق واسع من قِبل الناشرين وشركات الإعلام والفنانين؛ ممَّا يؤدي إلى إزالة كميات كبيرة من المحتوى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3"/>
      </w:r>
      <w:r>
        <w:rPr>
          <w:rStyle w:val="None"/>
          <w:rFonts w:ascii="Times New Roman" w:hAnsi="Times New Roman"/>
          <w:sz w:val="24"/>
          <w:szCs w:val="24"/>
          <w:vertAlign w:val="superscript"/>
          <w:rtl/>
          <w:lang w:val="ar-SA"/>
        </w:rPr>
        <w:t>)</w:t>
      </w:r>
    </w:p>
    <w:p w14:paraId="08C372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كقانون لمكافحة القرصنة؛ ممَّا يُجرّم فعليًا التحايل على حماية حقوق النسخ المصممة؛ لمنع القراصنة من نسخ الأعمال الرقمية المحمية بحقوق الطبع والنشر، وبيعها، أو توزيعها بحرية، كما يُجرّم تصنيع أو توزيع أدوات أو تقنيات للتحايل على ضوابط النسخ، ويتضمن قانون حقوق الطبع والنشر الرقمي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بندين شديدَيْ الأهميةِ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1201</w:t>
      </w:r>
      <w:r>
        <w:rPr>
          <w:rStyle w:val="None"/>
          <w:rFonts w:ascii="Arial Unicode MS" w:hAnsi="Arial Unicode MS" w:cs="Times New Roman" w:hint="cs"/>
          <w:sz w:val="24"/>
          <w:szCs w:val="24"/>
          <w:rtl/>
          <w:lang w:val="ar-SA"/>
        </w:rPr>
        <w:t xml:space="preserve">، الذي يتناول التحايل على حماية حقوق النشر، والبند </w:t>
      </w:r>
      <w:r>
        <w:rPr>
          <w:rStyle w:val="None"/>
          <w:rFonts w:ascii="Times New Roman" w:hAnsi="Times New Roman"/>
          <w:sz w:val="24"/>
          <w:szCs w:val="24"/>
          <w:rtl/>
          <w:lang w:val="ar-SA"/>
        </w:rPr>
        <w:t>512</w:t>
      </w:r>
      <w:r>
        <w:rPr>
          <w:rStyle w:val="None"/>
          <w:rFonts w:ascii="Arial Unicode MS" w:hAnsi="Arial Unicode MS" w:cs="Times New Roman" w:hint="cs"/>
          <w:sz w:val="24"/>
          <w:szCs w:val="24"/>
          <w:rtl/>
          <w:lang w:val="ar-SA"/>
        </w:rPr>
        <w:t>، الذي يسمح لصاحب حقوق الطبع والنشر بإرسال ما يسمى بإشعار الإزالة إلى مواقع الويب وغيرها ممن يُعتقد أنَّهم ينتهكون حقوق الطبع والنشر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4"/>
      </w:r>
      <w:r>
        <w:rPr>
          <w:rStyle w:val="None"/>
          <w:rFonts w:ascii="Times New Roman" w:hAnsi="Times New Roman"/>
          <w:sz w:val="24"/>
          <w:szCs w:val="24"/>
          <w:vertAlign w:val="superscript"/>
          <w:rtl/>
          <w:lang w:val="ar-SA"/>
        </w:rPr>
        <w:t>)</w:t>
      </w:r>
    </w:p>
    <w:p w14:paraId="4CFDD74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تم سنّ قانون الألفية الرقمية لحقوق الطبع والنشر لعام </w:t>
      </w:r>
      <w:r>
        <w:rPr>
          <w:rStyle w:val="None"/>
          <w:rFonts w:ascii="Times New Roman" w:hAnsi="Times New Roman"/>
          <w:sz w:val="24"/>
          <w:szCs w:val="24"/>
          <w:rtl/>
          <w:lang w:val="ar-SA"/>
        </w:rPr>
        <w:t>1998 (</w:t>
      </w:r>
      <w:r>
        <w:rPr>
          <w:rStyle w:val="None"/>
          <w:rFonts w:ascii="Times New Roman" w:hAnsi="Times New Roman"/>
          <w:sz w:val="24"/>
          <w:szCs w:val="24"/>
          <w:lang w:val="en-US"/>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بهدف مواكبة قانون حقوق الطبع والنشر للعصر الرقمي، ومن خلال هذا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سعى الكونغرس إلى الموازنة بين مصالح أصحاب حقوق الطبع والنشر التقليديين ومصالح مزودي خدمات الإنترنت  من خلال الجمع بين الحماية الأساسية لحقوق الطبع والنشر الرقمي وسلسلة من إجراءات 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الملاذ الآمن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لمقدمي خدمات الإنترنت المؤهلين، على مدار العقد الماضي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أدت التفسيرات القضائية المتضاربة والمعقدة لأحكام الملاذ الآمن إلى معايير قانونية غير متسقة وانقسام عميق بين وسائل الإعلام التقليدية والتكنولوجيا الحديثة؛ ممَّا مهد لظهور هذا القانون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5"/>
      </w:r>
      <w:r>
        <w:rPr>
          <w:rStyle w:val="None"/>
          <w:rFonts w:ascii="Times New Roman" w:hAnsi="Times New Roman"/>
          <w:sz w:val="24"/>
          <w:szCs w:val="24"/>
          <w:vertAlign w:val="superscript"/>
          <w:rtl/>
          <w:lang w:val="ar-SA"/>
        </w:rPr>
        <w:t>)</w:t>
      </w:r>
    </w:p>
    <w:p w14:paraId="41383A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تشريع حقوق الملكية جزءًا من مجموعة القوانين التي تحمي مصالح المبدعين بمنحهم حقوق ملكية على إبداعاتهم، وتُقرّ قوانين معظم الدول بحقوق الملكية هذه؛ بهدف تحفيز الإبداع الفكري البشري وإتاحة ثماره للجمهور، يحمي قانون حقوق الطبع والنشر الأعمال الأدبية والفنية، بالإضافة إلى الإبداعات في مجال ما يُسمى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الحقوق المجاورة، يمكن أنْ تكون هذه الأعمال في شكل تناظري أو رقمي، ويحمي قانون حقوق الطبع والنشر مالك حقوق الملكية الفكرية في الأعمال الأدبية والفنية، من نسخ، أو أخذ الشكل الذي عبّر به المؤلف عن العمل الأصلي، ويشهد قانون حقوق الطبع والنشر تغيرات سريعة، وقد فرضت رقمنة المحتوى ونمو الإنترنت العديد من التحديات على طريقة حماية المواد المحمية بحقوق الطبع والنشر، وترخيصها، وإدارتها، ويمكن استعراض مراحل تطوُّر قانون الملكية الفكرية في الولايات المتحدة من خلال النقاط التالية</w:t>
      </w:r>
      <w:r>
        <w:rPr>
          <w:rStyle w:val="None"/>
          <w:rFonts w:ascii="Times New Roman" w:hAnsi="Times New Roman"/>
          <w:sz w:val="24"/>
          <w:szCs w:val="24"/>
          <w:rtl/>
          <w:lang w:val="ar-SA"/>
        </w:rPr>
        <w:t>:</w:t>
      </w:r>
    </w:p>
    <w:p w14:paraId="25385250" w14:textId="77777777" w:rsidR="00454428" w:rsidRDefault="00000000" w:rsidP="00C72BA8">
      <w:pPr>
        <w:pStyle w:val="ListParagraph"/>
        <w:numPr>
          <w:ilvl w:val="0"/>
          <w:numId w:val="22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كانت اتفاقية برن، التي يعود تاريخها إلى عام </w:t>
      </w:r>
      <w:r>
        <w:rPr>
          <w:rStyle w:val="None"/>
          <w:rFonts w:ascii="Times New Roman" w:hAnsi="Times New Roman"/>
          <w:sz w:val="24"/>
          <w:szCs w:val="24"/>
          <w:rtl/>
          <w:lang w:val="ar-SA"/>
        </w:rPr>
        <w:t>1886</w:t>
      </w:r>
      <w:r>
        <w:rPr>
          <w:rStyle w:val="None"/>
          <w:rFonts w:cs="Times New Roman"/>
          <w:sz w:val="24"/>
          <w:szCs w:val="24"/>
          <w:rtl/>
          <w:lang w:val="ar-SA"/>
        </w:rPr>
        <w:t xml:space="preserve">، أول اتفاقية دولية رئيسية أرست مبدأ المعاملة الوطنية، وقد خضعت هذه الاتفاقية للمراجعة عدة مرات، لكنها لا تزال المعاهدة الدولية الرائدة، وقد وافقت الولايات المتحدة الأمريكية على اتفاقية برن عام </w:t>
      </w:r>
      <w:r>
        <w:rPr>
          <w:rStyle w:val="None"/>
          <w:rFonts w:ascii="Times New Roman" w:hAnsi="Times New Roman"/>
          <w:sz w:val="24"/>
          <w:szCs w:val="24"/>
          <w:rtl/>
          <w:lang w:val="ar-SA"/>
        </w:rPr>
        <w:t xml:space="preserve">1989. </w:t>
      </w:r>
    </w:p>
    <w:p w14:paraId="7CBA88D9" w14:textId="77777777" w:rsidR="00454428" w:rsidRDefault="00000000" w:rsidP="00C72BA8">
      <w:pPr>
        <w:pStyle w:val="ListParagraph"/>
        <w:numPr>
          <w:ilvl w:val="0"/>
          <w:numId w:val="225"/>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وفي وقت لاحق، أدت تحديات الرقمنة إلى توقيع الولايات المتحدة على أحدث معاهدتين دوليتين لحقوق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الويبو بشأن حقوق الطبع والنشر، ومعاهدة الويبو بشأن الأداء والتسجيلات الصوتية، وقد صدر كلاهما في ديسمبر </w:t>
      </w:r>
      <w:r>
        <w:rPr>
          <w:rStyle w:val="None"/>
          <w:rFonts w:ascii="Times New Roman" w:hAnsi="Times New Roman"/>
          <w:sz w:val="24"/>
          <w:szCs w:val="24"/>
          <w:rtl/>
          <w:lang w:val="ar-SA"/>
        </w:rPr>
        <w:t>1996</w:t>
      </w:r>
      <w:r>
        <w:rPr>
          <w:rStyle w:val="None"/>
          <w:rFonts w:cs="Times New Roman"/>
          <w:sz w:val="24"/>
          <w:szCs w:val="24"/>
          <w:rtl/>
          <w:lang w:val="ar-SA"/>
        </w:rPr>
        <w:t xml:space="preserve">، وأعطت معاهدتا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الويبو</w:t>
      </w:r>
      <w:r>
        <w:rPr>
          <w:rStyle w:val="None"/>
          <w:rFonts w:ascii="Times New Roman" w:hAnsi="Times New Roman"/>
          <w:sz w:val="24"/>
          <w:szCs w:val="24"/>
          <w:rtl/>
          <w:lang w:val="ar-SA"/>
        </w:rPr>
        <w:t xml:space="preserve">) </w:t>
      </w:r>
      <w:r>
        <w:rPr>
          <w:rStyle w:val="None"/>
          <w:rFonts w:cs="Times New Roman"/>
          <w:sz w:val="24"/>
          <w:szCs w:val="24"/>
          <w:rtl/>
          <w:lang w:val="ar-SA"/>
        </w:rPr>
        <w:t>زخمًا تشريعيًا جديدًا للجهود المبذولة؛ لتكييف قانون حقوق الطبع والنشر ومواءمته مع تحديات مجتمع المعلومات</w:t>
      </w:r>
      <w:r>
        <w:rPr>
          <w:rStyle w:val="None"/>
          <w:rFonts w:ascii="Times New Roman" w:hAnsi="Times New Roman"/>
          <w:sz w:val="24"/>
          <w:szCs w:val="24"/>
          <w:rtl/>
          <w:lang w:val="ar-SA"/>
        </w:rPr>
        <w:t>.</w:t>
      </w:r>
    </w:p>
    <w:p w14:paraId="1B20D91B" w14:textId="77777777" w:rsidR="00454428" w:rsidRDefault="00000000" w:rsidP="00C72BA8">
      <w:pPr>
        <w:pStyle w:val="ListParagraph"/>
        <w:numPr>
          <w:ilvl w:val="0"/>
          <w:numId w:val="225"/>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1998: </w:t>
      </w:r>
      <w:r>
        <w:rPr>
          <w:rStyle w:val="None"/>
          <w:rFonts w:cs="Times New Roman"/>
          <w:sz w:val="24"/>
          <w:szCs w:val="24"/>
          <w:rtl/>
          <w:lang w:val="ar-SA"/>
        </w:rPr>
        <w:t xml:space="preserve">أصدر الكونغرس الأمريكي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cs="Times New Roman"/>
          <w:sz w:val="24"/>
          <w:szCs w:val="24"/>
          <w:rtl/>
          <w:lang w:val="ar-SA"/>
        </w:rPr>
        <w:t>المثير للجدل، كان هذا القانون أكبر تعديل على قانون حقوق الطبع والنشر؛ حيث سعى إلى معالجة حقوق الطبع والنشر في البيئة الرقمية، ومن أهم ما يقوم به قانون الألفية الرقمية</w:t>
      </w:r>
      <w:r>
        <w:rPr>
          <w:rStyle w:val="None"/>
          <w:rFonts w:ascii="Times New Roman" w:hAnsi="Times New Roman"/>
          <w:sz w:val="24"/>
          <w:szCs w:val="24"/>
          <w:rtl/>
          <w:lang w:val="ar-SA"/>
        </w:rPr>
        <w:t xml:space="preserve">: </w:t>
      </w:r>
      <w:r>
        <w:rPr>
          <w:rStyle w:val="None"/>
          <w:rFonts w:cs="Times New Roman"/>
          <w:sz w:val="24"/>
          <w:szCs w:val="24"/>
          <w:rtl/>
          <w:lang w:val="ar-SA"/>
        </w:rPr>
        <w:t>توفير بعض الحماية لمقدمي خدمات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6"/>
      </w:r>
      <w:r>
        <w:rPr>
          <w:rStyle w:val="None"/>
          <w:rFonts w:ascii="Times New Roman" w:hAnsi="Times New Roman"/>
          <w:sz w:val="24"/>
          <w:szCs w:val="24"/>
          <w:vertAlign w:val="superscript"/>
          <w:rtl/>
          <w:lang w:val="ar-SA"/>
        </w:rPr>
        <w:t>)</w:t>
      </w:r>
    </w:p>
    <w:p w14:paraId="5635A6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ويُفاقم نمو التجارة الرقمية واستخدام سلاسل التوريد المعقدة أخطار انتهاك حقوق الملكية الفكرية وتحديات الإنفاذ، ويحظر قانون التجارة الأمريكي استيراد السلع التي تنتهك حقوق الملكية الفكرية، وفي السنة المالية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 أفادت هيئة الجمارك وحماية الحدود الأمريكية </w:t>
      </w:r>
      <w:r>
        <w:rPr>
          <w:rStyle w:val="None"/>
          <w:rFonts w:ascii="Times New Roman" w:hAnsi="Times New Roman"/>
          <w:sz w:val="24"/>
          <w:szCs w:val="24"/>
          <w:rtl/>
          <w:lang w:val="ar-SA"/>
        </w:rPr>
        <w:t>(</w:t>
      </w:r>
      <w:r>
        <w:rPr>
          <w:rStyle w:val="None"/>
          <w:rFonts w:ascii="Times New Roman" w:hAnsi="Times New Roman"/>
          <w:sz w:val="24"/>
          <w:szCs w:val="24"/>
          <w:lang w:val="pt-PT"/>
        </w:rPr>
        <w:t>CBP</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بمصادرة سلع منتهكة لحقوق الملكية الفكرية بقيمة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مليار دولارٍ أمريكي على الحدود الأمريكية، ومعظمها شحنات منخفضة القيمة مُعفاة من الرسوم الجمركية بموجب المادة </w:t>
      </w:r>
      <w:r>
        <w:rPr>
          <w:rStyle w:val="None"/>
          <w:rFonts w:ascii="Times New Roman" w:hAnsi="Times New Roman"/>
          <w:sz w:val="24"/>
          <w:szCs w:val="24"/>
          <w:rtl/>
          <w:lang w:val="ar-SA"/>
        </w:rPr>
        <w:t xml:space="preserve">321 </w:t>
      </w:r>
      <w:r>
        <w:rPr>
          <w:rStyle w:val="None"/>
          <w:rFonts w:ascii="Arial Unicode MS" w:hAnsi="Arial Unicode MS" w:cs="Times New Roman" w:hint="cs"/>
          <w:sz w:val="24"/>
          <w:szCs w:val="24"/>
          <w:rtl/>
          <w:lang w:val="ar-SA"/>
        </w:rPr>
        <w:t xml:space="preserve">من قانون التعريفات الجمركية لعام </w:t>
      </w:r>
      <w:r>
        <w:rPr>
          <w:rStyle w:val="None"/>
          <w:rFonts w:ascii="Times New Roman" w:hAnsi="Times New Roman"/>
          <w:sz w:val="24"/>
          <w:szCs w:val="24"/>
          <w:rtl/>
          <w:lang w:val="ar-SA"/>
        </w:rPr>
        <w:t>1930.</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7"/>
      </w:r>
      <w:r>
        <w:rPr>
          <w:rStyle w:val="None"/>
          <w:rFonts w:ascii="Times New Roman" w:hAnsi="Times New Roman"/>
          <w:sz w:val="24"/>
          <w:szCs w:val="24"/>
          <w:vertAlign w:val="superscript"/>
          <w:rtl/>
          <w:lang w:val="ar-SA"/>
        </w:rPr>
        <w:t>)</w:t>
      </w:r>
    </w:p>
    <w:p w14:paraId="633E26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كان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أوائل القوانين من نوعها،  وقد سنّ الكونجرس قانون الألفية الرقمية لحقوق الطبع والنشر؛ إدراكًا للعلاقة سريعة التطوُّر بين قانون حقوق الطبع والنشر والإنترنت، وكان الغرض من هذا التشريع هو تعديل قانون حقوق الطبع والنشر الأمريكي؛ ليعكس التقدم التكنولوجي المحرز منذ ظهور الإنترنت في أواخر الثمانينيات، كما كان الهدف من قانون الألفية الرقمية هو توفير راحة البال لأصحاب حقوق الطبع والنشر، مع العلم أنَّ حقوقهم محمية ومعترف بها تمامًا،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الهدف من القانون هو توفير الحماية لمستخدمي الإنترنت من المسئولية بموجب أحكام الملاذ الآمن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8"/>
      </w:r>
      <w:r>
        <w:rPr>
          <w:rStyle w:val="None"/>
          <w:rFonts w:ascii="Times New Roman" w:hAnsi="Times New Roman"/>
          <w:sz w:val="24"/>
          <w:szCs w:val="24"/>
          <w:vertAlign w:val="superscript"/>
          <w:rtl/>
          <w:lang w:val="ar-SA"/>
        </w:rPr>
        <w:t>)</w:t>
      </w:r>
    </w:p>
    <w:p w14:paraId="6266F8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عدّل قانون حقوق الطبع والنشر الأمريكي؛ لمعالجة جوانب مهمة من العلاقة بين حقوق الطبع والنشر والإنترنت، وشملت التحديثات الرئيسية الثلاثة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9"/>
      </w:r>
      <w:r>
        <w:rPr>
          <w:rStyle w:val="None"/>
          <w:rFonts w:ascii="Times New Roman" w:hAnsi="Times New Roman"/>
          <w:sz w:val="24"/>
          <w:szCs w:val="24"/>
          <w:vertAlign w:val="superscript"/>
          <w:rtl/>
          <w:lang w:val="ar-SA"/>
        </w:rPr>
        <w:t>)</w:t>
      </w:r>
    </w:p>
    <w:p w14:paraId="2360FA19" w14:textId="77777777" w:rsidR="00454428" w:rsidRDefault="00000000" w:rsidP="00C72BA8">
      <w:pPr>
        <w:pStyle w:val="ListParagraph"/>
        <w:numPr>
          <w:ilvl w:val="0"/>
          <w:numId w:val="227"/>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توفير الحماية لمقدمي الخدمات عبر الإنترنت في حالات معينة في حال انتهاك مستخدميهم لحقوق الطبع والنشر،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إنشاء نظام الإشعار والحذف، الذي يسمح لأصحاب حقوق الطبع والنشر بإبلاغ مقدمي الخدمات عبر الإنترنت عن المواد المنتهكة لإزالتها</w:t>
      </w:r>
      <w:r>
        <w:rPr>
          <w:rStyle w:val="None"/>
          <w:rFonts w:ascii="Times New Roman" w:hAnsi="Times New Roman"/>
          <w:sz w:val="24"/>
          <w:szCs w:val="24"/>
          <w:rtl/>
          <w:lang w:val="ar-SA"/>
        </w:rPr>
        <w:t>.</w:t>
      </w:r>
    </w:p>
    <w:p w14:paraId="5A675497" w14:textId="77777777" w:rsidR="00454428" w:rsidRDefault="00000000" w:rsidP="00C72BA8">
      <w:pPr>
        <w:pStyle w:val="ListParagraph"/>
        <w:numPr>
          <w:ilvl w:val="0"/>
          <w:numId w:val="22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تشجيع أصحاب حقوق الطبع والنشر على إتاحة وصول أكبر لأعمالهم الرقمية، من خلال توفير الحماية القانونية لهم ضد الوصول غير المصرح به إلى أعمالهم، مثل</w:t>
      </w:r>
      <w:r>
        <w:rPr>
          <w:rStyle w:val="None"/>
          <w:rFonts w:ascii="Times New Roman" w:hAnsi="Times New Roman"/>
          <w:sz w:val="24"/>
          <w:szCs w:val="24"/>
          <w:rtl/>
          <w:lang w:val="ar-SA"/>
        </w:rPr>
        <w:t xml:space="preserve">: </w:t>
      </w:r>
      <w:r>
        <w:rPr>
          <w:rStyle w:val="None"/>
          <w:rFonts w:cs="Times New Roman"/>
          <w:sz w:val="24"/>
          <w:szCs w:val="24"/>
          <w:rtl/>
          <w:lang w:val="ar-SA"/>
        </w:rPr>
        <w:t>اختراق كلمات المرور، أو التحايل على التشفير</w:t>
      </w:r>
      <w:r>
        <w:rPr>
          <w:rStyle w:val="None"/>
          <w:rFonts w:ascii="Times New Roman" w:hAnsi="Times New Roman"/>
          <w:sz w:val="24"/>
          <w:szCs w:val="24"/>
          <w:rtl/>
          <w:lang w:val="ar-SA"/>
        </w:rPr>
        <w:t>.</w:t>
      </w:r>
    </w:p>
    <w:p w14:paraId="492517F2" w14:textId="77777777" w:rsidR="00454428" w:rsidRDefault="00000000" w:rsidP="00C72BA8">
      <w:pPr>
        <w:pStyle w:val="ListParagraph"/>
        <w:numPr>
          <w:ilvl w:val="0"/>
          <w:numId w:val="227"/>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تجريم تقديم معلومات حقوق طبع ونشر زائفة، مثل</w:t>
      </w:r>
      <w:r>
        <w:rPr>
          <w:rStyle w:val="None"/>
          <w:rFonts w:ascii="Times New Roman" w:hAnsi="Times New Roman"/>
          <w:sz w:val="24"/>
          <w:szCs w:val="24"/>
          <w:rtl/>
          <w:lang w:val="ar-SA"/>
        </w:rPr>
        <w:t xml:space="preserve">: </w:t>
      </w:r>
      <w:r>
        <w:rPr>
          <w:rStyle w:val="None"/>
          <w:rFonts w:cs="Times New Roman"/>
          <w:sz w:val="24"/>
          <w:szCs w:val="24"/>
          <w:rtl/>
          <w:lang w:val="ar-SA"/>
        </w:rPr>
        <w:t>التزوير في أسماء المؤلفين وأصحاب حقوق الطبع والنشر، وعناوين الأعمال</w:t>
      </w:r>
      <w:r>
        <w:rPr>
          <w:rStyle w:val="None"/>
          <w:rFonts w:ascii="Times New Roman" w:hAnsi="Times New Roman"/>
          <w:sz w:val="24"/>
          <w:szCs w:val="24"/>
          <w:rtl/>
          <w:lang w:val="ar-SA"/>
        </w:rPr>
        <w:t>.</w:t>
      </w:r>
    </w:p>
    <w:p w14:paraId="2F1478C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جرائم الملكية الفكرية إلى انتهاك القوانين الجنائية التي تحمي حقوق النشر، وبراءات الاختراع، والعلامات التجارية، وغيرها من أشكال الملكية الفكرية والأسرار التجارية، سواءً في الولايات المتحدة أو خارجها، وقد جعلت وزارة العدل الأمريكية حماية الملكية الفكرية أولويةً رئيسيةً لإنفاذ القانون، وتدرك الوزارة أنَّ الابتكار ركيزة أساسية لاقتصادنا الوطني، وهو أمرٌ بالغ الأهمية؛ لتمكين الشركات الأمريكية من الحفاظ على قدرتها التنافسية في السوق العالمية، ويحتاج رواد الأعمال إلى الحماية من المجرمين  الذين يسعون إلى نسخ إبداعاتهم، كما أنَّ تحسين قدرة البلاد على التصدي لجرائم الملكية الفكرية أمرٌ بالغ الأهمية لحماية الجمهور الأمريكي من التعرض للسلع الخطرة والقاتلة،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الأدوية المقلدة، وقطع غيار السيارات دون المستوى المطلوب، والمجوهرات الملوثة بالرصاص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0"/>
      </w:r>
      <w:r>
        <w:rPr>
          <w:rStyle w:val="None"/>
          <w:rFonts w:ascii="Times New Roman" w:hAnsi="Times New Roman"/>
          <w:sz w:val="24"/>
          <w:szCs w:val="24"/>
          <w:vertAlign w:val="superscript"/>
          <w:rtl/>
          <w:lang w:val="ar-SA"/>
        </w:rPr>
        <w:t>)</w:t>
      </w:r>
    </w:p>
    <w:p w14:paraId="3F6955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ويُطوّر مكتب الولايات المتحدة لبراءات الاختراع والعلامات التجارية من عملياته، ويُقدّم برامج تدريبية في مجال إنفاذ حقوق الملكية الفكرية، وبرامج لبناء القدرات للمسئولين الحكوميين في جميع أنحاء العالم؛ حيث يقوم بتصميم برامج بناء القدرات لمعالجة جوانب مُحدّدة من إنفاذ حقوق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التحقيقات المدنية والجنائية، والملاحقات القضائية، وإنفاذ القوانين عبر الحدود، كما يُقدّم المكتب المساعدة الفنية للحكومات الأجنبية في القضايا المتعلقة بإنفاذ حقوق الملكية الفكرية، ويُشارك المكتب أيضًا بفاعلية في مجموعة واسعة من مناقشات سياسات إنفاذ حقوق الملكية الفكرية الدولية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1"/>
      </w:r>
      <w:r>
        <w:rPr>
          <w:rStyle w:val="None"/>
          <w:rFonts w:ascii="Times New Roman" w:hAnsi="Times New Roman"/>
          <w:sz w:val="24"/>
          <w:szCs w:val="24"/>
          <w:vertAlign w:val="superscript"/>
          <w:rtl/>
          <w:lang w:val="ar-SA"/>
        </w:rPr>
        <w:t>)</w:t>
      </w:r>
    </w:p>
    <w:p w14:paraId="470CD9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تختلف إجراءات الحصول على حقوق الملكية الفكرية المختلفة لتشمل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2"/>
      </w:r>
      <w:r>
        <w:rPr>
          <w:rStyle w:val="None"/>
          <w:rFonts w:ascii="Times New Roman" w:hAnsi="Times New Roman"/>
          <w:sz w:val="24"/>
          <w:szCs w:val="24"/>
          <w:vertAlign w:val="superscript"/>
          <w:rtl/>
          <w:lang w:val="ar-SA"/>
        </w:rPr>
        <w:t>)</w:t>
      </w:r>
    </w:p>
    <w:p w14:paraId="52FD5F5E" w14:textId="77777777" w:rsidR="00454428" w:rsidRDefault="00000000" w:rsidP="00C72BA8">
      <w:pPr>
        <w:pStyle w:val="ListParagraph"/>
        <w:numPr>
          <w:ilvl w:val="0"/>
          <w:numId w:val="22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sz w:val="24"/>
          <w:szCs w:val="24"/>
          <w:rtl/>
          <w:lang w:val="ar-SA"/>
        </w:rPr>
        <w:t xml:space="preserve">: </w:t>
      </w:r>
      <w:r>
        <w:rPr>
          <w:rStyle w:val="None"/>
          <w:rFonts w:cs="Times New Roman"/>
          <w:sz w:val="24"/>
          <w:szCs w:val="24"/>
          <w:rtl/>
          <w:lang w:val="ar-SA"/>
        </w:rPr>
        <w:t>يقدم المخترعون طلبات تصف اختراعاتهم إلى مكاتب براءات الاختراع،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يراجع الفاحصون التقنية لتقييم الجدة، وعدم البداهة، والفائدة، في حال الموافقة، تُمنح حقوق براءات الاختراع الحصرية لمدة تصل إلى </w:t>
      </w:r>
      <w:r>
        <w:rPr>
          <w:rStyle w:val="None"/>
          <w:rFonts w:ascii="Times New Roman" w:hAnsi="Times New Roman"/>
          <w:sz w:val="24"/>
          <w:szCs w:val="24"/>
          <w:rtl/>
          <w:lang w:val="ar-SA"/>
        </w:rPr>
        <w:t xml:space="preserve">20 </w:t>
      </w:r>
      <w:r>
        <w:rPr>
          <w:rStyle w:val="None"/>
          <w:rFonts w:cs="Times New Roman"/>
          <w:sz w:val="24"/>
          <w:szCs w:val="24"/>
          <w:rtl/>
          <w:lang w:val="ar-SA"/>
        </w:rPr>
        <w:t>عامًا من تاريخ التقديم</w:t>
      </w:r>
      <w:r>
        <w:rPr>
          <w:rStyle w:val="None"/>
          <w:rFonts w:ascii="Times New Roman" w:hAnsi="Times New Roman"/>
          <w:sz w:val="24"/>
          <w:szCs w:val="24"/>
          <w:rtl/>
          <w:lang w:val="ar-SA"/>
        </w:rPr>
        <w:t>.</w:t>
      </w:r>
    </w:p>
    <w:p w14:paraId="5D408B43" w14:textId="77777777" w:rsidR="00454428" w:rsidRDefault="00000000" w:rsidP="00C72BA8">
      <w:pPr>
        <w:pStyle w:val="ListParagraph"/>
        <w:numPr>
          <w:ilvl w:val="0"/>
          <w:numId w:val="229"/>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العلامات التجارية</w:t>
      </w:r>
      <w:r>
        <w:rPr>
          <w:rStyle w:val="None"/>
          <w:rFonts w:ascii="Times New Roman" w:hAnsi="Times New Roman"/>
          <w:sz w:val="24"/>
          <w:szCs w:val="24"/>
          <w:rtl/>
          <w:lang w:val="ar-SA"/>
        </w:rPr>
        <w:t xml:space="preserve">: </w:t>
      </w:r>
      <w:r>
        <w:rPr>
          <w:rStyle w:val="None"/>
          <w:rFonts w:cs="Times New Roman"/>
          <w:sz w:val="24"/>
          <w:szCs w:val="24"/>
          <w:rtl/>
          <w:lang w:val="ar-SA"/>
        </w:rPr>
        <w:t>يقدم مقدمو الطلبات علاماتٍ تعريفيةً إلى مكاتب العلامات التجارية،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حيث يُقيّم الفاحصون الطلب، ثم يتم تسجيل العلامات المقبولة مع التجديد كل </w:t>
      </w:r>
      <w:r>
        <w:rPr>
          <w:rStyle w:val="None"/>
          <w:rFonts w:ascii="Times New Roman" w:hAnsi="Times New Roman"/>
          <w:sz w:val="24"/>
          <w:szCs w:val="24"/>
          <w:rtl/>
          <w:lang w:val="ar-SA"/>
        </w:rPr>
        <w:t xml:space="preserve">10 </w:t>
      </w:r>
      <w:r>
        <w:rPr>
          <w:rStyle w:val="None"/>
          <w:rFonts w:cs="Times New Roman"/>
          <w:sz w:val="24"/>
          <w:szCs w:val="24"/>
          <w:rtl/>
          <w:lang w:val="ar-SA"/>
        </w:rPr>
        <w:t>سنواتٍ؛ للحفاظ على الحماية</w:t>
      </w:r>
      <w:r>
        <w:rPr>
          <w:rStyle w:val="None"/>
          <w:rFonts w:ascii="Times New Roman" w:hAnsi="Times New Roman"/>
          <w:sz w:val="24"/>
          <w:szCs w:val="24"/>
          <w:rtl/>
          <w:lang w:val="ar-SA"/>
        </w:rPr>
        <w:t>.</w:t>
      </w:r>
    </w:p>
    <w:p w14:paraId="102B7BAF" w14:textId="77777777" w:rsidR="00454428" w:rsidRDefault="00000000" w:rsidP="00C72BA8">
      <w:pPr>
        <w:pStyle w:val="ListParagraph"/>
        <w:numPr>
          <w:ilvl w:val="0"/>
          <w:numId w:val="22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تنشأ تلقائيًا عند إنشاء أعمال أصلية مثبتة على وسائط ملموسة؛ حيث يوفر التسجيل لدى مكتب حقوق الطبع والنشر الأمريكي مزايا، مثل</w:t>
      </w:r>
      <w:r>
        <w:rPr>
          <w:rStyle w:val="None"/>
          <w:rFonts w:ascii="Times New Roman" w:hAnsi="Times New Roman"/>
          <w:sz w:val="24"/>
          <w:szCs w:val="24"/>
          <w:rtl/>
          <w:lang w:val="ar-SA"/>
        </w:rPr>
        <w:t xml:space="preserve">: </w:t>
      </w:r>
      <w:r>
        <w:rPr>
          <w:rStyle w:val="None"/>
          <w:rFonts w:cs="Times New Roman"/>
          <w:sz w:val="24"/>
          <w:szCs w:val="24"/>
          <w:rtl/>
          <w:lang w:val="ar-SA"/>
        </w:rPr>
        <w:t>التعويضات القانونية في حالة الانتهاك</w:t>
      </w:r>
      <w:r>
        <w:rPr>
          <w:rStyle w:val="None"/>
          <w:rFonts w:ascii="Times New Roman" w:hAnsi="Times New Roman"/>
          <w:sz w:val="24"/>
          <w:szCs w:val="24"/>
          <w:rtl/>
          <w:lang w:val="ar-SA"/>
        </w:rPr>
        <w:t xml:space="preserve">. </w:t>
      </w:r>
    </w:p>
    <w:p w14:paraId="6F34A317" w14:textId="77777777" w:rsidR="00454428" w:rsidRDefault="00000000" w:rsidP="00C72BA8">
      <w:pPr>
        <w:pStyle w:val="ListParagraph"/>
        <w:numPr>
          <w:ilvl w:val="0"/>
          <w:numId w:val="22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sz w:val="24"/>
          <w:szCs w:val="24"/>
          <w:rtl/>
          <w:lang w:val="ar-SA"/>
        </w:rPr>
        <w:t xml:space="preserve">: </w:t>
      </w:r>
      <w:r>
        <w:rPr>
          <w:rStyle w:val="None"/>
          <w:rFonts w:cs="Times New Roman"/>
          <w:sz w:val="24"/>
          <w:szCs w:val="24"/>
          <w:rtl/>
          <w:lang w:val="ar-SA"/>
        </w:rPr>
        <w:t>حيث يتم الحصول على الحماية من خلال الحفاظ على السرية من خلال اتفاقيات عدم الإفصاح، وضوابط الوصول، والتشفير، وما إلى ذلك</w:t>
      </w:r>
      <w:r>
        <w:rPr>
          <w:rStyle w:val="None"/>
          <w:rFonts w:ascii="Times New Roman" w:hAnsi="Times New Roman"/>
          <w:sz w:val="24"/>
          <w:szCs w:val="24"/>
          <w:rtl/>
          <w:lang w:val="ar-SA"/>
        </w:rPr>
        <w:t>.</w:t>
      </w:r>
    </w:p>
    <w:p w14:paraId="5161A4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تشير إدارة الحقوق الرقمية إلى مجموعة من التقنيات المستخدمة للتحكم في الوصول إلى الوسائط الرقمية، ومع تحول المحتوى الترفيهي إلى الوسائط الرقمية، لجأ منتجو المحتوى، وأصحاب حقوق الطبع والنشر، وصانعو الأجهزة بشكل متزايد إلى إدارة الحقوق الرقمية كوسيلة لحماية محتواهم من الاستخدام غير المصرح به،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القرصنة، وللحفاظ على مصادر الدخل التقليدية، وبموجب القانون الدولي والفيدرالي، تُعتبر معظم البرامج التي تتحايل على قيود إدارة الحقوق الرقمية غير قانونية، وفي الولايات المتحدة، يُجرّم قانون الألفية الرقمية لحقوق الطبع والنشر، الصادر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نشر التقنيات التي تسمح للمستخدمين بالتحايل على إدارة الحقوق الرقمية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29E68D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الوقائع القضائية التي جسّدت التطبيق العملي لقواعد مكافحة التحايل على أنظمة إدارة الحقوق الرقمية قضية </w:t>
      </w:r>
      <w:r>
        <w:rPr>
          <w:rStyle w:val="None"/>
          <w:rFonts w:ascii="Times New Roman" w:hAnsi="Times New Roman"/>
          <w:sz w:val="24"/>
          <w:szCs w:val="24"/>
          <w:lang w:val="it-IT"/>
        </w:rPr>
        <w:t>Universal City Studios, Inc. v. Reimerdes</w:t>
      </w:r>
      <w:r>
        <w:rPr>
          <w:rStyle w:val="None"/>
          <w:rFonts w:ascii="Times New Roman" w:hAnsi="Times New Roman"/>
          <w:sz w:val="24"/>
          <w:szCs w:val="24"/>
          <w:rtl/>
          <w:lang w:val="ar-SA"/>
        </w:rPr>
        <w:t xml:space="preserve"> (</w:t>
      </w:r>
      <w:r>
        <w:rPr>
          <w:rStyle w:val="None"/>
          <w:rFonts w:ascii="Times New Roman" w:hAnsi="Times New Roman"/>
          <w:sz w:val="24"/>
          <w:szCs w:val="24"/>
        </w:rPr>
        <w:t>2000</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فقد قضت محكمة المقاطعة الجنوبية في نيويورك، كما أيدت محكمة الاستئناف الدائرة الثانية، بعدم نشر برامج يستخدم لفك تشفير حماية أقراص </w:t>
      </w:r>
      <w:r>
        <w:rPr>
          <w:rStyle w:val="None"/>
          <w:rFonts w:ascii="Times New Roman" w:hAnsi="Times New Roman"/>
          <w:sz w:val="24"/>
          <w:szCs w:val="24"/>
          <w:rtl/>
          <w:lang w:val="ar-SA"/>
        </w:rPr>
        <w:t>(</w:t>
      </w:r>
      <w:r>
        <w:rPr>
          <w:rStyle w:val="None"/>
          <w:rFonts w:ascii="Times New Roman" w:hAnsi="Times New Roman"/>
          <w:sz w:val="24"/>
          <w:szCs w:val="24"/>
        </w:rPr>
        <w:t>css</w:t>
      </w:r>
      <w:r>
        <w:rPr>
          <w:rStyle w:val="None"/>
          <w:rFonts w:ascii="Times New Roman" w:hAnsi="Times New Roman"/>
          <w:sz w:val="24"/>
          <w:szCs w:val="24"/>
          <w:rtl/>
          <w:lang w:val="ar-SA"/>
        </w:rPr>
        <w:t xml:space="preserve">) </w:t>
      </w:r>
      <w:r>
        <w:rPr>
          <w:rStyle w:val="None"/>
          <w:rFonts w:ascii="Times New Roman" w:hAnsi="Times New Roman"/>
          <w:sz w:val="24"/>
          <w:szCs w:val="24"/>
        </w:rPr>
        <w:t>DVD</w:t>
      </w:r>
      <w:r>
        <w:rPr>
          <w:rStyle w:val="None"/>
          <w:rFonts w:ascii="Arial Unicode MS" w:hAnsi="Arial Unicode MS" w:cs="Times New Roman" w:hint="cs"/>
          <w:sz w:val="24"/>
          <w:szCs w:val="24"/>
          <w:rtl/>
          <w:lang w:val="ar-SA"/>
        </w:rPr>
        <w:t xml:space="preserve">، واعتبرت ذلك خرقًا واضحًا للمادة </w:t>
      </w:r>
      <w:r>
        <w:rPr>
          <w:rStyle w:val="None"/>
          <w:rFonts w:ascii="Times New Roman" w:hAnsi="Times New Roman"/>
          <w:sz w:val="24"/>
          <w:szCs w:val="24"/>
          <w:rtl/>
          <w:lang w:val="ar-SA"/>
        </w:rPr>
        <w:t xml:space="preserve">1201 </w:t>
      </w:r>
      <w:r>
        <w:rPr>
          <w:rStyle w:val="None"/>
          <w:rFonts w:ascii="Arial Unicode MS" w:hAnsi="Arial Unicode MS" w:cs="Times New Roman" w:hint="cs"/>
          <w:sz w:val="24"/>
          <w:szCs w:val="24"/>
          <w:rtl/>
          <w:lang w:val="ar-SA"/>
        </w:rPr>
        <w:t xml:space="preserve">من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lang w:val="en-US"/>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جرم تصنيع أو تداول أدوات التحايل على أنظمة الحماية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4"/>
      </w:r>
      <w:r>
        <w:rPr>
          <w:rStyle w:val="None"/>
          <w:rFonts w:ascii="Times New Roman" w:hAnsi="Times New Roman"/>
          <w:sz w:val="24"/>
          <w:szCs w:val="24"/>
          <w:vertAlign w:val="superscript"/>
          <w:rtl/>
          <w:lang w:val="ar-SA"/>
        </w:rPr>
        <w:t>)</w:t>
      </w:r>
    </w:p>
    <w:p w14:paraId="0CDAE2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الملكية الفكرية هي تلك القوانين التي تنظم  الاعتداءات على الحقوق التقليدية والرقمية، ومن أبرز هذه المعالجات الجنائية تجريم فعل القرصنة، الذي يمثل الصورة الأبرز في الاعتداءات المتعلقة بالملكية الفكرية التقليدية،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تلك الموجودة في البيئة الإلكترونية، وقد نُظمت تلك الحقوق بموجب قانون حقوق النشر الأمريكي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وقد اعتُبر انتهاك حقوق الملكية الفكرية قرصنة اتحادية، أما فيما يتعلق بالنسخ الإلكتروني أو انتهاك حقوق الطبع والنشر في البيئة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نظمه المشرع الأمريكي في قانون الانتحال الإلكتروني </w:t>
      </w:r>
      <w:r>
        <w:rPr>
          <w:rStyle w:val="None"/>
          <w:rFonts w:ascii="Times New Roman" w:hAnsi="Times New Roman"/>
          <w:sz w:val="24"/>
          <w:szCs w:val="24"/>
          <w:rtl/>
          <w:lang w:val="ar-SA"/>
        </w:rPr>
        <w:t xml:space="preserve">(1997) </w:t>
      </w:r>
      <w:r>
        <w:rPr>
          <w:rStyle w:val="None"/>
          <w:rFonts w:ascii="Arial Unicode MS" w:hAnsi="Arial Unicode MS" w:cs="Times New Roman" w:hint="cs"/>
          <w:sz w:val="24"/>
          <w:szCs w:val="24"/>
          <w:rtl/>
          <w:lang w:val="ar-SA"/>
        </w:rPr>
        <w:t xml:space="preserve">وقانون حماية حقوق المستهلك من القرصنة </w:t>
      </w:r>
      <w:r>
        <w:rPr>
          <w:rStyle w:val="None"/>
          <w:rFonts w:ascii="Times New Roman" w:hAnsi="Times New Roman"/>
          <w:sz w:val="24"/>
          <w:szCs w:val="24"/>
          <w:rtl/>
          <w:lang w:val="ar-SA"/>
        </w:rPr>
        <w:t>(1999).</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5"/>
      </w:r>
      <w:r>
        <w:rPr>
          <w:rStyle w:val="None"/>
          <w:rFonts w:ascii="Times New Roman" w:hAnsi="Times New Roman"/>
          <w:sz w:val="24"/>
          <w:szCs w:val="24"/>
          <w:vertAlign w:val="superscript"/>
          <w:rtl/>
          <w:lang w:val="ar-SA"/>
        </w:rPr>
        <w:t>)</w:t>
      </w:r>
    </w:p>
    <w:p w14:paraId="444004F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الفرنسي</w:t>
      </w:r>
      <w:r>
        <w:rPr>
          <w:rStyle w:val="None"/>
          <w:rFonts w:ascii="Times New Roman" w:hAnsi="Times New Roman"/>
          <w:b/>
          <w:bCs/>
          <w:sz w:val="24"/>
          <w:szCs w:val="24"/>
          <w:rtl/>
          <w:lang w:val="ar-SA"/>
        </w:rPr>
        <w:t>:</w:t>
      </w:r>
    </w:p>
    <w:p w14:paraId="670C8A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تزداد انتهاكات حقوق الملكية الفكرية انتشارًا بشكل غير مسبوق، وبفضل عولمة الاقتصاد والبيئة الرقمية الجديدة، وفي مواجهة هذه الانتهاكات، يمكن للضحايا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بموجب القانون الفرنسي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المطالبة بعقوبات جنائية وعقوبات مدنية </w:t>
      </w:r>
      <w:r>
        <w:rPr>
          <w:rStyle w:val="None"/>
          <w:rFonts w:ascii="Arial Unicode MS" w:hAnsi="Arial Unicode MS" w:cs="Times New Roman" w:hint="cs"/>
          <w:sz w:val="24"/>
          <w:szCs w:val="24"/>
          <w:rtl/>
          <w:lang w:val="ar-SA"/>
        </w:rPr>
        <w:lastRenderedPageBreak/>
        <w:t>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مصادرة السلع المخالفة، وإتلافها، ونشر قرار الإدانة، والإنصاف القضائي، والتعويضات، ويخضع التعويض لقانون المسئولية التقصيرية، وتحديدًا للمادتين </w:t>
      </w:r>
      <w:r>
        <w:rPr>
          <w:rStyle w:val="None"/>
          <w:rFonts w:ascii="Times New Roman" w:hAnsi="Times New Roman"/>
          <w:sz w:val="24"/>
          <w:szCs w:val="24"/>
          <w:rtl/>
          <w:lang w:val="ar-SA"/>
        </w:rPr>
        <w:t xml:space="preserve">1382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1383 </w:t>
      </w:r>
      <w:r>
        <w:rPr>
          <w:rStyle w:val="None"/>
          <w:rFonts w:ascii="Arial Unicode MS" w:hAnsi="Arial Unicode MS" w:cs="Times New Roman" w:hint="cs"/>
          <w:sz w:val="24"/>
          <w:szCs w:val="24"/>
          <w:rtl/>
          <w:lang w:val="ar-SA"/>
        </w:rPr>
        <w:t>من قانون الإجراءات المدنية الفرنسي، اللتين تشترطان وجود خطأ أو ضرر، ورابطة سببية بينهما، وبشكل 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يُثبت الخطأ تلقائيًا عند وجود انتهاك لحقوق الملكية الفكرية؛ إذْ يُعتبر هذا الانتهاك خطأً مدنيًا، ويُعَدُّ تحليل الضرر أكثر صعوبةً؛ نظرًا لخضوعه لمبدأ التعويض الكامل، الذي ينص على وجوب مراعاة التكافؤ التام بين الضرر والتعويض، وتقييم الأضرار بالرجوع إلى الضحية فقط لا إلى المُنتهِك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6"/>
      </w:r>
      <w:r>
        <w:rPr>
          <w:rStyle w:val="None"/>
          <w:rFonts w:ascii="Times New Roman" w:hAnsi="Times New Roman"/>
          <w:sz w:val="24"/>
          <w:szCs w:val="24"/>
          <w:vertAlign w:val="superscript"/>
          <w:rtl/>
          <w:lang w:val="ar-SA"/>
        </w:rPr>
        <w:t>)</w:t>
      </w:r>
    </w:p>
    <w:p w14:paraId="67206408" w14:textId="77777777" w:rsidR="00454428" w:rsidRDefault="00000000" w:rsidP="00C72BA8">
      <w:pPr>
        <w:pStyle w:val="NormalWeb"/>
        <w:bidi/>
        <w:spacing w:before="120" w:after="120" w:line="360" w:lineRule="auto"/>
        <w:ind w:firstLine="720"/>
        <w:jc w:val="both"/>
        <w:rPr>
          <w:rStyle w:val="NoneA"/>
          <w:rFonts w:hint="default"/>
          <w:rtl/>
          <w:lang w:val="ar-SA"/>
        </w:rPr>
      </w:pPr>
      <w:r>
        <w:rPr>
          <w:rStyle w:val="None"/>
          <w:rtl/>
          <w:lang w:val="ar-SA"/>
        </w:rPr>
        <w:t xml:space="preserve">ويعتبر الانتهاك جريمة وفقًا للقانون رقم </w:t>
      </w:r>
      <w:r>
        <w:rPr>
          <w:rStyle w:val="None"/>
          <w:rFonts w:ascii="Times New Roman" w:hAnsi="Times New Roman"/>
          <w:rtl/>
          <w:lang w:val="ar-SA"/>
        </w:rPr>
        <w:t xml:space="preserve">94-102 </w:t>
      </w:r>
      <w:r>
        <w:rPr>
          <w:rStyle w:val="None"/>
          <w:rtl/>
          <w:lang w:val="ar-SA"/>
        </w:rPr>
        <w:t xml:space="preserve">الصادر في </w:t>
      </w:r>
      <w:r>
        <w:rPr>
          <w:rStyle w:val="None"/>
          <w:rFonts w:ascii="Times New Roman" w:hAnsi="Times New Roman"/>
          <w:rtl/>
          <w:lang w:val="ar-SA"/>
        </w:rPr>
        <w:t xml:space="preserve">5 </w:t>
      </w:r>
      <w:r>
        <w:rPr>
          <w:rStyle w:val="None"/>
          <w:rtl/>
          <w:lang w:val="ar-SA"/>
        </w:rPr>
        <w:t xml:space="preserve">فبراير </w:t>
      </w:r>
      <w:r>
        <w:rPr>
          <w:rStyle w:val="None"/>
          <w:rFonts w:ascii="Times New Roman" w:hAnsi="Times New Roman"/>
          <w:rtl/>
          <w:lang w:val="ar-SA"/>
        </w:rPr>
        <w:t xml:space="preserve">1994 </w:t>
      </w:r>
      <w:r>
        <w:rPr>
          <w:rStyle w:val="None"/>
          <w:rtl/>
          <w:lang w:val="ar-SA"/>
        </w:rPr>
        <w:t xml:space="preserve">في المادة الأولى، والقانون رقم </w:t>
      </w:r>
      <w:r>
        <w:rPr>
          <w:rStyle w:val="None"/>
          <w:rFonts w:ascii="Times New Roman" w:hAnsi="Times New Roman"/>
          <w:rtl/>
          <w:lang w:val="ar-SA"/>
        </w:rPr>
        <w:t xml:space="preserve">98-536 </w:t>
      </w:r>
      <w:r>
        <w:rPr>
          <w:rStyle w:val="None"/>
          <w:rtl/>
          <w:lang w:val="ar-SA"/>
        </w:rPr>
        <w:t xml:space="preserve">الصادر في </w:t>
      </w:r>
      <w:r>
        <w:rPr>
          <w:rStyle w:val="None"/>
          <w:rFonts w:ascii="Times New Roman" w:hAnsi="Times New Roman"/>
          <w:rtl/>
          <w:lang w:val="ar-SA"/>
        </w:rPr>
        <w:t xml:space="preserve">1 </w:t>
      </w:r>
      <w:r>
        <w:rPr>
          <w:rStyle w:val="None"/>
          <w:rtl/>
          <w:lang w:val="ar-SA"/>
        </w:rPr>
        <w:t xml:space="preserve">يوليو </w:t>
      </w:r>
      <w:r>
        <w:rPr>
          <w:rStyle w:val="None"/>
          <w:rFonts w:ascii="Times New Roman" w:hAnsi="Times New Roman"/>
          <w:rtl/>
          <w:lang w:val="ar-SA"/>
        </w:rPr>
        <w:t xml:space="preserve">1998 </w:t>
      </w:r>
      <w:r>
        <w:rPr>
          <w:rStyle w:val="None"/>
          <w:rtl/>
          <w:lang w:val="ar-SA"/>
        </w:rPr>
        <w:t xml:space="preserve">في المادة الرابعة، والأمر رقم </w:t>
      </w:r>
      <w:r>
        <w:rPr>
          <w:rStyle w:val="None"/>
          <w:rFonts w:ascii="Times New Roman" w:hAnsi="Times New Roman"/>
          <w:rtl/>
          <w:lang w:val="ar-SA"/>
        </w:rPr>
        <w:t xml:space="preserve">2004-916 </w:t>
      </w:r>
      <w:r>
        <w:rPr>
          <w:rStyle w:val="None"/>
          <w:rtl/>
          <w:lang w:val="ar-SA"/>
        </w:rPr>
        <w:t xml:space="preserve">الصادر في </w:t>
      </w:r>
      <w:r>
        <w:rPr>
          <w:rStyle w:val="None"/>
          <w:rFonts w:ascii="Times New Roman" w:hAnsi="Times New Roman"/>
          <w:rtl/>
          <w:lang w:val="ar-SA"/>
        </w:rPr>
        <w:t xml:space="preserve">19 </w:t>
      </w:r>
      <w:r>
        <w:rPr>
          <w:rStyle w:val="None"/>
          <w:rtl/>
          <w:lang w:val="ar-SA"/>
        </w:rPr>
        <w:t xml:space="preserve">سبتمبر </w:t>
      </w:r>
      <w:r>
        <w:rPr>
          <w:rStyle w:val="None"/>
          <w:rFonts w:ascii="Times New Roman" w:hAnsi="Times New Roman"/>
          <w:rtl/>
          <w:lang w:val="ar-SA"/>
        </w:rPr>
        <w:t>2000</w:t>
      </w:r>
      <w:r>
        <w:rPr>
          <w:rStyle w:val="None"/>
          <w:rtl/>
          <w:lang w:val="ar-SA"/>
        </w:rPr>
        <w:t xml:space="preserve">، المادة </w:t>
      </w:r>
      <w:r>
        <w:rPr>
          <w:rStyle w:val="None"/>
          <w:rFonts w:ascii="Times New Roman" w:hAnsi="Times New Roman"/>
          <w:rtl/>
          <w:lang w:val="ar-SA"/>
        </w:rPr>
        <w:t>3</w:t>
      </w:r>
      <w:r>
        <w:rPr>
          <w:rStyle w:val="None"/>
          <w:rtl/>
          <w:lang w:val="ar-SA"/>
        </w:rPr>
        <w:t xml:space="preserve">، والذي دخل حيز التنفيذ في </w:t>
      </w:r>
      <w:r>
        <w:rPr>
          <w:rStyle w:val="None"/>
          <w:rFonts w:ascii="Times New Roman" w:hAnsi="Times New Roman"/>
          <w:rtl/>
          <w:lang w:val="ar-SA"/>
        </w:rPr>
        <w:t xml:space="preserve">1 </w:t>
      </w:r>
      <w:r>
        <w:rPr>
          <w:rStyle w:val="None"/>
          <w:rtl/>
          <w:lang w:val="ar-SA"/>
        </w:rPr>
        <w:t xml:space="preserve">يناير </w:t>
      </w:r>
      <w:r>
        <w:rPr>
          <w:rStyle w:val="None"/>
          <w:rFonts w:ascii="Times New Roman" w:hAnsi="Times New Roman"/>
          <w:rtl/>
          <w:lang w:val="ar-SA"/>
        </w:rPr>
        <w:t>2002</w:t>
      </w:r>
      <w:r>
        <w:rPr>
          <w:rStyle w:val="None"/>
          <w:rtl/>
          <w:lang w:val="ar-SA"/>
        </w:rPr>
        <w:t xml:space="preserve">، والقانون رقم </w:t>
      </w:r>
      <w:r>
        <w:rPr>
          <w:rStyle w:val="None"/>
          <w:rFonts w:ascii="Times New Roman" w:hAnsi="Times New Roman"/>
          <w:rtl/>
          <w:lang w:val="ar-SA"/>
        </w:rPr>
        <w:t xml:space="preserve">2004-204 </w:t>
      </w:r>
      <w:r>
        <w:rPr>
          <w:rStyle w:val="None"/>
          <w:rtl/>
          <w:lang w:val="ar-SA"/>
        </w:rPr>
        <w:t xml:space="preserve">الصادر في </w:t>
      </w:r>
      <w:r>
        <w:rPr>
          <w:rStyle w:val="None"/>
          <w:rFonts w:ascii="Times New Roman" w:hAnsi="Times New Roman"/>
          <w:rtl/>
          <w:lang w:val="ar-SA"/>
        </w:rPr>
        <w:t xml:space="preserve">9 </w:t>
      </w:r>
      <w:r>
        <w:rPr>
          <w:rStyle w:val="None"/>
          <w:rtl/>
          <w:lang w:val="ar-SA"/>
        </w:rPr>
        <w:t xml:space="preserve">مارس </w:t>
      </w:r>
      <w:r>
        <w:rPr>
          <w:rStyle w:val="None"/>
          <w:rFonts w:ascii="Times New Roman" w:hAnsi="Times New Roman"/>
          <w:rtl/>
          <w:lang w:val="ar-SA"/>
        </w:rPr>
        <w:t>2004</w:t>
      </w:r>
      <w:r>
        <w:rPr>
          <w:rStyle w:val="None"/>
          <w:rtl/>
          <w:lang w:val="ar-SA"/>
        </w:rPr>
        <w:t xml:space="preserve">، المادة </w:t>
      </w:r>
      <w:r>
        <w:rPr>
          <w:rStyle w:val="None"/>
          <w:rFonts w:ascii="Times New Roman" w:hAnsi="Times New Roman"/>
          <w:rtl/>
          <w:lang w:val="ar-SA"/>
        </w:rPr>
        <w:t xml:space="preserve">34 </w:t>
      </w:r>
      <w:r>
        <w:rPr>
          <w:rStyle w:val="None"/>
          <w:rtl/>
          <w:lang w:val="ar-SA"/>
        </w:rPr>
        <w:t xml:space="preserve">ط؛ حيث يُعتبر أي نشر للكتابات، أو المؤلفات الموسيقية، أو الرسومات، أو غيرها من الأعمال الحصرية انتهاكًا، ويُعتبر أي انتهاك جريمة، ويُعاقب كل من يُخالف أحكام هذا القانون في فرنسا، سواءً أكان منشورًا في فرنسا أم خارجها، بالسجن لمدة ثلاث سنواتٍ، وغرامة قدرها </w:t>
      </w:r>
      <w:r>
        <w:rPr>
          <w:rStyle w:val="None"/>
          <w:rFonts w:ascii="Times New Roman" w:hAnsi="Times New Roman"/>
          <w:rtl/>
          <w:lang w:val="ar-SA"/>
        </w:rPr>
        <w:t xml:space="preserve">300,000 </w:t>
      </w:r>
      <w:r>
        <w:rPr>
          <w:rStyle w:val="None"/>
          <w:rtl/>
          <w:lang w:val="ar-SA"/>
        </w:rPr>
        <w:t xml:space="preserve">يورو، ويُعاقب كل من يبيع أو يُصدر أو يُستورد الأعمال المُخالفة بنفس العقوبات، وفي حال ارتكاب جماعة إجرامية منظمة للجرائم المنصوص عليها في هذه المادة، تُشدد العقوبة إلى السجن لمدة خمس سنواتٍ، وغرامة قدرها </w:t>
      </w:r>
      <w:r>
        <w:rPr>
          <w:rStyle w:val="None"/>
          <w:rFonts w:ascii="Times New Roman" w:hAnsi="Times New Roman"/>
          <w:rtl/>
          <w:lang w:val="ar-SA"/>
        </w:rPr>
        <w:t xml:space="preserve">500,000 </w:t>
      </w:r>
      <w:r>
        <w:rPr>
          <w:rStyle w:val="None"/>
          <w:rtl/>
          <w:lang w:val="ar-SA"/>
        </w:rPr>
        <w:t>يورو</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87"/>
      </w:r>
      <w:r>
        <w:rPr>
          <w:rStyle w:val="None"/>
          <w:rFonts w:ascii="Times New Roman" w:hAnsi="Times New Roman"/>
          <w:vertAlign w:val="superscript"/>
          <w:rtl/>
          <w:lang w:val="ar-SA"/>
        </w:rPr>
        <w:t>)</w:t>
      </w:r>
    </w:p>
    <w:p w14:paraId="60AA7C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وفقًا للمادة </w:t>
      </w:r>
      <w:r>
        <w:rPr>
          <w:rStyle w:val="None"/>
          <w:rFonts w:ascii="Times New Roman" w:hAnsi="Times New Roman"/>
          <w:sz w:val="24"/>
          <w:szCs w:val="24"/>
        </w:rPr>
        <w:t>L121-1</w:t>
      </w:r>
      <w:r>
        <w:rPr>
          <w:rStyle w:val="None"/>
          <w:rFonts w:ascii="Arial Unicode MS" w:hAnsi="Arial Unicode MS" w:cs="Times New Roman" w:hint="cs"/>
          <w:sz w:val="24"/>
          <w:szCs w:val="24"/>
          <w:rtl/>
          <w:lang w:val="ar-SA"/>
        </w:rPr>
        <w:t xml:space="preserve"> من قانون الملكية الفكرية الفرنسي، يتمتع المؤلف بحق احترام اسمه وأهليته وعمله، هذا الحق مرتبط بشخصه، وهو دائم وغير قابل للتصرف أو التقادم، وينتقل هذا الحق عند وفاته إلى ورثته، ويجوز منح ممارسته لطرف ثالث بموجب أحكام الوصية، ويتمتع المؤلف بالحق الحصري، ويتمتع هذا الحق بالسمات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8"/>
      </w:r>
      <w:r>
        <w:rPr>
          <w:rStyle w:val="None"/>
          <w:rFonts w:ascii="Times New Roman" w:hAnsi="Times New Roman"/>
          <w:sz w:val="24"/>
          <w:szCs w:val="24"/>
          <w:vertAlign w:val="superscript"/>
          <w:rtl/>
          <w:lang w:val="ar-SA"/>
        </w:rPr>
        <w:t>)</w:t>
      </w:r>
    </w:p>
    <w:p w14:paraId="076D419A" w14:textId="77777777" w:rsidR="00454428" w:rsidRDefault="00000000" w:rsidP="00C72BA8">
      <w:pPr>
        <w:pStyle w:val="ListParagraph"/>
        <w:numPr>
          <w:ilvl w:val="0"/>
          <w:numId w:val="231"/>
        </w:numPr>
        <w:spacing w:before="120" w:after="120" w:line="360" w:lineRule="auto"/>
        <w:jc w:val="both"/>
        <w:rPr>
          <w:rFonts w:cs="Times New Roman" w:hint="default"/>
          <w:sz w:val="24"/>
          <w:szCs w:val="24"/>
          <w:rtl/>
          <w:lang w:val="ar-SA"/>
        </w:rPr>
      </w:pPr>
      <w:r>
        <w:rPr>
          <w:rStyle w:val="None"/>
          <w:rFonts w:cs="Times New Roman"/>
          <w:sz w:val="24"/>
          <w:szCs w:val="24"/>
          <w:rtl/>
          <w:lang w:val="ar-SA"/>
        </w:rPr>
        <w:t>يرتبط هذا الحق بشخص المؤلف</w:t>
      </w:r>
      <w:r>
        <w:rPr>
          <w:rStyle w:val="None"/>
          <w:rFonts w:ascii="Times New Roman" w:hAnsi="Times New Roman"/>
          <w:sz w:val="24"/>
          <w:szCs w:val="24"/>
          <w:rtl/>
          <w:lang w:val="ar-SA"/>
        </w:rPr>
        <w:t>.</w:t>
      </w:r>
    </w:p>
    <w:p w14:paraId="057A53B7" w14:textId="77777777" w:rsidR="00454428" w:rsidRDefault="00000000" w:rsidP="00C72BA8">
      <w:pPr>
        <w:pStyle w:val="ListParagraph"/>
        <w:numPr>
          <w:ilvl w:val="0"/>
          <w:numId w:val="231"/>
        </w:numPr>
        <w:spacing w:before="120" w:after="120" w:line="360" w:lineRule="auto"/>
        <w:jc w:val="both"/>
        <w:rPr>
          <w:rFonts w:cs="Times New Roman" w:hint="default"/>
          <w:sz w:val="24"/>
          <w:szCs w:val="24"/>
          <w:rtl/>
          <w:lang w:val="ar-SA"/>
        </w:rPr>
      </w:pPr>
      <w:r>
        <w:rPr>
          <w:rStyle w:val="None"/>
          <w:rFonts w:cs="Times New Roman"/>
          <w:sz w:val="24"/>
          <w:szCs w:val="24"/>
          <w:rtl/>
          <w:lang w:val="ar-SA"/>
        </w:rPr>
        <w:t>يعتبر هذا الحق دائم وغير قابل للتصرف أو التقادم</w:t>
      </w:r>
      <w:r>
        <w:rPr>
          <w:rStyle w:val="None"/>
          <w:rFonts w:ascii="Times New Roman" w:hAnsi="Times New Roman"/>
          <w:sz w:val="24"/>
          <w:szCs w:val="24"/>
          <w:rtl/>
          <w:lang w:val="ar-SA"/>
        </w:rPr>
        <w:t>.</w:t>
      </w:r>
    </w:p>
    <w:p w14:paraId="40EA51BF" w14:textId="77777777" w:rsidR="00454428" w:rsidRDefault="00000000" w:rsidP="00C72BA8">
      <w:pPr>
        <w:pStyle w:val="ListParagraph"/>
        <w:numPr>
          <w:ilvl w:val="0"/>
          <w:numId w:val="231"/>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وينتقل هذا الحق عند وفاته إلى ورثته</w:t>
      </w:r>
      <w:r>
        <w:rPr>
          <w:rStyle w:val="None"/>
          <w:rFonts w:ascii="Times New Roman" w:hAnsi="Times New Roman"/>
          <w:sz w:val="24"/>
          <w:szCs w:val="24"/>
          <w:rtl/>
          <w:lang w:val="ar-SA"/>
        </w:rPr>
        <w:t>.</w:t>
      </w:r>
    </w:p>
    <w:p w14:paraId="784EE40D" w14:textId="77777777" w:rsidR="00454428" w:rsidRDefault="00000000" w:rsidP="00C72BA8">
      <w:pPr>
        <w:pStyle w:val="ListParagraph"/>
        <w:numPr>
          <w:ilvl w:val="0"/>
          <w:numId w:val="231"/>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ويجوز منح ممارسته لطرف ثالث بموجب أحكام الوصية</w:t>
      </w:r>
      <w:r>
        <w:rPr>
          <w:rStyle w:val="None"/>
          <w:rFonts w:ascii="Times New Roman" w:hAnsi="Times New Roman"/>
          <w:sz w:val="24"/>
          <w:szCs w:val="24"/>
          <w:rtl/>
          <w:lang w:val="ar-SA"/>
        </w:rPr>
        <w:t>.</w:t>
      </w:r>
    </w:p>
    <w:p w14:paraId="058FB4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يهدف قانون الجمهورية الرقمية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قانون رقم </w:t>
      </w:r>
      <w:r>
        <w:rPr>
          <w:rStyle w:val="None"/>
          <w:rFonts w:ascii="Times New Roman" w:hAnsi="Times New Roman"/>
          <w:sz w:val="24"/>
          <w:szCs w:val="24"/>
          <w:rtl/>
          <w:lang w:val="ar-SA"/>
        </w:rPr>
        <w:t xml:space="preserve">2016-1321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 xml:space="preserve">2016) </w:t>
      </w:r>
      <w:r>
        <w:rPr>
          <w:rStyle w:val="None"/>
          <w:rFonts w:ascii="Arial Unicode MS" w:hAnsi="Arial Unicode MS" w:cs="Times New Roman" w:hint="cs"/>
          <w:sz w:val="24"/>
          <w:szCs w:val="24"/>
          <w:rtl/>
          <w:lang w:val="ar-SA"/>
        </w:rPr>
        <w:t>إلى تعزيز إتاحة البيانات والمعرفة وتداولها، وضمان بيئة رقمية مفتوحة تحترم خصوصية مستخدمي الإنترنت، وتسهيل وصول المواطنين إلى المعلومات الرقمية، وينص القانون على أحكام محددة تتعلق بالوصول المفتوح إلى المنشورات العلمية،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فترات حظر محددة، تُمكّن هذه الأحكام المؤلفين من إيداع أعمالهم في مستودعات الوصول المفتوح بعد </w:t>
      </w:r>
      <w:r>
        <w:rPr>
          <w:rStyle w:val="None"/>
          <w:rFonts w:ascii="Arial Unicode MS" w:hAnsi="Arial Unicode MS" w:cs="Times New Roman" w:hint="cs"/>
          <w:sz w:val="24"/>
          <w:szCs w:val="24"/>
          <w:rtl/>
          <w:lang w:val="ar-SA"/>
        </w:rPr>
        <w:lastRenderedPageBreak/>
        <w:t>انقضاء فترات الحظر المحددة، حتى في حال منحهم حقوقًا حصرية للناشر، معزّزةً الوصول المفتوح مع مراعاة فترات الحظر المحددة في التشريع، والتي تحمي حقوق الملكية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9"/>
      </w:r>
      <w:r>
        <w:rPr>
          <w:rStyle w:val="None"/>
          <w:rFonts w:ascii="Times New Roman" w:hAnsi="Times New Roman"/>
          <w:sz w:val="24"/>
          <w:szCs w:val="24"/>
          <w:vertAlign w:val="superscript"/>
          <w:rtl/>
          <w:lang w:val="ar-SA"/>
        </w:rPr>
        <w:t>)</w:t>
      </w:r>
    </w:p>
    <w:p w14:paraId="750C23A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المصدر الرئيسي لتشريعات حقوق الملكية الفكرية في فرنسا هو قانون الملكية الفكرية، الصادر بموجب قانون صادر في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وقت صدور هذا القانون، كان قانون حقوق الطبع والنشر الفرنسي خاضعًا لقانون صادر 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xml:space="preserve">، والذي عُدِّل بقانون صادر في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1985</w:t>
      </w:r>
      <w:r>
        <w:rPr>
          <w:rStyle w:val="None"/>
          <w:rFonts w:ascii="Arial Unicode MS" w:hAnsi="Arial Unicode MS" w:cs="Times New Roman" w:hint="cs"/>
          <w:sz w:val="24"/>
          <w:szCs w:val="24"/>
          <w:rtl/>
          <w:lang w:val="ar-SA"/>
        </w:rPr>
        <w:t xml:space="preserve">، والذي تم دمج أحكامه في قانون الملكية الفكرية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ولأنَّ فرنسا عضو في الاتحاد الأوروبي، يجب أنْ يُقرأ تفسير وتطبيق التشريعات الفرنسية من قِبل السلطة القضائية وفقًا للتوجيهات واللوائح الأوروبية ذات الأثر المباشر،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غالبًا ما تُحيل المحاكم الفرنسية والمحاكم الوطنية الأخرى في الاتحاد الأوروبي المسائل القانونية إلى محكمة العدل الأوروبية، التي تُلزم قراراتها المحاكم الوطنية، ونتيجةً لذلك يُضاف ويُحدَّث قانون حقوق الطبع والنشر الفرنسي باستمرار من مصادر داخلية وخارجية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0"/>
      </w:r>
      <w:r>
        <w:rPr>
          <w:rStyle w:val="None"/>
          <w:rFonts w:ascii="Times New Roman" w:hAnsi="Times New Roman"/>
          <w:sz w:val="24"/>
          <w:szCs w:val="24"/>
          <w:vertAlign w:val="superscript"/>
          <w:rtl/>
          <w:lang w:val="ar-SA"/>
        </w:rPr>
        <w:t>)</w:t>
      </w:r>
    </w:p>
    <w:p w14:paraId="6DC0D4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ناحية أخرى؛ تفتخر فرنسا بإطار قانوني متطوِّر وشامل لحماية الملكية الفكرية، يتماشى مع توجيهات الاتحاد الأوروبي والمعايير الدولية، ويتجلَّى التزام الدولة بتعزيز الابتكار والإبداع في قوانينها الصارمة، التي تنظم براءات الاختراع، والعلامات التجارية، وحقوق التأليف والنشر، والمؤشرات الجغرافية، وتُدار براءات الاختراع في فرنسا من قِبل المعهد الوطني الفرنسي للملكية الصناعية، الذي يلعب دورًا محوريًا في فحص ومنح براءات الاختراع؛ حيث يوفر المعهد منصةً لتسجيل براءات الاختراع؛ ممَّا يضمن حماية حقوق المخترعين، وبصفتها مشاركة في المحكمة الموحدة لبراءات الاختراع، تُساهم فرنسا في نظام موحد للتقاضي بشأن براءات الاختراع في جميع دول الاتحاد الأوروبي، تُعزّز المحكمة الموحدة للبراءات اليقين القانوني، والاتساق في منازعات براءات الاختراع، كما يحمي قانون حقوق التأليف والنشر، الذي يحكمه قانون الملكية الفكرية الفرنسي، حقوق المؤلفين والمبدعين، ويشمل القانون مجموعةً واسعةً من الأعمال الإبداعية، بما في ذلك الإبداعات الأدبية والفنية والبرمجيات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1"/>
      </w:r>
      <w:r>
        <w:rPr>
          <w:rStyle w:val="None"/>
          <w:rFonts w:ascii="Times New Roman" w:hAnsi="Times New Roman"/>
          <w:sz w:val="24"/>
          <w:szCs w:val="24"/>
          <w:vertAlign w:val="superscript"/>
          <w:rtl/>
          <w:lang w:val="ar-SA"/>
        </w:rPr>
        <w:t>)</w:t>
      </w:r>
    </w:p>
    <w:p w14:paraId="19AD9E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وتُلزم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w:t>
      </w:r>
      <w:r>
        <w:rPr>
          <w:rStyle w:val="None"/>
          <w:rFonts w:ascii="Times New Roman" w:hAnsi="Times New Roman"/>
          <w:sz w:val="24"/>
          <w:szCs w:val="24"/>
          <w:rtl/>
          <w:lang w:val="ar-SA"/>
        </w:rPr>
        <w:t>(</w:t>
      </w:r>
      <w:r>
        <w:rPr>
          <w:rStyle w:val="None"/>
          <w:rFonts w:ascii="Times New Roman" w:hAnsi="Times New Roman"/>
          <w:sz w:val="24"/>
          <w:szCs w:val="24"/>
          <w:lang w:val="fr-FR"/>
        </w:rPr>
        <w:t>TRIPS</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والتي وقعت عليها فرنسا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أعضاءَ منظمة التجارة العالمية  بالنص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تطبيق إجراءات وعقوبات جنائية، على الأقل في حالات التقليد المتعمد للعلامات التجارية أو قرصنة حقوق الطبع والنشر على نطاق تجاري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يجوز لأعضاء منظمة التجارة العالمية تجاوز هذا الالتزام؛ حيث تنص الجملة الأخيرة من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على أنَّ أعضاء منظمة التجارة العالمية يتمتعون بالحرية في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تطبيق إجراءات وعقوبات جنائية في حالات عديدة من انتهاك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2"/>
      </w:r>
      <w:r>
        <w:rPr>
          <w:rStyle w:val="None"/>
          <w:rFonts w:ascii="Times New Roman" w:hAnsi="Times New Roman"/>
          <w:sz w:val="24"/>
          <w:szCs w:val="24"/>
          <w:vertAlign w:val="superscript"/>
          <w:rtl/>
          <w:lang w:val="ar-SA"/>
        </w:rPr>
        <w:t>)</w:t>
      </w:r>
    </w:p>
    <w:p w14:paraId="349C6CB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نصت المادة </w:t>
      </w:r>
      <w:r>
        <w:rPr>
          <w:rStyle w:val="None"/>
          <w:rFonts w:ascii="Times New Roman" w:hAnsi="Times New Roman"/>
          <w:sz w:val="24"/>
          <w:szCs w:val="24"/>
        </w:rPr>
        <w:t>L121-1</w:t>
      </w:r>
      <w:r>
        <w:rPr>
          <w:rStyle w:val="None"/>
          <w:rFonts w:ascii="Arial Unicode MS" w:hAnsi="Arial Unicode MS" w:cs="Times New Roman" w:hint="cs"/>
          <w:sz w:val="24"/>
          <w:szCs w:val="24"/>
          <w:rtl/>
          <w:lang w:val="ar-SA"/>
        </w:rPr>
        <w:t xml:space="preserve"> من قانون الملكية الفكرية الفرنسي، على أنَّ المؤلف يتمتع بحق احترام اسمه وأهليته وعمله؛ بحيث يصبح هذا الحق مرتبطًا بشخصه دون عن غيره، ولا يحق لأي فرد استغلال ذلك الحق دون الإذن من صاحبه،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غير قابل للتصرف أو التقادم، كما يتم توريث هذا الحق إلى ورثة المالك بعد وفاته، ويجوز منح ممارسته لطرف ثالث بموجب أحكام الوصية، ويتمتع المؤلف بالحق الحصري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3"/>
      </w:r>
      <w:r>
        <w:rPr>
          <w:rStyle w:val="None"/>
          <w:rFonts w:ascii="Times New Roman" w:hAnsi="Times New Roman"/>
          <w:sz w:val="24"/>
          <w:szCs w:val="24"/>
          <w:vertAlign w:val="superscript"/>
          <w:rtl/>
          <w:lang w:val="ar-SA"/>
        </w:rPr>
        <w:t>)</w:t>
      </w:r>
    </w:p>
    <w:p w14:paraId="700296A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تنقسم الحقوق وفقًا للمادة</w:t>
      </w:r>
      <w:r>
        <w:rPr>
          <w:rStyle w:val="None"/>
          <w:rFonts w:ascii="Times New Roman" w:hAnsi="Times New Roman"/>
          <w:sz w:val="24"/>
          <w:szCs w:val="24"/>
        </w:rPr>
        <w:t xml:space="preserve"> L121-1</w:t>
      </w:r>
      <w:r>
        <w:rPr>
          <w:rStyle w:val="None"/>
          <w:rFonts w:ascii="Arial Unicode MS" w:hAnsi="Arial Unicode MS" w:cs="Times New Roman" w:hint="cs"/>
          <w:sz w:val="24"/>
          <w:szCs w:val="24"/>
          <w:rtl/>
          <w:lang w:val="ar-SA"/>
        </w:rPr>
        <w:t xml:space="preserve"> من قانون الملكية الفكرية الفرنسي إلى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94"/>
      </w:r>
      <w:r>
        <w:rPr>
          <w:rStyle w:val="None"/>
          <w:rFonts w:ascii="Times New Roman" w:hAnsi="Times New Roman"/>
          <w:sz w:val="24"/>
          <w:szCs w:val="24"/>
          <w:vertAlign w:val="superscript"/>
          <w:rtl/>
          <w:lang w:val="ar-SA"/>
        </w:rPr>
        <w:t>)</w:t>
      </w:r>
    </w:p>
    <w:p w14:paraId="2E5B0C31" w14:textId="77777777" w:rsidR="00454428" w:rsidRDefault="00000000" w:rsidP="00C72BA8">
      <w:pPr>
        <w:pStyle w:val="ListParagraph"/>
        <w:numPr>
          <w:ilvl w:val="0"/>
          <w:numId w:val="23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المعنوي</w:t>
      </w:r>
      <w:r>
        <w:rPr>
          <w:rStyle w:val="None"/>
          <w:rFonts w:ascii="Times New Roman" w:hAnsi="Times New Roman"/>
          <w:sz w:val="24"/>
          <w:szCs w:val="24"/>
          <w:rtl/>
          <w:lang w:val="ar-SA"/>
        </w:rPr>
        <w:t xml:space="preserve">: </w:t>
      </w:r>
      <w:r>
        <w:rPr>
          <w:rStyle w:val="None"/>
          <w:rFonts w:cs="Times New Roman"/>
          <w:sz w:val="24"/>
          <w:szCs w:val="24"/>
          <w:rtl/>
          <w:lang w:val="ar-SA"/>
        </w:rPr>
        <w:t>تُرسّخ حقوق المؤلفين الرابطة الوثيقة بين المؤلفين وإبداعهم، باعتباره تعبيرًا شخصيًا عنهم، من خلال منحهم امتيازاتٍ معنويةً على أعمالهم، وترتبط هذه الحقوق مباشرةً بالمؤلف كشخص، وهي دائمة، غير قابلة للتصرف، ولا تسقط بالتقادم، كما تظل الحقوق المعنوية ساريةً بعد وفاة المؤلف، وحتى بعد انقضاء الحقوق المادية، ويجوز لورثة المؤلف ممارسة هذه الحقوق</w:t>
      </w:r>
      <w:r>
        <w:rPr>
          <w:rStyle w:val="None"/>
          <w:rFonts w:ascii="Times New Roman" w:hAnsi="Times New Roman"/>
          <w:sz w:val="24"/>
          <w:szCs w:val="24"/>
          <w:rtl/>
          <w:lang w:val="ar-SA"/>
        </w:rPr>
        <w:t>.</w:t>
      </w:r>
    </w:p>
    <w:p w14:paraId="75EF8731" w14:textId="77777777" w:rsidR="00454428" w:rsidRDefault="00000000" w:rsidP="00C72BA8">
      <w:pPr>
        <w:pStyle w:val="ListParagraph"/>
        <w:numPr>
          <w:ilvl w:val="0"/>
          <w:numId w:val="23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صلاحيات المؤلف</w:t>
      </w:r>
      <w:r>
        <w:rPr>
          <w:rStyle w:val="None"/>
          <w:rFonts w:ascii="Times New Roman" w:hAnsi="Times New Roman"/>
          <w:sz w:val="24"/>
          <w:szCs w:val="24"/>
          <w:rtl/>
          <w:lang w:val="ar-SA"/>
        </w:rPr>
        <w:t xml:space="preserve">: </w:t>
      </w:r>
      <w:r>
        <w:rPr>
          <w:rStyle w:val="None"/>
          <w:rFonts w:cs="Times New Roman"/>
          <w:sz w:val="24"/>
          <w:szCs w:val="24"/>
          <w:rtl/>
          <w:lang w:val="ar-SA"/>
        </w:rPr>
        <w:t>ينص قانون الملكية الفكرية الفرنسي على أنَّ للمؤلف وحده الحق في الإفصاح عن عمله؛ حيث يُقر قانون الملكية الفكرية الفرنسي بأنَّه وحده من يملك الحق في نشر عمله أو عدم نشره، كما يحق لأي مؤلف لعمل ما أنْ يربط اسمه بهذا العمل، وللمؤلف الحق في الاعتراض على أي تغيير، أو حذف، أو إضافة من شأنها أنْ تُغير العمل الأصلي، كما يتمتع المؤلف بالحق في تعديل العمل، أو التوقف عن استخدامه في أي وقت طوال مدة عقده، ودون أي التزام بتبرير هذا القرار</w:t>
      </w:r>
      <w:r>
        <w:rPr>
          <w:rStyle w:val="None"/>
          <w:rFonts w:ascii="Times New Roman" w:hAnsi="Times New Roman"/>
          <w:sz w:val="24"/>
          <w:szCs w:val="24"/>
          <w:rtl/>
          <w:lang w:val="ar-SA"/>
        </w:rPr>
        <w:t>.</w:t>
      </w:r>
    </w:p>
    <w:p w14:paraId="01226960" w14:textId="77777777" w:rsidR="00454428" w:rsidRDefault="00000000" w:rsidP="00C72BA8">
      <w:pPr>
        <w:pStyle w:val="ListParagraph"/>
        <w:numPr>
          <w:ilvl w:val="0"/>
          <w:numId w:val="23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الاقتصادية</w:t>
      </w:r>
      <w:r>
        <w:rPr>
          <w:rStyle w:val="None"/>
          <w:rFonts w:ascii="Times New Roman" w:hAnsi="Times New Roman"/>
          <w:sz w:val="24"/>
          <w:szCs w:val="24"/>
          <w:rtl/>
          <w:lang w:val="ar-SA"/>
        </w:rPr>
        <w:t xml:space="preserve">: </w:t>
      </w:r>
      <w:r>
        <w:rPr>
          <w:rStyle w:val="None"/>
          <w:rFonts w:cs="Times New Roman"/>
          <w:sz w:val="24"/>
          <w:szCs w:val="24"/>
          <w:rtl/>
          <w:lang w:val="ar-SA"/>
        </w:rPr>
        <w:t>حيث يحق للمؤلفين إعادة إنتاج أعمالهم، والحصول على أجر مقابل ذلك، وتُعَدُّ الحقوق الاقتصادية حصريةً، وللمؤلف وحده تحديد شروط استخدام العمل، لا سيما عند ترخيص الآخرين باستخدامه، وتعتبر الحقوق الاقتصادية محدودة زمنيًا، على عكس الحقوق المعنوية التي تُعتبر أبدية</w:t>
      </w:r>
      <w:r>
        <w:rPr>
          <w:rStyle w:val="None"/>
          <w:rFonts w:ascii="Times New Roman" w:hAnsi="Times New Roman"/>
          <w:sz w:val="24"/>
          <w:szCs w:val="24"/>
          <w:rtl/>
          <w:lang w:val="ar-SA"/>
        </w:rPr>
        <w:t>.</w:t>
      </w:r>
    </w:p>
    <w:p w14:paraId="2031440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D0C2E5E"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75B9F5A"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0FD4808"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FC10E3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C4BD78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4985E0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rPr>
      </w:pPr>
    </w:p>
    <w:p w14:paraId="60B57269" w14:textId="77777777" w:rsidR="00C72BA8" w:rsidRDefault="00C72BA8" w:rsidP="00C72BA8">
      <w:pPr>
        <w:pStyle w:val="Body"/>
        <w:spacing w:before="120" w:after="120" w:line="360" w:lineRule="auto"/>
        <w:jc w:val="both"/>
        <w:rPr>
          <w:rStyle w:val="None"/>
          <w:rFonts w:ascii="Times New Roman" w:eastAsia="Times New Roman" w:hAnsi="Times New Roman" w:cs="Times New Roman"/>
          <w:sz w:val="24"/>
          <w:szCs w:val="24"/>
        </w:rPr>
      </w:pPr>
    </w:p>
    <w:p w14:paraId="745C731B"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lastRenderedPageBreak/>
        <w:t>الفصل الرابع</w:t>
      </w:r>
    </w:p>
    <w:p w14:paraId="19B8CBF8"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الحماية الإجرائية للملكية الفكرية في البيئة الرقمية</w:t>
      </w:r>
    </w:p>
    <w:p w14:paraId="6175B7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الإجرائية للملكية الفكرية في البيئة الرقمية تقوم على مجموعة من الإجراءات القانونية، التي تضمن حقوق أصحاب المصنفات الرقمية من الانتهاكات، كما تعمل على تمكين أصحاب الحقوق اللجوء إلى القضاء للمطالبة بحقهم من هذه الانتهاكات، والمطالبة بالتعويض المناسب من جراء التعدي؛ لذا تم تقسيم هذا الفصل إلى مبحثين وهما</w:t>
      </w:r>
      <w:r>
        <w:rPr>
          <w:rStyle w:val="None"/>
          <w:rFonts w:ascii="Times New Roman" w:hAnsi="Times New Roman"/>
          <w:sz w:val="24"/>
          <w:szCs w:val="24"/>
          <w:rtl/>
          <w:lang w:val="ar-SA"/>
        </w:rPr>
        <w:t>:</w:t>
      </w:r>
    </w:p>
    <w:p w14:paraId="7C206F60" w14:textId="77777777" w:rsidR="00454428" w:rsidRDefault="00000000" w:rsidP="00C72BA8">
      <w:pPr>
        <w:pStyle w:val="Body"/>
        <w:numPr>
          <w:ilvl w:val="0"/>
          <w:numId w:val="235"/>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الإجراءات القانونية لحماية الملكية الفكرية في البيئة الرقمية</w:t>
      </w:r>
      <w:r>
        <w:rPr>
          <w:rStyle w:val="None"/>
          <w:rFonts w:ascii="Times New Roman" w:hAnsi="Times New Roman"/>
          <w:sz w:val="24"/>
          <w:szCs w:val="24"/>
          <w:rtl/>
          <w:lang w:val="ar-SA"/>
        </w:rPr>
        <w:t>.</w:t>
      </w:r>
    </w:p>
    <w:p w14:paraId="035DA97E" w14:textId="77777777" w:rsidR="00454428" w:rsidRDefault="00000000" w:rsidP="00C72BA8">
      <w:pPr>
        <w:pStyle w:val="Body"/>
        <w:numPr>
          <w:ilvl w:val="0"/>
          <w:numId w:val="235"/>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 xml:space="preserve">المبحث الثاني </w:t>
      </w:r>
      <w:r>
        <w:rPr>
          <w:rStyle w:val="None"/>
          <w:rFonts w:ascii="Arial Unicode MS" w:hAnsi="Arial Unicode MS" w:cs="Times New Roman" w:hint="cs"/>
          <w:sz w:val="24"/>
          <w:szCs w:val="24"/>
          <w:rtl/>
          <w:lang w:val="ar-SA"/>
        </w:rPr>
        <w:t>الإجراءات التقنية لحماية الملكية الفكرية في البيئة الرقمية</w:t>
      </w:r>
      <w:r>
        <w:rPr>
          <w:rStyle w:val="None"/>
          <w:rFonts w:ascii="Times New Roman" w:hAnsi="Times New Roman"/>
          <w:sz w:val="24"/>
          <w:szCs w:val="24"/>
          <w:rtl/>
          <w:lang w:val="ar-SA"/>
        </w:rPr>
        <w:t>.</w:t>
      </w:r>
    </w:p>
    <w:p w14:paraId="3B3C04B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8EA8D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3EF31D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56FB3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5F1249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F16392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9B8E2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4A805E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CF6D25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F16F7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04ED43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B31337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98FB65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9521EB6"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E710B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D0303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AD74D4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BBA03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8FD28B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31058D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lastRenderedPageBreak/>
        <w:t>المبحث الأول</w:t>
      </w:r>
    </w:p>
    <w:p w14:paraId="752DE25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الإجراءات القانونية لحماية الملكية الفكرية في البيئة الرقمية</w:t>
      </w:r>
    </w:p>
    <w:p w14:paraId="7C50E5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يلزم لها ضوابط لحمايتها من التلاعب من قبل الأشخاص الذين يريدون أنْ تعدل في محتوى المصنف الإلكتروني أو براءة الاختراع لدى الآخرين وتغير معلوماته الإلكترونية حتى تنسبه لنفسها، وذلك عن طريق وضع ضوابط واضحة لمن يتعدى على حقوق الغير، وتوضيح الترخيص الإجباري للغير، وطرق التصرف في حالته، ونقله، وأحقية التصرف في البيئة الإلكترونية</w:t>
      </w:r>
      <w:r>
        <w:rPr>
          <w:rStyle w:val="None"/>
          <w:rFonts w:ascii="Times New Roman" w:hAnsi="Times New Roman"/>
          <w:sz w:val="24"/>
          <w:szCs w:val="24"/>
          <w:rtl/>
          <w:lang w:val="ar-SA"/>
        </w:rPr>
        <w:t>.</w:t>
      </w:r>
    </w:p>
    <w:p w14:paraId="46719A1E" w14:textId="77777777" w:rsidR="00454428" w:rsidRDefault="00000000" w:rsidP="00C72BA8">
      <w:pPr>
        <w:pStyle w:val="Body"/>
        <w:numPr>
          <w:ilvl w:val="0"/>
          <w:numId w:val="3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الترخيص الإجباري</w:t>
      </w:r>
      <w:r>
        <w:rPr>
          <w:rStyle w:val="None"/>
          <w:rFonts w:ascii="Times New Roman" w:hAnsi="Times New Roman"/>
          <w:sz w:val="24"/>
          <w:szCs w:val="24"/>
          <w:rtl/>
          <w:lang w:val="ar-SA"/>
        </w:rPr>
        <w:t>.</w:t>
      </w:r>
    </w:p>
    <w:p w14:paraId="0F3246FF" w14:textId="77777777" w:rsidR="00454428" w:rsidRDefault="00000000" w:rsidP="00C72BA8">
      <w:pPr>
        <w:pStyle w:val="Body"/>
        <w:numPr>
          <w:ilvl w:val="0"/>
          <w:numId w:val="3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الإثبات والتحقيق والضبط الفني في البيئة الرقمية</w:t>
      </w:r>
      <w:r>
        <w:rPr>
          <w:rStyle w:val="None"/>
          <w:rFonts w:ascii="Times New Roman" w:hAnsi="Times New Roman"/>
          <w:sz w:val="24"/>
          <w:szCs w:val="24"/>
          <w:rtl/>
          <w:lang w:val="ar-SA"/>
        </w:rPr>
        <w:t>.</w:t>
      </w:r>
    </w:p>
    <w:p w14:paraId="16DA4CC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C115B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D6BAF2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72B4D8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4AE0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95CF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890DBC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4B726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17093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6D6F37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F47A40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6D75E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451812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5D390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065E83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89D8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34096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E0625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E290C4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lastRenderedPageBreak/>
        <w:t>المطلب الأول</w:t>
      </w:r>
    </w:p>
    <w:p w14:paraId="37C9D35E"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الترخيص الإجباري</w:t>
      </w:r>
    </w:p>
    <w:p w14:paraId="54BE9E7B"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إنَّ المخترع منح حق استغلال براءة الاختراع حصريًا، كنتيجة للموازنة بين منفعة المجتمع من هذا الاختراع، وحق المخترع باستغلال الاختراع حصريًا والتصرف به ضمن مدة محددة، إلا أنَّه في حال اختلال هذه الموازنة يستدعى ذلك تدخل الجهة المختصة</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 xml:space="preserve">بإصدار الترخيص الإجباري قانونيًا؛ لإعادة هذا التوازن، ويقع الترخيص الإجباري على مالك براءة الاختراع، ضمن قيود معينة حددها المشرع الدولي وأخذت بها القوانين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D2ACA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الترخيص الإجباري</w:t>
      </w:r>
      <w:r>
        <w:rPr>
          <w:rStyle w:val="None"/>
          <w:rFonts w:ascii="Times New Roman" w:hAnsi="Times New Roman"/>
          <w:b/>
          <w:bCs/>
          <w:sz w:val="28"/>
          <w:szCs w:val="28"/>
          <w:rtl/>
          <w:lang w:val="ar-SA"/>
        </w:rPr>
        <w:t>:</w:t>
      </w:r>
    </w:p>
    <w:p w14:paraId="40363F9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يُعَدُّ الترخيص من أدوات نقل التكنولوجيا المهمة في العصر الحالي، وهو أمر استلزمته العدالة والموازنة بين حق المجتمع وحق المخترع أو المؤلف؛ حيث إنَّ حق المخترع باستغلال اختراع يعتبر غير مطلق، وإنْ كان المنظم أعطاه بعض المزايا لكونه هو صاحب الفضل في وجود الاختراع للمجتمع إلا أنَّه قد يكون ملزمًا بالترخيص، وتنقسم التراخيص إلى نوعين، اختيار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وهو يكون بين رضا الأطراف، وهذا ورد مسماه في النظام السعودي تحت مسمى الترخيص الاتفاق، أما الترخيص الإجباري، الذي تقوم به جهة الإدارة بدون رضا أطرافه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C322AD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فقد عرفت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الترخيص الإجباري من نظام براءات الاختراع والتصميمات التخطيطية للدارات المتكاملة، والأصناف النباتية، والنماذج الصناعية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الإذن للغير باستغلال موضوع حماية، دون موافقة مالك وثيقة الحماية، وفقًا للأحكام المنصوص عليها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جاءت بتعريف الترخيص التعاقدي أيضًا؛ لما له ارتباط بالترخيص الإجباري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عقد يخول بمقتضاه مالك وثيقة الحماية طرفًا آخر بعض أو جميع حقوقه في استغلال تلك الوثيقة، مدة معينة لقاء أجر محدد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A17F2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وأشار هذا التعريف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يمنح من قبل جهة مختصة في حال سوء استعمال البراءة، شريطة توافر المقدرة لدى طالب الترخيص لاستغلال الاختراع، إلا أنَّه قصر الترخيص الإجباري على حالة سوء استعمال البراءة، فلم يتطرق إلى حالات وقوع الترخيص الإجباري في حالات الطوارئ، أو الأمن القومي، أو المصلحة العامة، كما أكتفى بذكر شرط وحيد للترخيص الإجباري، وهو المقدرة على استغلال الاختراع وأهمل باقي الشروط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97AB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يجوز لطرف جديد أنْ يستعمل مزايا الاختراع، دون الخضوع؛ لموافقة صاحب براءة الاختراع مع ضوابط معينة وتنظم تلك الضوابط طبقًا للنصوص الواردة في النظام السعودي، والترخيص التعاقدي هنا يعتبر هو اتفاق يتم بين صاحب وثيقة الحماية وشخص آخر، ومن هذا الاتفاق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لهذا الشخص من خلال ذلك الاتفاق أنْ يستعمل مدى حق التصرف في الوثيقة</w:t>
      </w:r>
      <w:r>
        <w:rPr>
          <w:rStyle w:val="None"/>
          <w:rFonts w:ascii="Times New Roman" w:hAnsi="Times New Roman"/>
          <w:sz w:val="24"/>
          <w:szCs w:val="24"/>
          <w:rtl/>
          <w:lang w:val="ar-SA"/>
        </w:rPr>
        <w:t>.</w:t>
      </w:r>
    </w:p>
    <w:p w14:paraId="6EAC46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لا بُدَّ من توضيح اختلاف الترخيص الإجباري لبراءة الاختراع عن الترخيص الاتفاقي لبراءة الاختراع، قبل التطرق لتعريف الترخيص الاجباري؛ حيث إنَّ الترخيص باستغلال الاختراعات هو مفهوم أوسع من أنْ يقتصر على مفهوم الترخيص لإجباري؛ حيث إنَّه يشمل الترخيص الإجباري لبراءة الاختراع، كما يشمل الترخيص الاتفاقي لبراءة الاختراع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10995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الأساس القانوني للترخيص الإجباري</w:t>
      </w:r>
      <w:r>
        <w:rPr>
          <w:rStyle w:val="None"/>
          <w:rFonts w:ascii="Times New Roman" w:hAnsi="Times New Roman"/>
          <w:b/>
          <w:bCs/>
          <w:sz w:val="28"/>
          <w:szCs w:val="28"/>
          <w:rtl/>
          <w:lang w:val="ar-SA"/>
        </w:rPr>
        <w:t>:</w:t>
      </w:r>
    </w:p>
    <w:p w14:paraId="31D8459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بقصد ببراءة الاختراع تلك الشهادة التي تمنحها الجهة المختصة للمخترع، الذي يتقدم باختراع جديد قابل للتطبيق الصناعي، ويمثل خطوةً إبداعيةً، سواء أكان الاختراع متعلقًا بمنتجات صناعية جديدة، أم بطرق صناعية مستحدثة، أم بتطبيق جديد لطرق صناعية معروفة، كما تمنح تلك الشهادة عن كل تعديل، أو تحسين، أو إضافة ترد على اختراع سبق أنْ منحت عنه براءة اختراع، إذا توافرت فيه شروط الجدة، والإبداع، والقابلية للتطبيق الصناعي، ويكون منح تلك الشهادة لصاحب التعديل أو التحسين أو الإضافة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2DC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(23) </w:t>
      </w:r>
      <w:r>
        <w:rPr>
          <w:rStyle w:val="None"/>
          <w:rFonts w:ascii="Arial Unicode MS" w:hAnsi="Arial Unicode MS" w:cs="Times New Roman" w:hint="cs"/>
          <w:sz w:val="24"/>
          <w:szCs w:val="24"/>
          <w:rtl/>
          <w:lang w:val="ar-SA"/>
        </w:rPr>
        <w:t>من نظام الملكية الفكرية السعودية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يترتب على الترخيص أحقية المرخص له في القيام بجميع الأعمال والامتيازات المقررة لمالك وثيقة الحماية، والمتعلقة بموضوع الحماية في جميع أنحاء المملكة طوال مدة سريان الحماية، ما لم ينص في عقد الترخيص على خلاف ذلك، وليس للمرخص له أنْ يتنازل عن الحقوق والامتيازات التي رخص له بها مالك الوثيقة، ما لم ينص عقد الترخيص على ذلك صراحةً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4D10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إنَّ الترخيص يعطي للشخص المرخص له الحق القانوني الكامل في التصرف، من خلال تلك الرخصة، وتتمتع هذه الرخصة بالحماية الكاملة خلال المدة المتفق عليها في النظام السعودي، ولا يجوز للمرخص له أنْ يتنازل لطرف آخر عن الامتيازات التي يتمتع بها، في حين أنَّه لم يذكر أنَّ له الحق لتخويل الامتيازات في عقد التصريح</w:t>
      </w:r>
      <w:r>
        <w:rPr>
          <w:rStyle w:val="None"/>
          <w:rFonts w:ascii="Times New Roman" w:hAnsi="Times New Roman"/>
          <w:sz w:val="24"/>
          <w:szCs w:val="24"/>
          <w:rtl/>
          <w:lang w:val="ar-SA"/>
        </w:rPr>
        <w:t>.</w:t>
      </w:r>
    </w:p>
    <w:p w14:paraId="09A371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وهنا يشير إلى ضوابط واضحة بشأن الترخيص الإجباري للغير، وكيفية استعمال الحقوق الخاصة بالمصنف أو ببراءة الاختراع، فيكون العقد المبرم بين صاحب الاختراع أو صاحب المصنف مع الشخص المخول له حق استعمال براءة الاختراع، وتحديد المدة التي يكون له الحق في استعمال المصنف، وعدم تخويل أحقية استعماله لشخص آخر، وذلك في حالة الاتفاق على ذلك في العقد المبرم، ومن هنا يكون للشخص الآخر الذي خول حق استعمال براءة الاختراع سواء </w:t>
      </w:r>
      <w:r>
        <w:rPr>
          <w:rStyle w:val="None"/>
          <w:rFonts w:ascii="Arial Unicode MS" w:hAnsi="Arial Unicode MS" w:cs="Times New Roman" w:hint="cs"/>
          <w:sz w:val="24"/>
          <w:szCs w:val="24"/>
          <w:rtl/>
          <w:lang w:val="ar-SA"/>
        </w:rPr>
        <w:lastRenderedPageBreak/>
        <w:t>في حالة اتفاقه مع صاحب الاختراع، أو عن طريق الترخيص الإجباري، فيمكن له أنْ يمارس أحقية استغلال الاختراع إلكترونية والاستفادة منه في البيئة الرقمية</w:t>
      </w:r>
      <w:r>
        <w:rPr>
          <w:rStyle w:val="None"/>
          <w:rFonts w:ascii="Times New Roman" w:hAnsi="Times New Roman"/>
          <w:sz w:val="24"/>
          <w:szCs w:val="24"/>
          <w:rtl/>
          <w:lang w:val="ar-SA"/>
        </w:rPr>
        <w:t>.</w:t>
      </w:r>
    </w:p>
    <w:p w14:paraId="5E32F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فالترخيص الإجباري هنا يعمل على إثبات الحق للمخترع أو المؤلف الذي يثبت أنَّه صاحب ذلك المحتوى، وله الحق القانوني الكامل في التصرف فيه مع الحق الكامل للدولة في استعمال ذلك الاختراع، في حالة عدم موافقة صاحب الاختراع؛ وذلك لما يعود بالنفع على المصلحة العامة، وكيفية التصرف من خلاله في البيئة الرقمية، وتعتبر المعاهدات الدولية هي السند القانون للكثير من الأنظمة، وهذا الأمر ممتد؛ ليشمل براءة الاختراع وجميع أحكامها، ومنها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الترخيص الإجباري للبراءات، وتعتبر أهم معاهدتين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معاهدة تربس، ومعاهدة برن</w:t>
      </w:r>
      <w:r>
        <w:rPr>
          <w:rStyle w:val="None"/>
          <w:rFonts w:ascii="Times New Roman" w:hAnsi="Times New Roman"/>
          <w:sz w:val="24"/>
          <w:szCs w:val="24"/>
          <w:rtl/>
          <w:lang w:val="ar-SA"/>
        </w:rPr>
        <w:t>.</w:t>
      </w:r>
    </w:p>
    <w:p w14:paraId="637DC460" w14:textId="77777777" w:rsidR="00454428" w:rsidRDefault="00000000" w:rsidP="00C72BA8">
      <w:pPr>
        <w:pStyle w:val="Body"/>
        <w:numPr>
          <w:ilvl w:val="0"/>
          <w:numId w:val="236"/>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برن</w:t>
      </w:r>
      <w:r>
        <w:rPr>
          <w:rStyle w:val="None"/>
          <w:rFonts w:ascii="Times New Roman" w:hAnsi="Times New Roman"/>
          <w:b/>
          <w:bCs/>
          <w:sz w:val="28"/>
          <w:szCs w:val="28"/>
          <w:rtl/>
          <w:lang w:val="ar-SA"/>
        </w:rPr>
        <w:t>:</w:t>
      </w:r>
    </w:p>
    <w:p w14:paraId="6AE392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قبل إبرام اتفاق تربس كانت اتفاقية برن هي أبرز اتفاقيات الملكية الصناعية؛ لما تحتويه من نصوص تسهم في توحيد أحكام حماية حقوق الملكية الصناعية بين الدول المختلفة وتسهيل مهمة مالكي هذه الحقوق فيما يتعلق بحمايتها دوليًا، ألزمت اتفاقية برن بموجب المادة </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الدول الأعضاء بمبدأ المعاملة الوطنية، والذي هو حجز الزاوية في حماية حقوق الملكية الصناعية، بموجب هذا المبدأ يتمتع رعايا كل دولة من دول الاتحاد في جميع دول الاتحاد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لحماية الملكية الصناعية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بالمزايا التي تمنحها حاليًا، أو قد تمنحها مستقبلًا قوانين تلك الدول للمواطنين، ولهم نفس الحماية وطرق الطعن المتاحة للمواطنين، ولكن اتفاقية برن لم تتضمن حدًا أدنى من الحماية لحقوق الملكية الصناعية في الدول الأعضاء، وعليه ما لم تمنحه الدولة العضو لمواطنيها لا تلتزم بمنحه للأجانب</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6FB43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وتعتبر اتفاقية برن دستورَ الحماية الدولية لحقوق الملكية الصناعية؛ لأنَّها تشتمل على قواعد حماية لكل عناصر الملكية الصناعية، 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قبل ظهور نظام الترخيص الإجباري كان جزاء عدم استغلال براءة الاختراع، أو إخلال مالك البراءة باستغلالها هو سقوط براءة الاختراع، بعد ذلك ظهرت اتفاقية برن لتخفف من هذا الجزاء نتيجة للمعارضات التي تلقتها، وكانت بدايات فكرة الترخيص الإجباري تتبلور بإقامة عدة مؤتمرات لتطوير نصوصها، وبالأخص نص المادة الخامسة المختص بالترخيص الإجباري، والذي كان يفيد أنَّه عند إخلال صاحب البراءة بالاستغلال يترتب عليه السقوط كجزاء، ومن هذه المؤتمرات التي ساعدت على تنظيم وتطوير المادة الخامسة، المتعلقة بفكرة الترخيص الإجباري؛ لتتناسب مع تطوُّر المجتمع والتكنولوجيا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6176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م أبرمت اتفاقية برن لحماية المصنفات الأدبية والفنية، وهي تعتبر الدستور للملكية الفكرية، ولم تتعرض هذا الاتفاقية إلى الترخيص الإجباري، وإنما جعلت السقوط هو الجزاء المقرر على الإخلال بالالتزام، وقد عارض البلدان هذه المادة المتمثلة في المادة الخامسة؛ حيث يترتب على ذلك ضياع حق المخترع، الأمر الذي رتب بعد </w:t>
      </w:r>
      <w:r>
        <w:rPr>
          <w:rStyle w:val="None"/>
          <w:rFonts w:ascii="Arial Unicode MS" w:hAnsi="Arial Unicode MS" w:cs="Times New Roman" w:hint="cs"/>
          <w:sz w:val="24"/>
          <w:szCs w:val="24"/>
          <w:rtl/>
          <w:lang w:val="ar-SA"/>
        </w:rPr>
        <w:lastRenderedPageBreak/>
        <w:t xml:space="preserve">ذلك عقد مؤتمر لمراجعة أحكام الاتفاقية، وما يهمنا من هذه التعديلات التي أسفرت في البداية عن ظهور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0EC203"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وفي ذلك الوقت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عد إدخال نظام الترخيص الإجباري، وإنْ لم يكن إلزاميًا كبديل عن نظام سقوط براءة الاختراع، كجزاء للمخترع الذي لا يستغل اختراعه، وانتصار للدول المتقدمة التي كانت تعارض سقوط البراءة كجزاء؛ ممَّا يعني نجاح الدول المتقدمة في استبدال نظام سقوط براءة الاختراع بالترخيص الإجباري، ومؤتمر بروكسل </w:t>
      </w:r>
      <w:r>
        <w:rPr>
          <w:rStyle w:val="None"/>
          <w:rFonts w:ascii="Times New Roman" w:hAnsi="Times New Roman"/>
          <w:sz w:val="24"/>
          <w:szCs w:val="24"/>
          <w:rtl/>
          <w:lang w:val="ar-SA"/>
        </w:rPr>
        <w:t>1900</w:t>
      </w:r>
      <w:r>
        <w:rPr>
          <w:rStyle w:val="None"/>
          <w:rFonts w:ascii="Arial Unicode MS" w:hAnsi="Arial Unicode MS" w:cs="Times New Roman" w:hint="cs"/>
          <w:sz w:val="24"/>
          <w:szCs w:val="24"/>
          <w:rtl/>
          <w:lang w:val="ar-SA"/>
        </w:rPr>
        <w:t>، والذي هو أيضًا لم يلزم الدول على التقيد بالترخيص الإجباري إلا أنَّه قيد جزاء سقوط البراءة بأمرين، وهما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صاحب البراءة في المهلة القانونية، وتقديم الأسباب في حالة عدم الاستغلال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35DA6A"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ونستنتج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تهدف إلى توفير الحماية للملكية الفكرية لبراءة الاختراع، سواء كان صاحب الاختراع من المواطنين، أو أجنبي عن تلك الدولة، التي يقدم فيها براءة الاختراع؛ حيث تعمل على الموازنة بين حقوق صاحب براءة الاختراع وبين الصالح العام، ويُعَدُّ الترخيص الإجباري هنا طريقة من طرق الحفاظ على الصالح العام، والاستفادة بقدر الإمكان من الاختراعات مع مراعات حقوق صاحبها، وكيفية استخدام حقوق النشر والطباعة في البيئة الرقمية</w:t>
      </w:r>
      <w:r>
        <w:rPr>
          <w:rStyle w:val="None"/>
          <w:rFonts w:ascii="Times New Roman" w:hAnsi="Times New Roman"/>
          <w:sz w:val="24"/>
          <w:szCs w:val="24"/>
          <w:rtl/>
          <w:lang w:val="ar-SA"/>
        </w:rPr>
        <w:t>.</w:t>
      </w:r>
    </w:p>
    <w:p w14:paraId="1F08C883" w14:textId="77777777" w:rsidR="00454428" w:rsidRDefault="00000000" w:rsidP="00C72BA8">
      <w:pPr>
        <w:pStyle w:val="Body"/>
        <w:numPr>
          <w:ilvl w:val="0"/>
          <w:numId w:val="236"/>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تربس</w:t>
      </w:r>
      <w:r>
        <w:rPr>
          <w:rStyle w:val="None"/>
          <w:rFonts w:ascii="Times New Roman" w:hAnsi="Times New Roman"/>
          <w:b/>
          <w:bCs/>
          <w:sz w:val="28"/>
          <w:szCs w:val="28"/>
          <w:rtl/>
          <w:lang w:val="ar-SA"/>
        </w:rPr>
        <w:t>:</w:t>
      </w:r>
    </w:p>
    <w:p w14:paraId="2F00FF5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تعتبر اتفاقية تربس من أهم الاتفاقية التي قررت قواعد الملكية الفكرية، وهي تمثل أهم الصراعات الخفية بين الدول والصناعية في حقوق الملكية الفكرية، وقد انعكس هذا الصراع على العديد من القواعد المنظمة داخل الاتفاقية، وتعتبر الاتفاقية مكملة لاتفاقية برن التي أبرمت بشأن الملكية الصناعية، وقد ورد موضوع براءات الاتفاق من ضمن الموضوعات التي نظمتها الاتفاقية، وقد قامت اتفاقية تربس على أمرين رئيسين،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وجود حقوق تستوجب الحماية، واتخاذ إجراءات تجعل من الحماية موضع التطبيق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4F82F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فتهدف اتفاقية تربس إلى تشجيع الابتكار التكنولوجي، ونقل التكنولوجيا بشكل يحقق المنفعة المشتركة لكل من منتج التكنولوجيا، ومستخدمها، والموازنة بين حقوق وواجبات كل منها، ومن مبادئ اتفاقية تربس حماية الصحة العامة والتغذية، وتحقيق المصلحة العامة في القطاعات المهمة للتنمية الاقتصادية، والاجتماعية، والتكنولوجية، وتلك الأهداف والمبادئ تتحقق من خلال استغلال الاختراع، أو في حالة منح التراخيص الإجبارية عند تحقق إحدى حالاته، وبِناءً على انسجام أهداف الترخيص الإجباري مع أهداف ومبادئ اتفاقية تربس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منحت الاتفاقية الدول الأعضاء استثناءات من الحقوق المطلقة لمالك البراءة، مع مراعاة عدة شروط عند استخدام هذه الاستثناءات، مثل أنْ يتم استخدامها بشكل لا </w:t>
      </w:r>
      <w:r>
        <w:rPr>
          <w:rStyle w:val="None"/>
          <w:rFonts w:ascii="Arial Unicode MS" w:hAnsi="Arial Unicode MS" w:cs="Times New Roman" w:hint="cs"/>
          <w:sz w:val="24"/>
          <w:szCs w:val="24"/>
          <w:rtl/>
          <w:lang w:val="ar-SA"/>
        </w:rPr>
        <w:lastRenderedPageBreak/>
        <w:t xml:space="preserve">يتعارض بصورة غير معقولة، مع الاستخدام العادي للبراءة، وأيضًا عدم الإخلال بالمصالح المشروعة لصاحب البراءة، ومراعاة مصالح المرخص 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96034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ويجب أنْ تكون المقدرة لا تعني توافر الإمكانيات المادية والتكنولوجية لدى طالب الترخيص، والتي تؤهله لاستغلال اختراعه بنفسه، وإنما يعني هذا الشرط المقدرة على توفير المنتوج موضوع البراءة في السوق المحلية، سواء كان هذا عن طريق الإنتاج، أم عن طريق الاستيراد، ويجيز للبلدان الأعضاء استخدام الاختراع لأغراض توفير المنتج في الأسواق المحلية فيها، فالهدف من منح الترخيص الإجباري هو معالجة المنظم لمسألة عدم استغلال الاختراع من قبل المالك على النحو المطلوب قانونيًا؛ لذلك يعتبر الشخص الذي يمنح هذا الترخيص هو البديل للمالك في القيام بمهمة الاستغلال،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يجب أنْ يكون قادرًا فنيًا وماليًا على استغلال المناط به بموجب الترخيص، من أجل توفير المنتوج في السوق المحلي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DBDB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نرى أنَّ اتفاقية تربس هدفت إلى تشجيع براءة الاختراع؛ حتى يعمل تحسين الوضع العام بشكل عام، واستخدمت البيئة الرقمية كوسيلة لنقل المنفعة بين المخترع والمستخدم أو الجمهور، ونلاحظ هنا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يتماشى مع أهداف الاتفاقية، وهذا ما نصت عليه المادة </w:t>
      </w:r>
      <w:r>
        <w:rPr>
          <w:rStyle w:val="None"/>
          <w:rFonts w:ascii="Times New Roman" w:hAnsi="Times New Roman"/>
          <w:sz w:val="24"/>
          <w:szCs w:val="24"/>
          <w:rtl/>
          <w:lang w:val="ar-SA"/>
        </w:rPr>
        <w:t xml:space="preserve">31 </w:t>
      </w:r>
      <w:r>
        <w:rPr>
          <w:rStyle w:val="None"/>
          <w:rFonts w:ascii="Arial Unicode MS" w:hAnsi="Arial Unicode MS" w:cs="Times New Roman" w:hint="cs"/>
          <w:sz w:val="24"/>
          <w:szCs w:val="24"/>
          <w:rtl/>
          <w:lang w:val="ar-SA"/>
        </w:rPr>
        <w:t>من الاتفاقية على حقوق صاحب براءة الاختراع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له الحق الكامل في التصرف في اختراعه  ولكن ألا تضر هذه الحرية بالصالح العام، ولذلك وضع حدودًا لحرية صاحب الاختراع في التصرف باختراعه؛ حتى لا يخفيه أو يمنعه عن المصلحة العامة وخدمة الجمهور، وهنا يظهر دور الترخيص الإجباري، الذي يأتي مساند للمصلحة العامة، وتماشيه أيضًا عن طريق البيئة الرقمية التي لها عامل كبير في حلقة الوصل بين صاحب الاختراع والجمهور</w:t>
      </w:r>
      <w:r>
        <w:rPr>
          <w:rStyle w:val="None"/>
          <w:rFonts w:ascii="Times New Roman" w:hAnsi="Times New Roman"/>
          <w:sz w:val="24"/>
          <w:szCs w:val="24"/>
          <w:rtl/>
          <w:lang w:val="ar-SA"/>
        </w:rPr>
        <w:t>.</w:t>
      </w:r>
    </w:p>
    <w:p w14:paraId="6F6DFDA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الجهة المختصة بإصدار الترخيص الإجباري</w:t>
      </w:r>
      <w:r>
        <w:rPr>
          <w:rStyle w:val="None"/>
          <w:rFonts w:ascii="Times New Roman" w:hAnsi="Times New Roman"/>
          <w:b/>
          <w:bCs/>
          <w:sz w:val="28"/>
          <w:szCs w:val="28"/>
          <w:rtl/>
          <w:lang w:val="ar-SA"/>
        </w:rPr>
        <w:t>:</w:t>
      </w:r>
    </w:p>
    <w:p w14:paraId="69A890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اختلفت السلطات القانونية فيما يخص الأخذ بجهة قانونية مختصة؛ لإصدار الترخيص الإجباري، فمنهم من ذهب إلى الأخذ بنظام السلطة التنفيذية، ومنهم من أخذ بنظام السلطة القضائية، ويرجع ذلك إلى الخلاف حول مدى فاعلية كل نظام في إحقاق الترخيص الإجباري ومتطلباته، والنظر في إمكانية وقوعه أو منحه، وهناك نظامان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أحدهما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يعطي السلطة التنفيذية، ممثلة في إدارة براءات الاختراع إصدار التراخيص الإجبارية؛ كونها لاحتياجات السوق وأدرى بحال المخترع، أما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فيعطي الاختصاص بإصدار الترخيص الإجباري للسلطة القضائية؛ كونها الضمانات الكافية لأصحاب البراءات من حيث مدى لزوم منح التراخيص الإجبارية، ومن حيث تقدير المقابل الذي يحصل عليه مالك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D13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ولإصدار الترخيص الإجباري يلزم جهات وسلطات تصدق على هذا القرار؛ حتى يمكن تطبيقه بالشكل القانوني السليم، وتماشى مع نظام المملكة، ومن هنا سوف نوضح أهم الجهات المختصة بإصدار الترخيص الإجباري</w:t>
      </w:r>
      <w:r>
        <w:rPr>
          <w:rStyle w:val="None"/>
          <w:rFonts w:ascii="Times New Roman" w:hAnsi="Times New Roman"/>
          <w:sz w:val="24"/>
          <w:szCs w:val="24"/>
          <w:rtl/>
          <w:lang w:val="ar-SA"/>
        </w:rPr>
        <w:t>:</w:t>
      </w:r>
    </w:p>
    <w:p w14:paraId="1073727F" w14:textId="77777777" w:rsidR="00454428" w:rsidRDefault="00000000" w:rsidP="00C72BA8">
      <w:pPr>
        <w:pStyle w:val="Body"/>
        <w:numPr>
          <w:ilvl w:val="0"/>
          <w:numId w:val="238"/>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التنفيذية بإصدار الترخيص الإجباري</w:t>
      </w:r>
      <w:r>
        <w:rPr>
          <w:rStyle w:val="None"/>
          <w:rFonts w:ascii="Times New Roman" w:hAnsi="Times New Roman"/>
          <w:sz w:val="28"/>
          <w:szCs w:val="28"/>
          <w:rtl/>
          <w:lang w:val="ar-SA"/>
        </w:rPr>
        <w:t>:</w:t>
      </w:r>
    </w:p>
    <w:p w14:paraId="37FC32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الأخذ بهذا النظام هو الأكثر نجاحًا؛ كون السلطة الإدارية تمتلك المقدرة على معرفة احتياجات السوق، ومطلعة على الأسرار الصناعية، وسرعتها بالفصل في الطلبات المتعلقة بالترخيص الإجباري بحكم عملها؛ لذلك أنَّها الأقدر على تحديد ضرورة منح الترخيص الإجباري من عدمه، ويختلف ممثلو هذه السلطة بحسب نظام كل دولة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190B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الجهة الإدارية في كونها الأقدر على منح التراخيص الإجباري؛ بسبب أنَّها من أصدرت براءة الاختراع،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تكون هي الأقدر على معرفة تفاصيل الاختراع؛ كونها الأكثر اطلاعًا على احتياجات السوق والأسرار الصناعية، وعلى علم بتفاصيل الاختراع والمخترعين التي تجعل منها قادرة على الفصل بسرعة في الإجراءات الإدارية، وكذلك تعتبر حلقة وصل بين أصحاب الاختراع أجهزة الإنتاج في الدولة، على أنَّه يجوز الالتجاء للقضاء في الفصل فيما ينتج عن ذلك من نزاع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8D120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فالسلطة التنفيذية تكون جديرة بالتعرف على احتياجات السوق المحلي لكل دولة، ونظام التجارة والصناعة الذي يتماشى مع كل دولة؛ ممَّا يعطيها القدرة والرؤية اللازمة لإعطاء قرار الترخيص الإجباري أم لا، ومعرفة التوقيت المناسب لذلك، ويتم تعين السلطة التنفيذية المسئولين عن ذلك على حسب كل دولة؛ ونظرًا للقرارات التي تتخذها السلطة التنفيذية يمكن أن يحدث بعض النزاع بين صاحب براءة الاختراع، والأجهزة الإدارية في الدولة؛ لذلك يمكن الالتجاء للقضاء، وهنا نوضح دور القضاء في ذلك</w:t>
      </w:r>
      <w:r>
        <w:rPr>
          <w:rStyle w:val="None"/>
          <w:rFonts w:ascii="Times New Roman" w:hAnsi="Times New Roman"/>
          <w:sz w:val="24"/>
          <w:szCs w:val="24"/>
          <w:rtl/>
          <w:lang w:val="ar-SA"/>
        </w:rPr>
        <w:t>.</w:t>
      </w:r>
    </w:p>
    <w:p w14:paraId="29D09DC3" w14:textId="77777777" w:rsidR="00454428" w:rsidRDefault="00000000" w:rsidP="00C72BA8">
      <w:pPr>
        <w:pStyle w:val="Body"/>
        <w:numPr>
          <w:ilvl w:val="0"/>
          <w:numId w:val="238"/>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القضائية بإصدار الترخيص الإجباري</w:t>
      </w:r>
      <w:r>
        <w:rPr>
          <w:rStyle w:val="None"/>
          <w:rFonts w:ascii="Times New Roman" w:hAnsi="Times New Roman"/>
          <w:sz w:val="28"/>
          <w:szCs w:val="28"/>
          <w:rtl/>
          <w:lang w:val="ar-SA"/>
        </w:rPr>
        <w:t>:</w:t>
      </w:r>
    </w:p>
    <w:p w14:paraId="43410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بموجب هذا النظام السلطة القضائية تكون مختصةً بالنظر في طلبات الترخيص الإجباري، وفحص مدى توافق هذه الطلبات مع النصوص النظامية والدولية، قبل إصدار القرار بالرفض أو المنح، ويتم توزيع صلاحيات منح الترخيص الإجباري بين الجهتين الإدارة والقضاء معًا، ومثال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تمنح الجهة الإدارية سلطةَ إصدار الترخيص الإجباري في حالات معينة مع ترك بقية الحالات لتختص بها السلطة القضائية، ومنح الترخيص من اختصاصات المحكمة على شكل تقديم طلب الترخيص الإجباري في صورة دعوى يختصم بها مالك البراءة وطالب الترخيص الإجباري، وتمنح المحكمة مهلة للطرفين للوصول إلى اتفاق فيما بينم مع إمكانية مد المهلة إذا رأت المحكمة حاجةً لذلك، وعند انقضاء هذه المدة تنظر المحكمة بالطلب وتقرر الرفض أو المنح مع تحديد شروطه، ويتم إعلان الحكم إلى الطرف الآخر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51BC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وفقًا لمن سار على هذا المنهج، فإنَّ إصدار الترخيص الإجباري يكون من اختصاص المحكمة؛ إذ هي من تقوم بفحص طلبات الترخيص الإجباري المقدمة ومدى توافقها مع النصوص وهل توافرت مع الشروط والحالات حتى يتم منح الترخيص أم لا؟ وسندهم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الجهة القضائية تحقق الضمانات الكافية لأصحاب براءة الاختراع في الأصل، يعتبر تعديًا على حق مالك البراءة الحصري، ومِنْ ثَمَّ تقوم الجهة القضائية بتقدير التعويض العادل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AA1A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ونظرًا للنزاعات التي تتم بين صاحب براءة الاختراع والجهات الإدارية، يتم اللجوء إلى القضاء للفصل في النزاع القائم على إعطاء الترخيص الإجباري، فتعمل الجهة القضائية على فحص حالة الترخيص التي نشأ عليها النزاع، والظروف، والأساس القانوني، الذي قام عليه طلب الترخيص الإجباري وتفصل في صحته أم إلغائه، ومن هنا تكون الجهة القضائية مشتركة مع الجهة التنفيذية في إصدار قرار الترخيص الإجباري</w:t>
      </w:r>
      <w:r>
        <w:rPr>
          <w:rStyle w:val="None"/>
          <w:rFonts w:ascii="Times New Roman" w:hAnsi="Times New Roman"/>
          <w:sz w:val="24"/>
          <w:szCs w:val="24"/>
          <w:rtl/>
          <w:lang w:val="ar-SA"/>
        </w:rPr>
        <w:t>.</w:t>
      </w:r>
    </w:p>
    <w:p w14:paraId="7AC746E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حالات منح الترخيص الإجباري باستغلال براءة الاختراع</w:t>
      </w:r>
      <w:r>
        <w:rPr>
          <w:rStyle w:val="None"/>
          <w:rFonts w:ascii="Times New Roman" w:hAnsi="Times New Roman"/>
          <w:b/>
          <w:bCs/>
          <w:sz w:val="28"/>
          <w:szCs w:val="28"/>
          <w:rtl/>
          <w:lang w:val="ar-SA"/>
        </w:rPr>
        <w:t>:</w:t>
      </w:r>
    </w:p>
    <w:p w14:paraId="49F945F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تتعد حالات إعطاء الترخيص الإجباري وذلك لتعدد متطلبات منح الترخيص الإجباري، كما تختلف شروط كل حالة عن الأخرى، فقد يقع الترخيص الإجباري لأهمية الاختراع وتأثيره بالمجتمع بما يخدم المصلحة العامة، كما قد يمنح ترخيص للغير بالاستغلال المخترع لاختراعه أو لتقصير من المخترع بنقص استغلال اختراعه، كما قد يقع على المخترع لفعله غير المشروع، كما أنَّه من 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وإنْ كانت اتفاقية تربس قد نصت صراحةً على الحالات التي يتعين بموجبها منح تراخيص إجبارية، إلا أنَّه من الفقهاء من يرى أنَّ اتفاقية تربس لم تحد من حق الدول الأعضاء في تحديد حالات أخرى، والأصح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بأنَّ غايات الترخيص الإجباري محددة حصرًا، فهي لا تخرج عن ثلاثة أهداف كالتالي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المصلحة العامة، أو التعسف في استغلال مالك البراءة، أو لمنافسة غير المشروعة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AFF152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فعند طلب إعطاء الترخيص الإجباري يكون له عدة حالات من خلالها يمكن الحصول على الترخيص الإجباري، ومن أهم تلك الحالات سنقوم بعرضها</w:t>
      </w:r>
      <w:r>
        <w:rPr>
          <w:rStyle w:val="None"/>
          <w:rFonts w:ascii="Times New Roman" w:hAnsi="Times New Roman"/>
          <w:sz w:val="24"/>
          <w:szCs w:val="24"/>
          <w:rtl/>
          <w:lang w:val="ar-SA"/>
        </w:rPr>
        <w:t>:</w:t>
      </w:r>
    </w:p>
    <w:p w14:paraId="26DCAC34" w14:textId="77777777" w:rsidR="00454428" w:rsidRDefault="00000000" w:rsidP="00C72BA8">
      <w:pPr>
        <w:pStyle w:val="Body"/>
        <w:numPr>
          <w:ilvl w:val="0"/>
          <w:numId w:val="240"/>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تتطلب ترخيص إجباري لأهمية وحساسيتها بالمجتمع</w:t>
      </w:r>
      <w:r>
        <w:rPr>
          <w:rStyle w:val="None"/>
          <w:rFonts w:ascii="Times New Roman" w:hAnsi="Times New Roman"/>
          <w:sz w:val="28"/>
          <w:szCs w:val="28"/>
          <w:rtl/>
          <w:lang w:val="ar-SA"/>
        </w:rPr>
        <w:t>:</w:t>
      </w:r>
    </w:p>
    <w:p w14:paraId="7AC7119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الطبيعة القانونية للترخيص الإجباري ترتبط بتكييف براءة الاختراع أساسًا، فيعود التزام المخترع باستغلال اختراعه إلى نظرية العقد الاجتماعي التي تفيد بأنَّ المخترع عندما يتقدم بطلب للحصول على براءة اختراع، ويمنح البراءة، فهو يدخل في عقد مع الجماعة مضمونه أنْ يحصل صاحب البراءة على حماية الاختراع مقابل إفشاء إسرار هذا الاختراع، وهذا العقد يولد التزامات متقابلة بين أطرافه على رأسها التزام المخترع باستغلال اختراعه، وأنَّ الترخيص الإجباري يعتبر فسخ لعقد البراءة المبرم بين صاحب</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البراءة وإدارة براءات الاختراع؛ بسبب مخالفة صاحب البراءة </w:t>
      </w:r>
      <w:r>
        <w:rPr>
          <w:rStyle w:val="None"/>
          <w:rFonts w:ascii="Arial Unicode MS" w:hAnsi="Arial Unicode MS" w:cs="Times New Roman" w:hint="cs"/>
          <w:sz w:val="24"/>
          <w:szCs w:val="24"/>
          <w:rtl/>
          <w:lang w:val="ar-SA"/>
        </w:rPr>
        <w:lastRenderedPageBreak/>
        <w:t>لالتزامه باستغلال الاختراع، ويضيف صاحب وجهة النظر هذه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في حالتي الاختراعات المرتبطة وعدم كفاية الاستغلال يكون عقد جديد يبرم بين السلطة العامة والمرخص له إجباريًا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FAD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يتضمن طلب الترخيص الإجباري المقدم من قِبل أي جهة حكومية، باستغلال الاختراع بيانًا باعتبار المصلحة العامة التي اقتضت ذلك، وينص على هذه الاعتبارات في قرار منح الترخيص</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7"/>
      </w:r>
      <w:r>
        <w:rPr>
          <w:rStyle w:val="None"/>
          <w:rFonts w:ascii="Times New Roman" w:hAnsi="Times New Roman"/>
          <w:sz w:val="24"/>
          <w:szCs w:val="24"/>
          <w:vertAlign w:val="superscript"/>
          <w:rtl/>
          <w:lang w:val="ar-SA"/>
        </w:rPr>
        <w:t>)</w:t>
      </w:r>
      <w:r>
        <w:rPr>
          <w:rStyle w:val="None"/>
          <w:rFonts w:ascii="Times New Roman" w:hAnsi="Times New Roman"/>
          <w:b/>
          <w:bCs/>
          <w:sz w:val="24"/>
          <w:szCs w:val="24"/>
          <w:rtl/>
          <w:lang w:val="ar-SA"/>
        </w:rPr>
        <w:t>.</w:t>
      </w:r>
    </w:p>
    <w:p w14:paraId="4E4CC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وعند منح الترخيص الإجباري لاستغلال براءة الاختراع غير المستغلة، أو التي يكون استغلالها غير كاف، فإنَّ ذلك يؤدي إلى إنعاش الاقتصادي المحلي للدولة، ودعم النشاط التجاري، من خلال طرحها بالسوق بأسعار تتناسب مع دخل الفرد، والحفاظ على رؤوس الأموال وعدم إخراجها، ومن خلال أيضًا المساعدة على الحفاظ على الصحة، وتشغيل اليد العاملة والتخفيف نوعًا ما من ظاهرة البطالة، والأصل أنْ يتم منح الاختراع براءة؛ ليتم استغلالها وإفادة المجتمع والدولة من المنتج</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8CAE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الترخيص الإجباري يهدف إلى المصلحة العامة، وهذا رأي فقهي بأنْ يكون الترخيص الإجباري يؤثر على الصالح العامة، من خلال استعمال براءة الاختراع فيما ينفع الجمهور وتأثيره على التطوُّر في جميع المجالات، سواء كانت صناعيةً، أو زراعيةً، أو أي مجال يخدم الجمهور، وخصوصًا في وجود البيئة الرقمية التي تساعد على انتشار المعرفة بين المخترع والجمهور وسرعة انتشار العلم</w:t>
      </w:r>
      <w:r>
        <w:rPr>
          <w:rStyle w:val="None"/>
          <w:rFonts w:ascii="Times New Roman" w:hAnsi="Times New Roman"/>
          <w:sz w:val="24"/>
          <w:szCs w:val="24"/>
          <w:rtl/>
          <w:lang w:val="ar-SA"/>
        </w:rPr>
        <w:t>.</w:t>
      </w:r>
    </w:p>
    <w:p w14:paraId="3D0753D4" w14:textId="77777777" w:rsidR="00454428" w:rsidRDefault="00000000" w:rsidP="00C72BA8">
      <w:pPr>
        <w:pStyle w:val="Body"/>
        <w:numPr>
          <w:ilvl w:val="0"/>
          <w:numId w:val="240"/>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تستدعي إعطاء ترخيص إجباري لعدم استغلال البراءة</w:t>
      </w:r>
      <w:r>
        <w:rPr>
          <w:rStyle w:val="None"/>
          <w:rFonts w:ascii="Times New Roman" w:hAnsi="Times New Roman"/>
          <w:sz w:val="28"/>
          <w:szCs w:val="28"/>
          <w:rtl/>
          <w:lang w:val="ar-SA"/>
        </w:rPr>
        <w:t>:</w:t>
      </w:r>
    </w:p>
    <w:p w14:paraId="5D27CB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أجاز المنظم لإدارة براءات الاختراع الترخيص الإجباري باستغلال البراءة في هذه الحالة للغير الراغب في استغلال الاختراع، وأنْ يقدم شروطًا تجاريةً معقولةً، خلال مدة معقولة للحصول على ترخيص اختياري، أجاز اتفاق تربس أيضًا الترخيص الإجباري في هذه الحالة إذا بذل طالب الترخيص الإجباري جهودًا؛ للحصول على ترخيص من صاحب الحق في البراءة بأسعار وشروط تجارية معقولة، وأنَّ هذه الجهود لم تكلل بالنجاح في غضون فترة زمنية معقولة، والسماح بالترخيص الإجباري في هذه الحالة يهدف إلى تشجيع استغلال الاختراع بجميع تطبيقاته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A76B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تنظيم الدول ضمن تشريعاتها الترخيص الإجباري؛ ليبقى تهديدًا لأصحاب الاختراع؛ لاستغلال اختراعهم، وطرحه بالأسواق بأسعار مناسبة، ومنح التراخيص الاتفاقية، وفي نفس الوقت يعتبر الترخيص الإجباري سلاحًا فعَّالًا، </w:t>
      </w:r>
      <w:r>
        <w:rPr>
          <w:rStyle w:val="None"/>
          <w:rFonts w:ascii="Arial Unicode MS" w:hAnsi="Arial Unicode MS" w:cs="Times New Roman" w:hint="cs"/>
          <w:sz w:val="24"/>
          <w:szCs w:val="24"/>
          <w:rtl/>
          <w:lang w:val="ar-SA"/>
        </w:rPr>
        <w:lastRenderedPageBreak/>
        <w:t xml:space="preserve">وأداةً رادعةً للممارسات التعسفية، التي يقوم بها مالك البراءة، وتضر المجتمع والدولة؛ لأنَّه في حالة عدم استغلال الاختراع مثلًا، فإنَّ ذلك يرجع بالضرر على كل من الشعب في حالة كان الاختراع دواني ومتعلق بصحتهم وأرواحهم حتى لو كان الاختراع غير دواني يرجع بالضرر على الأطراف، ويرجع بالضرر على الدولة من الناحية الاقتصادية، ومن ناحية عدم دعم الصناعات الوطنية؛ بسبب عدم استغلالها وإفادة المجتمع منها، ومن الأمثلة على الحالات التي استخدمت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C789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فامتناع مالك البراءة عن استغلال اختراعه، أو استغلال الاختراع استغلال لا يفي بحاجة المجتمع يُعَدُّ تعسفًا في استعمال حق الاحتكار الذي منحه إياه القانون؛ لتحقيق غايات اقتصادية واجتماعية؛ ممَّا يجيز للمنظم التدخل، وفرض الترخيص الإجباري؛ لضمان تحقيق مصلحة المجتمع في الانتفاع من ذلك الاختراع، فهذه الحالة جديرة بالالتفات إليه والتوقف عنده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فهو يقدم تفسيرًا منطقيًا للطبيعة القانونية للترخيص الإجباري، وينتقد جانب من الفقه هذه الحالة علة أنَّه لا يأصل لطبيعة الترخيص الإجباري بقدر تأصيله للسبب من منحه، متمثلًا في التعسف في استعمال الحق، كما أنَّه يصور منح الترخيص الإجباري، وكأنَّه جزاء تفرضه السلطة العامة على مالك البراءة؛ لتجاوزه مضمون حقه أو خروجه عنه وهو ما لا يستقيم قانونًا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E61F1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أحيانًا قد لا يستغل صاحب براءة الاختراع الإفادة التي تنتج من الاختراع الذي توصل إليه، وهنا يكون قصر في حق نفسه والمجتمع، وتعتبر هذه الحالة من أهم الحالات التي تعطي الحق في الترخيص الإجباري؛ لعدم استغلال البراءة، ويستطيع أشخاص أخرى استغلال ذلك الاختراع في الاستفادة منه في شتى المجالات، التي تعود بالنفع على المصلحة العامة؛ ممَّا يسهل ذلك ارتباطها بالبيئة الرقمية وسرعة انتشار المعلومات</w:t>
      </w:r>
      <w:r>
        <w:rPr>
          <w:rStyle w:val="None"/>
          <w:rFonts w:ascii="Times New Roman" w:hAnsi="Times New Roman"/>
          <w:sz w:val="24"/>
          <w:szCs w:val="24"/>
          <w:rtl/>
          <w:lang w:val="ar-SA"/>
        </w:rPr>
        <w:t>.</w:t>
      </w:r>
    </w:p>
    <w:p w14:paraId="2F42D75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24B4047" w14:textId="77777777" w:rsidR="00454428" w:rsidRDefault="00000000" w:rsidP="00C72BA8">
      <w:pPr>
        <w:pStyle w:val="Body"/>
        <w:numPr>
          <w:ilvl w:val="0"/>
          <w:numId w:val="240"/>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حالات تستدعي إعطاء ترخيص إجباري للمنافسة غير المشروعة من قبل المخترع</w:t>
      </w:r>
      <w:r>
        <w:rPr>
          <w:rStyle w:val="None"/>
          <w:rFonts w:ascii="Times New Roman" w:hAnsi="Times New Roman"/>
          <w:sz w:val="28"/>
          <w:szCs w:val="28"/>
          <w:rtl/>
          <w:lang w:val="ar-SA"/>
        </w:rPr>
        <w:t>:</w:t>
      </w:r>
    </w:p>
    <w:p w14:paraId="0BEDB5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التزام صاحب البراءة بنقل الأسرار والمعارف التكنولوجية للمرخص له، هو التزام يقتضيه التزام المرخص له باستغلال البراءة، إذ قد تكون هناك صعوبة في استغلال البراءة دون تدخل صاحب البراءة؛ حيث يكون من الصعب أحيانًا استغلال أي براءة اختراع دون التدخل الإيجابي لمالكها، ومشاركته الفعلية فيها، فغالبًا ما تكون المعلومات التي تنشر عن الاختراع في وثيقة البراءة غير كافية بذاتها لاستغلاله، وأنَّ تسليم مالك البراءة للمرخص له الوثائق الفنية والتقنية لبراءة الاختراع، لا تُعَدُّ كافيةً لقيام المرخص له بعرض منتجات ذات جودة، إلا إذا رافق ذلك نقل كافة المعارف الفنية السرية المكملة لبراءة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951AFE1" w14:textId="77777777" w:rsidR="00454428" w:rsidRDefault="00000000" w:rsidP="00C72BA8">
      <w:pPr>
        <w:pStyle w:val="Body"/>
        <w:spacing w:before="120" w:after="120" w:line="360" w:lineRule="auto"/>
        <w:ind w:left="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يحظر على المنشأة أو المنشآت التي تتمتع بوضع مهيمن، أي ممارسة تحد من المنافسة بين المنشآت، وفقًا للشروط والضوابط المبينة في اللائحة، وبخاصة ما يأتي</w:t>
      </w:r>
      <w:r>
        <w:rPr>
          <w:rStyle w:val="None"/>
          <w:rFonts w:ascii="Times New Roman" w:hAnsi="Times New Roman"/>
          <w:sz w:val="24"/>
          <w:szCs w:val="24"/>
          <w:rtl/>
          <w:lang w:val="ar-SA"/>
        </w:rPr>
        <w:t>:</w:t>
      </w:r>
    </w:p>
    <w:p w14:paraId="0DD52135"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التحكم في أسعار السلع والخدمات المعدة للبيع بالزيادة، أو الخفض، أو التثبيت، أو بأي صورة أخرى تضر المنافسة المشروعية</w:t>
      </w:r>
      <w:r>
        <w:rPr>
          <w:rStyle w:val="None"/>
          <w:rFonts w:ascii="Times New Roman" w:hAnsi="Times New Roman"/>
          <w:sz w:val="24"/>
          <w:szCs w:val="24"/>
          <w:rtl/>
          <w:lang w:val="ar-SA"/>
        </w:rPr>
        <w:t>.</w:t>
      </w:r>
    </w:p>
    <w:p w14:paraId="4467B942"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الحد من حرية تدفق السلع والخدمات إلى الأسواق، أو إخراجها منها بصفة كلية أو جزئية، وذلك من خلال إخفائها، أو تخزينها دون وجه حق، أو الامتناع عن التعامل فيها</w:t>
      </w:r>
      <w:r>
        <w:rPr>
          <w:rStyle w:val="None"/>
          <w:rFonts w:ascii="Times New Roman" w:hAnsi="Times New Roman"/>
          <w:sz w:val="24"/>
          <w:szCs w:val="24"/>
          <w:rtl/>
          <w:lang w:val="ar-SA"/>
        </w:rPr>
        <w:t>.</w:t>
      </w:r>
    </w:p>
    <w:p w14:paraId="5A3AEBFF"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افتعال وفرة مفاجئة في السلع والخدمات؛ بحيث يؤدي تداولها إلى سعر غير حقيقي، يؤثر في باقي المتعاملين في السوق</w:t>
      </w:r>
      <w:r>
        <w:rPr>
          <w:rStyle w:val="None"/>
          <w:rFonts w:ascii="Times New Roman" w:hAnsi="Times New Roman"/>
          <w:sz w:val="24"/>
          <w:szCs w:val="24"/>
          <w:rtl/>
          <w:lang w:val="ar-SA"/>
        </w:rPr>
        <w:t>.</w:t>
      </w:r>
    </w:p>
    <w:p w14:paraId="217C795E"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منع أي منشأة من استخدام حقها في دخول السوق، أو الخروج منه، أو عرقلة ذلك في أي وقت</w:t>
      </w:r>
      <w:r>
        <w:rPr>
          <w:rStyle w:val="None"/>
          <w:rFonts w:ascii="Times New Roman" w:hAnsi="Times New Roman"/>
          <w:sz w:val="24"/>
          <w:szCs w:val="24"/>
          <w:rtl/>
          <w:lang w:val="ar-SA"/>
        </w:rPr>
        <w:t>.</w:t>
      </w:r>
    </w:p>
    <w:p w14:paraId="3F48DBEC"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حجب السلع والخدمات المتاحة في السوق بصفة كلية أو جزئية عن منشأة أو منشآت معينة</w:t>
      </w:r>
      <w:r>
        <w:rPr>
          <w:rStyle w:val="None"/>
          <w:rFonts w:ascii="Times New Roman" w:hAnsi="Times New Roman"/>
          <w:sz w:val="24"/>
          <w:szCs w:val="24"/>
          <w:rtl/>
          <w:lang w:val="ar-SA"/>
        </w:rPr>
        <w:t>.</w:t>
      </w:r>
    </w:p>
    <w:p w14:paraId="6929BF3A"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تقسيم الأسواق لبيع أو شراء السلع والخدمات أو التخصيصات</w:t>
      </w:r>
      <w:r>
        <w:rPr>
          <w:rStyle w:val="None"/>
          <w:rFonts w:ascii="Times New Roman" w:hAnsi="Times New Roman"/>
          <w:sz w:val="24"/>
          <w:szCs w:val="24"/>
          <w:rtl/>
          <w:lang w:val="ar-SA"/>
        </w:rPr>
        <w:t>.</w:t>
      </w:r>
    </w:p>
    <w:p w14:paraId="019A13C1"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التأثير في السعر الطبيعي لعروض بيع السلع والخدمات، أو شرائها، أو توريدها، سواء في المنافسات، أو المزايدات الحكومية أو غير الحكومية</w:t>
      </w:r>
      <w:r>
        <w:rPr>
          <w:rStyle w:val="None"/>
          <w:rFonts w:ascii="Times New Roman" w:hAnsi="Times New Roman"/>
          <w:sz w:val="24"/>
          <w:szCs w:val="24"/>
          <w:rtl/>
          <w:lang w:val="ar-SA"/>
        </w:rPr>
        <w:t>.</w:t>
      </w:r>
    </w:p>
    <w:p w14:paraId="0EF47403" w14:textId="77777777" w:rsidR="00454428" w:rsidRDefault="00000000" w:rsidP="00C72BA8">
      <w:pPr>
        <w:pStyle w:val="Body"/>
        <w:numPr>
          <w:ilvl w:val="0"/>
          <w:numId w:val="24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تجميد عمليات التصنيع، والتطوير، والتوزيع، والتسويق، وجميع أوجه الاستثمار الأخرى، أو الحد من ذلك</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134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أ</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أنْ يمنح الترخيص الإجباري أساسًا لأجل توفير الاختراع أو التصميم في الأسواق المحلية، ويستثنى من هذا الحكم إذا كانت الغاية من الترخيص المنع أو الحد من ممارسات صدر بشأنها قرار، أو حكم يقضي بأنَّها من أعمال المنافسة غير الشرعية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A22B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فيجب أنْ يمنح الترخيص الإجباري للأشخاص الذين يكون غايتهم في منفعة الصالح العام، وعدم استغلال الترخيص الإجباري في المنافسات غير المشروعة؛ حتى لا يضر بالسوق المحلي وإلحاق الضرر بتجارة الأشخاص</w:t>
      </w:r>
      <w:r>
        <w:rPr>
          <w:rStyle w:val="None"/>
          <w:rFonts w:ascii="Times New Roman" w:hAnsi="Times New Roman"/>
          <w:sz w:val="24"/>
          <w:szCs w:val="24"/>
          <w:rtl/>
          <w:lang w:val="ar-SA"/>
        </w:rPr>
        <w:t xml:space="preserve">. </w:t>
      </w:r>
    </w:p>
    <w:p w14:paraId="7C5A5E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ويلاحظ أنَّه لم يرد في النظام السعودي تحدٍّ لهذه القواعد غير المشروعة، كذلك يلاحظ أنَّ المنظم السعودي لم يستثنِ هذه الحالة من شرط التفاوض المسبق مع صاحب البراءة، الذي ورد في ذات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الفقرة الثانية، وبخلاف اتفاقية تربس التي استثنت هذه الحالة من التفاوض المسبق مع مالك البراءة، ومِنْ ثَمَّ كان المنظم السعودي أكثر تشددًا من تربس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E63B9E" w14:textId="77777777" w:rsidR="00454428" w:rsidRDefault="00000000" w:rsidP="00C72BA8">
      <w:pPr>
        <w:pStyle w:val="Body"/>
        <w:numPr>
          <w:ilvl w:val="0"/>
          <w:numId w:val="24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lastRenderedPageBreak/>
        <w:t>الترخيص الإجباري في حالات البراءة المترابطة</w:t>
      </w:r>
      <w:r>
        <w:rPr>
          <w:rStyle w:val="None"/>
          <w:rFonts w:ascii="Times New Roman" w:hAnsi="Times New Roman"/>
          <w:sz w:val="28"/>
          <w:szCs w:val="28"/>
          <w:rtl/>
          <w:lang w:val="ar-SA"/>
        </w:rPr>
        <w:t>:</w:t>
      </w:r>
    </w:p>
    <w:p w14:paraId="6889EE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حالات البراءة المترابطة في الترخيص الإجباري قائمة على التكملة، فيمكن لمن منح له الترخيص الإجباري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استغلال براءة الاختراع بالشكل المناسب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يطلب استخدام براءة اختبار في حالة تكملته للاختراع الأول؛ حيث يكمل كل منهما الآخر؛ حتى يستطيع لمن صرح له استخدام البراءة المترابطة خدمة المرفق العام</w:t>
      </w:r>
      <w:r>
        <w:rPr>
          <w:rStyle w:val="None"/>
          <w:rFonts w:ascii="Times New Roman" w:hAnsi="Times New Roman"/>
          <w:sz w:val="24"/>
          <w:szCs w:val="24"/>
          <w:rtl/>
          <w:lang w:val="ar-SA"/>
        </w:rPr>
        <w:t>.</w:t>
      </w:r>
    </w:p>
    <w:p w14:paraId="0E81E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بالنص على أنَّه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6"/>
      </w:r>
      <w:r>
        <w:rPr>
          <w:rStyle w:val="None"/>
          <w:rFonts w:ascii="Times New Roman" w:hAnsi="Times New Roman"/>
          <w:sz w:val="24"/>
          <w:szCs w:val="24"/>
          <w:vertAlign w:val="superscript"/>
          <w:rtl/>
          <w:lang w:val="ar-SA"/>
        </w:rPr>
        <w:t>)</w:t>
      </w:r>
    </w:p>
    <w:p w14:paraId="27C03F94" w14:textId="77777777" w:rsidR="00454428" w:rsidRDefault="00000000" w:rsidP="00C72BA8">
      <w:pPr>
        <w:pStyle w:val="Body"/>
        <w:numPr>
          <w:ilvl w:val="0"/>
          <w:numId w:val="24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يجوز للهيئة أنْ تمنح ترخيصًا إجباريًا للغير باستغلال الاختراع المشمول بالبراءة، أو التصميم التخطيطي للدارة المتكاملة المشمول بشهادة التصميم بِناءًً على طلب يقدمه إليها، وفقًا لما يأتي</w:t>
      </w:r>
      <w:r>
        <w:rPr>
          <w:rStyle w:val="None"/>
          <w:rFonts w:ascii="Times New Roman" w:hAnsi="Times New Roman"/>
          <w:sz w:val="24"/>
          <w:szCs w:val="24"/>
          <w:rtl/>
          <w:lang w:val="ar-SA"/>
        </w:rPr>
        <w:t>:</w:t>
      </w:r>
    </w:p>
    <w:p w14:paraId="1553DCE5"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يتم تقديم الطلب بعد مضي أربع سنواتٍ من تاريخ إيداع طلب براءة الاختراع، أو ثلاث سنواتٍ من تاريخ منحها، أيهما ينقضي متأخرًا، دون أنْ يقوم مالك البراءة باستغلال اختراعه، أو يكون استغله على نحو غير كافٍ ما لم يبرر ذلك بعذر مشروع</w:t>
      </w:r>
      <w:r>
        <w:rPr>
          <w:rStyle w:val="None"/>
          <w:rFonts w:ascii="Times New Roman" w:hAnsi="Times New Roman"/>
          <w:sz w:val="24"/>
          <w:szCs w:val="24"/>
          <w:rtl/>
          <w:lang w:val="ar-SA"/>
        </w:rPr>
        <w:t>.</w:t>
      </w:r>
    </w:p>
    <w:p w14:paraId="4D4E05A6"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يثبت طالب الترخيص الإجباري أنَّه قد بذل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مدة معقولة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جهودًا في سبيل الحصول على ترخيص تعاقدي، وفقًا لشروط تجارية معقولة، ومقابل مادي معقول، ويستثنى من هذا الحكم ومن حكم الفقرة السابقة إذا كان طالب الترخيص جهةً حكوميةً، أو شخصًا مخولًا من قبلها، وكانت الغاية منه تحقيق المصلحة العامة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وخاصة الأمن، أو الصحة، أو التغذية، أو تنمية قطاعات حيوية أخرى من الاقتصاد الوطني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 مواجهة حالة طوارئ، أو أوضاع أخرى ملحة جدًا، أو كانت الغاية منه أغراضًا عامةً غير تجارية، وفي الحالة الأخيرة وعند العلم بوجود براءة اختراع أو شهادة 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يتم إبلاغ مالكها فورًا</w:t>
      </w:r>
      <w:r>
        <w:rPr>
          <w:rStyle w:val="None"/>
          <w:rFonts w:ascii="Times New Roman" w:hAnsi="Times New Roman"/>
          <w:sz w:val="24"/>
          <w:szCs w:val="24"/>
          <w:rtl/>
          <w:lang w:val="ar-SA"/>
        </w:rPr>
        <w:t>.</w:t>
      </w:r>
    </w:p>
    <w:p w14:paraId="453B7D95"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يحدد قرار الترخيص نطاق الترخيص، ومدته بما يقتضيه الغرض الذي منح من أجله، ويكون الترخيص خاضعًا للإنهاء إذا انتهت الأوضاع التي من أجلها منح الترخيص، ولم يكن من المرجح تكرار حدوثها، مع مراعاة المصالح المشروعة للمرخص له</w:t>
      </w:r>
      <w:r>
        <w:rPr>
          <w:rStyle w:val="None"/>
          <w:rFonts w:ascii="Times New Roman" w:hAnsi="Times New Roman"/>
          <w:sz w:val="24"/>
          <w:szCs w:val="24"/>
          <w:rtl/>
          <w:lang w:val="ar-SA"/>
        </w:rPr>
        <w:t>.</w:t>
      </w:r>
    </w:p>
    <w:p w14:paraId="164D9386"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ألا يكون الترخيص حصرًا على من منح له</w:t>
      </w:r>
      <w:r>
        <w:rPr>
          <w:rStyle w:val="None"/>
          <w:rFonts w:ascii="Times New Roman" w:hAnsi="Times New Roman"/>
          <w:sz w:val="24"/>
          <w:szCs w:val="24"/>
          <w:rtl/>
          <w:lang w:val="ar-SA"/>
        </w:rPr>
        <w:t>.</w:t>
      </w:r>
    </w:p>
    <w:p w14:paraId="39213FB7"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يبتَّ في كل طلب على حدة</w:t>
      </w:r>
      <w:r>
        <w:rPr>
          <w:rStyle w:val="None"/>
          <w:rFonts w:ascii="Times New Roman" w:hAnsi="Times New Roman"/>
          <w:sz w:val="24"/>
          <w:szCs w:val="24"/>
          <w:rtl/>
          <w:lang w:val="ar-SA"/>
        </w:rPr>
        <w:t>.</w:t>
      </w:r>
    </w:p>
    <w:p w14:paraId="4B96269F" w14:textId="77777777" w:rsidR="00454428" w:rsidRDefault="00000000" w:rsidP="00C72BA8">
      <w:pPr>
        <w:pStyle w:val="Body"/>
        <w:numPr>
          <w:ilvl w:val="0"/>
          <w:numId w:val="24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يعوض مالك براءة الاختراع أو شهادة التصميم تعويضًا عادلًا، وتتولى اللجنة تحديد مقدار التعويض، على أنْ يلتزم المرخص له بالوفاء به</w:t>
      </w:r>
      <w:r>
        <w:rPr>
          <w:rStyle w:val="None"/>
          <w:rFonts w:ascii="Times New Roman" w:hAnsi="Times New Roman"/>
          <w:sz w:val="24"/>
          <w:szCs w:val="24"/>
          <w:rtl/>
          <w:lang w:val="ar-SA"/>
        </w:rPr>
        <w:t>.</w:t>
      </w:r>
    </w:p>
    <w:p w14:paraId="5A54851E" w14:textId="77777777" w:rsidR="00454428" w:rsidRDefault="00000000" w:rsidP="00C72BA8">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p>
    <w:p w14:paraId="7783A431" w14:textId="77777777" w:rsidR="00454428" w:rsidRDefault="00000000" w:rsidP="00C72BA8">
      <w:pPr>
        <w:pStyle w:val="Body"/>
        <w:numPr>
          <w:ilvl w:val="0"/>
          <w:numId w:val="25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كانت براءة الاختراع تنطوي على تطوُّر تقني مهم ذي قيمة اقتصادية كبيرة، ولا يمكن استغلالها دون استغلال براءة اختراع أخرى، فإنَّه يجوز للهيئة منح مالك تلك البراءة ترخيصًا إجباريًا باستغلال البراءة الأخرى، ولا يجوز في هذه الحالة التنازل عن الترخيص الإجباري إلا بالتنازل عن البراءة الأخرى، ويكون لصاحب البراءة الأخرى الحق في الحصول على ترخيص مقابل من المرخص له إجباريًا، وفقًا لشروط معقولة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3ED2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يمكننا أنْ نلاحظ</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جمع الأحكام المختلفة التي تحكم الترخيص الإجباري باستغلال الاختراع في مادة واحدة، ولاحظ على هذه المادة أنَّها طويلة جدًا، وكان من الممكن تقسيمها إلى أربع أو خمس موادَّ، ضمن المنظم جميع الأحكام الخاصة بالترخيص الإجباري في النظام؛ ولذلك نجد أنَّ اللائحة التنفيذية أشارت إلى مسألة واحد فقط تتعلق بضرورة بيان اعتبارات المصلحة العامة عند الترخيص ببراءة الاختراع لجهة حكومية، وهذه المادة تتناول حالات، وشروط، وآثار الترخيص الإجباري في وقت واحد، وكان من الأجدى لو نظمت صياغة المادة بشكل يفضل بين حالات الترخيص الإجباري وشروطه؛ منعًا لوقوع أي لبس وزيادة في التوضيح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2DBF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ذلك يمكن لمن صرح له بالترخيص الإجباري وعمل على ربط براءة اختراع ببراءة أخرى ليكونوا مكملين لبعض؛ حتى يمكن الاستفادة منه عمليًا، فيمكن للمستخدم نشر المعلومات أو استغلال المواقع الإلكترونية؛ نظرًا لأهمية البيئة الرقمية في العصر الحديث</w:t>
      </w:r>
      <w:r>
        <w:rPr>
          <w:rStyle w:val="None"/>
          <w:rFonts w:ascii="Times New Roman" w:hAnsi="Times New Roman"/>
          <w:sz w:val="24"/>
          <w:szCs w:val="24"/>
          <w:rtl/>
          <w:lang w:val="ar-SA"/>
        </w:rPr>
        <w:t>.</w:t>
      </w:r>
    </w:p>
    <w:p w14:paraId="57130549" w14:textId="77777777" w:rsidR="00454428" w:rsidRDefault="00000000" w:rsidP="00C72BA8">
      <w:pPr>
        <w:pStyle w:val="Body"/>
        <w:numPr>
          <w:ilvl w:val="0"/>
          <w:numId w:val="252"/>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عندما يتعلق بتقنية أشباه الموصلات</w:t>
      </w:r>
      <w:r>
        <w:rPr>
          <w:rStyle w:val="None"/>
          <w:rFonts w:ascii="Times New Roman" w:hAnsi="Times New Roman"/>
          <w:sz w:val="28"/>
          <w:szCs w:val="28"/>
          <w:rtl/>
          <w:lang w:val="ar-SA"/>
        </w:rPr>
        <w:t>:</w:t>
      </w:r>
    </w:p>
    <w:p w14:paraId="0FBEAB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بالاختراعات المتعلقة بأشباه الموصلات، ما يتعلق بمادتي السيلكون والجرمانيوم، وهما من المواد التي ليست موصلًا جيدًا للحرارة، وليست في الوقت ذاته عازلةً للحرارة، فهي مركز وسط على أنَّه يمكن تغيير خواص هذه المواد؛ لتصبح موصلًا جيدًا للحرارة في ظروف تكنولوجية معينة، ويصبح لها وظيفة إلكترونية عند تحويل خواصها، والإفادة منها في الصناعات الدقيقة، ومن يتوصل إلى هذه التكنولوجيا في تغيير خواص واستخدامات أشباه الموصلات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0CD8D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وأجاز نظام براءة الاختراع منح ترخيص إجباري للاختراعات المتعلقة بتقنية أشباه الموصلات، وأشباه الموصلات هي مواد،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الجرمانيوم، والسيلكون، وكبريتيد الرصاص لديها قدرة على توصيل التيار الكهربائي مثل </w:t>
      </w:r>
      <w:r>
        <w:rPr>
          <w:rStyle w:val="None"/>
          <w:rFonts w:ascii="Arial Unicode MS" w:hAnsi="Arial Unicode MS" w:cs="Times New Roman" w:hint="cs"/>
          <w:sz w:val="24"/>
          <w:szCs w:val="24"/>
          <w:rtl/>
          <w:lang w:val="ar-SA"/>
        </w:rPr>
        <w:lastRenderedPageBreak/>
        <w:t>باقي المواد الموصلة للتيار الكهربائي كالنحاس، ولكنها تتميز بعزلها للحرارة كالزجاج، وتزيد قدرة أشباه الموصلات على توصيل التيار بارتفاع درجة حرارتها على عكس المواد المعروفة كالنحاس، التي تنخفض قدرتها على التوصيل بزيادة درجة حرارتها، تُعَدُّ قدرة أشباه الموصلات على توصيل التيار بارتفاع درجة حرارتها على عكس المواد المعروفة كالنحاس التي تنخفض قدرتها على التوصيل بزيادة درجة حرارتها، وتُعَدُّ أشباه الموصلات أساس صناعة الأجهزة الإلكترونية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أجهزة التلفزيون الرقيقة، وشاشات البلازما، وخلايا الطاقة الشمسية، وأشباه الموصلات لها تطبيقات صناعية كثيرة في مجال صناعة الأجهزة الحديثة والحصول على براءة اختراع فيها تدر أرباح كبيرة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C9A0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167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حالة ارتباط براءة الاختراع بتقنية أشباه الموصلات مع الترخيص الإجباري يمكن أنْ يضيف التطوُّر المطلوب في استعمال المواد الخام والتنوع بينها؛ لذلك يجب الحرص على عدم استغلال الترخيص الإجباري في المنافسة غير العادلة التي تضر مصالح المملكة</w:t>
      </w:r>
      <w:r>
        <w:rPr>
          <w:rStyle w:val="None"/>
          <w:rFonts w:ascii="Times New Roman" w:hAnsi="Times New Roman"/>
          <w:sz w:val="24"/>
          <w:szCs w:val="24"/>
          <w:rtl/>
          <w:lang w:val="ar-SA"/>
        </w:rPr>
        <w:t>.</w:t>
      </w:r>
    </w:p>
    <w:p w14:paraId="09EA8F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نستنتج أنَّه يجوز الترخيص الإجباري عندما يتعلق بتقنية أشباه الموصلات؛ نظرًا لأهميتها الكبيرة في الصناعة والتكنولوجيا،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وهنا يكون براءة الاختراع لها دور كبير في تقدم الصناعة وتنوعها وإيجاد حلول مبتكرة جديدة، ويمكن ترويجها عن طريق البيئة الرقمية، ومن خلال الوسائل الإلكترونية يمكن توفير البدائل المتطوِّرة والجديدة للعدد المناسب من الجمهور</w:t>
      </w:r>
      <w:r>
        <w:rPr>
          <w:rStyle w:val="None"/>
          <w:rFonts w:ascii="Times New Roman" w:hAnsi="Times New Roman"/>
          <w:sz w:val="24"/>
          <w:szCs w:val="24"/>
          <w:rtl/>
          <w:lang w:val="ar-SA"/>
        </w:rPr>
        <w:t>.</w:t>
      </w:r>
    </w:p>
    <w:p w14:paraId="068652C9" w14:textId="77777777" w:rsidR="00454428" w:rsidRDefault="00000000" w:rsidP="00C72BA8">
      <w:pPr>
        <w:pStyle w:val="Body"/>
        <w:numPr>
          <w:ilvl w:val="0"/>
          <w:numId w:val="240"/>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حماية الترخيص الإجباري للملكية الفكرية في البيئة الرقمية</w:t>
      </w:r>
      <w:r>
        <w:rPr>
          <w:rStyle w:val="None"/>
          <w:rFonts w:ascii="Times New Roman" w:hAnsi="Times New Roman"/>
          <w:b/>
          <w:bCs/>
          <w:sz w:val="28"/>
          <w:szCs w:val="28"/>
          <w:rtl/>
          <w:lang w:val="ar-SA"/>
        </w:rPr>
        <w:t>:</w:t>
      </w:r>
    </w:p>
    <w:p w14:paraId="6A2295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للترخيص الإجباري في البيئة الرقمية تعمل على الحفاظ على حقوق المؤلف أو صاحب الاختراع، وفي نفس الوقت المحافظة على المصلحة العامة، فالترخيص الإجباري يعطي الإفادة الكاملة للمصلحة العامة، والاستفادة الكاملة من براءة الاختراع؛ حتى ينتفع به الجمهور بسهولة الوصل إليه عن طريق البيئة الرقمية</w:t>
      </w:r>
      <w:r>
        <w:rPr>
          <w:rStyle w:val="None"/>
          <w:rFonts w:ascii="Times New Roman" w:hAnsi="Times New Roman"/>
          <w:sz w:val="24"/>
          <w:szCs w:val="24"/>
          <w:rtl/>
          <w:lang w:val="ar-SA"/>
        </w:rPr>
        <w:t>.</w:t>
      </w:r>
    </w:p>
    <w:p w14:paraId="4BDD91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وجاءت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الالتزامات المتعلقة بالمعلومات الضرورية لإدارة الحقوق بالنص على أنَّه</w:t>
      </w:r>
      <w:r>
        <w:rPr>
          <w:rStyle w:val="None"/>
          <w:rFonts w:ascii="Times New Roman" w:hAnsi="Times New Roman"/>
          <w:sz w:val="24"/>
          <w:szCs w:val="24"/>
          <w:rtl/>
          <w:lang w:val="ar-SA"/>
        </w:rPr>
        <w:t xml:space="preserve">: </w:t>
      </w:r>
    </w:p>
    <w:p w14:paraId="0E17C937" w14:textId="77777777" w:rsidR="00454428" w:rsidRDefault="00000000" w:rsidP="00C72BA8">
      <w:pPr>
        <w:pStyle w:val="Body"/>
        <w:numPr>
          <w:ilvl w:val="0"/>
          <w:numId w:val="25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على الأطراف المتعاقدة أنْ تنص في قوانينها على جزاءات مناسبة وفعَّالة توقع على أي شخص يباشر عن علم أيًا من الأعمال التالية، أو لديه أسباب كافية ليعلم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إلى الجزاءات المدنية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تلك الأعمال تحمل على </w:t>
      </w:r>
      <w:r>
        <w:rPr>
          <w:rStyle w:val="None"/>
          <w:rFonts w:ascii="Arial Unicode MS" w:hAnsi="Arial Unicode MS" w:cs="Times New Roman" w:hint="cs"/>
          <w:sz w:val="24"/>
          <w:szCs w:val="24"/>
          <w:rtl/>
          <w:lang w:val="ar-SA"/>
        </w:rPr>
        <w:lastRenderedPageBreak/>
        <w:t>ارتكاب تَعَدٍّ على أي حق من الحقوق التي تشملها هذه المعاهدة، أو اتفاقية برن، أو تمكن من ذلك، أو تسهل ذلك، أو تخفيه</w:t>
      </w:r>
      <w:r>
        <w:rPr>
          <w:rStyle w:val="None"/>
          <w:rFonts w:ascii="Times New Roman" w:hAnsi="Times New Roman"/>
          <w:sz w:val="24"/>
          <w:szCs w:val="24"/>
          <w:rtl/>
          <w:lang w:val="ar-SA"/>
        </w:rPr>
        <w:t>:</w:t>
      </w:r>
    </w:p>
    <w:p w14:paraId="418EF03D" w14:textId="77777777" w:rsidR="00454428" w:rsidRDefault="00000000" w:rsidP="00C72BA8">
      <w:pPr>
        <w:pStyle w:val="Body"/>
        <w:numPr>
          <w:ilvl w:val="0"/>
          <w:numId w:val="25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23A322E9" w14:textId="77777777" w:rsidR="00454428" w:rsidRDefault="00000000" w:rsidP="00C72BA8">
      <w:pPr>
        <w:pStyle w:val="Body"/>
        <w:numPr>
          <w:ilvl w:val="0"/>
          <w:numId w:val="25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وأنْ يوزع أو يستورد لأغراض التوزيع، أو يذيع، أو ينقل إلى الجمهور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مصنفاتٍ أو نُسخًا عن مصنفات،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447F1AD0" w14:textId="77777777" w:rsidR="00454428" w:rsidRDefault="00000000" w:rsidP="00C72BA8">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الضرورية لإدارة الحقوق</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كما وردت في هذه المادة، المعلومات التي تسمح بتعريف المصنف، ومؤلف المصنف، وملك أي حق في المصنف، أو المعلومات المتعلقة بشروط الانتفاع بالمصنف، وأي أرقام أو شفرات ترمز إلى تلك المعلومات، ومتى كان أي عنصر من تلك المعلومات مقترنًا بنسخة عن المصنف أو ظاهرًا لدى نقل المصنف إلى الجمهور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3473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وتوضح المادة السابقة الالتزامات التي يجب أنْ يلتزم بها أطراف التعاقد، وهي التزامات متعلقة بالمعلومات الضرورية لإدارة الحقوق، ومن هذه الالتزامات اسم المؤلف أو صاحب براءة الاختراع وشروط استخدام المصنف، ويوجد عقوبات رادعة لمن يخالف تلك الالتزامات التي ينص عليها القانون، ومن يوزع أو ينقل معلومات عن طريق البيئة الرقمية، بمعنى استخدام نقل الحقوق أو تغيرها أو نشرها إلكتروني، فلممارسة تلك الحقوق من شخص آخر يلزم تصريح لذلك، وتشير المعلومات الضرورية لإدارة الحقوق إلى كل ما يخص المصنف ومؤلفه ومن له الحق في التصرف في ذلك المصنف الإلكتروني، وتوضح أيضًا تلك المعلومات من له حق الانتفاع من المصنف، ويظهر دور المعلومات الضرورية لإدارة الحقوق في حفظ حق المؤلف أو صاحب الاختراع من أي تلاعب قد يتم من خلال معلومات المحتوى في البيئة الرقمية الخاصة بحقوق الملكية الفكرية</w:t>
      </w:r>
      <w:r>
        <w:rPr>
          <w:rStyle w:val="None"/>
          <w:rFonts w:ascii="Times New Roman" w:hAnsi="Times New Roman"/>
          <w:sz w:val="24"/>
          <w:szCs w:val="24"/>
          <w:rtl/>
          <w:lang w:val="ar-SA"/>
        </w:rPr>
        <w:t>.</w:t>
      </w:r>
    </w:p>
    <w:p w14:paraId="062EC39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4B125A16"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1A16DCDB"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7A236F62"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C74FAC9"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6EC5D85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7099451"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058BB3EE"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5B827665"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4424C7BF"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520FC80C"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المطلب الثاني</w:t>
      </w:r>
    </w:p>
    <w:p w14:paraId="427A502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الإثبات والتحقيق والضبط الفني في البيئة الرقمية</w:t>
      </w:r>
    </w:p>
    <w:p w14:paraId="696188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الإثبات الرقمي</w:t>
      </w:r>
      <w:r>
        <w:rPr>
          <w:rStyle w:val="None"/>
          <w:rFonts w:ascii="Times New Roman" w:hAnsi="Times New Roman"/>
          <w:b/>
          <w:bCs/>
          <w:sz w:val="28"/>
          <w:szCs w:val="28"/>
          <w:rtl/>
          <w:lang w:val="ar-SA"/>
        </w:rPr>
        <w:t>:</w:t>
      </w:r>
    </w:p>
    <w:p w14:paraId="5DCB5B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الإثبات ووسائله أحد أهم مرتكزات حماية الحقوق والدفاع عنها؛ إذْ لا تتصور دعوى خالية من وسيلة من وسائل الإثبات وهو أحد أكثر المشتركات الإنسانية التي عرفتها البشرية على مر العصور وفي مختلف الأقاليم، واكتسبت نظرية الإثبات أهميتها الكبرى؛ لكونها أساس جُل الدعاوي سواء كانت مدنيةً أو تجاريةً، ولا تخلو دعوى إلا وبها واحدة من تلك الوسائل، وفي خضم هذا التطوُّر والصحوة الإلكترونية التي ساهمت بتفعيل دور المستخدمين باختلاف أماكنهم وثقافاتهم بتبادل المعلومات والبيانات بسهولة عبر شبكة الإنترنت من كل أنحاء العالم وقد أثار ذلك تساؤلات عديدة عن قدرة المنظمين في إيجاد حلول تواكب التطوُّر التقني في المجال القانوني وعلى رأسه الدليل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71BF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فالإثبات في البيئة الرقمية يكون معتمدًا على الدليل الرقمي في حماية الحقوق للأفراد والحفاظ عليها، ومن هنا سوف نتعرف على الدليل الرقمي؛ وذلك لما له من أهمية كبيرة في دور الإثبات الرقمي</w:t>
      </w:r>
      <w:r>
        <w:rPr>
          <w:rStyle w:val="None"/>
          <w:rFonts w:ascii="Times New Roman" w:hAnsi="Times New Roman"/>
          <w:sz w:val="24"/>
          <w:szCs w:val="24"/>
          <w:rtl/>
          <w:lang w:val="ar-SA"/>
        </w:rPr>
        <w:t>.</w:t>
      </w:r>
    </w:p>
    <w:p w14:paraId="6FDA8AED" w14:textId="77777777" w:rsidR="00454428" w:rsidRDefault="00000000" w:rsidP="00C72BA8">
      <w:pPr>
        <w:pStyle w:val="Body"/>
        <w:numPr>
          <w:ilvl w:val="0"/>
          <w:numId w:val="259"/>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الدليل الرقمي</w:t>
      </w:r>
      <w:r>
        <w:rPr>
          <w:rStyle w:val="None"/>
          <w:rFonts w:ascii="Times New Roman" w:hAnsi="Times New Roman"/>
          <w:b/>
          <w:bCs/>
          <w:sz w:val="28"/>
          <w:szCs w:val="28"/>
          <w:rtl/>
          <w:lang w:val="ar-SA"/>
        </w:rPr>
        <w:t>:</w:t>
      </w:r>
    </w:p>
    <w:p w14:paraId="2E1099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عرَّفه المنظم السعودي بأنَّه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كل دليل مستمد من أي بيانات تنشأ، أو تصدر، أو تسلم، أو تحفظ، أو تبلغ بوسيلة رقمية، وتكون قابلةً للاسترجاع أو الحصول عليها بصورة يمكن فهمها، ويؤخذ من التعرُّف أنَّ الدلة الرقمية هي أشبه بالوعاء لعموم الأدلة ما دامت واردةً في شكل رقمي، ويظهر الارتباط بين المعنى اللغوي والاصطلاحي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 أنَّ الأدلة الرقمية بمعناها الاصطلاحي هي مسفرة وموضحة لما تدل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E89F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للدليل الرقمي تعاريف كثيرة منها ما نصت عليه المنظمة العالمية لدليل الكمبيوتر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ذات القيمة المحملة والمخزنة، أو المنقولة في صورة رقمية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ومن التعاريف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الدليل المأخوذ من أجهزة الكمبيوتر، ويكون في شكل مجالات، أو نبضات مغناطيسية أو كهربائية، يمكن تجميعها وتحليلها باستخدام برامج وتطبيقات وتكنولوجيا خاصة، وهو مكون رقمي لتقديم معلومات في أشكال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النصوص المكتوبة، أو الصور، والأصوات، والأشكال، والرسوم، ومنهم من عرَّفه بأنَّه دليل ذو طابع رقمي سواء كانت نصوصًا، أو صورًا، أو أصواتًا ورسوماتٍ، والذي تم ضبطه </w:t>
      </w:r>
      <w:r>
        <w:rPr>
          <w:rStyle w:val="None"/>
          <w:rFonts w:ascii="Arial Unicode MS" w:hAnsi="Arial Unicode MS" w:cs="Times New Roman" w:hint="cs"/>
          <w:sz w:val="24"/>
          <w:szCs w:val="24"/>
          <w:rtl/>
          <w:lang w:val="ar-SA"/>
        </w:rPr>
        <w:lastRenderedPageBreak/>
        <w:t xml:space="preserve">بالوسائل المشروعة من أجهزة ذات طبيعة رقمية، والتي يمكن تجميعها وتحليلها باستخدام برامج خاصة من قبل المختصين لتحليلها بغرض تقديمه إثبات أمام القضاء المختص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31E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53 </w:t>
      </w:r>
      <w:r>
        <w:rPr>
          <w:rStyle w:val="None"/>
          <w:rFonts w:ascii="Arial Unicode MS" w:hAnsi="Arial Unicode MS" w:cs="Times New Roman" w:hint="cs"/>
          <w:sz w:val="24"/>
          <w:szCs w:val="24"/>
          <w:rtl/>
          <w:lang w:val="ar-SA"/>
        </w:rPr>
        <w:t>من نظام الإثبات على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دليلًا رقميًا كل دليل مستمد من أي بيانات تنشأ، أو تصدر، أو تسلم، أو تحفظ، أو تبلغ بوسيلة رقمية، وتكون قابلةً للاسترجاع، أو الحصول عليها بصورة يمكن فهمها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6"/>
      </w:r>
      <w:r>
        <w:rPr>
          <w:rStyle w:val="None"/>
          <w:rFonts w:ascii="Times New Roman" w:hAnsi="Times New Roman"/>
          <w:sz w:val="24"/>
          <w:szCs w:val="24"/>
          <w:vertAlign w:val="superscript"/>
          <w:rtl/>
          <w:lang w:val="ar-SA"/>
        </w:rPr>
        <w:t>)</w:t>
      </w:r>
    </w:p>
    <w:p w14:paraId="451B513E"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ويمكننا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معلومات ذات قيمة يمكن إثباتها وتكون مخزنةً سواء على الحاسب الآلي أو الشبكات الإلكترونية، ويمكن جمعها وتحليلها سواء ببرامج أو بأدوات لاستخدمها كدليل قانوني</w:t>
      </w:r>
      <w:r>
        <w:rPr>
          <w:rStyle w:val="None"/>
          <w:rFonts w:ascii="Times New Roman" w:hAnsi="Times New Roman"/>
          <w:sz w:val="24"/>
          <w:szCs w:val="24"/>
          <w:rtl/>
          <w:lang w:val="ar-SA"/>
        </w:rPr>
        <w:t>".</w:t>
      </w:r>
    </w:p>
    <w:p w14:paraId="440890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ويعتبر الدليل الرقمي كل فعل ينشأ على أجهزة الكمبيوتر، ويمكن استرجاعها لاحقًا، فالفرق بين تعريف الدليل الرقمي في النظام السعودي والفقهاء في أنَّ النظام قد حدد الدليل الرقمي، وحدد أي وسيلة نشأت على الحاسب الآلي يمكن استخدمها كدليل إثبات، أما الفقهاء</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حددوا أي مستندات، أو أي بيانات تنشأ عن طريق الشبكات الإلكترونية، وكذا التطبيقات، أو الصور، أو الصوت، وهو ما يجعل تعريفتا الفقهاء أعمق من في التعريف</w:t>
      </w:r>
      <w:r>
        <w:rPr>
          <w:rStyle w:val="None"/>
          <w:rFonts w:ascii="Times New Roman" w:hAnsi="Times New Roman"/>
          <w:sz w:val="24"/>
          <w:szCs w:val="24"/>
          <w:rtl/>
          <w:lang w:val="ar-SA"/>
        </w:rPr>
        <w:t xml:space="preserve">. </w:t>
      </w:r>
    </w:p>
    <w:p w14:paraId="1789B0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 السابقة فإنها توضح أن المشرع السعودي قد بين أن الدليل الرقمي هو كل ما يستمد من بيانات رقمية قابلة للاسترجاع فهو دليل صالح للإثبات، وهذا يعكس ملائمة طبيعة الانتهاكات الرقمية المعقدة خاصة في مجال الملكية الفكرية في البيئة الرقمية فلا يمكن الاعتماد على الدليل التقليدي</w:t>
      </w:r>
      <w:r>
        <w:rPr>
          <w:rStyle w:val="None"/>
          <w:rFonts w:ascii="Times New Roman" w:hAnsi="Times New Roman"/>
          <w:sz w:val="24"/>
          <w:szCs w:val="24"/>
          <w:rtl/>
          <w:lang w:val="ar-SA"/>
        </w:rPr>
        <w:t>.</w:t>
      </w:r>
    </w:p>
    <w:p w14:paraId="184FE5DD" w14:textId="77777777" w:rsidR="00454428" w:rsidRDefault="00000000" w:rsidP="00C72BA8">
      <w:pPr>
        <w:pStyle w:val="Body"/>
        <w:numPr>
          <w:ilvl w:val="0"/>
          <w:numId w:val="25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الشروط اللازمة للإثبات بالدليل الرقمي</w:t>
      </w:r>
      <w:r>
        <w:rPr>
          <w:rStyle w:val="None"/>
          <w:rFonts w:ascii="Times New Roman" w:hAnsi="Times New Roman"/>
          <w:b/>
          <w:bCs/>
          <w:sz w:val="28"/>
          <w:szCs w:val="28"/>
          <w:rtl/>
          <w:lang w:val="ar-SA"/>
        </w:rPr>
        <w:t>:</w:t>
      </w:r>
    </w:p>
    <w:p w14:paraId="4C3216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قبل معرفة شروط الدليل الرقمي لا بُدَّ من معرفة أنواع الدليل الرقمي، فقد نص النظام في المادة </w:t>
      </w:r>
      <w:r>
        <w:rPr>
          <w:rStyle w:val="None"/>
          <w:rFonts w:ascii="Times New Roman" w:hAnsi="Times New Roman"/>
          <w:sz w:val="24"/>
          <w:szCs w:val="24"/>
          <w:rtl/>
          <w:lang w:val="ar-SA"/>
        </w:rPr>
        <w:t xml:space="preserve">(54) </w:t>
      </w:r>
      <w:r>
        <w:rPr>
          <w:rStyle w:val="None"/>
          <w:rFonts w:ascii="Arial Unicode MS" w:hAnsi="Arial Unicode MS" w:cs="Times New Roman" w:hint="cs"/>
          <w:sz w:val="24"/>
          <w:szCs w:val="24"/>
          <w:rtl/>
          <w:lang w:val="ar-SA"/>
        </w:rPr>
        <w:t>من نظام الإثبات السعودي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يشمل الدليل الرقمي الآتي</w:t>
      </w:r>
      <w:r>
        <w:rPr>
          <w:rStyle w:val="None"/>
          <w:rFonts w:ascii="Times New Roman" w:hAnsi="Times New Roman"/>
          <w:sz w:val="24"/>
          <w:szCs w:val="24"/>
          <w:rtl/>
          <w:lang w:val="ar-SA"/>
        </w:rPr>
        <w:t>:</w:t>
      </w:r>
    </w:p>
    <w:p w14:paraId="38A041FC"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السجل الرقمي</w:t>
      </w:r>
      <w:r>
        <w:rPr>
          <w:rStyle w:val="None"/>
          <w:rFonts w:ascii="Times New Roman" w:hAnsi="Times New Roman"/>
          <w:sz w:val="24"/>
          <w:szCs w:val="24"/>
          <w:rtl/>
          <w:lang w:val="ar-SA"/>
        </w:rPr>
        <w:t>.</w:t>
      </w:r>
    </w:p>
    <w:p w14:paraId="77101FC9"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المحرر الرقمي</w:t>
      </w:r>
      <w:r>
        <w:rPr>
          <w:rStyle w:val="None"/>
          <w:rFonts w:ascii="Times New Roman" w:hAnsi="Times New Roman"/>
          <w:sz w:val="24"/>
          <w:szCs w:val="24"/>
          <w:rtl/>
          <w:lang w:val="ar-SA"/>
        </w:rPr>
        <w:t>.</w:t>
      </w:r>
    </w:p>
    <w:p w14:paraId="40A0478C"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التوقيع الرقمي</w:t>
      </w:r>
      <w:r>
        <w:rPr>
          <w:rStyle w:val="None"/>
          <w:rFonts w:ascii="Times New Roman" w:hAnsi="Times New Roman"/>
          <w:sz w:val="24"/>
          <w:szCs w:val="24"/>
          <w:rtl/>
          <w:lang w:val="ar-SA"/>
        </w:rPr>
        <w:t>.</w:t>
      </w:r>
    </w:p>
    <w:p w14:paraId="5FE5A47E"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المراسلات الرقمية بما فيها البريد الرقمي</w:t>
      </w:r>
      <w:r>
        <w:rPr>
          <w:rStyle w:val="None"/>
          <w:rFonts w:ascii="Times New Roman" w:hAnsi="Times New Roman"/>
          <w:sz w:val="24"/>
          <w:szCs w:val="24"/>
          <w:rtl/>
          <w:lang w:val="ar-SA"/>
        </w:rPr>
        <w:t>.</w:t>
      </w:r>
    </w:p>
    <w:p w14:paraId="07E45F6D"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وسائل الاتصال</w:t>
      </w:r>
      <w:r>
        <w:rPr>
          <w:rStyle w:val="None"/>
          <w:rFonts w:ascii="Times New Roman" w:hAnsi="Times New Roman"/>
          <w:sz w:val="24"/>
          <w:szCs w:val="24"/>
          <w:rtl/>
          <w:lang w:val="ar-SA"/>
        </w:rPr>
        <w:t>.</w:t>
      </w:r>
    </w:p>
    <w:p w14:paraId="5F2D906B"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الوسائل الرقمية</w:t>
      </w:r>
      <w:r>
        <w:rPr>
          <w:rStyle w:val="None"/>
          <w:rFonts w:ascii="Times New Roman" w:hAnsi="Times New Roman"/>
          <w:sz w:val="24"/>
          <w:szCs w:val="24"/>
          <w:rtl/>
          <w:lang w:val="ar-SA"/>
        </w:rPr>
        <w:t>.</w:t>
      </w:r>
    </w:p>
    <w:p w14:paraId="720A3F12" w14:textId="77777777" w:rsidR="00454428" w:rsidRDefault="00000000" w:rsidP="00C72BA8">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أي دليل رقني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E228C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الدليل الرقمي أصلًا بذاته عندما تستخدم طرق ووسائل فنية تؤكد سلامة المعلومات الواردة في الدليل الرقمي، ويسمح بالاطلاع على المعلومات التي يتضمنها الدليل الرقمي متى ما طلبت ذلك، فالمعلومات الرقمية سواء كانت على شكل سجل إلكتروني، أو توقيع إلكتروني، أو محرر إلكتروني، أو غيره من صور الأدلة الرقمية، فيتعين عند الأخذ بالدليل الرقمي مراعاة بعض الشروط الواجب توافرها في الدليل الرقمي، وهذه الشروط دليل قبولها كوسيلة من وسائل الإثبات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72F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أهم هذه الشروط لسلامة الدليل الرقمي، والتي نصت عليه المادة </w:t>
      </w:r>
      <w:r>
        <w:rPr>
          <w:rStyle w:val="None"/>
          <w:rFonts w:ascii="Times New Roman" w:hAnsi="Times New Roman"/>
          <w:sz w:val="24"/>
          <w:szCs w:val="24"/>
          <w:rtl/>
          <w:lang w:val="ar-SA"/>
        </w:rPr>
        <w:t xml:space="preserve">56 </w:t>
      </w:r>
      <w:r>
        <w:rPr>
          <w:rStyle w:val="None"/>
          <w:rFonts w:ascii="Arial Unicode MS" w:hAnsi="Arial Unicode MS" w:cs="Times New Roman" w:hint="cs"/>
          <w:sz w:val="24"/>
          <w:szCs w:val="24"/>
          <w:rtl/>
          <w:lang w:val="ar-SA"/>
        </w:rPr>
        <w:t>من نظام الإثبات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يكون للدليل الرقمي الرسمي الحجية المقررة للمحرَّر الرسمي، إذا استوفى الشروط المنصوص عليها في الفقرة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من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الخامسة والعشرين</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بما في ذلك ما يصدر آليًا من الأنظمة الرقمية للجهات العامة أو الجهات المكلفة بخدمة عامة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فنظام الإثبات السعودي وضع مواد قانونية توضح الاعتراف القانوني بالدليل الرقمي وحجية في الإثبات أمام القضاء</w:t>
      </w:r>
      <w:r>
        <w:rPr>
          <w:rStyle w:val="None"/>
          <w:rFonts w:ascii="Times New Roman" w:hAnsi="Times New Roman"/>
          <w:sz w:val="24"/>
          <w:szCs w:val="24"/>
          <w:rtl/>
          <w:lang w:val="ar-SA"/>
        </w:rPr>
        <w:t>.</w:t>
      </w:r>
    </w:p>
    <w:p w14:paraId="7C32FA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تعريف هذه الأدلة الرقمية وبيان مفهومها كما يلي، السجل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خلال الأنظمة ذات الصلة يظهر أنَّ معنى السجل الرقمي هو أي بيانات تنشأ، أو تصدر، أو تستلم، أو تحفظ، أو تبلغ بوسيلة رقمية، وتكون قابلةً للاسترجاع أو الحصول عليها بشكل يمكن فهمه، والمحرر الرقمي يختلف عن السجل الرقمي بنشأته، فالمحرر هو ما نشأ ابتداءً بطريقة رقمية، والتوقيع الرقمي هو بيانات إلكترونية مدرجة في تعامل إلكتروني، أو مضاف إليه، أو مرتبط به منطقيًا تستخدم لإثبات هُوِيَّة الموقع وموافقته على التعامل الإلكتروني، والمراسلات الرقمية بما فيها البريد الرقمي هي وثيقة إلكترونية يوجهها شخص، وهو المرسل إلى آخر وهو المرسل إليه، وفي الغالب تذيل بتوقيع المرسل، وتعرف وسائل الاتصال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التخاطب والتجاور بين الأفراد من خلال وسائل الاتصال الحديثة وذلك بالمشافهة، فهي وسائل الاتصال التي تتم من خلال الموقع والبرامج التي تعتمد على شبكة الإنترنت؛ لتسهيل التواصل بين المستخدمين</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AC029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(9) </w:t>
      </w:r>
      <w:r>
        <w:rPr>
          <w:rStyle w:val="None"/>
          <w:rFonts w:ascii="Arial Unicode MS" w:hAnsi="Arial Unicode MS" w:cs="Times New Roman" w:hint="cs"/>
          <w:sz w:val="24"/>
          <w:szCs w:val="24"/>
          <w:rtl/>
          <w:lang w:val="ar-SA"/>
        </w:rPr>
        <w:t>من نظام التعاملات الإلكترونية السعودي التي تنص على أنَّه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1"/>
      </w:r>
      <w:r>
        <w:rPr>
          <w:rStyle w:val="None"/>
          <w:rFonts w:ascii="Times New Roman" w:hAnsi="Times New Roman"/>
          <w:sz w:val="24"/>
          <w:szCs w:val="24"/>
          <w:vertAlign w:val="superscript"/>
          <w:rtl/>
          <w:lang w:val="ar-SA"/>
        </w:rPr>
        <w:t>)</w:t>
      </w:r>
    </w:p>
    <w:p w14:paraId="48F3FF56" w14:textId="77777777" w:rsidR="00454428" w:rsidRDefault="00000000" w:rsidP="00C72BA8">
      <w:pPr>
        <w:pStyle w:val="Body"/>
        <w:numPr>
          <w:ilvl w:val="0"/>
          <w:numId w:val="26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يقبل التعامل الإلكتروني أو التوقيع الإلكتروني دليلًا في الإثبات إذا استوفى سجله الإلكتروني 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53976CBE" w14:textId="77777777" w:rsidR="00454428" w:rsidRDefault="00000000" w:rsidP="00C72BA8">
      <w:pPr>
        <w:pStyle w:val="Body"/>
        <w:numPr>
          <w:ilvl w:val="0"/>
          <w:numId w:val="26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يجوز قبول التعامل الإلكتروني أو التوقيع الإلكتروني قرينة في الإثبات، حتى وإنْ لم يستوفِ سجله الإلكتروني بمتطلبات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7333A171" w14:textId="77777777" w:rsidR="00454428" w:rsidRDefault="00000000" w:rsidP="00C72BA8">
      <w:pPr>
        <w:pStyle w:val="Body"/>
        <w:numPr>
          <w:ilvl w:val="0"/>
          <w:numId w:val="26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يعهد كل من التعامل الإلكتروني، والتوقيع الإلكتروني، والسجل الإلكتروني حجةً يعتد بها في التعاملات، وأنَّ كلًا منها على أصله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لم يتغير منذ إنشائه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لم يظهر خلاف ذلك</w:t>
      </w:r>
      <w:r>
        <w:rPr>
          <w:rStyle w:val="None"/>
          <w:rFonts w:ascii="Times New Roman" w:hAnsi="Times New Roman"/>
          <w:sz w:val="24"/>
          <w:szCs w:val="24"/>
          <w:rtl/>
          <w:lang w:val="ar-SA"/>
        </w:rPr>
        <w:t>.</w:t>
      </w:r>
    </w:p>
    <w:p w14:paraId="1EC565E3" w14:textId="77777777" w:rsidR="00454428" w:rsidRDefault="00000000" w:rsidP="00C72BA8">
      <w:pPr>
        <w:pStyle w:val="Body"/>
        <w:numPr>
          <w:ilvl w:val="0"/>
          <w:numId w:val="26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يراعي عند تقدير حجية التعامل الإلكتروني مدى الثقة في الآتي</w:t>
      </w:r>
      <w:r>
        <w:rPr>
          <w:rStyle w:val="None"/>
          <w:rFonts w:ascii="Times New Roman" w:hAnsi="Times New Roman"/>
          <w:sz w:val="24"/>
          <w:szCs w:val="24"/>
          <w:rtl/>
          <w:lang w:val="ar-SA"/>
        </w:rPr>
        <w:t>:</w:t>
      </w:r>
    </w:p>
    <w:p w14:paraId="15E27648" w14:textId="77777777" w:rsidR="00454428" w:rsidRDefault="00000000" w:rsidP="00C72BA8">
      <w:pPr>
        <w:pStyle w:val="Body"/>
        <w:numPr>
          <w:ilvl w:val="0"/>
          <w:numId w:val="26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إنشاء السجل الإلكتروني أو تخزينه أو إبلاغه، وإمكان التعديل عليه</w:t>
      </w:r>
      <w:r>
        <w:rPr>
          <w:rStyle w:val="None"/>
          <w:rFonts w:ascii="Times New Roman" w:hAnsi="Times New Roman"/>
          <w:sz w:val="24"/>
          <w:szCs w:val="24"/>
          <w:rtl/>
          <w:lang w:val="ar-SA"/>
        </w:rPr>
        <w:t>.</w:t>
      </w:r>
    </w:p>
    <w:p w14:paraId="2BE06034" w14:textId="77777777" w:rsidR="00454428" w:rsidRDefault="00000000" w:rsidP="00C72BA8">
      <w:pPr>
        <w:pStyle w:val="Body"/>
        <w:numPr>
          <w:ilvl w:val="0"/>
          <w:numId w:val="26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المحافظة على سلامة المعلومات</w:t>
      </w:r>
      <w:r>
        <w:rPr>
          <w:rStyle w:val="None"/>
          <w:rFonts w:ascii="Times New Roman" w:hAnsi="Times New Roman"/>
          <w:sz w:val="24"/>
          <w:szCs w:val="24"/>
          <w:rtl/>
          <w:lang w:val="ar-SA"/>
        </w:rPr>
        <w:t>.</w:t>
      </w:r>
    </w:p>
    <w:p w14:paraId="59D77FA2" w14:textId="77777777" w:rsidR="00454428" w:rsidRDefault="00000000" w:rsidP="00C72BA8">
      <w:pPr>
        <w:pStyle w:val="Body"/>
        <w:numPr>
          <w:ilvl w:val="0"/>
          <w:numId w:val="26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حددت بها شخصية المنشئ</w:t>
      </w:r>
      <w:r>
        <w:rPr>
          <w:rStyle w:val="None"/>
          <w:rFonts w:ascii="Times New Roman" w:hAnsi="Times New Roman"/>
          <w:sz w:val="24"/>
          <w:szCs w:val="24"/>
          <w:rtl/>
          <w:lang w:val="ar-SA"/>
        </w:rPr>
        <w:t>.</w:t>
      </w:r>
    </w:p>
    <w:p w14:paraId="3B4854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تعترف الأنظمة بالأخذ بالأدلة الرقمية في الأثبات الإلكتروني، ويجب أنْ تكون تلك الأدلة مستوفيةً الشروط التي نصت عليها المادة الثامنة من نظام التعاملات الإلكترونية السعودية، ويمكن أيضًا الأخذ بالتعامل الإلكتروني والتوقيع الإلكتروني، إذا لم يتوافر فيه شروط المادة الثامنة، فالتعامل الإلكتروني، والتوقيع الإلكتروني، والسجل الإلكتروني يمكن الأخذ بهم أدلة إثبات في البيئة الرقمية وذلك في حالة عدم إثبات عدم صحتهم، وعند الأخذ بهذه الأدلة الرقمية يجب النظر إلى مدى موثوقية الوسائل التي استخدمت في إنشاء السجل الإلكتروني، أو تخزينه، أو إبلاغه، والتحقق أيضًا من الطريقة التي حافظة على صحة المعلومات، وكذلك منشئ السجل الإلكتروني</w:t>
      </w:r>
      <w:r>
        <w:rPr>
          <w:rStyle w:val="None"/>
          <w:rFonts w:ascii="Times New Roman" w:hAnsi="Times New Roman"/>
          <w:sz w:val="24"/>
          <w:szCs w:val="24"/>
          <w:rtl/>
          <w:lang w:val="ar-SA"/>
        </w:rPr>
        <w:t>.</w:t>
      </w:r>
    </w:p>
    <w:p w14:paraId="60DAB2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سوف نوضح نص المادة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نظام التعاملات الإلكتروني السعودي،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السجل الإلكتروني أصلًا بذاته عندما تستخدم وسائل وشروط فنية تؤكد سلامة المعلومات الواردة فيه، من الوقت الذي أنشئ فيه بشكله النهائي على أنَّه سجل إلكتروني، وتسمح بعرض المعلومات المطلوب تقديمها متى طلب ذلك، وتحدد اللائحة الوسائل والشروط الفنية المطلوبة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F09D7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فالسجل الإلكتروني يعتبر مرجع موثوق فيه، وذلك من خلال اتباع السجل التجاري جميع وسائل والشروط التي تؤكد سلامة البيانات التي يحتوي عليها؛ ممَّا يمكن الرجوع إليها كأدلة إثبات بعد ذلك ويمكن تقديمها؛ وذلك لحفاظ السجل الإلكتروني على اتخاذ وسائل الحماية اللازمة للتعامل الإلكتروني</w:t>
      </w:r>
      <w:r>
        <w:rPr>
          <w:rStyle w:val="None"/>
          <w:rFonts w:ascii="Times New Roman" w:hAnsi="Times New Roman"/>
          <w:sz w:val="24"/>
          <w:szCs w:val="24"/>
          <w:rtl/>
          <w:lang w:val="ar-SA"/>
        </w:rPr>
        <w:t>.</w:t>
      </w:r>
    </w:p>
    <w:p w14:paraId="69D5B3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فالاعتماد على الوسائل التقليدية للتعاون الدولي الرسمي في مسائل الجريمة السيبرانية، لا يكفي في الوقت الحاضر للاستجابة في الوقت المناسب لمقتضيات الحصول على أدلة إلكترونية سريعة الزوال والتغير، وبما أنَّ عددًا متزايدًا من الجرائم يشتمل أدلةً إلكترونيةً توجد في أماكن جغرافية متعددة، سيشكل ذلك مشكلةً ليس فقط بشأن الجريمة السيبرانية، وأنَّ القواعد التي تحكم الإثبات الجنائي تهدف جميعًا إلى تحقيق العدالة الجنائية، وذلك بالكشف عن الحقيقة التي تهم المجتمع، باعتبار أنَّ الجريمة ما هي إلا اعتداء على الجماعة، ويمكن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الإثبات هو عملية برهنة أو تدليل على حقيقة واقعة معينة، ويجب أنْ يكون كشف الحقيقة مبنيًّا على يقين وجزم بوقوع الجريمة من المتهم المسند إليه ومِنْ ثَمَّ إدانته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64B647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55AE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فالإثبات هنا وسيلة لتأكيد الفعل الذي ارتكبه الشخص المعتدي على حقوق الغير، فمن خلال الإثبات يمكن تأكيد الفعل المخالف الذي قام به الشخص، فمن خلال ذلك يمكن استدعاء المخالف أو المتعدي على حقوق الغير للتحقيق معه</w:t>
      </w:r>
      <w:r>
        <w:rPr>
          <w:rStyle w:val="None"/>
          <w:rFonts w:ascii="Times New Roman" w:hAnsi="Times New Roman"/>
          <w:sz w:val="24"/>
          <w:szCs w:val="24"/>
          <w:rtl/>
          <w:lang w:val="ar-SA"/>
        </w:rPr>
        <w:t>.</w:t>
      </w:r>
    </w:p>
    <w:p w14:paraId="1AE9D6FA"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7E8FBC8"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التحقيق الرقمي</w:t>
      </w:r>
      <w:r>
        <w:rPr>
          <w:rStyle w:val="None"/>
          <w:rFonts w:ascii="Times New Roman" w:hAnsi="Times New Roman"/>
          <w:b/>
          <w:bCs/>
          <w:sz w:val="28"/>
          <w:szCs w:val="28"/>
          <w:rtl/>
          <w:lang w:val="ar-SA"/>
        </w:rPr>
        <w:t>:</w:t>
      </w:r>
    </w:p>
    <w:p w14:paraId="600FDBA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التحقيق الرقمي موضوعًا مهمًّا في صلب التحقيقات الجنائية؛ نظرًا لما له من طبيعة مختلفة عن نظيره التحقيق الجنائي التقليدي، وطريقة جمع للأدلة الرقمية، وخصوصًا مع تعاظم دور التقنيات في جميع مناحي الحياة؛ وإذ يكاد لا يخلو تحقيق جنائي اليوم من عمليات جمع لأدلة رقمية ضمن الحواسيب، أو الأجهزة النقالة، أو وسائط التخزين، وعلى الطرف الآخر تتعاظم النداءات التي تتحدث عن أهمية حماية الخصوية، والبيانات الشخصية للأفراد، وكيف أنَّ خصوصية الأفراد أصبحت عرضةً للتداول؟ نظرًا لضعف القوانين الناظمة لحماية البيانات من جهة، والتمادي في التعامل مع خصوصية الأفراد في معرض التحقيقات الجنائية أو الإجراءات الحكومية من جهة أخرى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sz w:val="24"/>
          <w:szCs w:val="24"/>
          <w:rtl/>
        </w:rPr>
        <w:t xml:space="preserve"> </w:t>
      </w:r>
    </w:p>
    <w:p w14:paraId="5B6A981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ويقع على عاتق المحقق الجنائي عدة التزامات لها أثر في الحد من هذه المعوقات، كوجوب احترام القواعد النظامية التي تحددها الأنظمة المختلفة للقيام بعملية الضبط والتحقيق، وأنْ يكون القائم بالتحقيق موضوعيًا متجردًا من كل ما يؤثر عليه في تحقيق الواقعة المرتكبة، بالإضافة إلى احترام حقوق المتهم في كل إجراءات التحقيق، كما أنَّه يؤثر في نجاح عملية التحقيق إنجاز المحقق مهام التحقيق بالسرعة والدقة اللازمة، كسرعة الانتقال إلى مسرح الجريمة، وسماع الشهود، وضبط المتهم، واستجوابه، والاستعانة بالمتخصصين في الحاسب الآلي؛ ليكونوا ضمن كوادر الأجهزة الأمنية والقضائية؛ 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لطريقة التحقيق في الجرائم الرقمية أثرًا كبيرًا في الحد من هذه المعوقات والوصول إلى الدليل؛ حيث إنَّ خبير الحاسب الآلي له دور مهم في الحصول على البيانات المخزنة في الحاسب الآلي، وملحقاته، والمتعلقة بالجريمة الرقمية، وعليه فإنَّه يجب على المحقق إجراء التحقيق بحضور الخبير، وتبادل المعلومات معه قبل البدء في التحقيق؛ وذلك لمعرفة الأبعاد الفنية والنقاط التي يجب استجلاؤها أثناء التحقيق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5A99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نظام حماية حقوق المؤلف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يتولى الموظفون المختصون بالهيئة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 وتحدد اللائحة التنفيذية الإجراءات والقواعد التي يلتزم بها هؤلاء الموظفون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5CB44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يعمل الموظفون التابعون لهيئة ضبط المخالفات على متابعة المنشآت الإعلامية، والتجارية، والمستودعات، والمؤسسات العامة والخاصة، والتأكد من أنَّهم يعملون على أحكام الحماية الفكرية الموضوعة من النظام ولوائحه، ويخوَّل </w:t>
      </w:r>
      <w:r>
        <w:rPr>
          <w:rStyle w:val="None"/>
          <w:rFonts w:ascii="Arial Unicode MS" w:hAnsi="Arial Unicode MS" w:cs="Times New Roman" w:hint="cs"/>
          <w:sz w:val="24"/>
          <w:szCs w:val="24"/>
          <w:rtl/>
          <w:lang w:val="ar-SA"/>
        </w:rPr>
        <w:lastRenderedPageBreak/>
        <w:t>لهم القضاء صفة الضبط عند عدم اتباع هذه المنشآت أحكام النظام وضوابطه، في الحدود التي رسمها النظام لشكل الضبط والإجراءات الازمة له</w:t>
      </w:r>
      <w:r>
        <w:rPr>
          <w:rStyle w:val="None"/>
          <w:rFonts w:ascii="Times New Roman" w:hAnsi="Times New Roman"/>
          <w:sz w:val="24"/>
          <w:szCs w:val="24"/>
          <w:rtl/>
          <w:lang w:val="ar-SA"/>
        </w:rPr>
        <w:t>.</w:t>
      </w:r>
    </w:p>
    <w:p w14:paraId="4216C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ويتميز التحقيق الرقمي بضرورة تعامله مع بيئة الحاسب الآلي، وكل ما يتعلق بها؛ ولذلك فمن أهم خصائصه التعامل مع نوع متخصص من الجرائم، وهي الجرائم الرقمية التي ترتكب عبر نظام الحاسوب والشبكة العنكبوتية، تحقيق ما يسمى بالأدلة الرقمية المتعلقة ببيئة الحاسب الآلي والإنترنت، والتعامل مع الاتصال الشبكي، وأنواعه المختلفة، ومعرفة كيفية انتقال البيانات عبر الأجهزة المختلفة وعبر شبكة الإنترنت، والتعامل مع الأنظمة المختلفة لتشغيل الحاسب الآلي، مع صيغ الملفات الإلكترونية المختلفة، وتطبيقات الحاسوب الرئيسية، والتواصل مع خدمة الإنترنت كأداة لجمع البيانات والتحريات عن الجرائم الإلكترونية، والتعامل مع تقنيات أمن الحاسوب والإنترنت لإمكانية ربطها بمجريات التحقيق، واستخدام الأدوات الفنية التي تستخدم في بنية نظم المعلومات وأهمها البريد الإلكتروني وبرامج المحادثة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DE9F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اللائحة التنفيذية لنظام حماية حقوق المؤلف بالنص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يتعين على مأموري الضبط سماع أقوال مَن تنسب إليهم مخالفة أي حكم من أحكام النظام واللائحة، أو مَن يمثلهم عند توفر دلائل ومؤشرات على وجود اعتداء، ولهم في سبيل ذلك</w:t>
      </w:r>
      <w:r>
        <w:rPr>
          <w:rStyle w:val="None"/>
          <w:rFonts w:ascii="Times New Roman" w:hAnsi="Times New Roman"/>
          <w:sz w:val="24"/>
          <w:szCs w:val="24"/>
          <w:rtl/>
          <w:lang w:val="ar-SA"/>
        </w:rPr>
        <w:t>:</w:t>
      </w:r>
    </w:p>
    <w:p w14:paraId="3DA64FA6"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أولى بوجوب مراجعة الإدارة المختصة في الهيئة خلال مدة لا تتجاوز ثلاثة أيامِ عملٍ من تاريخ الاستدعاء</w:t>
      </w:r>
      <w:r>
        <w:rPr>
          <w:rStyle w:val="None"/>
          <w:rFonts w:ascii="Times New Roman" w:hAnsi="Times New Roman"/>
          <w:sz w:val="24"/>
          <w:szCs w:val="24"/>
          <w:rtl/>
          <w:lang w:val="ar-SA"/>
        </w:rPr>
        <w:t>.</w:t>
      </w:r>
    </w:p>
    <w:p w14:paraId="304A5FA8"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نهائي بوجوب مراجعة الإدارة المختصة في الهيئة، خلال مدة لا تتجاوز خمسة أيامِ عملٍ من تاريخ الاستدعاء</w:t>
      </w:r>
      <w:r>
        <w:rPr>
          <w:rStyle w:val="None"/>
          <w:rFonts w:ascii="Times New Roman" w:hAnsi="Times New Roman"/>
          <w:sz w:val="24"/>
          <w:szCs w:val="24"/>
          <w:rtl/>
          <w:lang w:val="ar-SA"/>
        </w:rPr>
        <w:t>.</w:t>
      </w:r>
    </w:p>
    <w:p w14:paraId="30448D65"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أنْ يشتمل محضر التحقيق على البيانات التالية</w:t>
      </w:r>
      <w:r>
        <w:rPr>
          <w:rStyle w:val="None"/>
          <w:rFonts w:ascii="Times New Roman" w:hAnsi="Times New Roman"/>
          <w:sz w:val="24"/>
          <w:szCs w:val="24"/>
          <w:rtl/>
          <w:lang w:val="ar-SA"/>
        </w:rPr>
        <w:t xml:space="preserve">: </w:t>
      </w:r>
    </w:p>
    <w:p w14:paraId="50F11B9B" w14:textId="77777777" w:rsidR="00454428" w:rsidRDefault="00000000" w:rsidP="00C72BA8">
      <w:pPr>
        <w:pStyle w:val="Body"/>
        <w:numPr>
          <w:ilvl w:val="0"/>
          <w:numId w:val="26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ساعة ويوم وتاريخ ومكان سماع الأقوال</w:t>
      </w:r>
      <w:r>
        <w:rPr>
          <w:rStyle w:val="None"/>
          <w:rFonts w:ascii="Times New Roman" w:hAnsi="Times New Roman"/>
          <w:sz w:val="24"/>
          <w:szCs w:val="24"/>
          <w:rtl/>
          <w:lang w:val="ar-SA"/>
        </w:rPr>
        <w:t>.</w:t>
      </w:r>
    </w:p>
    <w:p w14:paraId="4CBCE0D3" w14:textId="77777777" w:rsidR="00454428" w:rsidRDefault="00000000" w:rsidP="00C72BA8">
      <w:pPr>
        <w:pStyle w:val="Body"/>
        <w:numPr>
          <w:ilvl w:val="0"/>
          <w:numId w:val="26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مَن تنسب إليه المخالفة، ورقم هُوِيَّته، وعناوين الاتصال به</w:t>
      </w:r>
      <w:r>
        <w:rPr>
          <w:rStyle w:val="None"/>
          <w:rFonts w:ascii="Times New Roman" w:hAnsi="Times New Roman"/>
          <w:sz w:val="24"/>
          <w:szCs w:val="24"/>
          <w:rtl/>
          <w:lang w:val="ar-SA"/>
        </w:rPr>
        <w:t>.</w:t>
      </w:r>
    </w:p>
    <w:p w14:paraId="0509DE7D" w14:textId="77777777" w:rsidR="00454428" w:rsidRDefault="00000000" w:rsidP="00C72BA8">
      <w:pPr>
        <w:pStyle w:val="Body"/>
        <w:numPr>
          <w:ilvl w:val="0"/>
          <w:numId w:val="26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مواجهته بالمخالفات المنسوبة إليه على وجه التحديد</w:t>
      </w:r>
      <w:r>
        <w:rPr>
          <w:rStyle w:val="None"/>
          <w:rFonts w:ascii="Times New Roman" w:hAnsi="Times New Roman"/>
          <w:sz w:val="24"/>
          <w:szCs w:val="24"/>
          <w:rtl/>
          <w:lang w:val="ar-SA"/>
        </w:rPr>
        <w:t>.</w:t>
      </w:r>
    </w:p>
    <w:p w14:paraId="66A92119" w14:textId="77777777" w:rsidR="00454428" w:rsidRDefault="00000000" w:rsidP="00C72BA8">
      <w:pPr>
        <w:pStyle w:val="Body"/>
        <w:numPr>
          <w:ilvl w:val="0"/>
          <w:numId w:val="26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كامل إجابات من تنسب إليه المخالفة عن الأسئلة الموجهة إليه،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أوجه دفاعه</w:t>
      </w:r>
      <w:r>
        <w:rPr>
          <w:rStyle w:val="None"/>
          <w:rFonts w:ascii="Times New Roman" w:hAnsi="Times New Roman"/>
          <w:sz w:val="24"/>
          <w:szCs w:val="24"/>
          <w:rtl/>
          <w:lang w:val="ar-SA"/>
        </w:rPr>
        <w:t>.</w:t>
      </w:r>
    </w:p>
    <w:p w14:paraId="0167A510" w14:textId="77777777" w:rsidR="00454428" w:rsidRDefault="00000000" w:rsidP="00C72BA8">
      <w:pPr>
        <w:pStyle w:val="Body"/>
        <w:numPr>
          <w:ilvl w:val="0"/>
          <w:numId w:val="27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تتم مساءلة مَن تنسب له المخالفة عن المدة الزمنية، التي مارس خلالها اعتداءاته على المصنف، ومدى ما حققه من عوائد مالية</w:t>
      </w:r>
      <w:r>
        <w:rPr>
          <w:rStyle w:val="None"/>
          <w:rFonts w:ascii="Times New Roman" w:hAnsi="Times New Roman"/>
          <w:sz w:val="24"/>
          <w:szCs w:val="24"/>
          <w:rtl/>
          <w:lang w:val="ar-SA"/>
        </w:rPr>
        <w:t>.</w:t>
      </w:r>
    </w:p>
    <w:p w14:paraId="0033F649"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لمأمور الضبط إذا اقتضى الحال استدعاء مَن يرى ضرورة سماع أقواله بشأن المخالفة وتدوينها بالمحضر</w:t>
      </w:r>
      <w:r>
        <w:rPr>
          <w:rStyle w:val="None"/>
          <w:rFonts w:ascii="Times New Roman" w:hAnsi="Times New Roman"/>
          <w:sz w:val="24"/>
          <w:szCs w:val="24"/>
          <w:rtl/>
          <w:lang w:val="ar-SA"/>
        </w:rPr>
        <w:t>.</w:t>
      </w:r>
    </w:p>
    <w:p w14:paraId="647C0D15"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للإدارة المختصة في الهيئة الاستعانة بأهل الخبرة في كشف المخالفات، وفقًا للإجراءات الإدارية التي تحكم هذا العمل</w:t>
      </w:r>
      <w:r>
        <w:rPr>
          <w:rStyle w:val="None"/>
          <w:rFonts w:ascii="Times New Roman" w:hAnsi="Times New Roman"/>
          <w:sz w:val="24"/>
          <w:szCs w:val="24"/>
          <w:rtl/>
          <w:lang w:val="ar-SA"/>
        </w:rPr>
        <w:t>.</w:t>
      </w:r>
    </w:p>
    <w:p w14:paraId="060EDDAC"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تقوم الإدارة المختصة برفع القضايا والمخالفات بكامل مستنداتها إلى اللجنة للنظر فيها</w:t>
      </w:r>
      <w:r>
        <w:rPr>
          <w:rStyle w:val="None"/>
          <w:rFonts w:ascii="Times New Roman" w:hAnsi="Times New Roman"/>
          <w:sz w:val="24"/>
          <w:szCs w:val="24"/>
          <w:rtl/>
          <w:lang w:val="ar-SA"/>
        </w:rPr>
        <w:t>.</w:t>
      </w:r>
    </w:p>
    <w:p w14:paraId="035AC0F1" w14:textId="77777777" w:rsidR="00454428" w:rsidRDefault="00000000" w:rsidP="00C72BA8">
      <w:pPr>
        <w:pStyle w:val="Body"/>
        <w:numPr>
          <w:ilvl w:val="0"/>
          <w:numId w:val="26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 عدم حضور الشخص المنسوبة إليه المخالفة، أو من ينوب عنه خلال الفترة المحددة للاستدعاء، يتم إحالة أوراق القضية للجنة لإصدار القرار بشأنها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A88C8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يجب على مأمور الضبط المسئول عن التحقيق في المخالفات الخاصة لنظام حماية حقوق المؤلف بأنْ يستمع إلى من وجه إليه تهم المخالفة، فيجب على مأمور الضبط اتباع تلك الخطوات التي نص عليها النظام، بأنْ يستدعي مراجعة المخالفة التي حدثت في الإدارة خلال مدة من الزمن لا تتجاوز الثلاثة أيامٍ من تاريخ بدء الاستدعاء، ويكون الاستدعاء النهائي المختص بمراجعة الإدارية في مدة لا تتجاوز خمسة أيامٍ من تاريخ الاستدعاء، ويجب أنْ يحتوي محضر التحقيق على تاريخ سماع الأقوال بالتفصيل، واسم مَن اتهم بالمخالفة وتفاصيله بالكامل، وعرض المخالفات المنسوبة إليه، كما يجب أنْ تتم كتابة جميع أقوال المتهم الناتجة عن الأسئلة الموجهة إليه، ومعرفة توقيت ممارسة الاعتداء على المصنف ومعرفة إلى أي مدى حقق أرباح عن طريق ذلك، كما يجوز لمأمور الضبط التحقيق مع من يراه مناسبًا لوقعة الاعتداء على المصنف، ويمكن للإدارة أنْ تلجأ لأصحاب الخبرة في الكشف عن الاعتداء على المصنف الإلكتروني وفقًا للقواعد والقوانين، وفي حالة امتناع الشخص، أو ما ينوب عنه عن حضور التحقيق يتم اصدار القرار من قبل اللجنة المختصة</w:t>
      </w:r>
      <w:r>
        <w:rPr>
          <w:rStyle w:val="None"/>
          <w:rFonts w:ascii="Times New Roman" w:hAnsi="Times New Roman"/>
          <w:sz w:val="24"/>
          <w:szCs w:val="24"/>
          <w:rtl/>
          <w:lang w:val="ar-SA"/>
        </w:rPr>
        <w:t>.</w:t>
      </w:r>
    </w:p>
    <w:p w14:paraId="1C2412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التحقيق الرقمي يهدف إلى جمع الأدلة الرقمية وحفظها من جميع الأجهزة والأنظمة الإلكترونية؛ حتى يمكن إثبات الواقعة من خلال تلك الأدلة التي تجمعها التحقيقات الرقمية، وتقوم التحقيقات على أساس علمي متطوِّر؛ حتى يتيح لها الفرصة في استرجاع البيانات أو المحذوفات، واستخدام البرامج المتطوِّرة في الكشف عن المخالفات الخاصة بانتهاك حقوق الآخرين، والجرائم الإلكترونية، مع مراعاة التوازن بين حماية الخصوصية وحماية الملكية الفكرية</w:t>
      </w:r>
      <w:r>
        <w:rPr>
          <w:rStyle w:val="None"/>
          <w:rFonts w:ascii="Times New Roman" w:hAnsi="Times New Roman"/>
          <w:sz w:val="24"/>
          <w:szCs w:val="24"/>
          <w:rtl/>
          <w:lang w:val="ar-SA"/>
        </w:rPr>
        <w:t>.</w:t>
      </w:r>
    </w:p>
    <w:p w14:paraId="2EF8C4EE"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الضبط الفني</w:t>
      </w:r>
      <w:r>
        <w:rPr>
          <w:rStyle w:val="None"/>
          <w:rFonts w:ascii="Times New Roman" w:hAnsi="Times New Roman"/>
          <w:b/>
          <w:bCs/>
          <w:sz w:val="28"/>
          <w:szCs w:val="28"/>
          <w:rtl/>
          <w:lang w:val="ar-SA"/>
        </w:rPr>
        <w:t>:</w:t>
      </w:r>
    </w:p>
    <w:p w14:paraId="18A7BC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محل الضبط في الجرائم المعلوماتية هو الدليل الرقمي، ويقصد بالدليل الرقمي كل بيانات يمكن إعدادها، أو تخزينها في شكل رقمي؛ بحيث تمكن الحاسوب من إنجاز مهمة ما، أو هو الدليل الذي يجد له أساسًا في العالم الافتراضي ويوقد إلى جريمة، أو هو عبارة عن معطيات مخزنة في نظام إلكتروني، أو معلوماتي يمكن استخدامها في قضية قانونية، ويختلف الضبط في الجرائم المعلوماتية عن الضبط في الجرائم التقليدية من حيث المحل؛ وذلك بسبب أنَّ الضبط الإلكتروني يرد على أشياء ذات طبيعة معنوية وهي البيانات، والضبط التقليدي يرد على أشياء مادية، ففي جريمة القتل مثلًا يتم ضبط أداة الجريمة، وفي جرائم المخدرات يتم ضبط المخدر نفسه، بينما في الجرائم المعلوماتية يمكن أنْ يكون محل الضبط المعلومات الكائنة في جهاز الحاسوب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FA0C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الحماية التي يكفلها المنظم للاتصالات العادية لا يقتصر نطاقها على هذا النوع من الاتصالات فحسب، بل تمتد هذه الحماية إلى الاتصالات الإلكترونية عبر الإنترنت من باب أولى بحسبان أنَّ الغاية من </w:t>
      </w:r>
      <w:r>
        <w:rPr>
          <w:rStyle w:val="None"/>
          <w:rFonts w:ascii="Arial Unicode MS" w:hAnsi="Arial Unicode MS" w:cs="Times New Roman" w:hint="cs"/>
          <w:sz w:val="24"/>
          <w:szCs w:val="24"/>
          <w:rtl/>
          <w:lang w:val="ar-SA"/>
        </w:rPr>
        <w:lastRenderedPageBreak/>
        <w:t xml:space="preserve">وراء هذه الحماية هي حماية الحياة الخاصة للإنسان بحماية مستودع أسراره الشخصية، وهذه الأسرار تكون أكثر انتهاكا إذا ما استخدمت الوسائل الإلكترونية في الوصول إليها، ومن ثَمَّ فإنَّها تكون في حاجة إلى حماية أكثر من تلك الحماية التي تحتاجها الاتصالات العادية، وإذا اقتضت ضرورة التحقيق مراقبة هذه الاتصالات وتسجيلها، فسنتبع حينها الضمانات نفسها المقررة للمحادثات التليفونية، مع مراعاة خصوصية هذه الاتصالات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AE1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(18)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يكون ضبط ما يقع من مخالفات لأحكام النظام واللائحة في أي من الحالات التالية</w:t>
      </w:r>
      <w:r>
        <w:rPr>
          <w:rStyle w:val="None"/>
          <w:rFonts w:ascii="Times New Roman" w:hAnsi="Times New Roman"/>
          <w:sz w:val="24"/>
          <w:szCs w:val="24"/>
          <w:rtl/>
          <w:lang w:val="ar-SA"/>
        </w:rPr>
        <w:t>:</w:t>
      </w:r>
    </w:p>
    <w:p w14:paraId="18E4D8AA" w14:textId="77777777" w:rsidR="00454428" w:rsidRDefault="00000000" w:rsidP="00C72BA8">
      <w:pPr>
        <w:pStyle w:val="Body"/>
        <w:numPr>
          <w:ilvl w:val="0"/>
          <w:numId w:val="27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شكوى مقدمة من أصحاب الحقوق أو من يمثلهم</w:t>
      </w:r>
      <w:r>
        <w:rPr>
          <w:rStyle w:val="None"/>
          <w:rFonts w:ascii="Times New Roman" w:hAnsi="Times New Roman"/>
          <w:sz w:val="24"/>
          <w:szCs w:val="24"/>
          <w:rtl/>
          <w:lang w:val="ar-SA"/>
        </w:rPr>
        <w:t>.</w:t>
      </w:r>
    </w:p>
    <w:p w14:paraId="1E58B499" w14:textId="77777777" w:rsidR="00454428" w:rsidRDefault="00000000" w:rsidP="00C72BA8">
      <w:pPr>
        <w:pStyle w:val="Body"/>
        <w:numPr>
          <w:ilvl w:val="0"/>
          <w:numId w:val="27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البلاغات الواردة وفق النماذج المعدة لذلك</w:t>
      </w:r>
      <w:r>
        <w:rPr>
          <w:rStyle w:val="None"/>
          <w:rFonts w:ascii="Times New Roman" w:hAnsi="Times New Roman"/>
          <w:sz w:val="24"/>
          <w:szCs w:val="24"/>
          <w:rtl/>
          <w:lang w:val="ar-SA"/>
        </w:rPr>
        <w:t>.</w:t>
      </w:r>
    </w:p>
    <w:p w14:paraId="4C1505F5" w14:textId="77777777" w:rsidR="00454428" w:rsidRDefault="00000000" w:rsidP="00C72BA8">
      <w:pPr>
        <w:pStyle w:val="Body"/>
        <w:numPr>
          <w:ilvl w:val="0"/>
          <w:numId w:val="27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الزيارات الميدانية لمأموري الضبط على المنشآت العامة، والمحلات التجارية التي تستخدم في نشاط أيٍّ من المصنفات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9260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يتم ضبط المخالفات الواقعة على حقوق الغير من خلال الشكوى المقدمة من أصحاب تلك الحقوق أو من ينوب عنهم، أو تقديم البلاغات عن طريق النماذج المخصصة للشكوى، وزيارة مأمور الضبط على كل من المنشآت العامة والمحلات التجارية تعمل على ضبط مخالفات الملكية الفكرية</w:t>
      </w:r>
      <w:r>
        <w:rPr>
          <w:rStyle w:val="None"/>
          <w:rFonts w:ascii="Times New Roman" w:hAnsi="Times New Roman"/>
          <w:sz w:val="24"/>
          <w:szCs w:val="24"/>
          <w:rtl/>
          <w:lang w:val="ar-SA"/>
        </w:rPr>
        <w:t>.</w:t>
      </w:r>
    </w:p>
    <w:p w14:paraId="538F8F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فالأهم بشأن الضبط تظهر حينما يتعين ضبط المعطيات المخزنة على أي وسيط من وسائط التخزين دون توافر إمكانية ضبط الدعامة المادية المخزن عليها هذه المعطيات، كذلك ليس بالإمكان ضبط النظام كله، أو الشبكات المتصلة به عندما تظهر أهمية ذلك في إثبات الجريمة؛ حيث إنَّ إعمال مبدأ التناسب يقتضي قصر الضبط على الأدلة التي تفيد في كشف الحقيقة دون أنْ يؤدي ذلك إلى تعطيل العمل كله في النظام أو في الشبكات المتصلة به؛ لذا يظهر أنَّ النسخ الأسلوب الأمثل الذي يمكن استخدامه في ضبط المعطيات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7AC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لمأموري الضبط عند قيامهم بمهام الضبط والتفتيش مباشرة الإجراءات التالية</w:t>
      </w:r>
      <w:r>
        <w:rPr>
          <w:rStyle w:val="None"/>
          <w:rFonts w:ascii="Times New Roman" w:hAnsi="Times New Roman"/>
          <w:sz w:val="24"/>
          <w:szCs w:val="24"/>
          <w:rtl/>
          <w:lang w:val="ar-SA"/>
        </w:rPr>
        <w:t xml:space="preserve">: </w:t>
      </w:r>
    </w:p>
    <w:p w14:paraId="13709160" w14:textId="77777777" w:rsidR="00454428" w:rsidRDefault="00000000" w:rsidP="00C72BA8">
      <w:pPr>
        <w:pStyle w:val="Body"/>
        <w:numPr>
          <w:ilvl w:val="0"/>
          <w:numId w:val="27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دخول مقارِّ المنشآت التي تنتج، أو تعرض، أو توزع، أو تبيع، أو تستخدم أو تقدم خدمات الصيانة لأي من المصنفات المتمتعة بالحماية، بما في ذلك ملحقات وتوابع تلك المقار وتفتيشها</w:t>
      </w:r>
      <w:r>
        <w:rPr>
          <w:rStyle w:val="None"/>
          <w:rFonts w:ascii="Times New Roman" w:hAnsi="Times New Roman"/>
          <w:sz w:val="24"/>
          <w:szCs w:val="24"/>
          <w:rtl/>
          <w:lang w:val="ar-SA"/>
        </w:rPr>
        <w:t>.</w:t>
      </w:r>
    </w:p>
    <w:p w14:paraId="6085CAC4" w14:textId="77777777" w:rsidR="00454428" w:rsidRDefault="00000000" w:rsidP="00C72BA8">
      <w:pPr>
        <w:pStyle w:val="Body"/>
        <w:numPr>
          <w:ilvl w:val="0"/>
          <w:numId w:val="27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ضبط وتحريز نسخ المصنفات والأجهزة، التي تقوم إزائها أسباب معقولة عند الفحص الأوَّلي على أنَّها محل اعتداء، وعلى المستندات المتعلقة بها عند الاقتضاء</w:t>
      </w:r>
      <w:r>
        <w:rPr>
          <w:rStyle w:val="None"/>
          <w:rFonts w:ascii="Times New Roman" w:hAnsi="Times New Roman"/>
          <w:sz w:val="24"/>
          <w:szCs w:val="24"/>
          <w:rtl/>
          <w:lang w:val="ar-SA"/>
        </w:rPr>
        <w:t>.</w:t>
      </w:r>
    </w:p>
    <w:p w14:paraId="07C0B891" w14:textId="77777777" w:rsidR="00454428" w:rsidRDefault="00000000" w:rsidP="00C72BA8">
      <w:pPr>
        <w:pStyle w:val="Body"/>
        <w:numPr>
          <w:ilvl w:val="0"/>
          <w:numId w:val="27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إجراء مساءلة فورية مع من تنسب إليه المخالفة، أو أي من العاملين بالمنشأة وسماع أقوال مالكها، أو مَن يمثله إذا قدر ملاءمة ذلك</w:t>
      </w:r>
      <w:r>
        <w:rPr>
          <w:rStyle w:val="None"/>
          <w:rFonts w:ascii="Times New Roman" w:hAnsi="Times New Roman"/>
          <w:sz w:val="24"/>
          <w:szCs w:val="24"/>
          <w:rtl/>
          <w:lang w:val="ar-SA"/>
        </w:rPr>
        <w:t>.</w:t>
      </w:r>
    </w:p>
    <w:p w14:paraId="077553B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جميع الأحوال يتعين السماح لمن تنسب إليه المخالفة بتقديم دفوعه كتابية أو تدوينها وإرفاق ذلك بمحضر يُعَدُّ لهذا الغرض، إضافةً إلى ما يقدمه من وثائق ومستندات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1960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 لمأمور الضبط الدخول إلى مقرات المنشآت التي تنتج، أو توزع، أو تقدم خدمات الصبانة لأي من المصنفات المتمتعة بالحماية، وما يتبعها من مقرات خاصة بتلك المنشآت وله الصالحية في تفتيشها، وعند إيجاد أحد المخالفات المنصوص عيها يمكن لمأمور الضبط أنْ يصادر تلك الأجهزة والأدوات التي استخدمت في الاعتداء على حقوق الغير، وسماع أقوال المتواجدين في المنشاة خلال ذلك الضبط، ويسمح لمن تنسب إليه المخالفة بتقديم دفوعه كتابية وإرفاقها بالمحضر</w:t>
      </w:r>
      <w:r>
        <w:rPr>
          <w:rStyle w:val="None"/>
          <w:rFonts w:ascii="Times New Roman" w:hAnsi="Times New Roman"/>
          <w:sz w:val="24"/>
          <w:szCs w:val="24"/>
          <w:rtl/>
          <w:lang w:val="ar-SA"/>
        </w:rPr>
        <w:t>.</w:t>
      </w:r>
    </w:p>
    <w:p w14:paraId="57954A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يختص رجال الضبط الجنائي بالتحري وجمع المعلومات في جريمة التنصت الإلكتروني؛ وذلك من خلال منصات البلاغات الإلكترونية، فإنَّ فحص البلاغات الواردة لمنصات البلاغات يقتضي جمع المعلومات المتعلقة بالواقعة الوارد بشأنها البلاغ عن طريق عدة وسائل؛ كون البلاغ خبر يحتمل الصحة والكذب، فضلًا أنَّ الاشتباه قد لا يكون له أساس من الوقائع، وقد منح المنظم الاختصاص الإجرائي فيما يتعلق بكشف هُوِيَّة المتنصت إلكترونيًا للمباحث الجنائية، ويتم ذلك من خلال تحرير البلاغ لإدارة مكافحة الجرائم المعلوماتية للإدارة العامة للتحريات والبحث الجنائي للأمن العام</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5FC71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w:t>
      </w:r>
    </w:p>
    <w:p w14:paraId="16648B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تتولى الإدارة المختصة مهام ضبط المخالفات وتحريز الأدلة الثبوتية الدالة على وجود اعتداء على حق المؤلف من أجهزة، أو مصنفات، أو سلع</w:t>
      </w:r>
      <w:r>
        <w:rPr>
          <w:rStyle w:val="None"/>
          <w:rFonts w:ascii="Times New Roman" w:hAnsi="Times New Roman"/>
          <w:sz w:val="24"/>
          <w:szCs w:val="24"/>
          <w:rtl/>
          <w:lang w:val="ar-SA"/>
        </w:rPr>
        <w:t>.</w:t>
      </w:r>
    </w:p>
    <w:p w14:paraId="2A41D9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يتم إثبات ما تم ضبطه أو تحريزه في محضر الضبط على أنْ يتم توقيعه من قبل مأمور الضبط وصاحب المنشأة، أو من يمثله، ويدخل في ذلك العاملون في المنشأة، ويدون فيه ما يتعلق بحالات الامتناع عن التوقيع أو الهروب من الموقع على أنَّه يتضمن المحضر المعلومات التالية</w:t>
      </w:r>
      <w:r>
        <w:rPr>
          <w:rStyle w:val="None"/>
          <w:rFonts w:ascii="Times New Roman" w:hAnsi="Times New Roman"/>
          <w:sz w:val="24"/>
          <w:szCs w:val="24"/>
          <w:rtl/>
          <w:lang w:val="ar-SA"/>
        </w:rPr>
        <w:t xml:space="preserve">: </w:t>
      </w:r>
    </w:p>
    <w:p w14:paraId="3B356E03" w14:textId="77777777" w:rsidR="00454428" w:rsidRDefault="00000000" w:rsidP="00C72BA8">
      <w:pPr>
        <w:pStyle w:val="Body"/>
        <w:numPr>
          <w:ilvl w:val="0"/>
          <w:numId w:val="27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المنشأة وعنوانها والمعلومات الثبوتية الأساسية الخاصة بها</w:t>
      </w:r>
      <w:r>
        <w:rPr>
          <w:rStyle w:val="None"/>
          <w:rFonts w:ascii="Times New Roman" w:hAnsi="Times New Roman"/>
          <w:sz w:val="24"/>
          <w:szCs w:val="24"/>
          <w:rtl/>
          <w:lang w:val="ar-SA"/>
        </w:rPr>
        <w:t>.</w:t>
      </w:r>
    </w:p>
    <w:p w14:paraId="0BCA3AB1" w14:textId="77777777" w:rsidR="00454428" w:rsidRDefault="00000000" w:rsidP="00C72BA8">
      <w:pPr>
        <w:pStyle w:val="Body"/>
        <w:numPr>
          <w:ilvl w:val="0"/>
          <w:numId w:val="27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موقع وتاريخ الضبط</w:t>
      </w:r>
      <w:r>
        <w:rPr>
          <w:rStyle w:val="None"/>
          <w:rFonts w:ascii="Times New Roman" w:hAnsi="Times New Roman"/>
          <w:sz w:val="24"/>
          <w:szCs w:val="24"/>
          <w:rtl/>
          <w:lang w:val="ar-SA"/>
        </w:rPr>
        <w:t>.</w:t>
      </w:r>
    </w:p>
    <w:p w14:paraId="683A445B" w14:textId="77777777" w:rsidR="00454428" w:rsidRDefault="00000000" w:rsidP="00C72BA8">
      <w:pPr>
        <w:pStyle w:val="Body"/>
        <w:numPr>
          <w:ilvl w:val="0"/>
          <w:numId w:val="27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أسماء العاملين بالموقع</w:t>
      </w:r>
      <w:r>
        <w:rPr>
          <w:rStyle w:val="None"/>
          <w:rFonts w:ascii="Times New Roman" w:hAnsi="Times New Roman"/>
          <w:sz w:val="24"/>
          <w:szCs w:val="24"/>
          <w:rtl/>
          <w:lang w:val="ar-SA"/>
        </w:rPr>
        <w:t>.</w:t>
      </w:r>
    </w:p>
    <w:p w14:paraId="1E5D4FC5" w14:textId="77777777" w:rsidR="00454428" w:rsidRDefault="00000000" w:rsidP="00C72BA8">
      <w:pPr>
        <w:pStyle w:val="Body"/>
        <w:numPr>
          <w:ilvl w:val="0"/>
          <w:numId w:val="27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وطبيعة المصنف محل المخالفة وكمية النسخ المضبوطة ومواصفاتها</w:t>
      </w:r>
      <w:r>
        <w:rPr>
          <w:rStyle w:val="None"/>
          <w:rFonts w:ascii="Times New Roman" w:hAnsi="Times New Roman"/>
          <w:sz w:val="24"/>
          <w:szCs w:val="24"/>
          <w:rtl/>
          <w:lang w:val="ar-SA"/>
        </w:rPr>
        <w:t>.</w:t>
      </w:r>
    </w:p>
    <w:p w14:paraId="7CCA03F1" w14:textId="77777777" w:rsidR="00454428" w:rsidRDefault="00000000" w:rsidP="00C72BA8">
      <w:pPr>
        <w:pStyle w:val="Body"/>
        <w:numPr>
          <w:ilvl w:val="0"/>
          <w:numId w:val="27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نوع المخالفة ووقائعها وأسبابها وظروفها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62A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تعمل الجهة الإدارية المختصة على ضبط المخالفات المتعلقة بحقوق المؤلف، ويحق لجهة الإدارة تحريز الأجهزة أو المصنفات التي تتعدي على الملكية الفكرية للمؤلف، ويتم ذكر ما تم ضبطه من أحراز في محضر رسمي ويتم التوقيع عليه من قبل صاحب المنشأة، أو من ينوب عنه والعاملين في المنشاة، كما يتم ذكر حالات الامتناع التي تتم في موقع الضبط، ويتضمن المحضر الرسمي اسم المنشاة، وعنونها، والمعلومات الأساسية الخاصة بها، وموقع وتاريخ الضبط، وأسماء العاملين بالموقع، واسم وطبيعة المصنف محل المخالفة، وكمية النسخ المضبوطة ومواصفاتها، ونوع المخالفة، ووقائعها، وأسبابها، وظروفها</w:t>
      </w:r>
      <w:r>
        <w:rPr>
          <w:rStyle w:val="None"/>
          <w:rFonts w:ascii="Times New Roman" w:hAnsi="Times New Roman"/>
          <w:b/>
          <w:bCs/>
          <w:sz w:val="24"/>
          <w:szCs w:val="24"/>
          <w:rtl/>
          <w:lang w:val="ar-SA"/>
        </w:rPr>
        <w:t>.</w:t>
      </w:r>
    </w:p>
    <w:p w14:paraId="2095F3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وتتضمن إجراءات الضبط الجنائي الاختصاص الموضوعي لرجال الضبط الجنائي، وقد سبق الحديث عن مهامهم الإجرائية لضباط جرائم التنصت الإلكتروني في مطلب مهام رجال الضبط الجنائي، وفي هذا المطلب سيتم الحديث عن الإجراءات، الضبطية الملائمة لطبيعة جريمة التنصت الإلكتروني، واختصاص رجال الضبط الجنائي بتلقي البلاغات لجرائم التنصت، إلا أنَّ طبيعة الجرائم الإلكترونية، وجرائم التنصت بصفة خاصة تختلف عن بقية الجرائم التقليدية من حيث سرعة ارتكابها، وسهولة إزالة آثار الجريمة؛ ممَّا يجعل من الأهمية أنْ يتم توسيع دائرة الاختصاص في تلقي البلاغات في تلك الجرائم؛ لتشمل رجال الضبط الجنائي وغيرهم من الفنيين في الحاسب، والمختصين في الجرائم الإلكترونية؛ ليسهل مواكبة تطوُّر أساليب وصور جريمة التنصت الإلكتروني، خاصة أنَّ تلقي البلاغ يمكن أنْ يلحق الإجراء الذي يختص به رجل الضبط الجنائي دون غيره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كإجراء الكشف عن هُوِيَّة المجرم في جريمة التنصت الإلكتروني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B340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p>
    <w:p w14:paraId="7EBC19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تتولى الإدارة المختصة مباشرة إجراءات ضبط المواقع الإلكترونية في شبكة الإنترنت العالمية عند وجود تَعَدٍّ على حق المؤلف وفق الإجراءات التالية</w:t>
      </w:r>
      <w:r>
        <w:rPr>
          <w:rStyle w:val="None"/>
          <w:rFonts w:ascii="Times New Roman" w:hAnsi="Times New Roman"/>
          <w:sz w:val="24"/>
          <w:szCs w:val="24"/>
          <w:rtl/>
          <w:lang w:val="ar-SA"/>
        </w:rPr>
        <w:t>:</w:t>
      </w:r>
    </w:p>
    <w:p w14:paraId="111DA870" w14:textId="77777777" w:rsidR="00454428" w:rsidRDefault="00000000" w:rsidP="00C72BA8">
      <w:pPr>
        <w:pStyle w:val="Body"/>
        <w:numPr>
          <w:ilvl w:val="0"/>
          <w:numId w:val="278"/>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القيام بإجراءات ضبط المخالفة عبر تحرير محضر ضبط يتضمن التالي</w:t>
      </w:r>
      <w:r>
        <w:rPr>
          <w:rStyle w:val="None"/>
          <w:rFonts w:ascii="Times New Roman" w:hAnsi="Times New Roman"/>
          <w:sz w:val="24"/>
          <w:szCs w:val="24"/>
          <w:rtl/>
          <w:lang w:val="ar-SA"/>
        </w:rPr>
        <w:t>:</w:t>
      </w:r>
    </w:p>
    <w:p w14:paraId="39D39E3D" w14:textId="77777777" w:rsidR="00454428" w:rsidRDefault="00000000" w:rsidP="00C72BA8">
      <w:pPr>
        <w:pStyle w:val="Body"/>
        <w:numPr>
          <w:ilvl w:val="0"/>
          <w:numId w:val="28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سبب قيام عملية الضغط</w:t>
      </w:r>
      <w:r>
        <w:rPr>
          <w:rStyle w:val="None"/>
          <w:rFonts w:ascii="Times New Roman" w:hAnsi="Times New Roman"/>
          <w:sz w:val="24"/>
          <w:szCs w:val="24"/>
          <w:rtl/>
          <w:lang w:val="ar-SA"/>
        </w:rPr>
        <w:t>.</w:t>
      </w:r>
    </w:p>
    <w:p w14:paraId="066A63EE" w14:textId="77777777" w:rsidR="00454428" w:rsidRDefault="00000000" w:rsidP="00C72BA8">
      <w:pPr>
        <w:pStyle w:val="Body"/>
        <w:numPr>
          <w:ilvl w:val="0"/>
          <w:numId w:val="28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النطاق أو عنوان بروتوكول الإنترنت للمواقع الإلكتروني</w:t>
      </w:r>
      <w:r>
        <w:rPr>
          <w:rStyle w:val="None"/>
          <w:rFonts w:ascii="Times New Roman" w:hAnsi="Times New Roman"/>
          <w:sz w:val="24"/>
          <w:szCs w:val="24"/>
          <w:rtl/>
          <w:lang w:val="ar-SA"/>
        </w:rPr>
        <w:t>.</w:t>
      </w:r>
    </w:p>
    <w:p w14:paraId="3A8845CD" w14:textId="77777777" w:rsidR="00454428" w:rsidRDefault="00000000" w:rsidP="00C72BA8">
      <w:pPr>
        <w:pStyle w:val="Body"/>
        <w:numPr>
          <w:ilvl w:val="0"/>
          <w:numId w:val="28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مكان وقوع المخالفة داخل الموقع الإلكتروني</w:t>
      </w:r>
      <w:r>
        <w:rPr>
          <w:rStyle w:val="None"/>
          <w:rFonts w:ascii="Times New Roman" w:hAnsi="Times New Roman"/>
          <w:sz w:val="24"/>
          <w:szCs w:val="24"/>
          <w:rtl/>
          <w:lang w:val="ar-SA"/>
        </w:rPr>
        <w:t>.</w:t>
      </w:r>
    </w:p>
    <w:p w14:paraId="18EAA6FC" w14:textId="77777777" w:rsidR="00454428" w:rsidRDefault="00000000" w:rsidP="00C72BA8">
      <w:pPr>
        <w:pStyle w:val="Body"/>
        <w:numPr>
          <w:ilvl w:val="0"/>
          <w:numId w:val="28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rtl/>
          <w:lang w:val="ar-SA"/>
        </w:rPr>
        <w:t>.</w:t>
      </w:r>
    </w:p>
    <w:p w14:paraId="7D14DF65" w14:textId="77777777" w:rsidR="00454428" w:rsidRDefault="00000000" w:rsidP="00C72BA8">
      <w:pPr>
        <w:pStyle w:val="Body"/>
        <w:numPr>
          <w:ilvl w:val="0"/>
          <w:numId w:val="281"/>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تُعِدُّ الإدارة المختصة تقريرًا فنيًا بشأن محضر الضبط، على أنْ يشمل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بحد أدنى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 المعلومات التالية</w:t>
      </w:r>
      <w:r>
        <w:rPr>
          <w:rStyle w:val="None"/>
          <w:rFonts w:ascii="Times New Roman" w:hAnsi="Times New Roman"/>
          <w:sz w:val="24"/>
          <w:szCs w:val="24"/>
          <w:rtl/>
          <w:lang w:val="ar-SA"/>
        </w:rPr>
        <w:t>:</w:t>
      </w:r>
    </w:p>
    <w:p w14:paraId="24CB1B55" w14:textId="77777777" w:rsidR="00454428" w:rsidRDefault="00000000" w:rsidP="00C72BA8">
      <w:pPr>
        <w:pStyle w:val="Body"/>
        <w:numPr>
          <w:ilvl w:val="0"/>
          <w:numId w:val="28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المعلومات الأساسية لقيام عملية الضبط</w:t>
      </w:r>
      <w:r>
        <w:rPr>
          <w:rStyle w:val="None"/>
          <w:rFonts w:ascii="Times New Roman" w:hAnsi="Times New Roman"/>
          <w:sz w:val="24"/>
          <w:szCs w:val="24"/>
          <w:rtl/>
          <w:lang w:val="ar-SA"/>
        </w:rPr>
        <w:t>.</w:t>
      </w:r>
    </w:p>
    <w:p w14:paraId="1EE4461A" w14:textId="77777777" w:rsidR="00454428" w:rsidRDefault="00000000" w:rsidP="00C72BA8">
      <w:pPr>
        <w:pStyle w:val="Body"/>
        <w:numPr>
          <w:ilvl w:val="0"/>
          <w:numId w:val="28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وصف تفصيلي عن الموقع الإلكتروني يتضمن نشاطه وخدماته</w:t>
      </w:r>
      <w:r>
        <w:rPr>
          <w:rStyle w:val="None"/>
          <w:rFonts w:ascii="Times New Roman" w:hAnsi="Times New Roman"/>
          <w:sz w:val="24"/>
          <w:szCs w:val="24"/>
          <w:rtl/>
          <w:lang w:val="ar-SA"/>
        </w:rPr>
        <w:t>.</w:t>
      </w:r>
    </w:p>
    <w:p w14:paraId="36620C18" w14:textId="77777777" w:rsidR="00454428" w:rsidRDefault="00000000" w:rsidP="00C72BA8">
      <w:pPr>
        <w:pStyle w:val="Body"/>
        <w:numPr>
          <w:ilvl w:val="0"/>
          <w:numId w:val="28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المخالفات والاعتداءات التي يشتمل عليها الموقع الإلكتروني</w:t>
      </w:r>
      <w:r>
        <w:rPr>
          <w:rStyle w:val="None"/>
          <w:rFonts w:ascii="Times New Roman" w:hAnsi="Times New Roman"/>
          <w:sz w:val="24"/>
          <w:szCs w:val="24"/>
          <w:rtl/>
          <w:lang w:val="ar-SA"/>
        </w:rPr>
        <w:t>.</w:t>
      </w:r>
    </w:p>
    <w:p w14:paraId="6A76B47B" w14:textId="77777777" w:rsidR="00454428" w:rsidRDefault="00000000" w:rsidP="00C72BA8">
      <w:pPr>
        <w:pStyle w:val="Body"/>
        <w:numPr>
          <w:ilvl w:val="0"/>
          <w:numId w:val="28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طريقة وأسلوب الاعتداء</w:t>
      </w:r>
      <w:r>
        <w:rPr>
          <w:rStyle w:val="None"/>
          <w:rFonts w:ascii="Times New Roman" w:hAnsi="Times New Roman"/>
          <w:sz w:val="24"/>
          <w:szCs w:val="24"/>
          <w:rtl/>
          <w:lang w:val="ar-SA"/>
        </w:rPr>
        <w:t>.</w:t>
      </w:r>
    </w:p>
    <w:p w14:paraId="66F6C2A0" w14:textId="77777777" w:rsidR="00454428" w:rsidRDefault="00000000" w:rsidP="00C72BA8">
      <w:pPr>
        <w:pStyle w:val="Body"/>
        <w:numPr>
          <w:ilvl w:val="0"/>
          <w:numId w:val="28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معلومات أو حقائق فنية أخرى عن المصنف وطريقة الاعتداء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955C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تعمل الإدارة المختصة على ضبط المواقع الإلكترونية المتعلقة بالتعدي على حق المؤلف وتتبع الإجراءات الأتية، ضبط المخالفة من خلال محضر رسمي يحتوي على اسم النطاق للمواقع الإلكتروني، وتحديد مكان وقوع المخالفة داخل الموقع الإلكتروني، ونوع المخالفة ووقائعها وأسببها، وتقوم الإدارة المختصة بكتابة تقرير فنيٍّ يحتوي على محضر الضبط، ويشمل ذلك التقرير ما يلي، المعلومات الأساسية لقيام عملية الضبط، ووصف تفصيلي عن المواقع الإلكترونية، وتحديد طريقة وأسلوب الاعتداء، وأي معلومات أو حقائق غنية أخرى عن المصنف وطريقة الاعتداء</w:t>
      </w:r>
      <w:r>
        <w:rPr>
          <w:rStyle w:val="None"/>
          <w:rFonts w:ascii="Times New Roman" w:hAnsi="Times New Roman"/>
          <w:sz w:val="24"/>
          <w:szCs w:val="24"/>
          <w:rtl/>
          <w:lang w:val="ar-SA"/>
        </w:rPr>
        <w:t>.</w:t>
      </w:r>
    </w:p>
    <w:p w14:paraId="33FEF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يتبن أنَّ الضبط يقوم على جمع الأدلة والمعلومات الإلكترونية من خلال أجهزة والشبكات، مع الحرص على سلامة تلك المعلومات والبيانات التي تم ضبطها؛ حتى تكون صالحةً للاستخدام أمام الهيئة القضائية، ويعتبر الضبط الفني أداةً مهمةً جدًا؛ للحد من الجريمة الإلكترونية، والحفاظ على حقوق الغير من السرقة والأنشطة غير المشروعة على الإنترنت</w:t>
      </w:r>
      <w:r>
        <w:rPr>
          <w:rStyle w:val="None"/>
          <w:rFonts w:ascii="Times New Roman" w:hAnsi="Times New Roman"/>
          <w:sz w:val="24"/>
          <w:szCs w:val="24"/>
          <w:rtl/>
          <w:lang w:val="ar-SA"/>
        </w:rPr>
        <w:t xml:space="preserve">. </w:t>
      </w:r>
    </w:p>
    <w:p w14:paraId="5729B60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6393F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b/>
          <w:bCs/>
          <w:sz w:val="24"/>
          <w:szCs w:val="24"/>
          <w:rtl/>
          <w:lang w:val="ar-SA"/>
        </w:rPr>
        <w:t xml:space="preserve">الاثبات الرقمي </w:t>
      </w:r>
      <w:r>
        <w:rPr>
          <w:rStyle w:val="None"/>
          <w:rFonts w:ascii="Times New Roman" w:hAnsi="Times New Roman"/>
          <w:b/>
          <w:bCs/>
          <w:sz w:val="24"/>
          <w:szCs w:val="24"/>
          <w:rtl/>
          <w:lang w:val="ar-SA"/>
        </w:rPr>
        <w:t>(</w:t>
      </w:r>
      <w:r>
        <w:rPr>
          <w:rStyle w:val="None"/>
          <w:rFonts w:ascii="Times New Roman" w:hAnsi="Times New Roman"/>
          <w:b/>
          <w:bCs/>
          <w:sz w:val="24"/>
          <w:szCs w:val="24"/>
          <w:lang w:val="en-US"/>
        </w:rPr>
        <w:t>Blockchain</w:t>
      </w:r>
      <w:r>
        <w:rPr>
          <w:rStyle w:val="None"/>
          <w:rFonts w:ascii="Times New Roman" w:hAnsi="Times New Roman"/>
          <w:b/>
          <w:bCs/>
          <w:sz w:val="24"/>
          <w:szCs w:val="24"/>
          <w:rtl/>
          <w:lang w:val="ar-SA"/>
        </w:rPr>
        <w:t>)</w:t>
      </w:r>
      <w:r>
        <w:rPr>
          <w:rStyle w:val="None"/>
          <w:rFonts w:ascii="Times New Roman" w:hAnsi="Times New Roman"/>
          <w:sz w:val="24"/>
          <w:szCs w:val="24"/>
          <w:rtl/>
          <w:lang w:val="ar-SA"/>
        </w:rPr>
        <w:t xml:space="preserve"> </w:t>
      </w:r>
    </w:p>
    <w:p w14:paraId="0D572E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تطور البيئة الرقمية، برزت تحديات جديدة في مجال الإثبات، حيث لم تعد وسائل الإثبات التقليدية كافية لإثبات الاعتداءات التي تقع على المصنفات الرقمية، الأمر الذي يستدعي تطوير وسائل إثبات تتناسب مع طبيعة هذه البيئة</w:t>
      </w:r>
      <w:r>
        <w:rPr>
          <w:rStyle w:val="None"/>
          <w:rFonts w:ascii="Times New Roman" w:hAnsi="Times New Roman"/>
          <w:sz w:val="24"/>
          <w:szCs w:val="24"/>
          <w:rtl/>
          <w:lang w:val="ar-SA"/>
        </w:rPr>
        <w:t>.</w:t>
      </w:r>
    </w:p>
    <w:p w14:paraId="649E2EF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بين التقنيات الحديثة التي يمكن الاستفادة منها تقنية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البلوكشين</w:t>
      </w:r>
      <w:r>
        <w:rPr>
          <w:rStyle w:val="None"/>
          <w:rFonts w:ascii="Times New Roman" w:hAnsi="Times New Roman"/>
          <w:sz w:val="24"/>
          <w:szCs w:val="24"/>
        </w:rPr>
        <w:t>”</w:t>
      </w:r>
      <w:r>
        <w:rPr>
          <w:rStyle w:val="None"/>
          <w:rFonts w:ascii="Arial Unicode MS" w:hAnsi="Arial Unicode MS" w:cs="Times New Roman" w:hint="cs"/>
          <w:sz w:val="24"/>
          <w:szCs w:val="24"/>
          <w:rtl/>
          <w:lang w:val="ar-SA"/>
        </w:rPr>
        <w:t>، والتي تعتمد على إنشاء سجل رقمي موزع يتميز بعدم القابلية للتعديل، مما يضمن موثوقية البيانات المسجلة</w:t>
      </w:r>
      <w:r>
        <w:rPr>
          <w:rStyle w:val="None"/>
          <w:rFonts w:ascii="Times New Roman" w:hAnsi="Times New Roman"/>
          <w:sz w:val="24"/>
          <w:szCs w:val="24"/>
          <w:rtl/>
        </w:rPr>
        <w:t>.</w:t>
      </w:r>
    </w:p>
    <w:p w14:paraId="237CD2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وتكمن أهمية هذه التقنية في إمكانية استخدامها لتوثيق المصنفات الرقمية وتحديد تاريخ إنشائها، بما يسهم في إثبات ملكية المصنف وأسبقية الحق فيه</w:t>
      </w:r>
      <w:r>
        <w:rPr>
          <w:rStyle w:val="None"/>
          <w:rFonts w:ascii="Times New Roman" w:hAnsi="Times New Roman"/>
          <w:sz w:val="24"/>
          <w:szCs w:val="24"/>
          <w:rtl/>
        </w:rPr>
        <w:t>.</w:t>
      </w:r>
    </w:p>
    <w:p w14:paraId="06A78C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تتيح هذه التقنية تتبع تداول المصنفات الرقمية، مما يساعد في الكشف عن أي استخدام غير مشروع لها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p>
    <w:p w14:paraId="64D712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إلا أن الاستفادة الفعلية من هذه التقنية تظل مرهونة بوجود إطار قانوني ينظم حجيتها في الإثبات، ويحدد مدى إمكانية الاعتماد عليها كدليل أمام القضاء، بما يضمن توظيفها بشكل فعال ضمن منظومة الإثبات الحديثة</w:t>
      </w:r>
      <w:r>
        <w:rPr>
          <w:rStyle w:val="None"/>
          <w:rFonts w:ascii="Times New Roman" w:hAnsi="Times New Roman"/>
          <w:sz w:val="24"/>
          <w:szCs w:val="24"/>
          <w:rtl/>
        </w:rPr>
        <w:t>.</w:t>
      </w:r>
    </w:p>
    <w:p w14:paraId="29EFA7F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rPr>
      </w:pPr>
    </w:p>
    <w:p w14:paraId="6A0C0C37"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في ضوء ما سبق من عرض لوسائل الإثبات في البيئة الرقمية، يبرز جانب مهم يتعلق بتهيئة القضاء للتعامل مع هذه الطبيعة الخاصة من المنازعات</w:t>
      </w:r>
      <w:r>
        <w:rPr>
          <w:rFonts w:ascii="Times New Roman" w:hAnsi="Times New Roman"/>
          <w:sz w:val="24"/>
          <w:szCs w:val="24"/>
          <w:rtl/>
          <w:lang w:val="ar-SA"/>
        </w:rPr>
        <w:t>.</w:t>
      </w:r>
    </w:p>
    <w:p w14:paraId="6B3D977C" w14:textId="77777777" w:rsidR="00454428" w:rsidRDefault="00454428" w:rsidP="00C72BA8">
      <w:pPr>
        <w:pStyle w:val="Body"/>
        <w:spacing w:before="120" w:after="120" w:line="360" w:lineRule="auto"/>
        <w:rPr>
          <w:rFonts w:ascii="Times New Roman" w:eastAsia="Times New Roman" w:hAnsi="Times New Roman" w:cs="Times New Roman"/>
          <w:sz w:val="24"/>
          <w:szCs w:val="24"/>
          <w:lang w:val="ar-SA"/>
        </w:rPr>
      </w:pPr>
    </w:p>
    <w:p w14:paraId="34E9536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lang w:val="ar-SA"/>
        </w:rPr>
      </w:pPr>
      <w:r>
        <w:rPr>
          <w:rFonts w:ascii="Times New Roman" w:hAnsi="Times New Roman" w:cs="Times New Roman" w:hint="cs"/>
          <w:b/>
          <w:bCs/>
          <w:sz w:val="24"/>
          <w:szCs w:val="24"/>
          <w:rtl/>
          <w:lang w:val="ar-SA"/>
        </w:rPr>
        <w:t xml:space="preserve"> </w:t>
      </w:r>
      <w:r>
        <w:rPr>
          <w:rFonts w:ascii="Times New Roman" w:hAnsi="Times New Roman" w:cs="Times New Roman" w:hint="cs"/>
          <w:b/>
          <w:bCs/>
          <w:sz w:val="24"/>
          <w:szCs w:val="24"/>
          <w:rtl/>
          <w:lang w:val="ar-SA"/>
        </w:rPr>
        <w:tab/>
        <w:t xml:space="preserve">دعم القضاة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تدريب القضاة</w:t>
      </w:r>
      <w:r>
        <w:rPr>
          <w:rFonts w:ascii="Times New Roman" w:hAnsi="Times New Roman"/>
          <w:b/>
          <w:bCs/>
          <w:sz w:val="24"/>
          <w:szCs w:val="24"/>
          <w:rtl/>
          <w:lang w:val="ar-SA"/>
        </w:rPr>
        <w:t xml:space="preserve">) </w:t>
      </w:r>
    </w:p>
    <w:p w14:paraId="76316AB6"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تفرض المنازعات الرقمية تحديات خاصة على العمل القضائي، نظراً لارتباطها بعناصر تقنية معقدة، مما يتطلب تطوير قدرات القضاة في هذا المجال</w:t>
      </w:r>
      <w:r>
        <w:rPr>
          <w:rFonts w:ascii="Times New Roman" w:hAnsi="Times New Roman"/>
          <w:sz w:val="24"/>
          <w:szCs w:val="24"/>
          <w:rtl/>
          <w:lang w:val="ar-SA"/>
        </w:rPr>
        <w:t>.</w:t>
      </w:r>
    </w:p>
    <w:p w14:paraId="60D7AF38"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ولا يقتصر ذلك على التدريب النظري، بل يمتد ليشمل برامج تدريبية عملية تتناول كيفية التعامل مع الأدلة الرقمية، وفحص المواقع الإلكترونية، وتحليل البيانات، وفهم طبيعة الجرائم الإلكترونية</w:t>
      </w:r>
      <w:r>
        <w:rPr>
          <w:rFonts w:ascii="Times New Roman" w:hAnsi="Times New Roman"/>
          <w:sz w:val="24"/>
          <w:szCs w:val="24"/>
          <w:rtl/>
          <w:lang w:val="ar-SA"/>
        </w:rPr>
        <w:t>.</w:t>
      </w:r>
    </w:p>
    <w:p w14:paraId="4D69CEC9"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كما يبرز دور الخبرة الفنية في دعم القضاء، من خلال إنشاء وحدات متخصصة داخل المحاكم تتولى تحليل الأدلة الرقمية وتقديم الدعم الفني</w:t>
      </w:r>
      <w:r>
        <w:rPr>
          <w:rFonts w:ascii="Times New Roman" w:hAnsi="Times New Roman"/>
          <w:sz w:val="24"/>
          <w:szCs w:val="24"/>
          <w:rtl/>
          <w:lang w:val="ar-SA"/>
        </w:rPr>
        <w:t>.</w:t>
      </w:r>
    </w:p>
    <w:p w14:paraId="6F2ECDE2"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ويسهم ذلك في تعزيز كفاءة القضاء في التعامل مع المنازعات الرقمية وتحقيق العدالة بشكل أكثر دقة، ويُعد ذلك من المتطلبات الأساسية لتطوير المنظومة القضائية بما يتلاءم مع التحول الرقمي المتسارع</w:t>
      </w:r>
      <w:r>
        <w:rPr>
          <w:rFonts w:ascii="Times New Roman" w:hAnsi="Times New Roman"/>
          <w:sz w:val="24"/>
          <w:szCs w:val="24"/>
          <w:rtl/>
          <w:lang w:val="ar-SA"/>
        </w:rPr>
        <w:t>.</w:t>
      </w:r>
    </w:p>
    <w:p w14:paraId="719D4146"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8DE031B"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lang w:val="ar-SA"/>
        </w:rPr>
      </w:pPr>
      <w:r>
        <w:rPr>
          <w:rStyle w:val="None"/>
          <w:rFonts w:ascii="Times New Roman" w:eastAsia="Times New Roman" w:hAnsi="Times New Roman" w:cs="Times New Roman"/>
          <w:b/>
          <w:bCs/>
          <w:sz w:val="24"/>
          <w:szCs w:val="24"/>
          <w:rtl/>
          <w:lang w:val="ar-SA"/>
        </w:rPr>
        <w:tab/>
        <w:t xml:space="preserve">تحديد الاختصاص القضائي </w:t>
      </w:r>
    </w:p>
    <w:p w14:paraId="3829F335"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تُعد مسألة تحديد الاختصاص القضائي في البيئة الرقمية من أبرز الإشكالات القانونية المعاصرة، وذلك نتيجة للطبيعة العابرة للحدود للفضاء الإلكتروني، حيث قد تتوزع عناصر العلاقة القانونية بين عدة دول، فيقع الفعل الضار في دولة، ويوجد الخادم الإلكتروني في دولة أخرى، بينما يقيم المتضرر في دولة ثالثة، الأمر الذي يؤدي إلى تداخل الاختصاصات القضائية وتعدد القوانين المحتملة التطبيق</w:t>
      </w:r>
      <w:r>
        <w:rPr>
          <w:rFonts w:ascii="Times New Roman" w:hAnsi="Times New Roman"/>
          <w:sz w:val="24"/>
          <w:szCs w:val="24"/>
          <w:rtl/>
          <w:lang w:val="ar-SA"/>
        </w:rPr>
        <w:t>.</w:t>
      </w:r>
    </w:p>
    <w:p w14:paraId="3C640E46"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وفي هذا السياق، تختلف الأنظمة القانونية في تحديد الاختصاص القضائي، حيث تعتمد على معايير متعددة، من أهمها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معيار مكان وقوع الضرر، ومعيار مكان ارتكاب الفعل غير المشروع، ومعيار موطن المدعى عليه، إضافة إلى معيار موقع الخادم الإلكتروني</w:t>
      </w:r>
      <w:r>
        <w:rPr>
          <w:rFonts w:ascii="Times New Roman" w:hAnsi="Times New Roman"/>
          <w:sz w:val="24"/>
          <w:szCs w:val="24"/>
          <w:rtl/>
          <w:lang w:val="ar-SA"/>
        </w:rPr>
        <w:t>.</w:t>
      </w:r>
    </w:p>
    <w:p w14:paraId="65845AFC"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إلا أن الاعتماد على موقع الخادم الإلكتروني لا يعد معياراً فعالاً في جميع الحالات، نظراً لإمكانية توزيع البيانات عبر خوادم متعددة في دول مختلفة، مما يحد من جدوى هذا المعيار</w:t>
      </w:r>
      <w:r>
        <w:rPr>
          <w:rFonts w:ascii="Times New Roman" w:hAnsi="Times New Roman"/>
          <w:sz w:val="24"/>
          <w:szCs w:val="24"/>
          <w:rtl/>
          <w:lang w:val="ar-SA"/>
        </w:rPr>
        <w:t>.</w:t>
      </w:r>
    </w:p>
    <w:p w14:paraId="21A3614C" w14:textId="77777777" w:rsidR="00454428" w:rsidRDefault="00000000" w:rsidP="00C72BA8">
      <w:pPr>
        <w:pStyle w:val="Body"/>
        <w:spacing w:before="120" w:after="120" w:line="360" w:lineRule="auto"/>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في المقابل، يُعد معيار مكان تحقق الضرر من أكثر المعايير ملاءمة، لارتباطه المباشر بحقوق المتضرر، إذ يتيح له اللجوء إلى القضاء في الدولة التي تحقق فيها الضرر</w:t>
      </w:r>
      <w:r>
        <w:rPr>
          <w:rFonts w:ascii="Times New Roman" w:hAnsi="Times New Roman"/>
          <w:sz w:val="24"/>
          <w:szCs w:val="24"/>
          <w:rtl/>
          <w:lang w:val="ar-SA"/>
        </w:rPr>
        <w:t>.</w:t>
      </w:r>
    </w:p>
    <w:p w14:paraId="13D85BBB"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lastRenderedPageBreak/>
        <w:t>وبناءً على ذلك، يرى الباحث أهمية تبني معيار مرن يجمع بين مكان وقوع الضرر ومكان إقامة المدعى عليه، مع دعم التعاون القضائي الدولي، بما يحقق حماية فعالة للحقوق في البيئة الرقمية، كما يسهم هذا التوجه في الحد من تنازع الاختصاصات القضائية وتعزيز الاستقرار القانوني في المعاملات الرقمية</w:t>
      </w:r>
      <w:r>
        <w:rPr>
          <w:rFonts w:ascii="Times New Roman" w:hAnsi="Times New Roman"/>
          <w:sz w:val="24"/>
          <w:szCs w:val="24"/>
          <w:rtl/>
          <w:lang w:val="ar-SA"/>
        </w:rPr>
        <w:t>.</w:t>
      </w:r>
    </w:p>
    <w:p w14:paraId="1F9E7E2B"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1E5B07B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المبحث الثاني</w:t>
      </w:r>
    </w:p>
    <w:p w14:paraId="2543FE5A"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الإجراءات التقنية لحماية الملكية الفكرية في البيئة الرقمية</w:t>
      </w:r>
    </w:p>
    <w:p w14:paraId="3C819A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الملكية الفكرية أحد الأسس الحيوية للاقتصاد المعرفي في العصر الحالي؛ حيث أصبحت الابتكارات والمصنفات الإبداعية تمثل رأس مال حقيقي للشركات والأفراد، ومع التقدم الكبير في تكنولوجيا المعلومات والاتصالات، زادت الحاجة إلى آليات فعَّالة؛ لحماية هذه الحقوق من الانتهاكات، سواء في البيئة التقليدية أو الرقمية</w:t>
      </w:r>
      <w:r>
        <w:rPr>
          <w:rStyle w:val="None"/>
          <w:rFonts w:ascii="Times New Roman" w:hAnsi="Times New Roman"/>
          <w:sz w:val="24"/>
          <w:szCs w:val="24"/>
          <w:rtl/>
          <w:lang w:val="ar-SA"/>
        </w:rPr>
        <w:t>.</w:t>
      </w:r>
    </w:p>
    <w:p w14:paraId="531A08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يظهر دور الرقابة على المواقع الإلكترونية كوسائل متقدمة لحماية المصنفات من القرصنة والنسخ غير المشروع، وضمان حقوق أصحابها في الاستغلال المشروع، كما تعمل هذه الإجراءات كخط دفاع أساسي مكمل للنظام القانوني؛ حيث لا تقتصر على الحماية النظرية فحسب، بل تقدم تطبيقات عملية تحد من الاعتداءات على حقوق الملكية الفكرية، وتشمل هذه الوسائل مجموعة متنوعة من الأدوات،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أنظمة التشفير، وإدارة الحقوق الرقمية، التي تهدف جميعها إلى منع النسخ غير المصرح به، وضمان وصول المصنفات للجمهور في إطار منظم، وسنتناول ذلك على النحو التالي</w:t>
      </w:r>
      <w:r>
        <w:rPr>
          <w:rStyle w:val="None"/>
          <w:rFonts w:ascii="Times New Roman" w:hAnsi="Times New Roman"/>
          <w:sz w:val="24"/>
          <w:szCs w:val="24"/>
          <w:rtl/>
          <w:lang w:val="ar-SA"/>
        </w:rPr>
        <w:t>:</w:t>
      </w:r>
    </w:p>
    <w:p w14:paraId="28C6AC11" w14:textId="77777777" w:rsidR="00454428" w:rsidRDefault="00000000" w:rsidP="00C72BA8">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الرقابة على المواقع الإلكترونية</w:t>
      </w:r>
      <w:r>
        <w:rPr>
          <w:rStyle w:val="None"/>
          <w:rFonts w:ascii="Times New Roman" w:hAnsi="Times New Roman"/>
          <w:sz w:val="24"/>
          <w:szCs w:val="24"/>
          <w:rtl/>
          <w:lang w:val="ar-SA"/>
        </w:rPr>
        <w:t>.</w:t>
      </w:r>
    </w:p>
    <w:p w14:paraId="68C3CD68" w14:textId="77777777" w:rsidR="00454428" w:rsidRDefault="00000000" w:rsidP="00C72BA8">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الحماية التكنولوجية للمنتجات الفكرية في البيئة الرقمية</w:t>
      </w:r>
      <w:r>
        <w:rPr>
          <w:rStyle w:val="None"/>
          <w:rFonts w:ascii="Times New Roman" w:hAnsi="Times New Roman"/>
          <w:sz w:val="24"/>
          <w:szCs w:val="24"/>
          <w:rtl/>
          <w:lang w:val="ar-SA"/>
        </w:rPr>
        <w:t>.</w:t>
      </w:r>
    </w:p>
    <w:p w14:paraId="3AAC08B1"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4D6361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8E59DE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BE8159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190234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1A75A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C368215"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22945E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46BACE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1D3CDD1"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526B76C"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95787F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المطلب الأول</w:t>
      </w:r>
    </w:p>
    <w:p w14:paraId="4E0817D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الرقابة على المواقع الإلكترونية</w:t>
      </w:r>
    </w:p>
    <w:p w14:paraId="2787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الرقابة على المواقع الإلكترونية أحد أهم القضايا التي فرضتها الثورة الرقمية؛ حيث أدى الانتشار الواسع للمحتوى عبر الإنترنت إلى ظهور تحديات تتعلق بحماية النظام العام، وصون القيم الاجتماعية، وحماية حقوق الملكية الفكرية من الانتهاك، فالفضاء الإلكتروني بميزاته من انفتاح وسرعة في نقل المعلومات، يتيح انتشار محتويات غير مشروعة أو مضللة؛ ممَّا يستدعي تدخل السلطات لوضع آليات للرقابة تحقق التوازن بين حرية التعبير من جهة، وحماية الحقوق والمصالح المشروعة من جهة أخرى</w:t>
      </w:r>
      <w:r>
        <w:rPr>
          <w:rStyle w:val="None"/>
          <w:rFonts w:ascii="Times New Roman" w:hAnsi="Times New Roman"/>
          <w:sz w:val="24"/>
          <w:szCs w:val="24"/>
          <w:rtl/>
          <w:lang w:val="ar-SA"/>
        </w:rPr>
        <w:t>.</w:t>
      </w:r>
    </w:p>
    <w:p w14:paraId="1F3AF28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الرقابة الإلكترونية</w:t>
      </w:r>
      <w:r>
        <w:rPr>
          <w:rStyle w:val="None"/>
          <w:rFonts w:ascii="Times New Roman" w:hAnsi="Times New Roman"/>
          <w:b/>
          <w:bCs/>
          <w:sz w:val="28"/>
          <w:szCs w:val="28"/>
          <w:rtl/>
          <w:lang w:val="ar-SA"/>
        </w:rPr>
        <w:t>:</w:t>
      </w:r>
    </w:p>
    <w:p w14:paraId="33768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مفهوم الرقابة الإلكترونية أحد الأسس المهمة في إدارة الفضاء الرقمي، وتنظيم استخدامه؛ حيث يشير إلى مجموعة التدابير والآليات المتبعة لمتابعة المحتوى المنشور عبر الوسائط الإلكترونية المختلفة؛ بهدف التحقق من توافقه مع القوانين والقيم المجتمعية، وتعتبر الرقابة الإلكترونية استجابةً طبيعية للتطوُّر التكنولوجي السريع الذي أدى إلى تدفق غير مسبوق للمعلومات</w:t>
      </w:r>
      <w:r>
        <w:rPr>
          <w:rStyle w:val="None"/>
          <w:rFonts w:ascii="Times New Roman" w:hAnsi="Times New Roman"/>
          <w:sz w:val="24"/>
          <w:szCs w:val="24"/>
          <w:rtl/>
          <w:lang w:val="ar-SA"/>
        </w:rPr>
        <w:t>.</w:t>
      </w:r>
    </w:p>
    <w:p w14:paraId="650EC5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نتيجةً للتقنيات الرقمية في مجال المعلومات وسبل الاتصالات، وُجدت الوسائط الإلكترونية لتجوب المصنفات المحمية الفضاء الكوني، عبر مواقع الشبكة العنكبوتية، التي تتيح لمستخدميها تصفح المصنفات والاستفادة منها، غير أنَّ المستخدمين قد يتجاوزون هذا الغرض ويقومون بنسخ أية مصنفات منشورة إلكترونيًا سواء كانت نصوصًا مكتوبة، أو صورًا أو أفلامًا، وذلك لاستغلالها بشكل أو بآخر دون الحصول على تصريح مسبق من مؤلفي هذه المصنفات بوصفهم أصحاب الحقوق الأدبية والمالية عليها، فإنَّ في ذلك اعتداء على حقوقهم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46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للرقابة الإلكترونية دورًا عظيمًا في حماية المصنفات الفكرية وتأمينها، ومنع الجرائم التي ترتكب في حق المؤلف، فالمواقع يستطيع الأفراد الوصول من خلالها إلى المؤلفات بسهولة وأمان، وتأمين تلك المواقع يجعل المؤلف مطمئن على حقه الفكري والإبداعي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38EFFF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الرقابة لغة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مصدر مشتق من الفعل رقب، فالراء، والقاف، والباء أصل واحد مطرد، يدل على انتصاب لمراعاة شيء، ومن ذلك الرقيب، وهو الحافظ، ويقال منه رقبت أرقب رقبة ورقبانًا، والمرقب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المكان العالي يقف عليه الناظر، </w:t>
      </w:r>
      <w:r>
        <w:rPr>
          <w:rStyle w:val="None"/>
          <w:rFonts w:ascii="Arial Unicode MS" w:hAnsi="Arial Unicode MS" w:cs="Times New Roman" w:hint="cs"/>
          <w:sz w:val="24"/>
          <w:szCs w:val="24"/>
          <w:rtl/>
          <w:lang w:val="ar-SA"/>
        </w:rPr>
        <w:lastRenderedPageBreak/>
        <w:t>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الموكل في الميسر بالضريب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ورقيب القوم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حارسه، وهو الذي يشرف على مرقبة ليحرسهم،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الحارس الحافظ، والرقابة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الرجل الوغد الذي يرقب للقوم رحلهم، إذا غابوا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FE89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المعنى المحوري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هو امتداد الشيء</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إلى أعلى</w:t>
      </w:r>
      <w:r>
        <w:rPr>
          <w:rStyle w:val="None"/>
          <w:rFonts w:ascii="Times New Roman" w:hAnsi="Times New Roman"/>
          <w:sz w:val="24"/>
          <w:szCs w:val="24"/>
          <w:lang w:val="en-US"/>
        </w:rPr>
        <w:t> </w:t>
      </w:r>
      <w:r>
        <w:rPr>
          <w:rStyle w:val="None"/>
          <w:rFonts w:ascii="Arial Unicode MS" w:hAnsi="Arial Unicode MS" w:cs="Times New Roman" w:hint="cs"/>
          <w:sz w:val="24"/>
          <w:szCs w:val="24"/>
          <w:rtl/>
          <w:lang w:val="ar-SA"/>
        </w:rPr>
        <w:t xml:space="preserve">مع دقة نحافة أو انفراد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FBB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 جانب من الفقه الرقابة الإلكترونية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اعتماد النظام الرقابي على استخدام الحاسوب في ممارسة العملية الرقابية، وفق برامج حاسوبية تُعَدُّ خصيصًا لهذا الغرض، بما يحقق الاقتصاد في الجهد والوقت والتكلفة في الوصول إلى النتائج المطلوبة بأقل ما يمكن من الأخطار وبدقة أكبر، كما عُرِّفت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استخدام التكنولوجيا لمراقبة أداء الموظف والإشراف عليه وتقييمه بشكل مباشر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وتتم الرقابة الإلكترونية وفق أساليب متعددة منها مراقبة المكالمات الهاتفية ومراقبة الموظفين بأجهزة الفيديو، ومسح البريد الإلكتروني، وتتبع استخدام الإنترنت، كما توجد أنظمة يمكنها تتبع ضغطات المفاتيح على أطراف الكمبيوتر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0F0C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أشار جانب من الفقه إلى تعريف الرقابة الإلكترونية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عملية تهدف إلى متابعة وملاحظة الأنشطة والمعاملات وأداء العاملين في المنظمة؛ بهدف كشف الانحرافات، من خلال استخدام الحاسوب والوسائل التكنولوجية الحديثة؛ لتحقيق الأهداف المنشودة؛ لإيجاد نظام عمل ذي ميزة تنافسية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55A4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وما أسفرت عنه من وسائط إلكترونية قد وفرت بيئةً ملائمةً لنشر المصنفات الفكرية وتداولها على نطاق عالمي، ومع ذلك فتحت هذه التغيرات المجال لصور متعددة من الاعتداءات على حقوق المؤلفين،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النسخ أو الاستخدام غير المشروع؛ لذا تبرز أهمية الرقابة الإلكترونية كأداة أساسية لحماية هذه الحقوق</w:t>
      </w:r>
      <w:r>
        <w:rPr>
          <w:rStyle w:val="None"/>
          <w:rFonts w:ascii="Times New Roman" w:hAnsi="Times New Roman"/>
          <w:sz w:val="24"/>
          <w:szCs w:val="24"/>
          <w:rtl/>
          <w:lang w:val="ar-SA"/>
        </w:rPr>
        <w:t>.</w:t>
      </w:r>
    </w:p>
    <w:p w14:paraId="1A8283E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أنواع المراقبة الإلكترونية</w:t>
      </w:r>
      <w:r>
        <w:rPr>
          <w:rStyle w:val="None"/>
          <w:rFonts w:ascii="Times New Roman" w:hAnsi="Times New Roman"/>
          <w:b/>
          <w:bCs/>
          <w:sz w:val="28"/>
          <w:szCs w:val="28"/>
          <w:rtl/>
          <w:lang w:val="ar-SA"/>
        </w:rPr>
        <w:t>:</w:t>
      </w:r>
    </w:p>
    <w:p w14:paraId="1C0AE2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المراقبة الإلكترونية من أبرز الأدوات الحديثة التي نتجت عن التطوُّر التكنولوجي؛ حيث لم تَعُدْ تقتصر على شكل واحد، بل تنوعت صورها وفقًا للغرض المستهدف والوسائل المستخدمة، فقد تتخذ المراقبة طابعًا مسبقًا يهدف إلى الوقاية من الانتهاكات قبل حدوثها، أو طابعًا لاحقًا يركز على ضبط المخالفات بعد وقوعها، كما يمكن أنْ تكون المراقبة حكومية، تمارسها السلطات المختصة لحماية الأمن والحقوق، أو ذاتية يقوم بها الأفراد والمؤسسات لحماية </w:t>
      </w:r>
      <w:r>
        <w:rPr>
          <w:rStyle w:val="None"/>
          <w:rFonts w:ascii="Arial Unicode MS" w:hAnsi="Arial Unicode MS" w:cs="Times New Roman" w:hint="cs"/>
          <w:sz w:val="24"/>
          <w:szCs w:val="24"/>
          <w:rtl/>
          <w:lang w:val="ar-SA"/>
        </w:rPr>
        <w:lastRenderedPageBreak/>
        <w:t>مصالحهم الخاصة، ويعكس هذا التنوع مرونة الرقابة الإلكترونية وقدرتها على التكيف مع طبيعة الفضاء الرقمي، بما يضمن تحقيق التوازن بين الحرية المسئولة وحماية النظام القانوني والاجتماعي</w:t>
      </w:r>
      <w:r>
        <w:rPr>
          <w:rStyle w:val="None"/>
          <w:rFonts w:ascii="Times New Roman" w:hAnsi="Times New Roman"/>
          <w:sz w:val="24"/>
          <w:szCs w:val="24"/>
          <w:rtl/>
          <w:lang w:val="ar-SA"/>
        </w:rPr>
        <w:t>.</w:t>
      </w:r>
    </w:p>
    <w:p w14:paraId="68AD85E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الرقابة الإلكترونية من الوسائل الحديثة التي ظهرت؛ نتيجةً للتقدم التكنولوجي المعاصر؛ حيث تلعب دورًا مهمًا وفعَّالًا في تحقيق أمن وسلامة المجتمع، وكشف الجرائم التي تقع فيه وتمس أفراده، وتؤثر بالسلب على تحقيق استقراره، وهذه الرقابة إنما تتم من خلال الوسائل المعاصرة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كالإنترنت، والكاميرات الرقمية، والهواتف الذكية، ويرها من الوسائل الأخرى التي يتم من خلالها تسجيل الأصوات، وحفظ الصور وتخزينها لحين استخدامها فيما أعدت لأجله، ولا يقتصر دورها على ذلك، بل يمتد ليكون دليلًا لإثبات الجرائم، ومنع المجرمين من ارتكاب جرائمهم التي تخل بالأمن العام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F7F943" w14:textId="77777777" w:rsidR="00454428" w:rsidRDefault="00000000" w:rsidP="00C72BA8">
      <w:pPr>
        <w:pStyle w:val="Body"/>
        <w:numPr>
          <w:ilvl w:val="0"/>
          <w:numId w:val="287"/>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الإنترنت</w:t>
      </w:r>
      <w:r>
        <w:rPr>
          <w:rStyle w:val="None"/>
          <w:rFonts w:ascii="Times New Roman" w:hAnsi="Times New Roman"/>
          <w:b/>
          <w:bCs/>
          <w:sz w:val="28"/>
          <w:szCs w:val="28"/>
          <w:rtl/>
          <w:lang w:val="ar-SA"/>
        </w:rPr>
        <w:t>:</w:t>
      </w:r>
    </w:p>
    <w:p w14:paraId="3B227E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يمثل الإنترنت بيئةً رقميةً شاملةً أوجدت أنماطًا جديدةً من المراقبة تتجاوز الحدود التقليدية؛ حيث أصبح وسيلةً رئيسيةً لمتابعة الأنشطة والتفاعلات البشرية في مختلف المجالات، كما يمكن من خلال الإنترنت نشر أعمال تخص بالملكية الفكرية وتكون هذه الأعمال محميةً، فلا بُدَّ أنْ تمتلك الجهات الرقابية القدرة على تتبع المحتوى المنشور، ورصد سلوكيات المستخدمين، وجمع البيانات المتعلقة بحركة الاتصال وتبادل المعلومات، ضد أي أعمال غير قانونية</w:t>
      </w:r>
      <w:r>
        <w:rPr>
          <w:rStyle w:val="None"/>
          <w:rFonts w:ascii="Times New Roman" w:hAnsi="Times New Roman"/>
          <w:sz w:val="24"/>
          <w:szCs w:val="24"/>
          <w:rtl/>
          <w:lang w:val="ar-SA"/>
        </w:rPr>
        <w:t>.</w:t>
      </w:r>
    </w:p>
    <w:p w14:paraId="355E6A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اهتمام الدول والمنظمات الحديثة ينصبُّ على حفظ الخصوصية لنقل البيانات عبر الإنترنت؛ وذلك لتوفير حماية لهذه البيانات وشبكة الاتصال، من خطر استخدامها غير المشروع؛ وذلك لأنَّ شبكة الإنترنت تصل جميع أنحاء العالم، فتقوم المنظمات الحديثة باتخاذ إجراءات وقائية لتأمين الحماية لمحتويات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35EF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ساهمت شبكة الإنترنت بتغيير حياتنا اليومية بعدة طرق، وذلك على اعتبار أنَّ هذه الشبكة أضحت وسيلة الاتصال العالمية، فقد سمحت هذه الشبكة للأفراد والمؤسسات حول العالم بالمشاركة بالمعلومات، وبالتواصل، وتبادل رسائل البريد الإلكتروني؛ ممَّا جعل الاعتماد على شبكة الإنترنت أمرًا ملحًا ولا يمكن تفاديه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2F3E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الإنترنت بيئةً إلكترونيةً عالميةً يمكن من خلاله نشر أي محتويات أو بيانات؛ ممَّا يسهل وصول أي محتوى إلى الأفراد بشكل واسع، كما يمكن نسخ الأعمال المحمية بالملكية الفكرية، دون الحصول على إذن من صاحب الحق؛ لذا لا بُدَّ من وجود رقابة إلكترونية لمراقبة الأعمال غير المشروعة على شبكة الإنترنت</w:t>
      </w:r>
      <w:r>
        <w:rPr>
          <w:rStyle w:val="None"/>
          <w:rFonts w:ascii="Times New Roman" w:hAnsi="Times New Roman"/>
          <w:sz w:val="24"/>
          <w:szCs w:val="24"/>
          <w:rtl/>
          <w:lang w:val="ar-SA"/>
        </w:rPr>
        <w:t>.</w:t>
      </w:r>
    </w:p>
    <w:p w14:paraId="31846C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لذا فإنَّ الرقابة الإلكترونية أكثر قدرةً على معرفة المتغيرات الخاصة بالتنفيذ أولًا بأول؛ من خلال رصدها الانحرافات خلال التنفيذ وإطلاع الإدارة عليها، ما يمكنها من التعرُّف على مواطن الخلل قبل وخلال التنفيذ، واتخاذ الإجراءات التصحيحية المناسبة، فتساهم شبكة الإنترنت التي تعمل كوسيلة آنية لنقل المعلومات بشكل فوري، على تجاوز </w:t>
      </w:r>
      <w:r>
        <w:rPr>
          <w:rStyle w:val="None"/>
          <w:rFonts w:ascii="Arial Unicode MS" w:hAnsi="Arial Unicode MS" w:cs="Times New Roman" w:hint="cs"/>
          <w:sz w:val="24"/>
          <w:szCs w:val="24"/>
          <w:rtl/>
          <w:lang w:val="ar-SA"/>
        </w:rPr>
        <w:lastRenderedPageBreak/>
        <w:t xml:space="preserve">فجوة الأداء المتوقعة؛ ممَّا يمكن الإدارة من معرفة التنفيذ، والاطلاع بالتالي على اتجاه النشاط خارج السيطرة؛ لاتخاذ ما يلزم من إجراءات التصحيح في نفس الوقت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3ECD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صمم الإنترنت كشبكة مفتوحة، تمتد في أنحاء العالم، تتدفق خلالها المعلومات في صيغة صريحة، فكل ما ينساب عبرها يمكن اعتراضه والاطلاع عليه بسهولة؛ لذا أصبح حفظ خصوصية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تناقلها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هاجسًا للدول والمنظمات المختلفة، وبهدف توفير الحماية للبيانات والأجهزة الملحقة وشبكات الاتصالات، من أخطار الاستخدام غير المشروع، فضلًا عن الإجراءات المتعلقة بالعاملين، توظف المنظمات المختلفة الإجراءات والتدابير الوقائية التي تهدف إلى حماية محتوى الإنترنت، وتختلف هذه الأساليب من منظمة لأخرى، بحسب طبيعة ونوع هذه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46E23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الإنترنت رغم كونه وسيلةً عالميةً رائدةً لنقل المعلومات وتبادلها بشكل فوري، قد أوجد تحدياتٍ كبيرةً تتعلق بحماية الملكية الفكرية من أخطار الاستخدام غير المشروع، وهنا تبرز الرقابة الإلكترونية كأداة فعَّالة تمكن الدول والمنظمات من متابعة الأنشطة لحظة بلحظة، وكشف الانحرافات مبكرًا، واتخاذ الإجراءات التصحيحية المناسبة؛ لذا فإنَّ الجمع بين الإجراءات الوقائية والرقابة الإلكترونية يساهم في بناء بيئة رقمية أكثر أمانًا؛ لحماية حقوق الملكية الفكرية سواء للأفراد، أو المؤسسات من أي استغلال غير مشروع دون أخذ الأذن من صاحب الحق</w:t>
      </w:r>
      <w:r>
        <w:rPr>
          <w:rStyle w:val="None"/>
          <w:rFonts w:ascii="Times New Roman" w:hAnsi="Times New Roman"/>
          <w:sz w:val="24"/>
          <w:szCs w:val="24"/>
          <w:rtl/>
          <w:lang w:val="ar-SA"/>
        </w:rPr>
        <w:t>.</w:t>
      </w:r>
    </w:p>
    <w:p w14:paraId="5045BD3E" w14:textId="77777777" w:rsidR="00454428" w:rsidRDefault="00000000" w:rsidP="00C72BA8">
      <w:pPr>
        <w:pStyle w:val="Body"/>
        <w:numPr>
          <w:ilvl w:val="0"/>
          <w:numId w:val="287"/>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الكاميرا الرقمية</w:t>
      </w:r>
      <w:r>
        <w:rPr>
          <w:rStyle w:val="None"/>
          <w:rFonts w:ascii="Times New Roman" w:hAnsi="Times New Roman"/>
          <w:b/>
          <w:bCs/>
          <w:sz w:val="28"/>
          <w:szCs w:val="28"/>
          <w:rtl/>
          <w:lang w:val="ar-SA"/>
        </w:rPr>
        <w:t>:</w:t>
      </w:r>
    </w:p>
    <w:p w14:paraId="1E79C5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الكاميرات الرقمية من الأدوات التقنية الأساسية، التي تعتمد عليها الجهات المعنية؛ لتعزيز أساليب الرقابة الحديثة، فهي تتمتع بقدرة عالية على تسجيل الأحداث والأنشطة بدقة وموضوعية، وتخزينها في وسائط إلكترونية يمكن تحليلها ومراجعتها، وتتمثل أهميتها في كونها واحدةً من أشكال الرقابة الإلكترونية التي تساهم في حماية الحقوق، سواء من خلال كشف محاولات التلاعب بالبيانات أو توثيق الأدلة الرقمية عند حدوث اعتداءات على حقوق الملكية الفكرية</w:t>
      </w:r>
      <w:r>
        <w:rPr>
          <w:rStyle w:val="None"/>
          <w:rFonts w:ascii="Times New Roman" w:hAnsi="Times New Roman"/>
          <w:sz w:val="24"/>
          <w:szCs w:val="24"/>
          <w:rtl/>
          <w:lang w:val="ar-SA"/>
        </w:rPr>
        <w:t>.</w:t>
      </w:r>
    </w:p>
    <w:p w14:paraId="40A307A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تستخدم كاميرا المراقبة والوسائل الإلكترونية الحديثة في التصوير والتسجيل؛ لإثبات تلك الجرائم والحد منها، ودفع العدوان الواقع على المجتمع؛ حيث يتم من خلال ذلك تغليب مصلحة المجتمع على مصلحة الأفراد، وذلك عند وجود دلائل كافية تدل على ارتكاب الجرائم من هؤلاء المجرمين؛ حتى لا يفلتون من العقاب؛ ولذا فإنَّ استخدامها وقصرها على الجرائم يعمل على تقليلها، وعدم وقوعها في المجتمع؛ لأنَّ المجرم إذا علم بأنَّه مراقب امتنع عن فعل تلك الجرائم، الأمر الذي يعمل على تقليلها، والبُعد عن الأخطار التي تهدد أمن وسلامة المجتمع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69430C"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أنَّ استخدام الكاميرات الرقمية له أهمية بارزة في كافة مجالات الحياة، فعلى سبيل المثال</w:t>
      </w:r>
      <w:r>
        <w:rPr>
          <w:rStyle w:val="None"/>
          <w:rFonts w:ascii="Times New Roman" w:hAnsi="Times New Roman"/>
          <w:sz w:val="24"/>
          <w:szCs w:val="24"/>
          <w:rtl/>
          <w:lang w:val="ar-SA"/>
        </w:rPr>
        <w:t>:</w:t>
      </w:r>
    </w:p>
    <w:p w14:paraId="663DF1BB" w14:textId="77777777" w:rsidR="00454428" w:rsidRDefault="00000000" w:rsidP="00C72BA8">
      <w:pPr>
        <w:pStyle w:val="Body"/>
        <w:numPr>
          <w:ilvl w:val="0"/>
          <w:numId w:val="28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يُعَدُّ التصوير عنصرًا مساعدًا لرجال الأمن في كشف بعض أنواع الجرائم وإقامة الدليل عليها، من خلال تمثيل الجاني للجريمة، والنحو الذي سلكه في تنفيذها</w:t>
      </w:r>
      <w:r>
        <w:rPr>
          <w:rStyle w:val="None"/>
          <w:rFonts w:ascii="Times New Roman" w:hAnsi="Times New Roman"/>
          <w:sz w:val="24"/>
          <w:szCs w:val="24"/>
          <w:rtl/>
          <w:lang w:val="ar-SA"/>
        </w:rPr>
        <w:t>.</w:t>
      </w:r>
    </w:p>
    <w:p w14:paraId="716F92FC" w14:textId="77777777" w:rsidR="00454428" w:rsidRDefault="00000000" w:rsidP="00C72BA8">
      <w:pPr>
        <w:pStyle w:val="Body"/>
        <w:numPr>
          <w:ilvl w:val="0"/>
          <w:numId w:val="28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يعطي التصوير انطباع شامل لمسرح الجريمة؛ ممَّا يعمل على معالجة بعض الأخطاء البشرية، فيما قد يغفل عنه المحقق من ملاحظات، أو بيانات لها أهمية، أو يدور حولها بعض التساؤلات، فهو يعطي صورة طبق الأصل لمسرح الجريمة</w:t>
      </w:r>
      <w:r>
        <w:rPr>
          <w:rStyle w:val="None"/>
          <w:rFonts w:ascii="Times New Roman" w:hAnsi="Times New Roman"/>
          <w:sz w:val="24"/>
          <w:szCs w:val="24"/>
          <w:rtl/>
          <w:lang w:val="ar-SA"/>
        </w:rPr>
        <w:t>.</w:t>
      </w:r>
    </w:p>
    <w:p w14:paraId="6066B7A5" w14:textId="77777777" w:rsidR="00454428" w:rsidRDefault="00000000" w:rsidP="00C72BA8">
      <w:pPr>
        <w:pStyle w:val="Body"/>
        <w:numPr>
          <w:ilvl w:val="0"/>
          <w:numId w:val="28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يمكن للتصوير أنْ ينشط ذاكرة الشاهد؛ لاستعادة التفاصيل المهمة التي قد ينساها عند الادلاء بشهادته</w:t>
      </w:r>
      <w:r>
        <w:rPr>
          <w:rStyle w:val="None"/>
          <w:rFonts w:ascii="Times New Roman" w:hAnsi="Times New Roman"/>
          <w:sz w:val="24"/>
          <w:szCs w:val="24"/>
          <w:rtl/>
          <w:lang w:val="ar-SA"/>
        </w:rPr>
        <w:t>.</w:t>
      </w:r>
    </w:p>
    <w:p w14:paraId="5FA01692" w14:textId="77777777" w:rsidR="00454428" w:rsidRDefault="00000000" w:rsidP="00C72BA8">
      <w:pPr>
        <w:pStyle w:val="Body"/>
        <w:numPr>
          <w:ilvl w:val="0"/>
          <w:numId w:val="28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التصوير يمثل وسيلةً سريعةً ودقيقةً؛ لتوضيح وبيان واقع الحال، فهو يمنح صورة واقعية أو منظورة للمشاهد؛ ممَّا يقلل حاجة المحكمة إلى الانتقال إلى مسرح الجريمة</w:t>
      </w:r>
      <w:r>
        <w:rPr>
          <w:rStyle w:val="None"/>
          <w:rFonts w:ascii="Times New Roman" w:hAnsi="Times New Roman"/>
          <w:sz w:val="24"/>
          <w:szCs w:val="24"/>
          <w:rtl/>
          <w:lang w:val="ar-SA"/>
        </w:rPr>
        <w:t>.</w:t>
      </w:r>
    </w:p>
    <w:p w14:paraId="1B8ED2E1" w14:textId="77777777" w:rsidR="00454428" w:rsidRDefault="00000000" w:rsidP="00C72BA8">
      <w:pPr>
        <w:pStyle w:val="Body"/>
        <w:numPr>
          <w:ilvl w:val="0"/>
          <w:numId w:val="28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يُعَدُّ التصوير الوسيلة المناسبة والأمثل لإعطاء أدق تفاصيل الحادث؛ حيث يتضمن عرضًا واقعيًا للجريمة دون أي مبالغة، أو تقليل عن جسامة 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3CD4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استخدام الكاميرات الرقمية والوسائل الإلكترونية الحديثة، لم يَعُدْ محصورًا في الجانب الأمني فقط، بل أصبح أداةً رقابيةً فعَّالةً تساهم في تحقيق العدالة وحماية حقوق الملكية الفكرية، فهي تتيح كشف الانتهاكات المتعلقة بالمصنفات، فتعتبر وسيلة ردع للانتهاكات المرتبطة بالملكية الفكرية، كما يمكن الاعتماد على الكاميرات والتقنيات المماثلة كوسائل إثبات في حالات الاعتداء على المصنفات أو سرقة الابتكارات الإلكترونية</w:t>
      </w:r>
      <w:r>
        <w:rPr>
          <w:rStyle w:val="None"/>
          <w:rFonts w:ascii="Times New Roman" w:hAnsi="Times New Roman"/>
          <w:sz w:val="24"/>
          <w:szCs w:val="24"/>
          <w:rtl/>
          <w:lang w:val="ar-SA"/>
        </w:rPr>
        <w:t xml:space="preserve">. </w:t>
      </w:r>
    </w:p>
    <w:p w14:paraId="25B25A99"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مشروعية الرقابة الإلكترونية</w:t>
      </w:r>
      <w:r>
        <w:rPr>
          <w:rStyle w:val="None"/>
          <w:rFonts w:ascii="Times New Roman" w:hAnsi="Times New Roman"/>
          <w:b/>
          <w:bCs/>
          <w:sz w:val="28"/>
          <w:szCs w:val="28"/>
          <w:rtl/>
          <w:lang w:val="ar-SA"/>
        </w:rPr>
        <w:t>:</w:t>
      </w:r>
    </w:p>
    <w:p w14:paraId="464A56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الرقمية وتزايد استخدام التقنيات الحديثة في مجالات العمل والإدارة، أصبحت الحاجة المهمة لأدوات رقابية فعَّالة؛ لمواجهة التحديات الجديدة المتعلقة بحماية البيانات والمعلومات، ومن أبرز هذه الأدوات هي الرقابة الإلكترونية التي تعتمد على التكنولوجيا الحديثة؛ لضمان سلامة الأنشطة الإدارية وحماية الحقوق الفكرية، فتكتسب مشروعية هذه الرقابة أهميتها من قدرتها على حماية البيانات من التلاعب، 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حماية المصنفات الرقمية وبرامج الحاسوب من الاعتداءات غير المشروعة</w:t>
      </w:r>
      <w:r>
        <w:rPr>
          <w:rStyle w:val="None"/>
          <w:rFonts w:ascii="Times New Roman" w:hAnsi="Times New Roman"/>
          <w:sz w:val="24"/>
          <w:szCs w:val="24"/>
          <w:rtl/>
          <w:lang w:val="ar-SA"/>
        </w:rPr>
        <w:t>.</w:t>
      </w:r>
    </w:p>
    <w:p w14:paraId="2CDFB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يساهم اعتماد الجهات المعنية بالحماية في نشاطها الرقابي على التقنيات والتكنولوجيا الحديثة في حماية البيانات والمعلومات الإدارية من التلاعب بها، وتغييرها من طرف الأفراد واستعمالها في أغراض شخصية،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الرقابة الإلكترونية كما تعمل باستخدام التكنولوجيات الحديثة على حماية البيانات والمعلومات الإدارية، فإنَّها تساعد أيضًا على اكتشاف مواطن الفساد ومعاقبة المتسببين فيه؛ حيث يتلازم وجود نظام الرقابة الإلكترونية الفعَّال في الإدارات العمومية، </w:t>
      </w:r>
      <w:r>
        <w:rPr>
          <w:rStyle w:val="None"/>
          <w:rFonts w:ascii="Arial Unicode MS" w:hAnsi="Arial Unicode MS" w:cs="Times New Roman" w:hint="cs"/>
          <w:sz w:val="24"/>
          <w:szCs w:val="24"/>
          <w:rtl/>
          <w:lang w:val="ar-SA"/>
        </w:rPr>
        <w:lastRenderedPageBreak/>
        <w:t>مع سرعة إنجاز المعاملات وزيادة دقة الأعمال المنجزة ورفع مستوى جودتها، وفي استغلال ساعات العمل في إنجاز المعاملات،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زيادة في مستوى انضباط العاملين، وسهولة اكتشاف الأخطاء والتجاوزات فور حدوثها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CD09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معاهدة الويبو بشأن حق المؤلف بتوضيح الحماية على برامج الحاسوب، وذلك من خلال المادة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والتي نصت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تتمتع برامج الحاسوب بالحماية باعتبارها مصنفات أدبية بمعنى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وتطبق تلك الحماية على برامج الحاسوب أيًا كانت طريقة التعبير عنها أو شكلها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0FF5B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المشرع الدولي قد حسم الجدل حول الطبيعة القانونية لبرامج الحاسوب؛ حيث أقر بأنَّها تتمتع بالحماية الكاملة كمصنفات أدبية، تمامًا كما هو الحال مع المصنفات المكتوبة الواردة في اتفاقية برن، وهذا يعني أنَّ الحماية لا تقتصر على الشكل التقليدي للكتابة أو أسلوب معين في التعبير، بل تمتد لتشمل أي صياغة أو لغة برمجية تعبر عن البرنامج،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يعتبر الاعتداء على برامج الحاسوب دون ترخيص انتهاكًا صريحًا لحقوق المؤلف؛ ممَّا يجعلها تحت مظلة الحماية القانونية الدولية، ويكفل للمؤلفين حقوقهم الأدبية والمالية على هذه البرامج</w:t>
      </w:r>
      <w:r>
        <w:rPr>
          <w:rStyle w:val="None"/>
          <w:rFonts w:ascii="Times New Roman" w:hAnsi="Times New Roman"/>
          <w:sz w:val="24"/>
          <w:szCs w:val="24"/>
          <w:rtl/>
          <w:lang w:val="ar-SA"/>
        </w:rPr>
        <w:t>.</w:t>
      </w:r>
    </w:p>
    <w:p w14:paraId="5F722B2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 المنظم السعودي بتوضيح الاعتداء على المصنفات الإلكترونية من خلال المادة </w:t>
      </w:r>
      <w:r>
        <w:rPr>
          <w:rStyle w:val="None"/>
          <w:rFonts w:ascii="Times New Roman" w:hAnsi="Times New Roman"/>
          <w:sz w:val="24"/>
          <w:szCs w:val="24"/>
          <w:rtl/>
          <w:lang w:val="ar-SA"/>
        </w:rPr>
        <w:t xml:space="preserve">(25)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74"/>
      </w:r>
      <w:r>
        <w:rPr>
          <w:rStyle w:val="None"/>
          <w:rFonts w:ascii="Times New Roman" w:hAnsi="Times New Roman"/>
          <w:sz w:val="24"/>
          <w:szCs w:val="24"/>
          <w:vertAlign w:val="superscript"/>
          <w:rtl/>
          <w:lang w:val="ar-SA"/>
        </w:rPr>
        <w:t>)</w:t>
      </w:r>
    </w:p>
    <w:p w14:paraId="39EF5D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معتديًا على حق المؤلف كل مَن ثبت قيامه عبر المواقع الإلكترونية في شبكة الإنترنت العالمية بأي من المخالفات الواردة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EED66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تقع على المواقع الإلكترونية في شبكة الإنترنت العالمية مسئولية الاعتداء على حق المؤلف وفق المحتوى الداخلي للموقع، أو ما يبث من خلاله أو ما يرتبط عن طريقه برابط خارجي لموقع آخر تابع له في حالة ثبوت احتوائه على أي من المخالفات المنصوص عليها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6494237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يتبين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أحاط المصنفات الإلكترونية بحماية خاصة من خلال إرساء مسئولية مزدوجة، فقد اعتبر كل من يقوم بالاعتداء المباشر على حقوق المؤلف عبر المواقع الإلكترونية مخالفًا للنظام، كما حمل هذه المواقع المسئولية عن المحتوى الذي تبثه أو ترتبط به، حتى لو كان عبر روابط خارجية،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وضع النص إطارًا رقابيًا محكمًا يضمن حماية المؤلفين من أشكال الاعتداءات الإلكترونية، ويؤكد في الوقت نفسه على دور المواقع في التحري والتدقيق بمحتواها؛ ممَّا يحقق التوازن بين الانفتاح الذي يتيحه الفضاء الرقمي، وحماية الحقوق الأدبية والمالية للمبدعين</w:t>
      </w:r>
      <w:r>
        <w:rPr>
          <w:rStyle w:val="None"/>
          <w:rFonts w:ascii="Times New Roman" w:hAnsi="Times New Roman"/>
          <w:sz w:val="24"/>
          <w:szCs w:val="24"/>
          <w:rtl/>
          <w:lang w:val="ar-SA"/>
        </w:rPr>
        <w:t>.</w:t>
      </w:r>
    </w:p>
    <w:p w14:paraId="2221713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مدى الالتزام بالرقابة من خلال المواقع الإلكترونية لحماية المصنفات الرقمية، واتخاذ إجراءات فعَّالة للتحقق من سلامة أي محتوى قبل بثه، ومتابعة ما يستجد بعد بث هذا المحتوى؛ لكي يتم تحقق التوازن بين حرية النشر وحماية الحقوق الفكرية</w:t>
      </w:r>
      <w:r>
        <w:rPr>
          <w:rStyle w:val="None"/>
          <w:rFonts w:ascii="Times New Roman" w:hAnsi="Times New Roman"/>
          <w:sz w:val="24"/>
          <w:szCs w:val="24"/>
          <w:rtl/>
          <w:lang w:val="ar-SA"/>
        </w:rPr>
        <w:t>.</w:t>
      </w:r>
    </w:p>
    <w:p w14:paraId="7801DEF0"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وسائل الرقابة على المواقع الإلكترونية</w:t>
      </w:r>
      <w:r>
        <w:rPr>
          <w:rStyle w:val="None"/>
          <w:rFonts w:ascii="Times New Roman" w:hAnsi="Times New Roman"/>
          <w:b/>
          <w:bCs/>
          <w:sz w:val="28"/>
          <w:szCs w:val="28"/>
          <w:rtl/>
          <w:lang w:val="ar-SA"/>
        </w:rPr>
        <w:t>:</w:t>
      </w:r>
    </w:p>
    <w:p w14:paraId="7AD29C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تعددت الوسائل التي تستخدمها الدول والمؤسسات لممارسة الرقابة على المواقع الإلكترونية، في ظل التدفق الهائل للمعلومات وتنوع المحتوى المتداول في الفضاء الرقمي، فلم تقتصر الرقابة على المتابعة التقليدية، بل توسعت لتشمل أدوات تقنية متقدمة وأنظمة برمجية قادرة على رصد وتتبع الأنشطة الإلكترونية بشكل فوري، 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الأطر القانونية والتنظيمية التي تحدد معايير الاستخدام المشروع، وتنبع أهمية تلك الوسائل من قدرتها على الحد من الأخطار الناتجة عن انتشار المحتويات غير المشروعة أو المخالفة للقانون، مع السعي لتحقيق التوازن بين إتاحة المعلومات وحماية الحقوق والأمن العام في البيئة الرقمية</w:t>
      </w:r>
      <w:r>
        <w:rPr>
          <w:rStyle w:val="None"/>
          <w:rFonts w:ascii="Times New Roman" w:hAnsi="Times New Roman"/>
          <w:sz w:val="24"/>
          <w:szCs w:val="24"/>
          <w:rtl/>
          <w:lang w:val="ar-SA"/>
        </w:rPr>
        <w:t>.</w:t>
      </w:r>
    </w:p>
    <w:p w14:paraId="7CD2F82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إنَّ استخدام وسائل المراقبة الإلكترونية الحديثة لأجل التوصل إلى الجناة، وكشف غموض الجرائم، والمحافظة على الأمن العام والخاص، أصبح من الأمور الضرورية التي لا غنى عنها في واقعنا المعاصر؛ ولخطورة هذا الأمر فلا بُدَّ أنْ تأذن به الجهات المختصة، أو الجهات القضائية؛ وذلك لأجل المحافظة على حقوق الآخرين، وعدم اختراق خصوصياتهم، أو مراقبتهم بدون حاجة، أو ضرورة تقتضي ذلك؛ ولضمان عدم التلاعب فيما تضمنه تلك الوسائل من أدلة أو معلومات، وكذا لأجل المحافظة على الأدلة ذاتها، وتجنب عدم استبعادها؛ بسبب عيب شاب طريقة جمعها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b/>
          <w:bCs/>
          <w:sz w:val="24"/>
          <w:szCs w:val="24"/>
          <w:rtl/>
          <w:lang w:val="ar-SA"/>
        </w:rPr>
        <w:t xml:space="preserve"> </w:t>
      </w:r>
    </w:p>
    <w:p w14:paraId="44873B73" w14:textId="77777777" w:rsidR="00454428" w:rsidRDefault="00000000" w:rsidP="00C72BA8">
      <w:pPr>
        <w:pStyle w:val="Body"/>
        <w:numPr>
          <w:ilvl w:val="0"/>
          <w:numId w:val="29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التشفير</w:t>
      </w:r>
      <w:r>
        <w:rPr>
          <w:rStyle w:val="None"/>
          <w:rFonts w:ascii="Times New Roman" w:hAnsi="Times New Roman"/>
          <w:b/>
          <w:bCs/>
          <w:sz w:val="28"/>
          <w:szCs w:val="28"/>
          <w:rtl/>
          <w:lang w:val="ar-SA"/>
        </w:rPr>
        <w:t>:</w:t>
      </w:r>
    </w:p>
    <w:p w14:paraId="13007C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التشفير من أبرز الوسائل التقنية الحديثة، التي تعزّز حماية البيانات والمعلومات في البيئة الرقمية، فيعتمد التشفير على تحويل البيانات إلى رموز يصعب قراءاتها أو اختراقها إلا من قبل المصرح لهم بذلك، كما تزداد أهمية التشفير في ظل التطوُّرات السريعة في الجرائم الإلكترونية والاعتداءات على الحقوق الرقمية؛ حيث يوفر وسيلةً فعَّالةً؛ لضمان سرية المصنفات الرقمية، وحماية حقوق الملكية الفكرية من النسخ أو الاستغلال غير المشروع</w:t>
      </w:r>
      <w:r>
        <w:rPr>
          <w:rStyle w:val="None"/>
          <w:rFonts w:ascii="Times New Roman" w:hAnsi="Times New Roman"/>
          <w:sz w:val="24"/>
          <w:szCs w:val="24"/>
          <w:rtl/>
          <w:lang w:val="ar-SA"/>
        </w:rPr>
        <w:t>.</w:t>
      </w:r>
    </w:p>
    <w:p w14:paraId="14BBC0C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فالتشفير هو عملية تشكيل البيانات باستخدام خوارزمية معينة تسمى المفتاح، تصبح بها غير قابلة للقراءة إلا بعد استخدام الخوارزمية لفكها، ويتم عادةً تشفير البيانات قبل إرسالها عبر الشبكة؛ وذلك لضمان سلامة وصولها دون التعرض لأي عمليات تجسس أو تحريف لمضمونها، على أنْ يتم فك الشفرة لدى مستقبل الرسالة باستخدام مفتاح فك الشفرة، وينبغي الحرص على تشفير البيانات عند الرغبة في إرسالها عبر الشبكة، وكلما كانت سرقة البيانات تمثل خطورةً كانت هناك ضرورة أكبر لتشفيرها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DF7A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وقد جاءت الهيئة الوطنية للأمن السيبراني بتوضيح ضوابط التشفير الذي يهدف إلى ضمان الاستخدام السليم والفعَّال؛ لحماية الأصول المعلوماتية الإلكترونية للجهة، وذلك وفقًا للسياسات والإجراءات التنظيمية للجهة، والمتطلبات التشريعية والتنظيمية ذات العلاقة، وقد أكدت على أهمية تحديد وتوثيق واعتماد متطلبات الأمن السيبراني للتشفير في الجهة، ويجب تطبيق متطلبات الأمن السيبراني للتشفير في الجهة، كما تجب مراجعة تطبيق متطلبات الأمن السيبراني للتشفير في الجهة دوريًا، بالإضافة إلى أنَّه يجب أنْ تعطى متطلبات الأمن السيبراني للتشفير بحد أدنى ما يلي</w:t>
      </w:r>
      <w:r>
        <w:rPr>
          <w:rStyle w:val="None"/>
          <w:rFonts w:ascii="Times New Roman" w:hAnsi="Times New Roman"/>
          <w:sz w:val="24"/>
          <w:szCs w:val="24"/>
          <w:rtl/>
          <w:lang w:val="ar-SA"/>
        </w:rPr>
        <w:t>:</w:t>
      </w:r>
    </w:p>
    <w:p w14:paraId="756C0D31" w14:textId="77777777" w:rsidR="00454428" w:rsidRDefault="00000000" w:rsidP="00C72BA8">
      <w:pPr>
        <w:pStyle w:val="Body"/>
        <w:numPr>
          <w:ilvl w:val="0"/>
          <w:numId w:val="29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معايير حلول التشفير المعتمدة والقيود المطبقة عليها تقنيًا وتنظيميًا</w:t>
      </w:r>
      <w:r>
        <w:rPr>
          <w:rStyle w:val="None"/>
          <w:rFonts w:ascii="Times New Roman" w:hAnsi="Times New Roman"/>
          <w:sz w:val="24"/>
          <w:szCs w:val="24"/>
          <w:rtl/>
          <w:lang w:val="ar-SA"/>
        </w:rPr>
        <w:t>.</w:t>
      </w:r>
    </w:p>
    <w:p w14:paraId="4D42F894" w14:textId="77777777" w:rsidR="00454428" w:rsidRDefault="00000000" w:rsidP="00C72BA8">
      <w:pPr>
        <w:pStyle w:val="Body"/>
        <w:numPr>
          <w:ilvl w:val="0"/>
          <w:numId w:val="29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الإدارة الآمنة لمفاتيح التشفير خلال عمليات دورة حياتها</w:t>
      </w:r>
      <w:r>
        <w:rPr>
          <w:rStyle w:val="None"/>
          <w:rFonts w:ascii="Times New Roman" w:hAnsi="Times New Roman"/>
          <w:sz w:val="24"/>
          <w:szCs w:val="24"/>
          <w:rtl/>
          <w:lang w:val="ar-SA"/>
        </w:rPr>
        <w:t>.</w:t>
      </w:r>
    </w:p>
    <w:p w14:paraId="1D472633" w14:textId="77777777" w:rsidR="00454428" w:rsidRDefault="00000000" w:rsidP="00C72BA8">
      <w:pPr>
        <w:pStyle w:val="Body"/>
        <w:numPr>
          <w:ilvl w:val="0"/>
          <w:numId w:val="29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تشفير البيانات أثناء النقل والتخزين بِناءً على تصنيفها وحسب المتطلبات التشريعية والتنظيمية ذات العلاقة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91439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قد وضعت إطارًا متكاملًا لضوابط التشفير، بوصفه أداةً أساسيةً لحماية الأصول المعلوماتية وضمان سرية البيانات وسلامتها، وقد أكدت على ضرورة توثيق واعتماد متطلبات التشفير في كل جهة، وتطبيقها بشكل مستمر مع مراجعتها دوريًا؛ لتحقيق الامتثال للمعايير التقنية والتنظيمية ذات الصلة، كما ركزت على عناصر جوهرية،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اعتماد حلول تشفير معترف بها، وضمان الإدارة الآمنة لمفاتيح التشفير طوال دورة حياتها، بالإضافة إلى تشفير البيانات أثناء نقلها أو تخزينها وفقًا لتصنيفها، وبذلك تعتبر هذه الضوابط خطوةً مهمةً لتعزيز الثقة الرقمية، وتوفير بيئة إلكترونية أكثر أمانًا</w:t>
      </w:r>
      <w:r>
        <w:rPr>
          <w:rStyle w:val="None"/>
          <w:rFonts w:ascii="Times New Roman" w:hAnsi="Times New Roman"/>
          <w:sz w:val="24"/>
          <w:szCs w:val="24"/>
          <w:rtl/>
          <w:lang w:val="ar-SA"/>
        </w:rPr>
        <w:t xml:space="preserve">. </w:t>
      </w:r>
    </w:p>
    <w:p w14:paraId="58DB32F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C3E837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اتفاقية تريبس بتوضيح الحماية المخصصة للحاسب الآلي، وقد نصت على أنَّه</w:t>
      </w:r>
      <w:r>
        <w:rPr>
          <w:rStyle w:val="None"/>
          <w:rFonts w:ascii="Times New Roman" w:hAnsi="Times New Roman"/>
          <w:sz w:val="24"/>
          <w:szCs w:val="24"/>
          <w:rtl/>
          <w:lang w:val="ar-SA"/>
        </w:rPr>
        <w:t>:</w:t>
      </w:r>
    </w:p>
    <w:p w14:paraId="354681B7" w14:textId="77777777" w:rsidR="00454428" w:rsidRDefault="00000000" w:rsidP="00C72BA8">
      <w:pPr>
        <w:pStyle w:val="Body"/>
        <w:numPr>
          <w:ilvl w:val="0"/>
          <w:numId w:val="29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برامج الحاسب الآلي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الكمبيوتر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سواء أكانت بلُغة المصدر أو بلُغة الآلة، بالحماية باعتبارها أعمالًا أدبية بموجب معاهدة برن </w:t>
      </w:r>
      <w:r>
        <w:rPr>
          <w:rStyle w:val="None"/>
          <w:rFonts w:ascii="Times New Roman" w:hAnsi="Times New Roman"/>
          <w:sz w:val="24"/>
          <w:szCs w:val="24"/>
          <w:rtl/>
          <w:lang w:val="ar-SA"/>
        </w:rPr>
        <w:t>(1971).</w:t>
      </w:r>
    </w:p>
    <w:p w14:paraId="6CEB0B57" w14:textId="77777777" w:rsidR="00454428" w:rsidRDefault="00000000" w:rsidP="00C72BA8">
      <w:pPr>
        <w:pStyle w:val="Body"/>
        <w:numPr>
          <w:ilvl w:val="0"/>
          <w:numId w:val="29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بالحماية البيانات المجمعة أو المواد الأخرى، سواء أكانت في شكل مقروء آليًا أو أي شكل آخر، إذا كانت تشكل خلقًا فكريًا نتيجة انتقاء أو ترتيب محتوياتها، وهذه الحماية لا تشمل البيانات أو المواد في حد ذاتها، ولا تخل بحقوق المؤلف المتعلقة بهذه البيانات أو المواد ذاتها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EFB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أنَّ اتفاقية تريبس قد أكدت على مكانة برامج الحاسوب كمصنفات أدبية تخضع للحماية، كما هو الحال مع المصنفات التقليدية؛ ممَّا يعزّز حماية المبدعين في المجال التقني والرقمي، كما وسعت الاتفاقية نطاق الحماية ليشمل قواعد البيانات والمجموعات المعلوماتية، متى توافرت فيها سمة الابتكار الفكري المبني على أسلوب الانتقاء أو الترتيب، وقد أكدت الاتفاقية أنَّ هذه الحماية لا تشمل البيانات أو المواد ذاتها في صورتها المجردة،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يتضح أنَّ </w:t>
      </w:r>
      <w:r>
        <w:rPr>
          <w:rStyle w:val="None"/>
          <w:rFonts w:ascii="Arial Unicode MS" w:hAnsi="Arial Unicode MS" w:cs="Times New Roman" w:hint="cs"/>
          <w:sz w:val="24"/>
          <w:szCs w:val="24"/>
          <w:rtl/>
          <w:lang w:val="ar-SA"/>
        </w:rPr>
        <w:lastRenderedPageBreak/>
        <w:t>الاتفاقية قد أرست مبدأ التوازن بين حماية الجهد الفكري للمؤلف من جهة، وضمان وصول المعلومات إلى الجميع من جهة أخرى</w:t>
      </w:r>
      <w:r>
        <w:rPr>
          <w:rStyle w:val="None"/>
          <w:rFonts w:ascii="Times New Roman" w:hAnsi="Times New Roman"/>
          <w:sz w:val="24"/>
          <w:szCs w:val="24"/>
          <w:rtl/>
          <w:lang w:val="ar-SA"/>
        </w:rPr>
        <w:t>.</w:t>
      </w:r>
    </w:p>
    <w:p w14:paraId="0FB0753F" w14:textId="77777777" w:rsidR="00454428" w:rsidRDefault="00000000" w:rsidP="00C72BA8">
      <w:pPr>
        <w:pStyle w:val="Body"/>
        <w:numPr>
          <w:ilvl w:val="0"/>
          <w:numId w:val="296"/>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الهيئة الوطنية للأمن السيبراني كجهة مختصة</w:t>
      </w:r>
      <w:r>
        <w:rPr>
          <w:rStyle w:val="None"/>
          <w:rFonts w:ascii="Times New Roman" w:hAnsi="Times New Roman"/>
          <w:b/>
          <w:bCs/>
          <w:sz w:val="28"/>
          <w:szCs w:val="28"/>
          <w:rtl/>
          <w:lang w:val="ar-SA"/>
        </w:rPr>
        <w:t>:</w:t>
      </w:r>
    </w:p>
    <w:p w14:paraId="7F8EBB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الجهات المختصة بحماية الملكية الفكرية لها أهمية كبيرة؛ حيث إنَّها تمثل النقطة الأساسية في تطبيق القوانين والأنظمة المتعلقة بحقوق المؤلفين والمبدعين، فهي المسئولة عن الإشراف والرقابة، واتخاذ الإجراءات النظامية اللازمة؛ لمواجهة الاعتداءات على الحقوق الفكرية، سواء في صورها التقليدية أو في البيئة الرقمية، كما تلعب هذه الجهات دورًا تنظيميًا من خلال نشر الثقافة القانونية، وتعزيز الوعي المجتمعي بأهمية احترام الملكية الفكرية، بالإضافة إلى التنسيق مع المنظمات الدولية؛ لتحقيق حماية فعَّالة تتماشى مع المعايير العالمية</w:t>
      </w:r>
      <w:r>
        <w:rPr>
          <w:rStyle w:val="None"/>
          <w:rFonts w:ascii="Times New Roman" w:hAnsi="Times New Roman"/>
          <w:sz w:val="24"/>
          <w:szCs w:val="24"/>
          <w:rtl/>
          <w:lang w:val="ar-SA"/>
        </w:rPr>
        <w:t>.</w:t>
      </w:r>
    </w:p>
    <w:p w14:paraId="21B4E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الهيئة الوطنية للأمن السيبراني إحدى أهم الجهات المعنية بحماية الفضاء الرقمي في المملكة العربية السعودية؛ حيث أنشئت لتكون المرجع الوطني المختص بكل ما يتعلق بشؤون الأمن السيبراني، وتكمن أهميتها في وضع السياسات والضوابط الاستراتيجية التي تهدف إلى حماية الشبكات، والأنظمة، والبيانات من التهديدات والهجمات الإلكترونية، بما يضمن تعزيز الثقة في البيئة الرقمية، ودعم التحول الرقمي الذي تشهده المملكة، كما تقوم الهيئة بدور محوري في توعية الجهات الحكومية والخاصة بأهمية الالتزامات بمتطلبات الأمن السيبراني، وتنسيق الجهود الوطنية؛ لضمان مستوى عالٍ من الحماية يواكب المعايير الدولية، ويعزّز حماية الأصول المعلوماتية</w:t>
      </w:r>
      <w:r>
        <w:rPr>
          <w:rStyle w:val="None"/>
          <w:rFonts w:ascii="Times New Roman" w:hAnsi="Times New Roman"/>
          <w:sz w:val="24"/>
          <w:szCs w:val="24"/>
          <w:rtl/>
          <w:lang w:val="ar-SA"/>
        </w:rPr>
        <w:t>.</w:t>
      </w:r>
    </w:p>
    <w:p w14:paraId="34E43D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وجود بنية تحتية رقمية وطنية متكاملة وآمنة يُعَدُّ أحد أهم العوامل الممكنة للنمو والازدهار، إلا أنَّ التوسع في استخدام التقنية يفتح آفاقًا جديدةً للثغرات الأمنية والتهديدات الرقمية؛ ممَّا يستوجب تعزيز الأمن الرقمي لحماية الشبكات، وأنظمة تقنية المعلومات، وأنظمة التقنيات التشغيلية، ومكوناتها من أجهزة وبرمجيات، وحماية ما تقدمه من خدمات، وما تحويه من بيانات من أي اختراق، أو تعطيل، أو تعديل، أو دخول، أو استخدام أو استغلال، وكذلك لتعزيز الربط التقني الآمن بين الخدمات الحكومية، ودعم الاقتصاد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28C9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تنظيم الهيئة الوطنية للأمن السيبراني بتوضيح مفهوم الأمن السيبراني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دخول، أو استخدام، أو استغلال غير مشروع، ويشمل مفهوم الأمن السيبراني أمن المعلومات، والأمن الإلكتروني، والأمن الرقمي ونحو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CEA3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مفهوم الأمن السيبراني شامل وواسع؛ حيث يغطي مختلف عناصر البيئة الرقمية من شبكات، وأنظمة، وأجهزة، وبرمجيات، وبيانات؛ ممَّا يمنع أي استغلال أو استخدام غير مشروع لها، كما أنَّ هذا التعريف لا يقتصر على جوانب تقنية ضيقة، بل يمتد ليشمل أبعادًا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أمن المعلومات، والأمن الإلكتروني، والأمن </w:t>
      </w:r>
      <w:r>
        <w:rPr>
          <w:rStyle w:val="None"/>
          <w:rFonts w:ascii="Arial Unicode MS" w:hAnsi="Arial Unicode MS" w:cs="Times New Roman" w:hint="cs"/>
          <w:sz w:val="24"/>
          <w:szCs w:val="24"/>
          <w:rtl/>
          <w:lang w:val="ar-SA"/>
        </w:rPr>
        <w:lastRenderedPageBreak/>
        <w:t>الرقمي؛ ممَّا يعكس شمولية الرؤية الوطنية لحماية الفضاء السيبراني،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يشكل هذا المفهوم الأساس الذي تُبنى عليه السياسات والضوابط والإجراءات؛ لضمان تعزيز الثقة في البيئة الرقمية</w:t>
      </w:r>
      <w:r>
        <w:rPr>
          <w:rStyle w:val="None"/>
          <w:rFonts w:ascii="Times New Roman" w:hAnsi="Times New Roman"/>
          <w:sz w:val="24"/>
          <w:szCs w:val="24"/>
          <w:rtl/>
          <w:lang w:val="ar-SA"/>
        </w:rPr>
        <w:t xml:space="preserve">. </w:t>
      </w:r>
    </w:p>
    <w:p w14:paraId="18683B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من تنظيم الهيئة الوطنية للأمن السيبراني بتوضيح اختصاصات ومهمات الهيئة كالآتي</w:t>
      </w:r>
      <w:r>
        <w:rPr>
          <w:rStyle w:val="None"/>
          <w:rFonts w:ascii="Times New Roman" w:hAnsi="Times New Roman"/>
          <w:sz w:val="24"/>
          <w:szCs w:val="24"/>
          <w:rtl/>
          <w:lang w:val="ar-SA"/>
        </w:rPr>
        <w:t>:</w:t>
      </w:r>
    </w:p>
    <w:p w14:paraId="71CE82F3"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إعداد الاستراتيجية الوطنية للآمن السيبراني، والإشراف على تنفيذها، واقتراح تحديثها</w:t>
      </w:r>
      <w:r>
        <w:rPr>
          <w:rStyle w:val="None"/>
          <w:rFonts w:ascii="Times New Roman" w:hAnsi="Times New Roman"/>
          <w:sz w:val="24"/>
          <w:szCs w:val="24"/>
          <w:rtl/>
          <w:lang w:val="ar-SA"/>
        </w:rPr>
        <w:t>.</w:t>
      </w:r>
    </w:p>
    <w:p w14:paraId="1A829E6A"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وآليات الحوكمة، والأطر، والمعايير، والضوابط، والإرشادات المتعلقة بالأمن السيبراني، وتعميمها على الجهات ذات العلاقة، ومتابعة الالتزام بها، وتحديثها</w:t>
      </w:r>
      <w:r>
        <w:rPr>
          <w:rStyle w:val="None"/>
          <w:rFonts w:ascii="Times New Roman" w:hAnsi="Times New Roman"/>
          <w:sz w:val="24"/>
          <w:szCs w:val="24"/>
          <w:rtl/>
          <w:lang w:val="ar-SA"/>
        </w:rPr>
        <w:t>.</w:t>
      </w:r>
    </w:p>
    <w:p w14:paraId="2003FED5"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تصنيف وتحديد البنى التحتية الحساسة والجهات المرتبطة بها، وتحديد القطاعات والجهات ذات الأولية بالأمن السيبراني</w:t>
      </w:r>
      <w:r>
        <w:rPr>
          <w:rStyle w:val="None"/>
          <w:rFonts w:ascii="Times New Roman" w:hAnsi="Times New Roman"/>
          <w:sz w:val="24"/>
          <w:szCs w:val="24"/>
          <w:rtl/>
          <w:lang w:val="ar-SA"/>
        </w:rPr>
        <w:t>.</w:t>
      </w:r>
    </w:p>
    <w:p w14:paraId="5453FF4E"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إدارة الأخطار المتعلقة بالأمن السيبراني، ومتابعة الالتزام بها، وتحديثها</w:t>
      </w:r>
      <w:r>
        <w:rPr>
          <w:rStyle w:val="None"/>
          <w:rFonts w:ascii="Times New Roman" w:hAnsi="Times New Roman"/>
          <w:sz w:val="24"/>
          <w:szCs w:val="24"/>
          <w:rtl/>
          <w:lang w:val="ar-SA"/>
        </w:rPr>
        <w:t>.</w:t>
      </w:r>
    </w:p>
    <w:p w14:paraId="35762994"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إشعار الجهات المعنية بالأخطار والتهديدات ذات العلاقة بالأمن السيبراني</w:t>
      </w:r>
      <w:r>
        <w:rPr>
          <w:rStyle w:val="None"/>
          <w:rFonts w:ascii="Times New Roman" w:hAnsi="Times New Roman"/>
          <w:sz w:val="24"/>
          <w:szCs w:val="24"/>
          <w:rtl/>
          <w:lang w:val="ar-SA"/>
        </w:rPr>
        <w:t>.</w:t>
      </w:r>
    </w:p>
    <w:p w14:paraId="1125EF3B"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الاستجابة للحوادث المتعلقة بالأمن السيبراني، ومتابعة الالتزام بها، وتحديثها</w:t>
      </w:r>
      <w:r>
        <w:rPr>
          <w:rStyle w:val="None"/>
          <w:rFonts w:ascii="Times New Roman" w:hAnsi="Times New Roman"/>
          <w:sz w:val="24"/>
          <w:szCs w:val="24"/>
          <w:rtl/>
          <w:lang w:val="ar-SA"/>
        </w:rPr>
        <w:t>.</w:t>
      </w:r>
    </w:p>
    <w:p w14:paraId="77576373"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بناء مراكز العمليات الوطنية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وما في حكمها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بكافة أنواعها، بما في ذلك مراكز التحكم، والسيطرة، والاستطلاع، والرصد، وتبادل، وتحليل المعلومات، وكذلك بناء مراكز العمليات القطاعية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عند الحاجة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وبناء المنصات ذات العلاقة والإشراف عليها، وتشغيلها</w:t>
      </w:r>
      <w:r>
        <w:rPr>
          <w:rStyle w:val="None"/>
          <w:rFonts w:ascii="Times New Roman" w:hAnsi="Times New Roman"/>
          <w:sz w:val="24"/>
          <w:szCs w:val="24"/>
          <w:rtl/>
          <w:lang w:val="ar-SA"/>
        </w:rPr>
        <w:t>.</w:t>
      </w:r>
    </w:p>
    <w:p w14:paraId="6E8F3BBE"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القيام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بنفسها أو من خلال غيرها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بالأنشطة والعمليات المتعلقة بالأمن السيبراني</w:t>
      </w:r>
      <w:r>
        <w:rPr>
          <w:rStyle w:val="None"/>
          <w:rFonts w:ascii="Times New Roman" w:hAnsi="Times New Roman"/>
          <w:sz w:val="24"/>
          <w:szCs w:val="24"/>
          <w:rtl/>
          <w:lang w:val="ar-SA"/>
        </w:rPr>
        <w:t>.</w:t>
      </w:r>
    </w:p>
    <w:p w14:paraId="07F3E9BA"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تنظيم آلية مشاركة المعلومات والبيانات المرتبطة بالأمن السيبراني بين الجهات والقطاعات المختلفة في المملكة، والإشراف على ذلك</w:t>
      </w:r>
      <w:r>
        <w:rPr>
          <w:rStyle w:val="None"/>
          <w:rFonts w:ascii="Times New Roman" w:hAnsi="Times New Roman"/>
          <w:sz w:val="24"/>
          <w:szCs w:val="24"/>
          <w:rtl/>
          <w:lang w:val="ar-SA"/>
        </w:rPr>
        <w:t>.</w:t>
      </w:r>
    </w:p>
    <w:p w14:paraId="335A483B"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تقديم المساندة للجهات المختصة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 طلبها وفقًا للإمكانات المتاحة لدى الهيئة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خلال الاستدلال والتحقيق في الجرائم المتعلقة بالأمن السيبراني</w:t>
      </w:r>
      <w:r>
        <w:rPr>
          <w:rStyle w:val="None"/>
          <w:rFonts w:ascii="Times New Roman" w:hAnsi="Times New Roman"/>
          <w:sz w:val="24"/>
          <w:szCs w:val="24"/>
          <w:rtl/>
          <w:lang w:val="ar-SA"/>
        </w:rPr>
        <w:t>.</w:t>
      </w:r>
    </w:p>
    <w:p w14:paraId="2991DA19"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والمعايير الوطنية للتشفير، ومتابعة الالتزام بها، وتحديثها</w:t>
      </w:r>
      <w:r>
        <w:rPr>
          <w:rStyle w:val="None"/>
          <w:rFonts w:ascii="Times New Roman" w:hAnsi="Times New Roman"/>
          <w:sz w:val="24"/>
          <w:szCs w:val="24"/>
          <w:rtl/>
          <w:lang w:val="ar-SA"/>
        </w:rPr>
        <w:t>.</w:t>
      </w:r>
    </w:p>
    <w:p w14:paraId="5B68C2AD"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ما يلزم من معايير أو ضوابط للفسح والترخيص باستيراد وتصدير واستخدام الأجهزة والبرمجيات ذات الحساسية العالية للأمن السيبراني التي تحددها الهيئة، ومتابعة الالتزام بها، وتحديثها، وذلك دون إخلال بأي معايير أو ضوابط معتمدة لدى الجهات الأخرى ذات العلاقة</w:t>
      </w:r>
      <w:r>
        <w:rPr>
          <w:rStyle w:val="None"/>
          <w:rFonts w:ascii="Times New Roman" w:hAnsi="Times New Roman"/>
          <w:sz w:val="24"/>
          <w:szCs w:val="24"/>
          <w:rtl/>
          <w:lang w:val="ar-SA"/>
        </w:rPr>
        <w:t>.</w:t>
      </w:r>
    </w:p>
    <w:p w14:paraId="5D015FA1"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القدرات الوطنية المتخصصة في مجالات الأمن السيبراني، والمشاركة في إعداد البرامج التعليمية والتدريبية الخاصة بها، وإعداد المعايير المهنية والأطر وبناء وتنفيذ المقاييس والاختبارات القياسية المهنية ذات العلاقة</w:t>
      </w:r>
      <w:r>
        <w:rPr>
          <w:rStyle w:val="None"/>
          <w:rFonts w:ascii="Times New Roman" w:hAnsi="Times New Roman"/>
          <w:sz w:val="24"/>
          <w:szCs w:val="24"/>
          <w:rtl/>
          <w:lang w:val="ar-SA"/>
        </w:rPr>
        <w:t>.</w:t>
      </w:r>
    </w:p>
    <w:p w14:paraId="18BE9C33"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الترخيص بمزاولة الأفراد والجهات غير الحكومية للأنشطة والعمليات المتعلقة بالأمن السيبراني التي تحددها الهيئة</w:t>
      </w:r>
      <w:r>
        <w:rPr>
          <w:rStyle w:val="None"/>
          <w:rFonts w:ascii="Times New Roman" w:hAnsi="Times New Roman"/>
          <w:sz w:val="24"/>
          <w:szCs w:val="24"/>
          <w:rtl/>
          <w:lang w:val="ar-SA"/>
        </w:rPr>
        <w:t>.</w:t>
      </w:r>
    </w:p>
    <w:p w14:paraId="637B1BE7"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التواصل مع الجهات المماثلة خارج المملكة والجهات الخاصة لتبادل الخبرات وتأسيس آليات للتعاون والشراكة معها، وفقًا للإجراءات المتبعة</w:t>
      </w:r>
      <w:r>
        <w:rPr>
          <w:rStyle w:val="None"/>
          <w:rFonts w:ascii="Times New Roman" w:hAnsi="Times New Roman"/>
          <w:sz w:val="24"/>
          <w:szCs w:val="24"/>
          <w:rtl/>
          <w:lang w:val="ar-SA"/>
        </w:rPr>
        <w:t>.</w:t>
      </w:r>
    </w:p>
    <w:p w14:paraId="04EA62C9"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تبادل الإنتاج التقني والمعرفي وتبادل البيانات والمعلومات مع الجهات المماثلة خارج المملكة</w:t>
      </w:r>
      <w:r>
        <w:rPr>
          <w:rStyle w:val="None"/>
          <w:rFonts w:ascii="Times New Roman" w:hAnsi="Times New Roman"/>
          <w:sz w:val="24"/>
          <w:szCs w:val="24"/>
          <w:rtl/>
          <w:lang w:val="ar-SA"/>
        </w:rPr>
        <w:t>.</w:t>
      </w:r>
    </w:p>
    <w:p w14:paraId="2EDC61C8"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تمثيل المملكة في المنظمات، والهيئات، واللجان، والمجموعات الثنائية، والإقليمية، والدولية ذات الصلة، ومتابعة تنفيذ التزامات المملكة الدولية الخاصة بالأمن السيبراني</w:t>
      </w:r>
      <w:r>
        <w:rPr>
          <w:rStyle w:val="None"/>
          <w:rFonts w:ascii="Times New Roman" w:hAnsi="Times New Roman"/>
          <w:sz w:val="24"/>
          <w:szCs w:val="24"/>
          <w:rtl/>
          <w:lang w:val="ar-SA"/>
        </w:rPr>
        <w:t>.</w:t>
      </w:r>
    </w:p>
    <w:p w14:paraId="57A0084D"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رفع مستوى الوعي بالأمن السيبراني</w:t>
      </w:r>
      <w:r>
        <w:rPr>
          <w:rStyle w:val="None"/>
          <w:rFonts w:ascii="Times New Roman" w:hAnsi="Times New Roman"/>
          <w:sz w:val="24"/>
          <w:szCs w:val="24"/>
          <w:rtl/>
          <w:lang w:val="ar-SA"/>
        </w:rPr>
        <w:t>.</w:t>
      </w:r>
    </w:p>
    <w:p w14:paraId="316B593A"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تحفيز نمو قطاع الأمن السيبراني في المملكة، وتشجيع الابتكار والاستثمار فيه</w:t>
      </w:r>
      <w:r>
        <w:rPr>
          <w:rStyle w:val="None"/>
          <w:rFonts w:ascii="Times New Roman" w:hAnsi="Times New Roman"/>
          <w:sz w:val="24"/>
          <w:szCs w:val="24"/>
          <w:rtl/>
          <w:lang w:val="ar-SA"/>
        </w:rPr>
        <w:t>.</w:t>
      </w:r>
    </w:p>
    <w:p w14:paraId="7E4AC515"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الدراسات والبحوث والتطوير وعمليات التصنيع، ونقل التقنية وتطويرها، في الأمن السيبراني وما يرتبط به من مجالات</w:t>
      </w:r>
      <w:r>
        <w:rPr>
          <w:rStyle w:val="None"/>
          <w:rFonts w:ascii="Times New Roman" w:hAnsi="Times New Roman"/>
          <w:sz w:val="24"/>
          <w:szCs w:val="24"/>
          <w:rtl/>
          <w:lang w:val="ar-SA"/>
        </w:rPr>
        <w:t>.</w:t>
      </w:r>
    </w:p>
    <w:p w14:paraId="1577AD9E"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اقتراح آليات رفع كفاءة الإنفاق في مجالات الأمن السيبراني</w:t>
      </w:r>
      <w:r>
        <w:rPr>
          <w:rStyle w:val="None"/>
          <w:rFonts w:ascii="Times New Roman" w:hAnsi="Times New Roman"/>
          <w:sz w:val="24"/>
          <w:szCs w:val="24"/>
          <w:rtl/>
          <w:lang w:val="ar-SA"/>
        </w:rPr>
        <w:t>.</w:t>
      </w:r>
    </w:p>
    <w:p w14:paraId="2B4C4AF6"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تطوير مؤشرات قياس الأداء الخاصة بالأمن السيبراني، وإعداد التقارير الدورية حول حالة الأمن السيبراني في المملكة على المستويين الوطني والقطاعي</w:t>
      </w:r>
      <w:r>
        <w:rPr>
          <w:rStyle w:val="None"/>
          <w:rFonts w:ascii="Times New Roman" w:hAnsi="Times New Roman"/>
          <w:sz w:val="24"/>
          <w:szCs w:val="24"/>
          <w:rtl/>
          <w:lang w:val="ar-SA"/>
        </w:rPr>
        <w:t>.</w:t>
      </w:r>
    </w:p>
    <w:p w14:paraId="28E47A90" w14:textId="77777777" w:rsidR="00454428" w:rsidRDefault="00000000" w:rsidP="00C72BA8">
      <w:pPr>
        <w:pStyle w:val="Body"/>
        <w:numPr>
          <w:ilvl w:val="0"/>
          <w:numId w:val="29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اقتراح إصدار وتعديل الأنظمة واللوائح والقرارات ذات الصلة بالأمن السيبراني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3EAC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تلعب دورًا استراتيجيًا وتنظيميًا يتمثل في إعداد الاستراتيجية الوطنية للأمن السيبراني، ووضع السياسات، والأطر، والمعايير، والضوابط ذات الصلة؛ ممَّا يضمن وجود إطار وطني موحد لحماية الفضاء السيبراني، وهذا يعكس توجه الدولة نحو بناء منظومة مؤسسية متكاملة قادرة على مواجهة التحديات الرقمية بأسس علمية ومنهجية</w:t>
      </w:r>
      <w:r>
        <w:rPr>
          <w:rStyle w:val="None"/>
          <w:rFonts w:ascii="Times New Roman" w:hAnsi="Times New Roman"/>
          <w:sz w:val="24"/>
          <w:szCs w:val="24"/>
          <w:rtl/>
          <w:lang w:val="ar-SA"/>
        </w:rPr>
        <w:t>.</w:t>
      </w:r>
    </w:p>
    <w:p w14:paraId="5F78CB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الهيئة تظهر كجهة رقابية وتنفيذية، من خلال متابعة الالتزام بالسياسات والمعايير المعتمدة، وإشعار الجهات المعنية بالأخطار والتهديدات، بالإضافة إلى إنشاء مراكز العمليات الوطنية والقطاعية؛ لرصد التهديديات والاستجابة للحوادث الأمنية بشكل سريع، وهذا يعزّز قدرتها على مواجهة الأخطار السيبرانية بفاعلية، كما يتضح لنا الدور التنموي والمعرفي للهيئة؛ حيث أكدت على أهمية بناء القدرات الوطنية والمشاركة في البرامج التعليمية والتدريبية، وزيادة مستوى الوعي المجتمعي بالأمن السيبراني، كما أولت اهتمامًا خاصًا بتحفيز الاستثمار والابتكار في هذا المجال؛ ممَّا يساهم في تنمية قطاع الأمن السيبراني محليًا وتحقيق الاكتفاء الذاتي في التقنيات</w:t>
      </w:r>
      <w:r>
        <w:rPr>
          <w:rStyle w:val="None"/>
          <w:rFonts w:ascii="Times New Roman" w:hAnsi="Times New Roman"/>
          <w:sz w:val="24"/>
          <w:szCs w:val="24"/>
          <w:rtl/>
          <w:lang w:val="ar-SA"/>
        </w:rPr>
        <w:t>.</w:t>
      </w:r>
    </w:p>
    <w:p w14:paraId="38187E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يتبين أنَّ للهيئة دورًا دوليًا وتعاونيًا يتمثل في تمثيل المملكة في المحافل الإقليمية والدولية ذات الصلة، وتبادل الخبرات والمعرفة مع الجهات المماثلة خارج المملكة، كما تهتم بمتابعة تنفيذ التزاماتها الدولية، وهذا يعكس إدراكًا بأنَّ الأمن السيبراني قضية عابرة للحدود، تتطلب تنسيقًا دوليًا وشراكاتٍ فعَّالةً</w:t>
      </w:r>
      <w:r>
        <w:rPr>
          <w:rStyle w:val="None"/>
          <w:rFonts w:ascii="Times New Roman" w:hAnsi="Times New Roman"/>
          <w:sz w:val="24"/>
          <w:szCs w:val="24"/>
          <w:rtl/>
          <w:lang w:val="ar-SA"/>
        </w:rPr>
        <w:t>.</w:t>
      </w:r>
    </w:p>
    <w:p w14:paraId="1EC1A0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0525D257"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17030F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B6CD43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4915B372"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091ED1C"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9423D1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D2D6C3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29E9A22"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98BDDC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5C6C898"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460A51C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4EF071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0F0F7F8"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2765B86A"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46093C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810ED0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C626CA2"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6EE27B8"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9767F67"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2029027"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3760D3B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8A6685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42FD1104"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lastRenderedPageBreak/>
        <w:t>المطلب الثاني</w:t>
      </w:r>
    </w:p>
    <w:p w14:paraId="0182B0A1"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الحماية التكنولوجية للمنتجات الفكرية في البيئة الرقمية</w:t>
      </w:r>
    </w:p>
    <w:p w14:paraId="0DBED2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الحماية التكنولوجية للمنتجات الفكرية في البيئة الرقمية ضرورة ملحة في ظل الانتشار الواسع للتقنيات الحديثة؛ ممَّا يسهل نسخ، وتداول، واستغلال المصنفات بطرق غير قانونية، فمع تطوُّر البرمجيات والشبكات الرقمية ظهرت آليات تقنية متعددة تهدف إلى حماية حقوق المبدعين والمؤلفين، وتأتي هذه الحماية التكنولوجية كوسيلة تكميلية للتشريعات القانونية؛ حيث توفر ضمانًا عمليًا وسريعًا للحد من الانتهاكات</w:t>
      </w:r>
      <w:r>
        <w:rPr>
          <w:rStyle w:val="None"/>
          <w:rFonts w:ascii="Times New Roman" w:hAnsi="Times New Roman"/>
          <w:sz w:val="24"/>
          <w:szCs w:val="24"/>
          <w:rtl/>
          <w:lang w:val="ar-SA"/>
        </w:rPr>
        <w:t>.</w:t>
      </w:r>
    </w:p>
    <w:p w14:paraId="6CA6F2E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يُعَدُّ المصنف خلاصةَ جهد المؤلف وثمرة عمله، ومع التطوُّر السريع والمسامر في تكنولوجيا المعلومات ظهر ما يعرف باسم النشر الإلكتروني الذي أتاح النتاج الفكري البشري من خلال وسيط إلكتروني، أو على شبكة الإنترنت، ولكن مع تخوف الناشرين من نشر مصنفاتهم على شبكة الإنترنت؛ نتيجة عمليات النسخ غير المشروعة، أو القرصنة، أو السرقات، كل هذا جعل هناك إحجام بعض الشركات على الاستمرار في عمليات النشر الإلكتروني، وهو ما فرض ضرورة وضع تدابير إلكترونية لحماية هذه المصنفات البيئة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C24C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استراتيجية الحماية بالتقنية</w:t>
      </w:r>
      <w:r>
        <w:rPr>
          <w:rStyle w:val="None"/>
          <w:rFonts w:ascii="Times New Roman" w:hAnsi="Times New Roman"/>
          <w:b/>
          <w:bCs/>
          <w:sz w:val="28"/>
          <w:szCs w:val="28"/>
          <w:rtl/>
          <w:lang w:val="ar-SA"/>
        </w:rPr>
        <w:t>:</w:t>
      </w:r>
    </w:p>
    <w:p w14:paraId="4807FB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الاعتداء على الملكية الفكرية خطرًا عظيمًا على المستقبل الإبداعي للأمة؛ حيث إنَّه يحمل في طياته العديد من الجرائم، وهذا يؤدي بدوره إلى ضياع الحقوق، ولما كان للوسائل الإلكترونية الحديثة أهمية كبيرة في عملية الرقابة، والحماية، والحد من الجرائم، وكشفها عن طريق تسجيلها وإثباتها بالوسائل التقنية، فكان استخدامها أمرًا ضروريًا؛ لأنَّ المجرم أو المعتدي إذا علم أنَّ أفعاله مراقبة ومسجلة، فإنَّه لن يقدم على ارتكاب الجرائم خوفًا من الجزاء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4A5631" w14:textId="77777777" w:rsidR="00454428" w:rsidRDefault="00000000" w:rsidP="00C72BA8">
      <w:pPr>
        <w:pStyle w:val="Body"/>
        <w:numPr>
          <w:ilvl w:val="0"/>
          <w:numId w:val="300"/>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التوقيع الإلكتروني</w:t>
      </w:r>
      <w:r>
        <w:rPr>
          <w:rStyle w:val="None"/>
          <w:rFonts w:ascii="Times New Roman" w:hAnsi="Times New Roman"/>
          <w:b/>
          <w:bCs/>
          <w:sz w:val="28"/>
          <w:szCs w:val="28"/>
          <w:rtl/>
          <w:lang w:val="ar-SA"/>
        </w:rPr>
        <w:t>:</w:t>
      </w:r>
    </w:p>
    <w:p w14:paraId="3FD98D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التوقيع الإلكتروني من أبرز الوسائل التقنية الحديثة التي أصبحت ضروريةً في البيئة الرقمية؛ وذلك لما تقدمه من ضمانات تتعلق بسلامة المعاملات الإلكترونية، وحماية الحقوق المرتبطة بها، ولا يقتصر دوره على إثبات هُوِيَّة الأطراف المتعاملة، بل يمتد ليكون أداةً فعَّالةً في حماية الملكية الفكرية؛ حيث يتيح للمؤلفين والمبدعين توثيق نتاجهم وإثبات نسبته إليهم بوسيلة رقمية يصعب التلاعب بها أو إنكارها؛ لذا فإنَّ اعتماد التوقيع الإلكتروني في البيئة الرقمية يعزّز من الموثوقية في التعاملات المتعلقة بالمصنفات الفكرية</w:t>
      </w:r>
      <w:r>
        <w:rPr>
          <w:rStyle w:val="None"/>
          <w:rFonts w:ascii="Times New Roman" w:hAnsi="Times New Roman"/>
          <w:sz w:val="24"/>
          <w:szCs w:val="24"/>
          <w:rtl/>
          <w:lang w:val="ar-SA"/>
        </w:rPr>
        <w:t>.</w:t>
      </w:r>
    </w:p>
    <w:p w14:paraId="180F051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التوقيع الإلكتروني مكافئًا رقميًّا للتوقيع بخط اليد، ويمكن استخدامه لمصادقة هُوِيَّة الموقع على المستند، وللتأكيد أيضًا على سلامة بيانات المستند، أو من أجل مصادقة هُوِيَّة المرسل والتأكد من أنَّ المحتوى الأصلي للرسالة أو </w:t>
      </w:r>
      <w:r>
        <w:rPr>
          <w:rStyle w:val="None"/>
          <w:rFonts w:ascii="Arial Unicode MS" w:hAnsi="Arial Unicode MS" w:cs="Times New Roman" w:hint="cs"/>
          <w:sz w:val="24"/>
          <w:szCs w:val="24"/>
          <w:rtl/>
          <w:lang w:val="ar-SA"/>
        </w:rPr>
        <w:lastRenderedPageBreak/>
        <w:t xml:space="preserve">المستند، الذي تم إرساله لم يتغير، ويستخدم لتوقيع وثيقة إلكترونيًا، ويمكن لأي شخص التحقق من التوقيع، وإذا تم استخدامه بشكل صحيح، فإنَّه يضمن سلامة الرسالة الموقعة وكذلك هُوِيَّة الموقع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343F5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أداة التوقيع الإلكتروني تفيد في توفير إمكانية توقيع المرسل للمعطيات المرسلة من قِبله إلكترونيًا؛ بحيث يمكن للمستقبل أنْ يتحقق من هذا التوقيع عند استلام المعطيات؛ للتأكد من هُوِيَّة المرسل، ويتم ذلك باستخدام المفتاح الخاص بالمرسل؛ لتوقيع المعطيات قبل إرسالها، ثم يستخدم المستقبل المفتاح العام للمرسل والمعروف من قبل الجميع للتحقق من صحة التوقيع على نفس المعطيات المستقبلة من قِبله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23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عرَّفه المنظم في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نظام التعاملات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بيانات إلكترونية مدرجة في تعامل إلكتروني، أو مضافة إليه، أو مرتبطة به منطقيًا تستخدم لإثبات هُوِيَّة الموقِّع وموافقته على التعامل الإلكتروني، واكتشاف أي تعديل يطرأ على هذا التعامل بعد التوقيع عليه</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أوضح المنظم السعودي التوقيع الإلكتروني في المادة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من ذات القانون، والتي نصت على</w:t>
      </w:r>
      <w:r>
        <w:rPr>
          <w:rStyle w:val="None"/>
          <w:rFonts w:ascii="Times New Roman" w:hAnsi="Times New Roman"/>
          <w:sz w:val="24"/>
          <w:szCs w:val="24"/>
          <w:rtl/>
          <w:lang w:val="ar-SA"/>
        </w:rPr>
        <w:t>:</w:t>
      </w:r>
    </w:p>
    <w:p w14:paraId="275CE5EA" w14:textId="77777777" w:rsidR="00454428" w:rsidRDefault="00000000" w:rsidP="00C72BA8">
      <w:pPr>
        <w:pStyle w:val="Body"/>
        <w:numPr>
          <w:ilvl w:val="0"/>
          <w:numId w:val="30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اشترط وجود توقيع خطي على مستند، أو عقد، أو نحوه، فإنَّ 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يتم وفقًا لهذا النظام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يُعَدُّ مستوفيًا لهذا الشرط، ويُعَدُّ التوقيع الإلكتروني بمثابة التوقيع الخطي، وله الآثار النظامية نفسها</w:t>
      </w:r>
      <w:r>
        <w:rPr>
          <w:rStyle w:val="None"/>
          <w:rFonts w:ascii="Times New Roman" w:hAnsi="Times New Roman"/>
          <w:sz w:val="24"/>
          <w:szCs w:val="24"/>
          <w:rtl/>
          <w:lang w:val="ar-SA"/>
        </w:rPr>
        <w:t>.</w:t>
      </w:r>
    </w:p>
    <w:p w14:paraId="31ED1627" w14:textId="77777777" w:rsidR="00454428" w:rsidRDefault="00000000" w:rsidP="00C72BA8">
      <w:pPr>
        <w:pStyle w:val="Body"/>
        <w:numPr>
          <w:ilvl w:val="0"/>
          <w:numId w:val="30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يرغب في إجراء توقيع إلكتروني أنْ يقوم بذلك وفقًا لأحكام هذا النظام والضوابط والشروط والمواصفات التي تحددها اللائحة</w:t>
      </w:r>
      <w:r>
        <w:rPr>
          <w:rStyle w:val="None"/>
          <w:rFonts w:ascii="Times New Roman" w:hAnsi="Times New Roman"/>
          <w:sz w:val="24"/>
          <w:szCs w:val="24"/>
          <w:rtl/>
          <w:lang w:val="ar-SA"/>
        </w:rPr>
        <w:t>.</w:t>
      </w:r>
    </w:p>
    <w:p w14:paraId="6F77A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التوقيع الإلكتروني يعتبر وسيلةً مهمةً لحماية حقوق المؤلف والمبدعين عند تسجيل الأعمال، وإبرام العقود الخاصة بمحتوياتهم، أو عند تسجيل أعمالهم والحصول على الترخيص اللازم لحماية حقوقهم، فالتوقيع الإلكترونية له أهمية في الحفاظ على المحتويات من الانتهاكات غير القانونية</w:t>
      </w:r>
      <w:r>
        <w:rPr>
          <w:rStyle w:val="None"/>
          <w:rFonts w:ascii="Times New Roman" w:hAnsi="Times New Roman"/>
          <w:sz w:val="24"/>
          <w:szCs w:val="24"/>
          <w:rtl/>
          <w:lang w:val="ar-SA"/>
        </w:rPr>
        <w:t>.</w:t>
      </w:r>
    </w:p>
    <w:p w14:paraId="5D8E2F90"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وعليه مراعاة ما يلي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86"/>
      </w:r>
      <w:r>
        <w:rPr>
          <w:rStyle w:val="None"/>
          <w:rFonts w:ascii="Times New Roman" w:hAnsi="Times New Roman"/>
          <w:sz w:val="24"/>
          <w:szCs w:val="24"/>
          <w:vertAlign w:val="superscript"/>
          <w:rtl/>
          <w:lang w:val="ar-SA"/>
        </w:rPr>
        <w:t>)</w:t>
      </w:r>
    </w:p>
    <w:p w14:paraId="32C37F81" w14:textId="77777777" w:rsidR="00454428" w:rsidRDefault="00000000" w:rsidP="00C72BA8">
      <w:pPr>
        <w:pStyle w:val="Body"/>
        <w:numPr>
          <w:ilvl w:val="0"/>
          <w:numId w:val="30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اتخاذ الاحتياطات اللازمة لتلافي أي استعمال غير مشروع لبيانات إنشاء التوقيع، أو المعدات الشخصية المتعلقة بتوقيعه، وتحدد اللائحة تلك الاحتياطات</w:t>
      </w:r>
      <w:r>
        <w:rPr>
          <w:rStyle w:val="None"/>
          <w:rFonts w:ascii="Times New Roman" w:hAnsi="Times New Roman"/>
          <w:sz w:val="24"/>
          <w:szCs w:val="24"/>
          <w:rtl/>
          <w:lang w:val="ar-SA"/>
        </w:rPr>
        <w:t>.</w:t>
      </w:r>
    </w:p>
    <w:p w14:paraId="10FF49B0" w14:textId="77777777" w:rsidR="00454428" w:rsidRDefault="00000000" w:rsidP="00C72BA8">
      <w:pPr>
        <w:pStyle w:val="Body"/>
        <w:numPr>
          <w:ilvl w:val="0"/>
          <w:numId w:val="30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إبلاغ مقدم خدمات التصديق عن أي استعمال غير مشروع؛ لتوقيعه وفق الإجراءات التي تحددها اللائحة</w:t>
      </w:r>
      <w:r>
        <w:rPr>
          <w:rStyle w:val="None"/>
          <w:rFonts w:ascii="Times New Roman" w:hAnsi="Times New Roman"/>
          <w:sz w:val="24"/>
          <w:szCs w:val="24"/>
          <w:rtl/>
          <w:lang w:val="ar-SA"/>
        </w:rPr>
        <w:t>.</w:t>
      </w:r>
    </w:p>
    <w:p w14:paraId="2CBAA5E7" w14:textId="77777777" w:rsidR="00454428" w:rsidRDefault="00000000" w:rsidP="00C72BA8">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إذا قدم توقيع إلكتروني في أي إجراء شرعي أو نظامي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الأصل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ما لم يثبت العكس أو تتفق الأطراف المعنية على خلاف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صحة الأمور التالية</w:t>
      </w:r>
      <w:r>
        <w:rPr>
          <w:rStyle w:val="None"/>
          <w:rFonts w:ascii="Times New Roman" w:hAnsi="Times New Roman"/>
          <w:sz w:val="24"/>
          <w:szCs w:val="24"/>
          <w:rtl/>
          <w:lang w:val="ar-SA"/>
        </w:rPr>
        <w:t>:</w:t>
      </w:r>
    </w:p>
    <w:p w14:paraId="0F7B54E7" w14:textId="77777777" w:rsidR="00454428" w:rsidRDefault="00000000" w:rsidP="00C72BA8">
      <w:pPr>
        <w:pStyle w:val="Body"/>
        <w:numPr>
          <w:ilvl w:val="0"/>
          <w:numId w:val="30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هو توقيع الشخص المحدد في شهادة التصديق الرقمي</w:t>
      </w:r>
      <w:r>
        <w:rPr>
          <w:rStyle w:val="None"/>
          <w:rFonts w:ascii="Times New Roman" w:hAnsi="Times New Roman"/>
          <w:sz w:val="24"/>
          <w:szCs w:val="24"/>
          <w:rtl/>
          <w:lang w:val="ar-SA"/>
        </w:rPr>
        <w:t>.</w:t>
      </w:r>
    </w:p>
    <w:p w14:paraId="0974EE6C" w14:textId="77777777" w:rsidR="00454428" w:rsidRDefault="00000000" w:rsidP="00C72BA8">
      <w:pPr>
        <w:pStyle w:val="Body"/>
        <w:numPr>
          <w:ilvl w:val="0"/>
          <w:numId w:val="30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أنَّ التوقيع الإلكتروني قد وضعه الشخص المحدد في شهادة التصديق الرقمي، وبحسب الغرض المحدد فيها</w:t>
      </w:r>
      <w:r>
        <w:rPr>
          <w:rStyle w:val="None"/>
          <w:rFonts w:ascii="Times New Roman" w:hAnsi="Times New Roman"/>
          <w:sz w:val="24"/>
          <w:szCs w:val="24"/>
          <w:rtl/>
          <w:lang w:val="ar-SA"/>
        </w:rPr>
        <w:t>.</w:t>
      </w:r>
    </w:p>
    <w:p w14:paraId="65EB6A2B" w14:textId="77777777" w:rsidR="00454428" w:rsidRDefault="00000000" w:rsidP="00C72BA8">
      <w:pPr>
        <w:pStyle w:val="Body"/>
        <w:numPr>
          <w:ilvl w:val="0"/>
          <w:numId w:val="30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التعامل الإلكتروني لم يطرأ عليه تغيير منذ وضع التوقيع الإلكتروني عليه</w:t>
      </w:r>
      <w:r>
        <w:rPr>
          <w:rStyle w:val="None"/>
          <w:rFonts w:ascii="Times New Roman" w:hAnsi="Times New Roman"/>
          <w:sz w:val="24"/>
          <w:szCs w:val="24"/>
          <w:rtl/>
          <w:lang w:val="ar-SA"/>
        </w:rPr>
        <w:t>.</w:t>
      </w:r>
    </w:p>
    <w:p w14:paraId="1354D1A9" w14:textId="77777777" w:rsidR="00454428" w:rsidRDefault="00000000" w:rsidP="00C72BA8">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لم يستوفِ التوقيع الإلكتروني الضوابط والشروط المحددة في هذا النظام واللائحة، فإنَّ أصل الصحة المقرر بموجب الفقرة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هذه المادة لا يقوم للتوقيع ولا للتعامل الإلكتروني المرتبط به</w:t>
      </w:r>
      <w:r>
        <w:rPr>
          <w:rStyle w:val="None"/>
          <w:rFonts w:ascii="Times New Roman" w:hAnsi="Times New Roman"/>
          <w:sz w:val="24"/>
          <w:szCs w:val="24"/>
          <w:rtl/>
          <w:lang w:val="ar-SA"/>
        </w:rPr>
        <w:t>.</w:t>
      </w:r>
    </w:p>
    <w:p w14:paraId="37FBF24C" w14:textId="77777777" w:rsidR="00454428" w:rsidRDefault="00000000" w:rsidP="00C72BA8">
      <w:pPr>
        <w:pStyle w:val="Body"/>
        <w:numPr>
          <w:ilvl w:val="0"/>
          <w:numId w:val="30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يعتمد التوقيع الإلكتروني لشخص آخر أنْ يبذل العناية اللازمة للتحقق من صحة التوقيع، وذلك باستخدام بيانات التحقق من التوقيع الإلكتروني وفق الإجراءات التي تحددها اللائحة</w:t>
      </w:r>
      <w:r>
        <w:rPr>
          <w:rStyle w:val="None"/>
          <w:rFonts w:ascii="Times New Roman" w:hAnsi="Times New Roman"/>
          <w:sz w:val="24"/>
          <w:szCs w:val="24"/>
          <w:rtl/>
          <w:lang w:val="ar-SA"/>
        </w:rPr>
        <w:t>.</w:t>
      </w:r>
    </w:p>
    <w:p w14:paraId="578B2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التوقيع الإلكتروني يعتبر وسيلةً موثوقةً وفعَّالةً لإضافة الثقة في التعاملات الإلكترونية، بما يعادل التوقيع الخطي من حيث الآثار القانونية، فقد أوضح المنظم السعودي من خلال نظام التعاملات الإلكترونية إطارًا متكاملًا يضمن إثبات هُوِيَّة الموقِّع وحماية محتوى المستندات من أي تعديل أو تلاعب؛ ممَّا يعزّز موثوقية التعاملات الرقمية، كما يلعب التوقيع الإلكتروني دورًا مهمًّا في تعزيز الثقة في البيئة الرقمية، خاصةً في مجال حماية حقوق الملكية الفكرية، فهو يتيح لأصحاب الحقوق توثيق نتاجهم، وإثبات نسبته إليهم بوسيلة يصعب إنكارها أو التلاعب بها؛ ممَّا يساهم في حماية المصنفات الفكرية من الاعتداءات الرقمية</w:t>
      </w:r>
      <w:r>
        <w:rPr>
          <w:rStyle w:val="None"/>
          <w:rFonts w:ascii="Times New Roman" w:hAnsi="Times New Roman"/>
          <w:sz w:val="24"/>
          <w:szCs w:val="24"/>
          <w:rtl/>
          <w:lang w:val="ar-SA"/>
        </w:rPr>
        <w:t>.</w:t>
      </w:r>
    </w:p>
    <w:p w14:paraId="104CFA43" w14:textId="77777777" w:rsidR="00454428" w:rsidRDefault="00000000" w:rsidP="00C72BA8">
      <w:pPr>
        <w:pStyle w:val="Body"/>
        <w:numPr>
          <w:ilvl w:val="0"/>
          <w:numId w:val="30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فرض أنظمة الحماية الرقمية</w:t>
      </w:r>
      <w:r>
        <w:rPr>
          <w:rStyle w:val="None"/>
          <w:rFonts w:ascii="Times New Roman" w:hAnsi="Times New Roman"/>
          <w:b/>
          <w:bCs/>
          <w:sz w:val="28"/>
          <w:szCs w:val="28"/>
          <w:rtl/>
          <w:lang w:val="ar-SA"/>
        </w:rPr>
        <w:t>:</w:t>
      </w:r>
    </w:p>
    <w:p w14:paraId="7429A2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الكبير في استخدام التقنيات الرقمية إلى ظهور حاجة ملحة لفرض أنظمة حماية رقمية تضمن صون البيانات والمعلومات، ومنع التلاعب بها في بيئة يسهل فيها ارتكاب الانتهاجات، فتعمل هذه الأنظمة كأداة ردع؛ حيث تحمي المعاملات الإلكترونية والمنتجات الفكرية من الأخطار التي تهدد سلامتها</w:t>
      </w:r>
      <w:r>
        <w:rPr>
          <w:rStyle w:val="None"/>
          <w:rFonts w:ascii="Times New Roman" w:hAnsi="Times New Roman"/>
          <w:sz w:val="24"/>
          <w:szCs w:val="24"/>
          <w:rtl/>
          <w:lang w:val="ar-SA"/>
        </w:rPr>
        <w:t>.</w:t>
      </w:r>
    </w:p>
    <w:p w14:paraId="7C5376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عبارة عن أنظمة وبرمجيات معينة تعطي للجهاز الذي يقوم بتنزيل الملفات والمصنفات المحمية من الإنترنت كودًا أو كلمةَ سر معينة تسمح بفتح هذه المصنفات، والاستفادة منها فقط على الجهاز الذي تم تنزيلها عليه، وبذلك لا يتمكن المستفيد من نسخ هذه المصنفات التي قام بتنزيلها ولا حتى إعادة توزيعها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E3016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أنَّها تهدف إلى إعاقة الوصول إلى المصنف والاستفادة منه، إلا لمن يحمل ترخيصًا من صاحب الحق نفسه، وإحصاء جميع المصنفات المنشورة على الإنترنت ومعرفة تداولها ومراقبة كل نشر لها على أنْ يكون قد تم تسجيلها دوليًا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BA4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أنَّها تهتم باستخدام شفرة معينة، أو كلمة مرور توضع على أجهزة الكمبيوتر، أو بعض البرامج فيه، أو على الأقراص المدمجة وما شابهها، أو على بعض مواقع الإنترنت، أو بعض الموضوعات والمصنفات المحمية </w:t>
      </w:r>
      <w:r>
        <w:rPr>
          <w:rStyle w:val="None"/>
          <w:rFonts w:ascii="Arial Unicode MS" w:hAnsi="Arial Unicode MS" w:cs="Times New Roman" w:hint="cs"/>
          <w:sz w:val="24"/>
          <w:szCs w:val="24"/>
          <w:rtl/>
          <w:lang w:val="ar-SA"/>
        </w:rPr>
        <w:lastRenderedPageBreak/>
        <w:t xml:space="preserve">فيها؛ لتَحُولَ بينَ، أو تعيق وصول أي شخص لها، أو للحيلولة دون إمكانية نسخ هذه البرامج أو المصنفات والتعديل عليها، أو توزيعها أو حتى طباعتها دون إذن من صاحب الحق فيها، بل تقوم بعض المواقع بإجراء استكمالي آخر، وهو نشر بيانات صاحب الحق بالمصنف الرقمي المحمي، وإتاحة الفرصة للراغبين بالاستفادة من هذه المصنفات المحمية بالاستفادة الفعلية منها بمقابل مادي معين يدفعه المستفيد بطرق عادية أو 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16B0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تستخدم أنظمةً تتيح تتبُّع الأجهزة التي تم نقل مصنفات محمية لها بصورة غير شرعية أو تم من خلالها إحدى صور استغلال الملكية الفكرية، ومعرفة مزود الخدمة الرئيسي لهذا الجهاز؛ ممَّا يتيح ملاحقة صاحب هذا الجهاز قانونيًا، كما تمكن أنظمة التتبع هذه من تتبع جميع النسخ الإلكترونية لأي من المصنفات المحمية، ومتابعة ما يحدث لها من نسخ أو توزيع وما شابه ذلك؛ ممَّا يمكن صاحب الحق بهذه المصنفات المحمية من ملاحقة منتهكي حقوقه الفكرية، والتي تنتهك وتستغل أيًا من عناصر الملكية الفكرية، أو يتم من خلالها انتهاك عناصر الملكية الفكرية من خلال سماحها وسكوتها عن الاعتداءات التي تحدث لعناصر الملكية الفكرية في هذه المواقع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1D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مسئولية الاعتداء على حق المؤلف في البيئة الرقمية من خلال المادة </w:t>
      </w:r>
      <w:r>
        <w:rPr>
          <w:rStyle w:val="None"/>
          <w:rFonts w:ascii="Times New Roman" w:hAnsi="Times New Roman"/>
          <w:sz w:val="24"/>
          <w:szCs w:val="24"/>
          <w:rtl/>
          <w:lang w:val="ar-SA"/>
        </w:rPr>
        <w:t xml:space="preserve">(15)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يعتبر تعديًا على حق المؤلف كلُّ عمل يؤدي إلى إزالة المعلومات الاحترازية الأصلية من الأجهزة الإلكترونية التي أنتجها الصانع، ويُعَدُّ متعديًا كل من يسهل ذلك مثل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1"/>
      </w:r>
      <w:r>
        <w:rPr>
          <w:rStyle w:val="None"/>
          <w:rFonts w:ascii="Times New Roman" w:hAnsi="Times New Roman"/>
          <w:sz w:val="24"/>
          <w:szCs w:val="24"/>
          <w:vertAlign w:val="superscript"/>
          <w:rtl/>
          <w:lang w:val="ar-SA"/>
        </w:rPr>
        <w:t>)</w:t>
      </w:r>
    </w:p>
    <w:p w14:paraId="380A5AC8" w14:textId="77777777" w:rsidR="00454428" w:rsidRDefault="00000000" w:rsidP="00C72BA8">
      <w:pPr>
        <w:pStyle w:val="Body"/>
        <w:numPr>
          <w:ilvl w:val="0"/>
          <w:numId w:val="31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إزالة أو إضافة شرائح إلكترونية أو غير إلكترونية لأجهزة العرض والاستقبال بغرض تجاوز الحدود التي وضعها الصانع</w:t>
      </w:r>
      <w:r>
        <w:rPr>
          <w:rStyle w:val="None"/>
          <w:rFonts w:ascii="Times New Roman" w:hAnsi="Times New Roman"/>
          <w:sz w:val="24"/>
          <w:szCs w:val="24"/>
          <w:rtl/>
          <w:lang w:val="ar-SA"/>
        </w:rPr>
        <w:t>.</w:t>
      </w:r>
    </w:p>
    <w:p w14:paraId="0049888C" w14:textId="77777777" w:rsidR="00454428" w:rsidRDefault="00000000" w:rsidP="00C72BA8">
      <w:pPr>
        <w:pStyle w:val="Body"/>
        <w:numPr>
          <w:ilvl w:val="0"/>
          <w:numId w:val="31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إلغاء البرنامج الأصلي المشغل لأجهزة العرض، والاستقبال، وتحميلها ببرامج مزورة بغرض تجاوز الحدود والإمكانيات التي صمم لها الجهاز</w:t>
      </w:r>
      <w:r>
        <w:rPr>
          <w:rStyle w:val="None"/>
          <w:rFonts w:ascii="Times New Roman" w:hAnsi="Times New Roman"/>
          <w:sz w:val="24"/>
          <w:szCs w:val="24"/>
          <w:rtl/>
          <w:lang w:val="ar-SA"/>
        </w:rPr>
        <w:t>.</w:t>
      </w:r>
    </w:p>
    <w:p w14:paraId="200806D4" w14:textId="77777777" w:rsidR="00454428" w:rsidRDefault="00000000" w:rsidP="00C72BA8">
      <w:pPr>
        <w:pStyle w:val="Body"/>
        <w:spacing w:before="120" w:after="120" w:line="360" w:lineRule="auto"/>
        <w:ind w:left="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اتبع نهجًا صارمًا في مواجهة أي محاولة للتحايل على الأنظمة التقنية الموضوعة لحماية المصنفات الرقمية؛ حيث اعتبر أنَّ إزالة أو تعديل المعلومات الاحترازية الأصلية أو استبدال البرامج المشغلة للأجهزة يُعَدُّ تعديًا صريحًا على حق المؤلف، وهذا ما يعكس الوعي بخطورة هذه الأفعال التي قد تفتح المجال أمام نسخ أو استغلال غير مشروع للمصنفات؛ ممَّا يهدد حقوق أصحابها</w:t>
      </w:r>
      <w:r>
        <w:rPr>
          <w:rStyle w:val="None"/>
          <w:rFonts w:ascii="Times New Roman" w:hAnsi="Times New Roman"/>
          <w:sz w:val="24"/>
          <w:szCs w:val="24"/>
          <w:rtl/>
          <w:lang w:val="ar-SA"/>
        </w:rPr>
        <w:t>.</w:t>
      </w:r>
    </w:p>
    <w:p w14:paraId="6EFAAD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تنص المادة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أي تعديل بالأجهزة أو بالبرامج المخصصة للعرض والاستقبال؛ بهدف تجاوز الحدود التي وضعها الصانع يعتبر اعتداءً صريحًا على حقوق المؤلف، سواء بإضافة أو إزالة أي شرائح إلكترونية، أو تزويدها ببرامج مزورة، فمن خلال هذه المادة فقد حرص المنظم السعودي على حماية المصنفات الرقمية من الاستخدام غير القانوني</w:t>
      </w:r>
      <w:r>
        <w:rPr>
          <w:rStyle w:val="None"/>
          <w:rFonts w:ascii="Times New Roman" w:hAnsi="Times New Roman"/>
          <w:sz w:val="24"/>
          <w:szCs w:val="24"/>
          <w:rtl/>
          <w:lang w:val="ar-SA"/>
        </w:rPr>
        <w:t>.</w:t>
      </w:r>
    </w:p>
    <w:p w14:paraId="21E603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اهتم المنظم السعودي بتوضيح الحماية التي تتمتع بها برامج الحاسب الآلي، من خلال المادة </w:t>
      </w:r>
      <w:r>
        <w:rPr>
          <w:rStyle w:val="None"/>
          <w:rFonts w:ascii="Times New Roman" w:hAnsi="Times New Roman"/>
          <w:sz w:val="24"/>
          <w:szCs w:val="24"/>
          <w:rtl/>
          <w:lang w:val="ar-SA"/>
        </w:rPr>
        <w:t xml:space="preserve">(16)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2"/>
      </w:r>
      <w:r>
        <w:rPr>
          <w:rStyle w:val="None"/>
          <w:rFonts w:ascii="Times New Roman" w:hAnsi="Times New Roman"/>
          <w:sz w:val="24"/>
          <w:szCs w:val="24"/>
          <w:vertAlign w:val="superscript"/>
          <w:rtl/>
          <w:lang w:val="ar-SA"/>
        </w:rPr>
        <w:t>)</w:t>
      </w:r>
    </w:p>
    <w:p w14:paraId="101DE8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تتمتع بالحماية برامج الحاسب الآلي وبرامج ألعاب الحاسوب، سواء كانت بلُغة المصدر، أو بلُغة الآلة باعتبارها أعمالًا أدبيةً</w:t>
      </w:r>
      <w:r>
        <w:rPr>
          <w:rStyle w:val="None"/>
          <w:rFonts w:ascii="Times New Roman" w:hAnsi="Times New Roman"/>
          <w:sz w:val="24"/>
          <w:szCs w:val="24"/>
          <w:rtl/>
          <w:lang w:val="ar-SA"/>
        </w:rPr>
        <w:t>.</w:t>
      </w:r>
    </w:p>
    <w:p w14:paraId="666C6A8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83FD7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تعديًا على حق المؤلف كل استخدام للبرامج يخالف الاستخدامات التي يحددها صاحب الحق، مثل</w:t>
      </w:r>
      <w:r>
        <w:rPr>
          <w:rStyle w:val="None"/>
          <w:rFonts w:ascii="Times New Roman" w:hAnsi="Times New Roman"/>
          <w:sz w:val="24"/>
          <w:szCs w:val="24"/>
          <w:rtl/>
          <w:lang w:val="ar-SA"/>
        </w:rPr>
        <w:t>:</w:t>
      </w:r>
    </w:p>
    <w:p w14:paraId="744B3D84" w14:textId="77777777" w:rsidR="00454428" w:rsidRDefault="00000000" w:rsidP="00C72BA8">
      <w:pPr>
        <w:pStyle w:val="Body"/>
        <w:numPr>
          <w:ilvl w:val="0"/>
          <w:numId w:val="31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استنساخ البرامج وبرامج الألعاب</w:t>
      </w:r>
      <w:r>
        <w:rPr>
          <w:rStyle w:val="None"/>
          <w:rFonts w:ascii="Times New Roman" w:hAnsi="Times New Roman"/>
          <w:sz w:val="24"/>
          <w:szCs w:val="24"/>
          <w:rtl/>
          <w:lang w:val="ar-SA"/>
        </w:rPr>
        <w:t>.</w:t>
      </w:r>
    </w:p>
    <w:p w14:paraId="0583E76B" w14:textId="77777777" w:rsidR="00454428" w:rsidRDefault="00000000" w:rsidP="00C72BA8">
      <w:pPr>
        <w:pStyle w:val="Body"/>
        <w:numPr>
          <w:ilvl w:val="0"/>
          <w:numId w:val="31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تأجير البرامج، أو برامج الألعاب، أو الترخيص بالاستخدام الجماعي لها بدون وجود وثائق تخول المؤجر بممارسة هذا الحق</w:t>
      </w:r>
      <w:r>
        <w:rPr>
          <w:rStyle w:val="None"/>
          <w:rFonts w:ascii="Times New Roman" w:hAnsi="Times New Roman"/>
          <w:sz w:val="24"/>
          <w:szCs w:val="24"/>
          <w:rtl/>
          <w:lang w:val="ar-SA"/>
        </w:rPr>
        <w:t>.</w:t>
      </w:r>
    </w:p>
    <w:p w14:paraId="3051AE17" w14:textId="77777777" w:rsidR="00454428" w:rsidRDefault="00000000" w:rsidP="00C72BA8">
      <w:pPr>
        <w:pStyle w:val="Body"/>
        <w:numPr>
          <w:ilvl w:val="0"/>
          <w:numId w:val="31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تحميل الشبكات الداخلية، أو الأجهزة ببرامج مستنسخة</w:t>
      </w:r>
      <w:r>
        <w:rPr>
          <w:rStyle w:val="None"/>
          <w:rFonts w:ascii="Times New Roman" w:hAnsi="Times New Roman"/>
          <w:sz w:val="24"/>
          <w:szCs w:val="24"/>
          <w:rtl/>
          <w:lang w:val="ar-SA"/>
        </w:rPr>
        <w:t>.</w:t>
      </w:r>
    </w:p>
    <w:p w14:paraId="4890875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أقر بحماية شاملة لبرامج الحاسب الآلي وبرامج الألعاب؛ حيث اعتبرها أعمالًا أدبيةً تستفيد من كافة صور الحماية المقررة للملكية الفكرية، ويعكس هذه الإدراك لقيمتها الاقتصادية والفكرية في البيئة الرقمية، كما شدد على تجريم أي استخدام مخالف لحقوق صاحب البرنامج، سواء كان ذلك من خلال النسخ غير المشروع أو التأجير، أو الاستخدام الجماعي، أو التحميل غير المصرح به؛ بهدف منع استغلال هذه البرامج بطرق غير قانونية</w:t>
      </w:r>
      <w:r>
        <w:rPr>
          <w:rStyle w:val="None"/>
          <w:rFonts w:ascii="Times New Roman" w:hAnsi="Times New Roman"/>
          <w:sz w:val="24"/>
          <w:szCs w:val="24"/>
          <w:rtl/>
          <w:lang w:val="ar-SA"/>
        </w:rPr>
        <w:t>.</w:t>
      </w:r>
    </w:p>
    <w:p w14:paraId="6BA5E0E9" w14:textId="77777777" w:rsidR="00454428" w:rsidRDefault="00000000" w:rsidP="00C72BA8">
      <w:pPr>
        <w:pStyle w:val="Body"/>
        <w:numPr>
          <w:ilvl w:val="0"/>
          <w:numId w:val="314"/>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توقيف أو تجميد أو إلغاء اشتراك المواقع الإلكترونية</w:t>
      </w:r>
      <w:r>
        <w:rPr>
          <w:rStyle w:val="None"/>
          <w:rFonts w:ascii="Times New Roman" w:hAnsi="Times New Roman"/>
          <w:b/>
          <w:bCs/>
          <w:sz w:val="28"/>
          <w:szCs w:val="28"/>
          <w:rtl/>
          <w:lang w:val="ar-SA"/>
        </w:rPr>
        <w:t>:</w:t>
      </w:r>
    </w:p>
    <w:p w14:paraId="55B23A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توقيف المواقع الإلكترونية من أبرز الآليات لمواجهة الاعتداءات التي تتعرض لها حقوق الملكية الفكرية في البيئة الرقمية، فتكتسب هذه الوسيلة أهميتها؛ كونها إجراءً وقائيًّا وردعيًّا في نفس الوقت؛ حيث تُمكن أصحاب الحقوق من حماية مصنفاتهم من التداول غير المشروع</w:t>
      </w:r>
      <w:r>
        <w:rPr>
          <w:rStyle w:val="None"/>
          <w:rFonts w:ascii="Times New Roman" w:hAnsi="Times New Roman"/>
          <w:sz w:val="24"/>
          <w:szCs w:val="24"/>
          <w:rtl/>
          <w:lang w:val="ar-SA"/>
        </w:rPr>
        <w:t xml:space="preserve">. </w:t>
      </w:r>
    </w:p>
    <w:p w14:paraId="317E74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تتيح بعض المواقع إيقاف أو تجميد صلاحيات المشارك لفترة زمنية محددة إذا حدث إخلال من جهاز الحاسوب الذي يستخدمه للدخول، أو إلغاء اشتراكه بالمواقع الإلكترونية إذا كان هناك انتهاك واضح، أو تَعَدٍّ على أحد مكونات الملكية الفكرية، أو تنفيذ اعتداء لموقع الخدمة، وهذا بحسب نوع الحدث الناتج من المستخدم وبخاصة إذا تكرر منه، وبعض المواقع توقف حساب المستخدم مع تزايد عدد التحميلات عن الحد المحدد والمسموح به من قِبل الموقع لفترة زمنية، ثم تعيد فتح الحساب مرة أخرى، أما إذا كان التجاوز يُعَدُّ انتهاكًا يؤثر على الملكية الفكرية أو يتضمن اعتداءً على موقع الخدمة؛ فيكون إلغاء الاشتراك هو الجزاء المناسب، وقد يصل الأمر لملاحقة المشترك إذا أصاب الموقع ضررًا جرَّاء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4AC3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إجراءات الحجب المؤقت والإحالة في المادة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تتولى الإدارة المختصة في الهيئة مباشرة إجراءات الاستدعاء والحجب المؤقت للمواقع الإلكترونية في شبكة الإنترنت العالمية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حسب الإجراءات النظامية المتبعة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التي ثبت مخالفتها لأحكام النظام واللائحة، ولها في سبيل ذلك التالي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4D3DD6" w14:textId="77777777" w:rsidR="00454428" w:rsidRDefault="00000000" w:rsidP="00C72BA8">
      <w:pPr>
        <w:pStyle w:val="Body"/>
        <w:numPr>
          <w:ilvl w:val="0"/>
          <w:numId w:val="31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استدعاء مالك الموقع الإلكتروني المنسوب له المخالفة لمراجعة الإدارة المختصة خلال يوم عمل من تاريخ الاستدعاء</w:t>
      </w:r>
      <w:r>
        <w:rPr>
          <w:rStyle w:val="None"/>
          <w:rFonts w:ascii="Times New Roman" w:hAnsi="Times New Roman"/>
          <w:sz w:val="24"/>
          <w:szCs w:val="24"/>
          <w:rtl/>
          <w:lang w:val="ar-SA"/>
        </w:rPr>
        <w:t>.</w:t>
      </w:r>
    </w:p>
    <w:p w14:paraId="544A29C9" w14:textId="77777777" w:rsidR="00454428" w:rsidRDefault="00000000" w:rsidP="00C72BA8">
      <w:pPr>
        <w:pStyle w:val="Body"/>
        <w:numPr>
          <w:ilvl w:val="0"/>
          <w:numId w:val="31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عدم التجاوب مع الاستدعاء أو لم يتبين وجود قنوات محلية للتواصل مع مالك الموقع، يتم حجب الموقع الإلكتروني مؤقتًا، لحين مراجعة الإدارة المختصة، وتقديم ما يثبت نظامية عدم وجود التعدي محل المساءلة</w:t>
      </w:r>
      <w:r>
        <w:rPr>
          <w:rStyle w:val="None"/>
          <w:rFonts w:ascii="Times New Roman" w:hAnsi="Times New Roman"/>
          <w:sz w:val="24"/>
          <w:szCs w:val="24"/>
          <w:rtl/>
          <w:lang w:val="ar-SA"/>
        </w:rPr>
        <w:t>.</w:t>
      </w:r>
    </w:p>
    <w:p w14:paraId="3C31E534" w14:textId="77777777" w:rsidR="00454428" w:rsidRDefault="00000000" w:rsidP="00C72BA8">
      <w:pPr>
        <w:pStyle w:val="Body"/>
        <w:numPr>
          <w:ilvl w:val="0"/>
          <w:numId w:val="31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للهيئة التنسيق مع مقدمي الخدمة والمواقع المستضيفة ومن في حكمهم؛ لتزويد الإدارة المختصة بالبيانات اللازمة للمواقع الإلكترونية، التي يشتبه مخالفاتها لحق المؤلف وفق ما يتوفر من دلائل أولية</w:t>
      </w:r>
      <w:r>
        <w:rPr>
          <w:rStyle w:val="None"/>
          <w:rFonts w:ascii="Times New Roman" w:hAnsi="Times New Roman"/>
          <w:sz w:val="24"/>
          <w:szCs w:val="24"/>
          <w:rtl/>
          <w:lang w:val="ar-SA"/>
        </w:rPr>
        <w:t>.</w:t>
      </w:r>
    </w:p>
    <w:p w14:paraId="6132C5EB" w14:textId="77777777" w:rsidR="00454428" w:rsidRDefault="00000000" w:rsidP="00C72BA8">
      <w:pPr>
        <w:pStyle w:val="Body"/>
        <w:numPr>
          <w:ilvl w:val="0"/>
          <w:numId w:val="31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حالة توفر بيانات مالك الموقع الإلكتروني ولم يتم التجاوب مع الاستدعاء بعد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ثمانية أيامِ عملٍ من بداية الحجب المؤقت، تتم إحالة أوراق القضية إلى الجنة؛ لإصدار القرار بشأنها</w:t>
      </w:r>
      <w:r>
        <w:rPr>
          <w:rStyle w:val="None"/>
          <w:rFonts w:ascii="Times New Roman" w:hAnsi="Times New Roman"/>
          <w:sz w:val="24"/>
          <w:szCs w:val="24"/>
          <w:rtl/>
          <w:lang w:val="ar-SA"/>
        </w:rPr>
        <w:t>.</w:t>
      </w:r>
    </w:p>
    <w:p w14:paraId="73DFB3E4" w14:textId="77777777" w:rsidR="00454428" w:rsidRDefault="00000000" w:rsidP="00C72BA8">
      <w:pPr>
        <w:pStyle w:val="Body"/>
        <w:numPr>
          <w:ilvl w:val="0"/>
          <w:numId w:val="31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الحجب المؤقت بشكل فوري للمواقع الإلكترونية المخالفة، على أنْ يحتوي الموقع الإلكتروني الذي يثبت مخالفته أيًا من العناصر التالي</w:t>
      </w:r>
      <w:r>
        <w:rPr>
          <w:rStyle w:val="None"/>
          <w:rFonts w:ascii="Times New Roman" w:hAnsi="Times New Roman"/>
          <w:sz w:val="24"/>
          <w:szCs w:val="24"/>
          <w:rtl/>
          <w:lang w:val="ar-SA"/>
        </w:rPr>
        <w:t>:</w:t>
      </w:r>
    </w:p>
    <w:p w14:paraId="680524C4" w14:textId="77777777" w:rsidR="00454428" w:rsidRDefault="00000000" w:rsidP="00C72BA8">
      <w:pPr>
        <w:pStyle w:val="Body"/>
        <w:numPr>
          <w:ilvl w:val="0"/>
          <w:numId w:val="31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البث المباشر</w:t>
      </w:r>
      <w:r>
        <w:rPr>
          <w:rStyle w:val="None"/>
          <w:rFonts w:ascii="Times New Roman" w:hAnsi="Times New Roman"/>
          <w:sz w:val="24"/>
          <w:szCs w:val="24"/>
          <w:rtl/>
          <w:lang w:val="ar-SA"/>
        </w:rPr>
        <w:t>.</w:t>
      </w:r>
    </w:p>
    <w:p w14:paraId="28606578" w14:textId="77777777" w:rsidR="00454428" w:rsidRDefault="00000000" w:rsidP="00C72BA8">
      <w:pPr>
        <w:pStyle w:val="Body"/>
        <w:numPr>
          <w:ilvl w:val="0"/>
          <w:numId w:val="31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إتاحة تحميل المصنف</w:t>
      </w:r>
      <w:r>
        <w:rPr>
          <w:rStyle w:val="None"/>
          <w:rFonts w:ascii="Times New Roman" w:hAnsi="Times New Roman"/>
          <w:sz w:val="24"/>
          <w:szCs w:val="24"/>
          <w:rtl/>
          <w:lang w:val="ar-SA"/>
        </w:rPr>
        <w:t>.</w:t>
      </w:r>
    </w:p>
    <w:p w14:paraId="15218683" w14:textId="77777777" w:rsidR="00454428" w:rsidRDefault="00000000" w:rsidP="00C72BA8">
      <w:pPr>
        <w:pStyle w:val="Body"/>
        <w:numPr>
          <w:ilvl w:val="0"/>
          <w:numId w:val="31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توفر طرق السداد؛ ممَّا يدل على قيام هدف ربحي</w:t>
      </w:r>
      <w:r>
        <w:rPr>
          <w:rStyle w:val="None"/>
          <w:rFonts w:ascii="Times New Roman" w:hAnsi="Times New Roman"/>
          <w:sz w:val="24"/>
          <w:szCs w:val="24"/>
          <w:rtl/>
          <w:lang w:val="ar-SA"/>
        </w:rPr>
        <w:t>.</w:t>
      </w:r>
    </w:p>
    <w:p w14:paraId="423201DE" w14:textId="77777777" w:rsidR="00454428" w:rsidRDefault="00000000" w:rsidP="00C72BA8">
      <w:pPr>
        <w:pStyle w:val="Body"/>
        <w:numPr>
          <w:ilvl w:val="0"/>
          <w:numId w:val="31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ظهور إعلانات دعائية</w:t>
      </w:r>
      <w:r>
        <w:rPr>
          <w:rStyle w:val="None"/>
          <w:rFonts w:ascii="Times New Roman" w:hAnsi="Times New Roman"/>
          <w:sz w:val="24"/>
          <w:szCs w:val="24"/>
          <w:rtl/>
          <w:lang w:val="ar-SA"/>
        </w:rPr>
        <w:t>.</w:t>
      </w:r>
    </w:p>
    <w:p w14:paraId="137E76EB" w14:textId="77777777" w:rsidR="00454428" w:rsidRDefault="00000000" w:rsidP="00C72BA8">
      <w:pPr>
        <w:pStyle w:val="Body"/>
        <w:numPr>
          <w:ilvl w:val="0"/>
          <w:numId w:val="31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تعليقات للمستخدمين</w:t>
      </w:r>
      <w:r>
        <w:rPr>
          <w:rStyle w:val="None"/>
          <w:rFonts w:ascii="Times New Roman" w:hAnsi="Times New Roman"/>
          <w:sz w:val="24"/>
          <w:szCs w:val="24"/>
          <w:rtl/>
          <w:lang w:val="ar-SA"/>
        </w:rPr>
        <w:t>.</w:t>
      </w:r>
    </w:p>
    <w:p w14:paraId="75A4E3F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توقيف، أو تجميد، أو إلغاء اشتراك المواقع الإلكترونية يعتبر أداةً عمليةً وفعَّالةً؛ لمواجهة الانتهاكات التي تمس الملكية الفكرية في البيئة الرقمية؛ حيث تمنع استمرار الضرر الناتج عن الاستغلال غير المشروع للمصنفات، والحد من تكرار الاعتداءات، كما أنَّ النصوص النظامية السعودية قد وضعت آليةً دقيقةً للتعامل مع هذه المخالفات، وذلك حرصًا من المنظم السعودي على تحقيق توازن بين حماية حقوق المؤلف، وضمان عدم إساءة استخدام المصنفات الرقمية</w:t>
      </w:r>
      <w:r>
        <w:rPr>
          <w:rStyle w:val="None"/>
          <w:rFonts w:ascii="Times New Roman" w:hAnsi="Times New Roman"/>
          <w:sz w:val="24"/>
          <w:szCs w:val="24"/>
          <w:rtl/>
          <w:lang w:val="ar-SA"/>
        </w:rPr>
        <w:t>.</w:t>
      </w:r>
    </w:p>
    <w:p w14:paraId="51CA8FB0"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الإطار القانوني للحماية التكنولوجية</w:t>
      </w:r>
      <w:r>
        <w:rPr>
          <w:rStyle w:val="None"/>
          <w:rFonts w:ascii="Times New Roman" w:hAnsi="Times New Roman"/>
          <w:b/>
          <w:bCs/>
          <w:sz w:val="28"/>
          <w:szCs w:val="28"/>
          <w:rtl/>
          <w:lang w:val="ar-SA"/>
        </w:rPr>
        <w:t>:</w:t>
      </w:r>
    </w:p>
    <w:p w14:paraId="62F730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الإطار القانوني للحماية التكنولوجية من أساسيات ضمان فاعلية الوسائل التقنية المبتكرة في حماية حقوق الملكية الفكرية في البيئة الرقمية، فالأدوات التكنولوجية وحدها لا تكفي للحد من الاعتداءات ما لم تدعمها نصوص قانونية واضحة تجرم التحايل عليها</w:t>
      </w:r>
      <w:r>
        <w:rPr>
          <w:rStyle w:val="None"/>
          <w:rFonts w:ascii="Times New Roman" w:hAnsi="Times New Roman"/>
          <w:sz w:val="24"/>
          <w:szCs w:val="24"/>
          <w:rtl/>
          <w:lang w:val="ar-SA"/>
        </w:rPr>
        <w:t>.</w:t>
      </w:r>
    </w:p>
    <w:p w14:paraId="401319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وضحت اتفاقية برن إمكانية مراقبة تداول المصنفات وتمثيلها وعرضها في المادة </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لا يمكن لأحكام هذه الاتفاقية أنْ تمس بأي شكل بحق حكومة كل دولة من دول الاتحاد في أنْ تسمح، أو تراقب، أو تمنع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 طريق التشريع أو إصدار اللوائح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تداولَ، أو تمثيلَ، أو عرضَ أيِّ مصنف أو إنتاج ترى السلطة المختصة ممارسة هذا الحق بالنسبة إليه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BC2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ويبو بتوضيح الالتزامات المتعلقة بالتدابير التكنولوجية في المادة </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81DE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كلًا من اتفاقية برن واتفاقية الويبو قد أكدوا على الدور الأساسي للتشريعات الوطنية في دعم الحماية التكنولوجية للمصنفات؛ حيث تُمكن هذه التشريعات الدول من مراقبة تداول المصنفات، وضبط استخدامها من جهة، وتفرض التزامات على الدول الأعضاء بتجريم أي محاولة؛ للتحايل على التدابير التقنية التي يعتمدها المؤلفون من جهة أخرى</w:t>
      </w:r>
      <w:r>
        <w:rPr>
          <w:rStyle w:val="None"/>
          <w:rFonts w:ascii="Times New Roman" w:hAnsi="Times New Roman"/>
          <w:sz w:val="24"/>
          <w:szCs w:val="24"/>
          <w:rtl/>
          <w:lang w:val="ar-SA"/>
        </w:rPr>
        <w:t>.</w:t>
      </w:r>
    </w:p>
    <w:p w14:paraId="5C2FAD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جاءت اتفاقية الويبو للأداء والتسجيل الصوتي بتوضيح الالتزامات المتعلقة بالمعلومات الضرورية لإدارة الحقوق، وذلك من خلال المادة </w:t>
      </w:r>
      <w:r>
        <w:rPr>
          <w:rStyle w:val="None"/>
          <w:rFonts w:ascii="Times New Roman" w:hAnsi="Times New Roman"/>
          <w:sz w:val="24"/>
          <w:szCs w:val="24"/>
          <w:rtl/>
          <w:lang w:val="ar-SA"/>
        </w:rPr>
        <w:t>(19)</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7"/>
      </w:r>
      <w:r>
        <w:rPr>
          <w:rStyle w:val="None"/>
          <w:rFonts w:ascii="Times New Roman" w:hAnsi="Times New Roman"/>
          <w:sz w:val="24"/>
          <w:szCs w:val="24"/>
          <w:vertAlign w:val="superscript"/>
          <w:rtl/>
          <w:lang w:val="ar-SA"/>
        </w:rPr>
        <w:t>)</w:t>
      </w:r>
    </w:p>
    <w:p w14:paraId="2C1A245F" w14:textId="77777777" w:rsidR="00454428" w:rsidRDefault="00000000" w:rsidP="00C72BA8">
      <w:pPr>
        <w:pStyle w:val="Body"/>
        <w:numPr>
          <w:ilvl w:val="0"/>
          <w:numId w:val="32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على الأطراف المتعاقدة أنْ تنص في قوانينها على توقيع جزاءات مناسبة وفعَّالة على أي شخص يباشر عن عِلْمٍ أيًا من الأعمال التالية وهو يعرف، أو فيما يتعلق بالجزاءات المدنية، وله أسباب كافية ليعرف أنَّ تلك الأعمال تحمل على ارتكاب تَعَدٍّ على أي حق من الحقوق التي تشملها هذه المعاهدة أو تمكن من ذلك أو تسهل ذلك أو تخفيه</w:t>
      </w:r>
      <w:r>
        <w:rPr>
          <w:rStyle w:val="None"/>
          <w:rFonts w:ascii="Times New Roman" w:hAnsi="Times New Roman"/>
          <w:sz w:val="24"/>
          <w:szCs w:val="24"/>
          <w:rtl/>
          <w:lang w:val="ar-SA"/>
        </w:rPr>
        <w:t>:</w:t>
      </w:r>
    </w:p>
    <w:p w14:paraId="01F21FB7" w14:textId="77777777" w:rsidR="00454428" w:rsidRDefault="00000000" w:rsidP="00C72BA8">
      <w:pPr>
        <w:pStyle w:val="Body"/>
        <w:numPr>
          <w:ilvl w:val="0"/>
          <w:numId w:val="32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40B762BB" w14:textId="77777777" w:rsidR="00454428" w:rsidRDefault="00000000" w:rsidP="00C72BA8">
      <w:pPr>
        <w:pStyle w:val="Body"/>
        <w:numPr>
          <w:ilvl w:val="0"/>
          <w:numId w:val="32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يوزع أو يستورد لأغراض التوزيع، أو يذيع، أو ينقل إلى الجمهور، أو يتيح له دون إذن أوجه أداء، أو نسخًا عن أوجه أداء مثبتة، أو تسجيلات صوتية،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56538311" w14:textId="77777777" w:rsidR="00454428" w:rsidRDefault="00000000" w:rsidP="00C72BA8">
      <w:pPr>
        <w:pStyle w:val="Body"/>
        <w:numPr>
          <w:ilvl w:val="0"/>
          <w:numId w:val="32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المعلومات الضرورية لإدارة الحقوق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كما وردت في هذه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التي تسمح بتعريف فنان الأداء، وأدائه، ومنتج التسجيل الصوتي وتسجيله الصوتي، ومالك أي حق في الأداء أو التسجيل الصوتي، أو المعلومات المتعلقة بشروط الانتفاع بالأداء أو التسجيل الصوتي، وأي أرقام أو شفرات ترمز إلى تلك المعلومات، متى كان أي عنصر من تلك المعلومات مقترنًا بنسخة عن أداء مثبت، أو تسجيل صوتي، أو ظاهرًا لدى نقل أداء مثبت، أو تسجيل صوتي إلى الجمهور أو إتاحته له</w:t>
      </w:r>
      <w:r>
        <w:rPr>
          <w:rStyle w:val="None"/>
          <w:rFonts w:ascii="Times New Roman" w:hAnsi="Times New Roman"/>
          <w:sz w:val="24"/>
          <w:szCs w:val="24"/>
          <w:rtl/>
          <w:lang w:val="ar-SA"/>
        </w:rPr>
        <w:t>".</w:t>
      </w:r>
    </w:p>
    <w:p w14:paraId="5CD7F9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الويبو قد أولت أهميةً للمعلومات الضرورية لإدارة الحقوق، باعتبارها أداةً أساسيةً؛ لضمان التعريف الدقيق بأصحاب الحقوق، وتوضيح شروط الانتفاع بالمصنفات، كما شددت الاتفاقية على ضرورة تجريم أي مساس بهذه المعلومات، سواء كان ذلك بالحذف، أو التغيير، أو الاستغلال غير المشروع؛ ممَّا يعتبر اعتداءً على حقوق المؤدين ومنتجي التسجيلات الصوتية، كما يعكس هذه الوعي بالحاجة لحماية البنية التقنية والقانونية معًا؛ ممَّا يعزّز كفاءة منظومة الحماية الرقمية، ويحد من الممارسات التي قد تخل بالحقوق الفكرية في البيئة الرقمية</w:t>
      </w:r>
      <w:r>
        <w:rPr>
          <w:rStyle w:val="None"/>
          <w:rFonts w:ascii="Times New Roman" w:hAnsi="Times New Roman"/>
          <w:sz w:val="24"/>
          <w:szCs w:val="24"/>
          <w:rtl/>
          <w:lang w:val="ar-SA"/>
        </w:rPr>
        <w:t xml:space="preserve">. </w:t>
      </w:r>
    </w:p>
    <w:p w14:paraId="648E1A1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3A8B220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rPr>
      </w:pPr>
    </w:p>
    <w:p w14:paraId="268C5E9D"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63A323AB"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79AFC0C6"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Pr>
      </w:pPr>
    </w:p>
    <w:p w14:paraId="06A5E35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250FC7FE"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lastRenderedPageBreak/>
        <w:t>الخاتمة</w:t>
      </w:r>
    </w:p>
    <w:p w14:paraId="69781C02" w14:textId="77777777" w:rsidR="00454428" w:rsidRDefault="00000000" w:rsidP="00C72BA8">
      <w:pPr>
        <w:pStyle w:val="BodyA"/>
        <w:spacing w:before="120" w:after="120" w:line="360" w:lineRule="auto"/>
        <w:jc w:val="both"/>
        <w:rPr>
          <w:rStyle w:val="None"/>
          <w:rFonts w:ascii="Calibri Light" w:eastAsia="Calibri Light" w:hAnsi="Calibri Light" w:cs="Calibri Light" w:hint="default"/>
          <w:sz w:val="24"/>
          <w:szCs w:val="24"/>
          <w:lang w:val="ar-SA"/>
        </w:rPr>
      </w:pPr>
      <w:r>
        <w:rPr>
          <w:rStyle w:val="None"/>
          <w:rFonts w:cs="Arial Unicode MS"/>
          <w:sz w:val="24"/>
          <w:szCs w:val="24"/>
          <w:rtl/>
          <w:lang w:val="ar-SA"/>
        </w:rPr>
        <w:t>خلصت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r>
        <w:rPr>
          <w:rStyle w:val="None"/>
          <w:sz w:val="24"/>
          <w:szCs w:val="24"/>
          <w:rtl/>
          <w:lang w:val="ar-SA"/>
        </w:rPr>
        <w:t>.</w:t>
      </w:r>
    </w:p>
    <w:p w14:paraId="3FD77688" w14:textId="77777777" w:rsidR="00454428" w:rsidRDefault="00000000" w:rsidP="00C72BA8">
      <w:pPr>
        <w:pStyle w:val="BodyA"/>
        <w:spacing w:before="120" w:after="120" w:line="360" w:lineRule="auto"/>
        <w:jc w:val="both"/>
        <w:rPr>
          <w:rStyle w:val="None"/>
          <w:rFonts w:ascii="Calibri Light" w:eastAsia="Calibri Light" w:hAnsi="Calibri Light" w:cs="Calibri Light" w:hint="default"/>
          <w:sz w:val="24"/>
          <w:szCs w:val="24"/>
          <w:lang w:val="ar-SA"/>
        </w:rPr>
      </w:pPr>
      <w:r>
        <w:rPr>
          <w:rStyle w:val="None"/>
          <w:rFonts w:cs="Arial Unicode MS"/>
          <w:sz w:val="24"/>
          <w:szCs w:val="24"/>
          <w:rtl/>
          <w:lang w:val="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r>
        <w:rPr>
          <w:rStyle w:val="None"/>
          <w:sz w:val="24"/>
          <w:szCs w:val="24"/>
          <w:rtl/>
          <w:lang w:val="ar-SA"/>
        </w:rPr>
        <w:t>.</w:t>
      </w:r>
    </w:p>
    <w:p w14:paraId="47EB1845" w14:textId="77777777" w:rsidR="00454428" w:rsidRDefault="00000000" w:rsidP="00C72BA8">
      <w:pPr>
        <w:pStyle w:val="BodyA"/>
        <w:spacing w:before="120" w:after="120" w:line="360" w:lineRule="auto"/>
        <w:jc w:val="both"/>
        <w:rPr>
          <w:rStyle w:val="None"/>
          <w:rFonts w:ascii="Calibri Light" w:eastAsia="Calibri Light" w:hAnsi="Calibri Light" w:cs="Calibri Light" w:hint="default"/>
          <w:sz w:val="24"/>
          <w:szCs w:val="24"/>
          <w:lang w:val="ar-SA"/>
        </w:rPr>
      </w:pPr>
      <w:r>
        <w:rPr>
          <w:rStyle w:val="None"/>
          <w:rFonts w:cs="Arial Unicode MS"/>
          <w:sz w:val="24"/>
          <w:szCs w:val="24"/>
          <w:rtl/>
          <w:lang w:val="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r>
        <w:rPr>
          <w:rStyle w:val="None"/>
          <w:sz w:val="24"/>
          <w:szCs w:val="24"/>
          <w:rtl/>
          <w:lang w:val="ar-SA"/>
        </w:rPr>
        <w:t>.</w:t>
      </w:r>
    </w:p>
    <w:p w14:paraId="210EF93E" w14:textId="77777777" w:rsidR="00454428" w:rsidRDefault="00000000" w:rsidP="00C72BA8">
      <w:pPr>
        <w:pStyle w:val="BodyA"/>
        <w:spacing w:before="120" w:after="120" w:line="360" w:lineRule="auto"/>
        <w:jc w:val="both"/>
        <w:rPr>
          <w:rStyle w:val="None"/>
          <w:rFonts w:ascii="Calibri Light" w:eastAsia="Calibri Light" w:hAnsi="Calibri Light" w:cs="Calibri Light" w:hint="default"/>
          <w:sz w:val="24"/>
          <w:szCs w:val="24"/>
          <w:lang w:val="ar-SA"/>
        </w:rPr>
      </w:pPr>
      <w:r>
        <w:rPr>
          <w:rStyle w:val="None"/>
          <w:rFonts w:cs="Arial Unicode MS"/>
          <w:sz w:val="24"/>
          <w:szCs w:val="24"/>
          <w:rtl/>
          <w:lang w:val="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r>
        <w:rPr>
          <w:rStyle w:val="None"/>
          <w:sz w:val="24"/>
          <w:szCs w:val="24"/>
          <w:rtl/>
          <w:lang w:val="ar-SA"/>
        </w:rPr>
        <w:t>.</w:t>
      </w:r>
    </w:p>
    <w:p w14:paraId="567C81C2" w14:textId="77777777" w:rsidR="00454428" w:rsidRDefault="00000000" w:rsidP="00C72BA8">
      <w:pPr>
        <w:pStyle w:val="BodyA"/>
        <w:spacing w:before="120" w:after="120" w:line="360" w:lineRule="auto"/>
        <w:jc w:val="both"/>
        <w:rPr>
          <w:rStyle w:val="None"/>
          <w:rFonts w:cs="Arial Unicode MS" w:hint="default"/>
          <w:sz w:val="24"/>
          <w:szCs w:val="24"/>
          <w:lang w:val="ar-SA"/>
        </w:rPr>
      </w:pPr>
      <w:r>
        <w:rPr>
          <w:rStyle w:val="None"/>
          <w:rFonts w:cs="Arial Unicode MS"/>
          <w:sz w:val="24"/>
          <w:szCs w:val="24"/>
          <w:rtl/>
          <w:lang w:val="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r>
        <w:rPr>
          <w:rStyle w:val="None"/>
          <w:sz w:val="24"/>
          <w:szCs w:val="24"/>
          <w:rtl/>
          <w:lang w:val="ar-SA"/>
        </w:rPr>
        <w:t>.</w:t>
      </w:r>
    </w:p>
    <w:p w14:paraId="018ADF33"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النتائج والتوصيات</w:t>
      </w:r>
    </w:p>
    <w:p w14:paraId="47A15456" w14:textId="77777777" w:rsidR="00454428" w:rsidRDefault="00000000" w:rsidP="00C72BA8">
      <w:pPr>
        <w:pStyle w:val="BodyA"/>
        <w:spacing w:before="120" w:after="120" w:line="360" w:lineRule="auto"/>
        <w:ind w:firstLine="720"/>
        <w:jc w:val="both"/>
        <w:rPr>
          <w:rStyle w:val="None"/>
          <w:rFonts w:ascii="Calibri Light" w:eastAsia="Calibri Light" w:hAnsi="Calibri Light" w:cs="Calibri Light" w:hint="default"/>
          <w:sz w:val="24"/>
          <w:szCs w:val="24"/>
          <w:lang w:val="ar-SA"/>
        </w:rPr>
      </w:pPr>
      <w:r>
        <w:rPr>
          <w:rStyle w:val="None"/>
          <w:rFonts w:cs="Arial Unicode MS"/>
          <w:sz w:val="24"/>
          <w:szCs w:val="24"/>
          <w:rtl/>
          <w:lang w:val="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r>
        <w:rPr>
          <w:rStyle w:val="None"/>
          <w:sz w:val="24"/>
          <w:szCs w:val="24"/>
          <w:rtl/>
          <w:lang w:val="ar-SA"/>
        </w:rPr>
        <w:t>.</w:t>
      </w:r>
    </w:p>
    <w:p w14:paraId="154E9D49" w14:textId="6683666F" w:rsidR="00454428" w:rsidRDefault="00000000" w:rsidP="00C72BA8">
      <w:pPr>
        <w:pStyle w:val="BodyA"/>
        <w:spacing w:before="120" w:after="120" w:line="360" w:lineRule="auto"/>
        <w:ind w:firstLine="720"/>
        <w:jc w:val="both"/>
        <w:rPr>
          <w:rStyle w:val="None"/>
          <w:rFonts w:cs="Arial Unicode MS" w:hint="default"/>
          <w:sz w:val="24"/>
          <w:szCs w:val="24"/>
          <w:lang w:val="ar-SA"/>
        </w:rPr>
      </w:pPr>
      <w:r>
        <w:rPr>
          <w:rStyle w:val="None"/>
          <w:rFonts w:cs="Arial Unicode MS"/>
          <w:sz w:val="24"/>
          <w:szCs w:val="24"/>
          <w:rtl/>
          <w:lang w:val="ar-SA"/>
        </w:rPr>
        <w:lastRenderedPageBreak/>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r>
        <w:rPr>
          <w:rStyle w:val="None"/>
          <w:sz w:val="24"/>
          <w:szCs w:val="24"/>
          <w:rtl/>
          <w:lang w:val="ar-SA"/>
        </w:rPr>
        <w:t>.</w:t>
      </w:r>
    </w:p>
    <w:p w14:paraId="5B6CD204" w14:textId="76289CC5"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tl/>
          <w:lang w:val="ar-SA"/>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 xml:space="preserve">النتائج </w:t>
      </w:r>
    </w:p>
    <w:p w14:paraId="3DAF9F16" w14:textId="5F2C89F3"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Arial Unicode MS" w:hAnsi="Arial Unicode MS" w:cs="Times New Roman" w:hint="cs"/>
          <w:rtl/>
          <w:lang w:val="ar-SA"/>
          <w14:textOutline w14:w="12700" w14:cap="flat" w14:cmpd="sng" w14:algn="ctr">
            <w14:noFill/>
            <w14:prstDash w14:val="solid"/>
            <w14:miter w14:lim="400000"/>
          </w14:textOutline>
        </w:rPr>
        <w:t>أسفرت هذه الدراسة، في ضوء التحليل القانوني المقارن للإطار المنظم لحماية حقوق الملكية الفكرية في البيئة الرقمية، عن مجموعة من النتائج الجوهرية، من أبرزها</w:t>
      </w:r>
      <w:r>
        <w:rPr>
          <w:rStyle w:val="None"/>
          <w:rFonts w:ascii="Times New Roman" w:hAnsi="Times New Roman"/>
          <w:rtl/>
          <w:lang w:val="ar-SA"/>
          <w14:textOutline w14:w="12700" w14:cap="flat" w14:cmpd="sng" w14:algn="ctr">
            <w14:noFill/>
            <w14:prstDash w14:val="solid"/>
            <w14:miter w14:lim="400000"/>
          </w14:textOutline>
        </w:rPr>
        <w:t>:</w:t>
      </w:r>
    </w:p>
    <w:p w14:paraId="1576F6C5"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1.</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أظهرت الدراسة أن القواعد القانونية التقليدية لم تعد كافية لمواجهة الاعتداءات في البيئة الرقمية، في ظل سهولة نسخ المصنفات وانتشارها عبر نطاق عابر للحدود</w:t>
      </w:r>
      <w:r>
        <w:rPr>
          <w:rStyle w:val="None"/>
          <w:rFonts w:ascii="Times New Roman" w:hAnsi="Times New Roman"/>
          <w:rtl/>
          <w:lang w:val="ar-SA"/>
          <w14:textOutline w14:w="12700" w14:cap="flat" w14:cmpd="sng" w14:algn="ctr">
            <w14:noFill/>
            <w14:prstDash w14:val="solid"/>
            <w14:miter w14:lim="400000"/>
          </w14:textOutline>
        </w:rPr>
        <w:t>.</w:t>
      </w:r>
    </w:p>
    <w:p w14:paraId="0FE5AD00"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2.</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كشفت الدراسة عن وجود قصور تشريعي في تنظيم مسؤولية المنصات الرقمية ومزودي خدمات الإنترنت، خاصة فيما يتعلق بآليات إزالة المحتوى المخالف وحدود المسؤولية القانونية</w:t>
      </w:r>
      <w:r>
        <w:rPr>
          <w:rStyle w:val="None"/>
          <w:rFonts w:ascii="Times New Roman" w:hAnsi="Times New Roman"/>
          <w:rtl/>
          <w:lang w:val="ar-SA"/>
          <w14:textOutline w14:w="12700" w14:cap="flat" w14:cmpd="sng" w14:algn="ctr">
            <w14:noFill/>
            <w14:prstDash w14:val="solid"/>
            <w14:miter w14:lim="400000"/>
          </w14:textOutline>
        </w:rPr>
        <w:t>.</w:t>
      </w:r>
    </w:p>
    <w:p w14:paraId="792A8CC6"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3.</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تبين عدم وجود تعريف قانوني دقيق للمصنف الرقمي في بعض التشريعات، مما يؤدي إلى غموض في نطاق الحماية القانونية المقررة له</w:t>
      </w:r>
      <w:r>
        <w:rPr>
          <w:rStyle w:val="None"/>
          <w:rFonts w:ascii="Times New Roman" w:hAnsi="Times New Roman"/>
          <w:rtl/>
          <w:lang w:val="ar-SA"/>
          <w14:textOutline w14:w="12700" w14:cap="flat" w14:cmpd="sng" w14:algn="ctr">
            <w14:noFill/>
            <w14:prstDash w14:val="solid"/>
            <w14:miter w14:lim="400000"/>
          </w14:textOutline>
        </w:rPr>
        <w:t>.</w:t>
      </w:r>
    </w:p>
    <w:p w14:paraId="70677579"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4.</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أثبتت الدراسة وجود صعوبات عملية وقانونية في تحديد الاختصاص القضائي في المنازعات الرقمية، نتيجة لتعدد أطراف العلاقة القانونية وتوزعها بين أكثر من دولة</w:t>
      </w:r>
      <w:r>
        <w:rPr>
          <w:rStyle w:val="None"/>
          <w:rFonts w:ascii="Times New Roman" w:hAnsi="Times New Roman"/>
          <w:rtl/>
          <w:lang w:val="ar-SA"/>
          <w14:textOutline w14:w="12700" w14:cap="flat" w14:cmpd="sng" w14:algn="ctr">
            <w14:noFill/>
            <w14:prstDash w14:val="solid"/>
            <w14:miter w14:lim="400000"/>
          </w14:textOutline>
        </w:rPr>
        <w:t>.</w:t>
      </w:r>
    </w:p>
    <w:p w14:paraId="4C12923A"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5.</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أكدت الدراسة غياب معيار موحد لتحديد القانون الواجب التطبيق في النزاعات الرقمية ذات الطابع الدولي، مما يؤدي إلى تضارب الأحكام وإضعاف الحماية القانونية</w:t>
      </w:r>
      <w:r>
        <w:rPr>
          <w:rStyle w:val="None"/>
          <w:rFonts w:ascii="Times New Roman" w:hAnsi="Times New Roman"/>
          <w:rtl/>
          <w:lang w:val="ar-SA"/>
          <w14:textOutline w14:w="12700" w14:cap="flat" w14:cmpd="sng" w14:algn="ctr">
            <w14:noFill/>
            <w14:prstDash w14:val="solid"/>
            <w14:miter w14:lim="400000"/>
          </w14:textOutline>
        </w:rPr>
        <w:t>.</w:t>
      </w:r>
    </w:p>
    <w:p w14:paraId="7F808ADE"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6.</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أظهرت النتائج قصور وسائل الإثبات التقليدية في التعامل مع الأدلة الرقمية، خاصة في ظل الطبيعة التقنية المعقدة لهذه الأدلة</w:t>
      </w:r>
      <w:r>
        <w:rPr>
          <w:rStyle w:val="None"/>
          <w:rFonts w:ascii="Times New Roman" w:hAnsi="Times New Roman"/>
          <w:rtl/>
          <w:lang w:val="ar-SA"/>
          <w14:textOutline w14:w="12700" w14:cap="flat" w14:cmpd="sng" w14:algn="ctr">
            <w14:noFill/>
            <w14:prstDash w14:val="solid"/>
            <w14:miter w14:lim="400000"/>
          </w14:textOutline>
        </w:rPr>
        <w:t>.</w:t>
      </w:r>
    </w:p>
    <w:p w14:paraId="015C51A6"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7.</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أبرزت الدراسة إمكانية الاستفادة من التقنيات الحديثة، مثل تقنية البلوكشين، في توثيق المصنفات الرقمية وإثبات ملكيتها، إلا أن ذلك لا يزال محدوداً في ظل غياب تنظيم تشريعي واضح يحدد حجيتها القانونية</w:t>
      </w:r>
      <w:r>
        <w:rPr>
          <w:rStyle w:val="None"/>
          <w:rFonts w:ascii="Times New Roman" w:hAnsi="Times New Roman"/>
          <w:rtl/>
          <w:lang w:val="ar-SA"/>
          <w14:textOutline w14:w="12700" w14:cap="flat" w14:cmpd="sng" w14:algn="ctr">
            <w14:noFill/>
            <w14:prstDash w14:val="solid"/>
            <w14:miter w14:lim="400000"/>
          </w14:textOutline>
        </w:rPr>
        <w:t>.</w:t>
      </w:r>
    </w:p>
    <w:p w14:paraId="4DB50F77"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8.</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كشفت الدراسة عن عدم وضوح المركز القانوني للمصنفات الناتجة عن تقنيات الذكاء الاصطناعي، مما يثير إشكالات تتعلق بصفة المؤلف وحدود الحماية</w:t>
      </w:r>
      <w:r>
        <w:rPr>
          <w:rStyle w:val="None"/>
          <w:rFonts w:ascii="Times New Roman" w:hAnsi="Times New Roman"/>
          <w:rtl/>
          <w:lang w:val="ar-SA"/>
          <w14:textOutline w14:w="12700" w14:cap="flat" w14:cmpd="sng" w14:algn="ctr">
            <w14:noFill/>
            <w14:prstDash w14:val="solid"/>
            <w14:miter w14:lim="400000"/>
          </w14:textOutline>
        </w:rPr>
        <w:t>.</w:t>
      </w:r>
    </w:p>
    <w:p w14:paraId="361F30FB" w14:textId="77777777" w:rsidR="00454428" w:rsidRDefault="00000000"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r>
        <w:rPr>
          <w:rStyle w:val="None"/>
          <w:rFonts w:ascii="Times New Roman" w:eastAsia="Times New Roman" w:hAnsi="Times New Roman" w:cs="Times New Roman"/>
          <w:rtl/>
          <w:lang w:val="ar-SA"/>
          <w14:textOutline w14:w="12700" w14:cap="flat" w14:cmpd="sng" w14:algn="ctr">
            <w14:noFill/>
            <w14:prstDash w14:val="solid"/>
            <w14:miter w14:lim="400000"/>
          </w14:textOutline>
        </w:rPr>
        <w:tab/>
        <w:t>9.</w:t>
      </w:r>
      <w:r>
        <w:rPr>
          <w:rStyle w:val="None"/>
          <w:rFonts w:ascii="Times New Roman" w:hAnsi="Times New Roman"/>
          <w:rtl/>
          <w:lang w:val="ar-SA"/>
          <w14:textOutline w14:w="12700" w14:cap="flat" w14:cmpd="sng" w14:algn="ctr">
            <w14:noFill/>
            <w14:prstDash w14:val="solid"/>
            <w14:miter w14:lim="400000"/>
          </w14:textOutline>
        </w:rPr>
        <w:t xml:space="preserve"> </w:t>
      </w:r>
      <w:r>
        <w:rPr>
          <w:rStyle w:val="None"/>
          <w:rFonts w:ascii="Arial Unicode MS" w:hAnsi="Arial Unicode MS" w:cs="Times New Roman" w:hint="cs"/>
          <w:rtl/>
          <w:lang w:val="ar-SA"/>
          <w14:textOutline w14:w="12700" w14:cap="flat" w14:cmpd="sng" w14:algn="ctr">
            <w14:noFill/>
            <w14:prstDash w14:val="solid"/>
            <w14:miter w14:lim="400000"/>
          </w14:textOutline>
        </w:rPr>
        <w:t>توصلت الدراسة إلى وجود فجوة واضحة بين التطور التكنولوجي المتسارع والإطار القانوني المنظم لحماية حقوق الملكية الفكرية في البيئة الرقمية</w:t>
      </w:r>
      <w:r>
        <w:rPr>
          <w:rStyle w:val="None"/>
          <w:rFonts w:ascii="Times New Roman" w:hAnsi="Times New Roman"/>
          <w:rtl/>
          <w:lang w:val="ar-SA"/>
          <w14:textOutline w14:w="12700" w14:cap="flat" w14:cmpd="sng" w14:algn="ctr">
            <w14:noFill/>
            <w14:prstDash w14:val="solid"/>
            <w14:miter w14:lim="400000"/>
          </w14:textOutline>
        </w:rPr>
        <w:t>.</w:t>
      </w:r>
    </w:p>
    <w:p w14:paraId="65A6EFF0" w14:textId="77777777" w:rsidR="00454428" w:rsidRDefault="00454428"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p>
    <w:p w14:paraId="504FB376" w14:textId="77777777" w:rsidR="00454428" w:rsidRDefault="00454428" w:rsidP="00C72BA8">
      <w:pPr>
        <w:pStyle w:val="Body"/>
        <w:spacing w:before="120" w:after="120" w:line="360" w:lineRule="auto"/>
        <w:outlineLvl w:val="0"/>
        <w:rPr>
          <w:rStyle w:val="None"/>
          <w:rFonts w:ascii="Times New Roman" w:eastAsia="Times New Roman" w:hAnsi="Times New Roman" w:cs="Times New Roman"/>
          <w:rtl/>
          <w:lang w:val="ar-SA"/>
          <w14:textOutline w14:w="12700" w14:cap="flat" w14:cmpd="sng" w14:algn="ctr">
            <w14:noFill/>
            <w14:prstDash w14:val="solid"/>
            <w14:miter w14:lim="400000"/>
          </w14:textOutline>
        </w:rPr>
      </w:pPr>
    </w:p>
    <w:p w14:paraId="22E2DF41" w14:textId="77777777" w:rsidR="00C72BA8" w:rsidRDefault="00C72BA8" w:rsidP="00C72BA8">
      <w:pPr>
        <w:pStyle w:val="Body"/>
        <w:spacing w:before="120" w:after="120" w:line="360" w:lineRule="auto"/>
        <w:outlineLvl w:val="0"/>
        <w:rPr>
          <w:rStyle w:val="None"/>
          <w:rFonts w:ascii="Times New Roman" w:eastAsia="Times New Roman" w:hAnsi="Times New Roman" w:cs="Times New Roman"/>
          <w:lang w:val="ar-SA"/>
          <w14:textOutline w14:w="12700" w14:cap="flat" w14:cmpd="sng" w14:algn="ctr">
            <w14:noFill/>
            <w14:prstDash w14:val="solid"/>
            <w14:miter w14:lim="400000"/>
          </w14:textOutline>
        </w:rPr>
      </w:pPr>
    </w:p>
    <w:p w14:paraId="7157B6D8" w14:textId="749B9581"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التوصيات</w:t>
      </w:r>
    </w:p>
    <w:p w14:paraId="4D0E7182"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cs="Times New Roman"/>
          <w:sz w:val="24"/>
          <w:szCs w:val="24"/>
          <w:rtl/>
          <w:lang w:val="ar-SA"/>
        </w:rPr>
        <w:t>في ضوء ما توصلت إليه الدراسة من نتائج، وبهدف تعزيز الحماية القانونية لحقوق الملكية الفكرية في البيئة الرقمية، يوصي الباحث بمجموعة من التدابير التشريعية والقضائية والتقنية، وذلك على النحو الآتي</w:t>
      </w:r>
      <w:r>
        <w:rPr>
          <w:rFonts w:ascii="Times New Roman" w:hAnsi="Times New Roman"/>
          <w:sz w:val="24"/>
          <w:szCs w:val="24"/>
          <w:rtl/>
          <w:lang w:val="ar-SA"/>
        </w:rPr>
        <w:t>:</w:t>
      </w:r>
    </w:p>
    <w:p w14:paraId="3E25576D"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أولاً</w:t>
      </w:r>
      <w:r>
        <w:rPr>
          <w:rFonts w:ascii="Times New Roman" w:hAnsi="Times New Roman"/>
          <w:b/>
          <w:bCs/>
          <w:sz w:val="24"/>
          <w:szCs w:val="24"/>
          <w:rtl/>
          <w:lang w:val="ar-SA"/>
        </w:rPr>
        <w:t xml:space="preserve">: </w:t>
      </w:r>
      <w:r>
        <w:rPr>
          <w:rFonts w:cs="Times New Roman"/>
          <w:b/>
          <w:bCs/>
          <w:sz w:val="24"/>
          <w:szCs w:val="24"/>
          <w:rtl/>
          <w:lang w:val="ar-SA"/>
        </w:rPr>
        <w:t>التوصيات التشريعية</w:t>
      </w:r>
    </w:p>
    <w:p w14:paraId="3997CA36"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1.</w:t>
      </w:r>
      <w:r>
        <w:rPr>
          <w:rFonts w:ascii="Times New Roman" w:hAnsi="Times New Roman"/>
          <w:sz w:val="24"/>
          <w:szCs w:val="24"/>
          <w:rtl/>
          <w:lang w:val="ar-SA"/>
        </w:rPr>
        <w:t xml:space="preserve"> </w:t>
      </w:r>
      <w:r>
        <w:rPr>
          <w:rFonts w:cs="Times New Roman"/>
          <w:sz w:val="24"/>
          <w:szCs w:val="24"/>
          <w:rtl/>
          <w:lang w:val="ar-SA"/>
        </w:rPr>
        <w:t>إدراج تعريف قانوني صريح للمصنف الرقمي ضمن التشريعات الوطنية، بما يضمن وضوح نطاق الحماية القانونية</w:t>
      </w:r>
      <w:r>
        <w:rPr>
          <w:rFonts w:ascii="Times New Roman" w:hAnsi="Times New Roman"/>
          <w:sz w:val="24"/>
          <w:szCs w:val="24"/>
          <w:rtl/>
          <w:lang w:val="ar-SA"/>
        </w:rPr>
        <w:t>.</w:t>
      </w:r>
    </w:p>
    <w:p w14:paraId="0F355CC0"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2.</w:t>
      </w:r>
      <w:r>
        <w:rPr>
          <w:rFonts w:ascii="Times New Roman" w:hAnsi="Times New Roman"/>
          <w:sz w:val="24"/>
          <w:szCs w:val="24"/>
          <w:rtl/>
          <w:lang w:val="ar-SA"/>
        </w:rPr>
        <w:t xml:space="preserve"> </w:t>
      </w:r>
      <w:r>
        <w:rPr>
          <w:rFonts w:cs="Times New Roman"/>
          <w:sz w:val="24"/>
          <w:szCs w:val="24"/>
          <w:rtl/>
          <w:lang w:val="ar-SA"/>
        </w:rPr>
        <w:t>استحداث تنظيم قانوني متكامل لمسؤولية المنصات الرقمية ومزودي خدمات الإنترنت، يتضمن آليات واضحة لإزالة المحتوى المخالف، مع تحديد حدود المسؤولية القانونية بشكل دقيق</w:t>
      </w:r>
      <w:r>
        <w:rPr>
          <w:rFonts w:ascii="Times New Roman" w:hAnsi="Times New Roman"/>
          <w:sz w:val="24"/>
          <w:szCs w:val="24"/>
          <w:rtl/>
          <w:lang w:val="ar-SA"/>
        </w:rPr>
        <w:t>.</w:t>
      </w:r>
    </w:p>
    <w:p w14:paraId="0D33F125"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3.</w:t>
      </w:r>
      <w:r>
        <w:rPr>
          <w:rFonts w:ascii="Times New Roman" w:hAnsi="Times New Roman"/>
          <w:sz w:val="24"/>
          <w:szCs w:val="24"/>
          <w:rtl/>
          <w:lang w:val="ar-SA"/>
        </w:rPr>
        <w:t xml:space="preserve"> </w:t>
      </w:r>
      <w:r>
        <w:rPr>
          <w:rFonts w:cs="Times New Roman"/>
          <w:sz w:val="24"/>
          <w:szCs w:val="24"/>
          <w:rtl/>
          <w:lang w:val="ar-SA"/>
        </w:rPr>
        <w:t>وضع قواعد قانونية خاصة بتنظيم الاختصاص القضائي في المنازعات الرقمية، مع اعتماد معيار مرن يجمع بين مكان وقوع الضرر ومكان إقامة المدعى عليه</w:t>
      </w:r>
      <w:r>
        <w:rPr>
          <w:rFonts w:ascii="Times New Roman" w:hAnsi="Times New Roman"/>
          <w:sz w:val="24"/>
          <w:szCs w:val="24"/>
          <w:rtl/>
          <w:lang w:val="ar-SA"/>
        </w:rPr>
        <w:t>.</w:t>
      </w:r>
    </w:p>
    <w:p w14:paraId="1CB6BF2F"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4.</w:t>
      </w:r>
      <w:r>
        <w:rPr>
          <w:rFonts w:ascii="Times New Roman" w:hAnsi="Times New Roman"/>
          <w:sz w:val="24"/>
          <w:szCs w:val="24"/>
          <w:rtl/>
          <w:lang w:val="ar-SA"/>
        </w:rPr>
        <w:t xml:space="preserve"> </w:t>
      </w:r>
      <w:r>
        <w:rPr>
          <w:rFonts w:cs="Times New Roman"/>
          <w:sz w:val="24"/>
          <w:szCs w:val="24"/>
          <w:rtl/>
          <w:lang w:val="ar-SA"/>
        </w:rPr>
        <w:t xml:space="preserve">سنّ نصوص قانونية تنظم حجية الأدلة الرقمية، مع الاعتراف بالتقنيات الحديثة </w:t>
      </w:r>
      <w:r>
        <w:rPr>
          <w:rFonts w:ascii="Times New Roman" w:hAnsi="Times New Roman" w:hint="default"/>
          <w:sz w:val="24"/>
          <w:szCs w:val="24"/>
          <w:rtl/>
          <w:lang w:val="ar-SA"/>
        </w:rPr>
        <w:t xml:space="preserve">– </w:t>
      </w:r>
      <w:r>
        <w:rPr>
          <w:rFonts w:cs="Times New Roman"/>
          <w:sz w:val="24"/>
          <w:szCs w:val="24"/>
          <w:rtl/>
          <w:lang w:val="ar-SA"/>
        </w:rPr>
        <w:t xml:space="preserve">مثل البلوكشين </w:t>
      </w:r>
      <w:r>
        <w:rPr>
          <w:rFonts w:ascii="Times New Roman" w:hAnsi="Times New Roman" w:hint="default"/>
          <w:sz w:val="24"/>
          <w:szCs w:val="24"/>
          <w:rtl/>
          <w:lang w:val="ar-SA"/>
        </w:rPr>
        <w:t xml:space="preserve">– </w:t>
      </w:r>
      <w:r>
        <w:rPr>
          <w:rFonts w:cs="Times New Roman"/>
          <w:sz w:val="24"/>
          <w:szCs w:val="24"/>
          <w:rtl/>
          <w:lang w:val="ar-SA"/>
        </w:rPr>
        <w:t>كوسيلة إثبات معتبرة</w:t>
      </w:r>
      <w:r>
        <w:rPr>
          <w:rFonts w:ascii="Times New Roman" w:hAnsi="Times New Roman"/>
          <w:sz w:val="24"/>
          <w:szCs w:val="24"/>
          <w:rtl/>
          <w:lang w:val="ar-SA"/>
        </w:rPr>
        <w:t>.</w:t>
      </w:r>
    </w:p>
    <w:p w14:paraId="5679D5F9" w14:textId="0FC36E5A"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5.</w:t>
      </w:r>
      <w:r>
        <w:rPr>
          <w:rFonts w:ascii="Times New Roman" w:hAnsi="Times New Roman"/>
          <w:sz w:val="24"/>
          <w:szCs w:val="24"/>
          <w:rtl/>
          <w:lang w:val="ar-SA"/>
        </w:rPr>
        <w:t xml:space="preserve"> </w:t>
      </w:r>
      <w:r>
        <w:rPr>
          <w:rFonts w:cs="Times New Roman"/>
          <w:sz w:val="24"/>
          <w:szCs w:val="24"/>
          <w:rtl/>
          <w:lang w:val="ar-SA"/>
        </w:rPr>
        <w:t>تطوير إطار قانوني ينظم المصنفات الناتجة عن تقنيات الذكاء الاصطناعي، من حيث تحديد صفة المؤلف والحقوق المترتبة عليها</w:t>
      </w:r>
      <w:r>
        <w:rPr>
          <w:rFonts w:ascii="Times New Roman" w:hAnsi="Times New Roman"/>
          <w:sz w:val="24"/>
          <w:szCs w:val="24"/>
          <w:rtl/>
          <w:lang w:val="ar-SA"/>
        </w:rPr>
        <w:t>.</w:t>
      </w:r>
    </w:p>
    <w:p w14:paraId="1B128CB9"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ثانياً</w:t>
      </w:r>
      <w:r>
        <w:rPr>
          <w:rFonts w:ascii="Times New Roman" w:hAnsi="Times New Roman"/>
          <w:b/>
          <w:bCs/>
          <w:sz w:val="24"/>
          <w:szCs w:val="24"/>
          <w:rtl/>
          <w:lang w:val="ar-SA"/>
        </w:rPr>
        <w:t xml:space="preserve">: </w:t>
      </w:r>
      <w:r>
        <w:rPr>
          <w:rFonts w:cs="Times New Roman"/>
          <w:b/>
          <w:bCs/>
          <w:sz w:val="24"/>
          <w:szCs w:val="24"/>
          <w:rtl/>
          <w:lang w:val="ar-SA"/>
        </w:rPr>
        <w:t>التوصيات القضائية والإجرائية</w:t>
      </w:r>
    </w:p>
    <w:p w14:paraId="31AD51D3"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6.</w:t>
      </w:r>
      <w:r>
        <w:rPr>
          <w:rFonts w:ascii="Times New Roman" w:hAnsi="Times New Roman"/>
          <w:sz w:val="24"/>
          <w:szCs w:val="24"/>
          <w:rtl/>
          <w:lang w:val="ar-SA"/>
        </w:rPr>
        <w:t xml:space="preserve"> </w:t>
      </w:r>
      <w:r>
        <w:rPr>
          <w:rFonts w:cs="Times New Roman"/>
          <w:sz w:val="24"/>
          <w:szCs w:val="24"/>
          <w:rtl/>
          <w:lang w:val="ar-SA"/>
        </w:rPr>
        <w:t>إنشاء دوائر قضائية متخصصة في منازعات الملكية الفكرية الرقمية، بما يسهم في رفع كفاءة الفصل في هذا النوع من القضايا</w:t>
      </w:r>
      <w:r>
        <w:rPr>
          <w:rFonts w:ascii="Times New Roman" w:hAnsi="Times New Roman"/>
          <w:sz w:val="24"/>
          <w:szCs w:val="24"/>
          <w:rtl/>
          <w:lang w:val="ar-SA"/>
        </w:rPr>
        <w:t>.</w:t>
      </w:r>
    </w:p>
    <w:p w14:paraId="6128E377"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7.</w:t>
      </w:r>
      <w:r>
        <w:rPr>
          <w:rFonts w:ascii="Times New Roman" w:hAnsi="Times New Roman"/>
          <w:sz w:val="24"/>
          <w:szCs w:val="24"/>
          <w:rtl/>
          <w:lang w:val="ar-SA"/>
        </w:rPr>
        <w:t xml:space="preserve"> </w:t>
      </w:r>
      <w:r>
        <w:rPr>
          <w:rFonts w:cs="Times New Roman"/>
          <w:sz w:val="24"/>
          <w:szCs w:val="24"/>
          <w:rtl/>
          <w:lang w:val="ar-SA"/>
        </w:rPr>
        <w:t>إعداد برامج تدريبية متخصصة للقضاة في مجال الأدلة الرقمية، تشمل الجوانب التقنية والعملية المرتبطة بها</w:t>
      </w:r>
      <w:r>
        <w:rPr>
          <w:rFonts w:ascii="Times New Roman" w:hAnsi="Times New Roman"/>
          <w:sz w:val="24"/>
          <w:szCs w:val="24"/>
          <w:rtl/>
          <w:lang w:val="ar-SA"/>
        </w:rPr>
        <w:t>.</w:t>
      </w:r>
    </w:p>
    <w:p w14:paraId="5DF397C1" w14:textId="576D292B"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8.</w:t>
      </w:r>
      <w:r>
        <w:rPr>
          <w:rFonts w:ascii="Times New Roman" w:hAnsi="Times New Roman"/>
          <w:sz w:val="24"/>
          <w:szCs w:val="24"/>
          <w:rtl/>
          <w:lang w:val="ar-SA"/>
        </w:rPr>
        <w:t xml:space="preserve"> </w:t>
      </w:r>
      <w:r>
        <w:rPr>
          <w:rFonts w:cs="Times New Roman"/>
          <w:sz w:val="24"/>
          <w:szCs w:val="24"/>
          <w:rtl/>
          <w:lang w:val="ar-SA"/>
        </w:rPr>
        <w:t>إنشاء وحدات فنية متخصصة داخل المحاكم لدعم القضاة في تحليل الأدلة الرقمية وتقديم المشورة الفنية</w:t>
      </w:r>
      <w:r>
        <w:rPr>
          <w:rFonts w:ascii="Times New Roman" w:hAnsi="Times New Roman"/>
          <w:sz w:val="24"/>
          <w:szCs w:val="24"/>
          <w:rtl/>
          <w:lang w:val="ar-SA"/>
        </w:rPr>
        <w:t>.</w:t>
      </w:r>
    </w:p>
    <w:p w14:paraId="6511B196"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ثالثاً</w:t>
      </w:r>
      <w:r>
        <w:rPr>
          <w:rFonts w:ascii="Times New Roman" w:hAnsi="Times New Roman"/>
          <w:b/>
          <w:bCs/>
          <w:sz w:val="24"/>
          <w:szCs w:val="24"/>
          <w:rtl/>
          <w:lang w:val="ar-SA"/>
        </w:rPr>
        <w:t xml:space="preserve">: </w:t>
      </w:r>
      <w:r>
        <w:rPr>
          <w:rFonts w:cs="Times New Roman"/>
          <w:b/>
          <w:bCs/>
          <w:sz w:val="24"/>
          <w:szCs w:val="24"/>
          <w:rtl/>
          <w:lang w:val="ar-SA"/>
        </w:rPr>
        <w:t>التوصيات التقنية والتنظيمية</w:t>
      </w:r>
    </w:p>
    <w:p w14:paraId="72D6A599"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9.</w:t>
      </w:r>
      <w:r>
        <w:rPr>
          <w:rFonts w:ascii="Times New Roman" w:hAnsi="Times New Roman"/>
          <w:sz w:val="24"/>
          <w:szCs w:val="24"/>
          <w:rtl/>
          <w:lang w:val="ar-SA"/>
        </w:rPr>
        <w:t xml:space="preserve"> </w:t>
      </w:r>
      <w:r>
        <w:rPr>
          <w:rFonts w:cs="Times New Roman"/>
          <w:sz w:val="24"/>
          <w:szCs w:val="24"/>
          <w:rtl/>
          <w:lang w:val="ar-SA"/>
        </w:rPr>
        <w:t>تعزيز التعاون بين الجهات المختصة ومزودي خدمات الإنترنت، بما يسهم في الحد من الانتهاكات الرقمية</w:t>
      </w:r>
      <w:r>
        <w:rPr>
          <w:rFonts w:ascii="Times New Roman" w:hAnsi="Times New Roman"/>
          <w:sz w:val="24"/>
          <w:szCs w:val="24"/>
          <w:rtl/>
          <w:lang w:val="ar-SA"/>
        </w:rPr>
        <w:t>.</w:t>
      </w:r>
    </w:p>
    <w:p w14:paraId="2F9BE42E"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10.</w:t>
      </w:r>
      <w:r>
        <w:rPr>
          <w:rFonts w:ascii="Times New Roman" w:hAnsi="Times New Roman"/>
          <w:sz w:val="24"/>
          <w:szCs w:val="24"/>
          <w:rtl/>
          <w:lang w:val="ar-SA"/>
        </w:rPr>
        <w:t xml:space="preserve"> </w:t>
      </w:r>
      <w:r>
        <w:rPr>
          <w:rFonts w:cs="Times New Roman"/>
          <w:sz w:val="24"/>
          <w:szCs w:val="24"/>
          <w:rtl/>
          <w:lang w:val="ar-SA"/>
        </w:rPr>
        <w:t>الاستفادة من التقنيات الحديثة، مثل البلوكشين، في إنشاء سجلات رقمية موثوقة لتوثيق المصنفات الفكرية</w:t>
      </w:r>
      <w:r>
        <w:rPr>
          <w:rFonts w:ascii="Times New Roman" w:hAnsi="Times New Roman"/>
          <w:sz w:val="24"/>
          <w:szCs w:val="24"/>
          <w:rtl/>
          <w:lang w:val="ar-SA"/>
        </w:rPr>
        <w:t>.</w:t>
      </w:r>
    </w:p>
    <w:p w14:paraId="0A8D8D75" w14:textId="77777777" w:rsidR="00454428" w:rsidRDefault="00000000" w:rsidP="00C72BA8">
      <w:pPr>
        <w:pStyle w:val="BodyA"/>
        <w:spacing w:before="120" w:after="120" w:line="360" w:lineRule="auto"/>
        <w:rPr>
          <w:rFonts w:ascii="Times New Roman" w:eastAsia="Times New Roman" w:hAnsi="Times New Roman" w:cs="Times New Roman" w:hint="default"/>
          <w:sz w:val="24"/>
          <w:szCs w:val="24"/>
          <w:lang w:val="ar-SA"/>
        </w:rPr>
      </w:pPr>
      <w:r>
        <w:rPr>
          <w:rFonts w:ascii="Times New Roman" w:eastAsia="Times New Roman" w:hAnsi="Times New Roman" w:cs="Times New Roman"/>
          <w:sz w:val="24"/>
          <w:szCs w:val="24"/>
          <w:rtl/>
          <w:lang w:val="ar-SA"/>
        </w:rPr>
        <w:tab/>
        <w:t>11.</w:t>
      </w:r>
      <w:r>
        <w:rPr>
          <w:rFonts w:ascii="Times New Roman" w:hAnsi="Times New Roman"/>
          <w:sz w:val="24"/>
          <w:szCs w:val="24"/>
          <w:rtl/>
          <w:lang w:val="ar-SA"/>
        </w:rPr>
        <w:t xml:space="preserve"> </w:t>
      </w:r>
      <w:r>
        <w:rPr>
          <w:rFonts w:cs="Times New Roman"/>
          <w:sz w:val="24"/>
          <w:szCs w:val="24"/>
          <w:rtl/>
          <w:lang w:val="ar-SA"/>
        </w:rPr>
        <w:t>تطوير آليات تقنية فعالة لرصد المحتوى المخالف وإزالته بشكل سريع</w:t>
      </w:r>
      <w:r>
        <w:rPr>
          <w:rFonts w:ascii="Times New Roman" w:hAnsi="Times New Roman"/>
          <w:sz w:val="24"/>
          <w:szCs w:val="24"/>
          <w:rtl/>
          <w:lang w:val="ar-SA"/>
        </w:rPr>
        <w:t>.</w:t>
      </w:r>
    </w:p>
    <w:p w14:paraId="4D7F9922" w14:textId="6E626774" w:rsidR="00C72BA8" w:rsidRPr="00C72BA8" w:rsidRDefault="00000000" w:rsidP="00C72BA8">
      <w:pPr>
        <w:pStyle w:val="BodyA"/>
        <w:spacing w:before="120" w:after="120" w:line="360" w:lineRule="auto"/>
        <w:rPr>
          <w:rStyle w:val="None"/>
          <w:rFonts w:ascii="Times New Roman" w:hAnsi="Times New Roman" w:hint="default"/>
          <w:sz w:val="24"/>
          <w:szCs w:val="24"/>
          <w:lang w:val="ar-SA"/>
        </w:rPr>
      </w:pPr>
      <w:r>
        <w:rPr>
          <w:rFonts w:ascii="Times New Roman" w:eastAsia="Times New Roman" w:hAnsi="Times New Roman" w:cs="Times New Roman"/>
          <w:sz w:val="24"/>
          <w:szCs w:val="24"/>
          <w:rtl/>
          <w:lang w:val="ar-SA"/>
        </w:rPr>
        <w:tab/>
        <w:t>12.</w:t>
      </w:r>
      <w:r>
        <w:rPr>
          <w:rFonts w:ascii="Times New Roman" w:hAnsi="Times New Roman"/>
          <w:sz w:val="24"/>
          <w:szCs w:val="24"/>
          <w:rtl/>
          <w:lang w:val="ar-SA"/>
        </w:rPr>
        <w:t xml:space="preserve"> </w:t>
      </w:r>
      <w:r>
        <w:rPr>
          <w:rFonts w:cs="Times New Roman"/>
          <w:sz w:val="24"/>
          <w:szCs w:val="24"/>
          <w:rtl/>
          <w:lang w:val="ar-SA"/>
        </w:rPr>
        <w:t>العمل على تطوير إطار وطني متكامل لحوكمة البيئة الرقمية، يحقق التوازن بين حماية حقوق الملكية الفكرية وتشجيع الابتكار</w:t>
      </w:r>
      <w:r>
        <w:rPr>
          <w:rFonts w:ascii="Times New Roman" w:hAnsi="Times New Roman"/>
          <w:sz w:val="24"/>
          <w:szCs w:val="24"/>
          <w:rtl/>
          <w:lang w:val="ar-SA"/>
        </w:rPr>
        <w:t>.</w:t>
      </w:r>
    </w:p>
    <w:p w14:paraId="198B985F" w14:textId="6E73DFED" w:rsidR="00C72BA8" w:rsidRPr="00DB607F" w:rsidRDefault="00C72BA8" w:rsidP="00C72BA8">
      <w:pPr>
        <w:pStyle w:val="BodyA"/>
        <w:spacing w:before="120" w:after="120" w:line="360" w:lineRule="auto"/>
        <w:rPr>
          <w:rStyle w:val="None"/>
          <w:rFonts w:ascii="Times New Roman" w:eastAsia="Times New Roman" w:hAnsi="Times New Roman" w:cs="Times New Roman"/>
          <w:b/>
          <w:bCs/>
          <w:sz w:val="24"/>
          <w:szCs w:val="24"/>
          <w:rtl/>
          <w:lang w:val="ar-SA"/>
        </w:rPr>
      </w:pPr>
      <w:r w:rsidRPr="00DB607F">
        <w:rPr>
          <w:rStyle w:val="None"/>
          <w:rFonts w:ascii="Times New Roman" w:eastAsia="Times New Roman" w:hAnsi="Times New Roman" w:cs="Times New Roman"/>
          <w:b/>
          <w:bCs/>
          <w:sz w:val="24"/>
          <w:szCs w:val="24"/>
          <w:rtl/>
          <w:lang w:val="ar-SA"/>
        </w:rPr>
        <w:lastRenderedPageBreak/>
        <w:t>المقترحات التشريعية والتقنية المستخلصة من الدراسة :</w:t>
      </w:r>
    </w:p>
    <w:p w14:paraId="1B61345A"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b/>
          <w:bCs/>
          <w:sz w:val="24"/>
          <w:szCs w:val="24"/>
          <w:rtl/>
          <w:lang w:val="ar-SA"/>
        </w:rPr>
        <w:t>1</w:t>
      </w:r>
      <w:r w:rsidRPr="00DB607F">
        <w:rPr>
          <w:rStyle w:val="None"/>
          <w:rFonts w:ascii="Times New Roman" w:eastAsia="Times New Roman" w:hAnsi="Times New Roman" w:cs="Times New Roman"/>
          <w:sz w:val="24"/>
          <w:szCs w:val="24"/>
          <w:rtl/>
          <w:lang w:val="ar-SA"/>
        </w:rPr>
        <w:t>.⁠ ⁠مقترح "تعريف المصنف الرقمي" (تعديل نظام حماية حقوق المؤلف)</w:t>
      </w:r>
    </w:p>
    <w:p w14:paraId="7B22313D"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النص المقترح: "يُعدل نظام حماية حقوق المؤلف السعودي بإضافة تعريف للمصنف الرقمي في المادة الأولى كالتالي:</w:t>
      </w:r>
    </w:p>
    <w:p w14:paraId="69C7FB7A"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 xml:space="preserve">المصنف الرقمي: هو كل عمل ابتكاري يتم إنشاؤه أو تثبيته أو نقله باستخدام وسائط تقنية، ويشمل ذلك المحتوى المولد برمجياً، وقواعد البيانات الرقمية، والمنشورات عبر المنصات الإلكترونية، وما يماثلها من صور رقمية."  </w:t>
      </w:r>
    </w:p>
    <w:p w14:paraId="38075D00"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2.⁠ ⁠مقترح "مسؤولية مزود الخدمة (</w:t>
      </w:r>
      <w:r w:rsidRPr="00DB607F">
        <w:rPr>
          <w:rStyle w:val="None"/>
          <w:rFonts w:ascii="Times New Roman" w:eastAsia="Times New Roman" w:hAnsi="Times New Roman" w:cs="Times New Roman"/>
          <w:sz w:val="24"/>
          <w:szCs w:val="24"/>
          <w:lang w:val="ar-SA"/>
        </w:rPr>
        <w:t>ISP</w:t>
      </w:r>
      <w:r w:rsidRPr="00DB607F">
        <w:rPr>
          <w:rStyle w:val="None"/>
          <w:rFonts w:ascii="Times New Roman" w:eastAsia="Times New Roman" w:hAnsi="Times New Roman" w:cs="Times New Roman"/>
          <w:sz w:val="24"/>
          <w:szCs w:val="24"/>
          <w:rtl/>
          <w:lang w:val="ar-SA"/>
        </w:rPr>
        <w:t>)" وآلية الإخطار والحذف</w:t>
      </w:r>
    </w:p>
    <w:p w14:paraId="0D878F23"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النص المقترح: "إضافة مادة تنظم مسؤولية الوسيط التقني نصها:</w:t>
      </w:r>
    </w:p>
    <w:p w14:paraId="248AE5CB"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 xml:space="preserve">لا يُسأل مزود الخدمة عن المحتوى المنتهك لحقوق الملكية الفكرية الذي يتم نشره من قبل الغير، شريطة التزامه بآلية (الإخطار والحذف الفوري) فور تبلغه بوجود انتهاك مثبت بالبصمة الرقمية، ووفقاً للمعايير التقنية التي تحددها الهيئة السعودية للملكية الفكرية."  </w:t>
      </w:r>
    </w:p>
    <w:p w14:paraId="7F9E596F"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3.⁠ ⁠مقترح "إثبات الانتهاكات عبر البلوكشين" (الجانب القضائي)</w:t>
      </w:r>
    </w:p>
    <w:p w14:paraId="78D9FC78"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التوصية: "التوصية بتعديل اللائحة التنفيذية لنظام الإثبات لتشمل النص على:</w:t>
      </w:r>
    </w:p>
    <w:p w14:paraId="5DB77F41"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 xml:space="preserve">تُعد سجلات تقنية (البلوكشين) الموثقة دليلاً رقمياً معتبراً في إثبات أسبقية الابتكار وتاريخ النشر الرقمي أمام المحاكم التجارية، ويتم اعتمادها كـ 'معاينة فنية' متى ما استوفت المعايير التقنية للأمان."  </w:t>
      </w:r>
    </w:p>
    <w:p w14:paraId="6399BD99"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4.⁠ ⁠حل "المعضلة الإجرائية" (تنازع القوانين)</w:t>
      </w:r>
    </w:p>
    <w:p w14:paraId="1C0B8062"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 xml:space="preserve">التوصية: "نقترح تبني (قاعدة بلد المنشأ الرقمي) في تحديد القانون واجب التطبيق، بحيث ينعقد الاختصاص القضائي للمحكمة التي يقع في دائرتها مقر إقامة المؤلف أو مقر مزود الخدمة الذي استضاف المحتوى المنتهك أول مرة، مع تفعيل اتفاقيات التعاون القضائي الرقمي لتبادل البيانات فور حدوث الاعتداء."  </w:t>
      </w:r>
    </w:p>
    <w:p w14:paraId="0048F55D" w14:textId="77777777" w:rsidR="00C72BA8" w:rsidRPr="00DB607F" w:rsidRDefault="00C72BA8" w:rsidP="00C72BA8">
      <w:pPr>
        <w:pStyle w:val="BodyA"/>
        <w:spacing w:before="120" w:after="120" w:line="360" w:lineRule="auto"/>
        <w:rPr>
          <w:rStyle w:val="None"/>
          <w:rFonts w:ascii="Times New Roman" w:eastAsia="Times New Roman" w:hAnsi="Times New Roman" w:cs="Times New Roman"/>
          <w:sz w:val="24"/>
          <w:szCs w:val="24"/>
          <w:rtl/>
          <w:lang w:val="ar-SA"/>
        </w:rPr>
      </w:pPr>
      <w:r w:rsidRPr="00DB607F">
        <w:rPr>
          <w:rStyle w:val="None"/>
          <w:rFonts w:ascii="Times New Roman" w:eastAsia="Times New Roman" w:hAnsi="Times New Roman" w:cs="Times New Roman"/>
          <w:sz w:val="24"/>
          <w:szCs w:val="24"/>
          <w:rtl/>
          <w:lang w:val="ar-SA"/>
        </w:rPr>
        <w:t>5.⁠ ⁠معالجة "الذكاء الاصطناعي"</w:t>
      </w:r>
    </w:p>
    <w:p w14:paraId="71AD9603" w14:textId="09F9A863" w:rsidR="00454428" w:rsidRPr="00DB607F" w:rsidRDefault="00C72BA8" w:rsidP="00C72BA8">
      <w:pPr>
        <w:pStyle w:val="BodyA"/>
        <w:spacing w:before="120" w:after="120" w:line="360" w:lineRule="auto"/>
        <w:rPr>
          <w:rStyle w:val="None"/>
          <w:rFonts w:ascii="Times New Roman" w:eastAsia="Times New Roman" w:hAnsi="Times New Roman" w:cs="Times New Roman" w:hint="default"/>
          <w:sz w:val="24"/>
          <w:szCs w:val="24"/>
          <w:lang w:val="ar-SA"/>
        </w:rPr>
      </w:pPr>
      <w:r w:rsidRPr="00DB607F">
        <w:rPr>
          <w:rStyle w:val="None"/>
          <w:rFonts w:ascii="Times New Roman" w:eastAsia="Times New Roman" w:hAnsi="Times New Roman" w:cs="Times New Roman"/>
          <w:sz w:val="24"/>
          <w:szCs w:val="24"/>
          <w:rtl/>
          <w:lang w:val="ar-SA"/>
        </w:rPr>
        <w:t>النتيجة المقترحة: "خلصت الدراسة إلى ضرورة منح الحماية القانونية للمصنفات المولدة عبر الذكاء الاصطناعي كحقوق مجاورة، مع تحديد مسؤولية قانونية تضامنية بين مبرمج الخوارزمية والمستخدم الذي وجه الذكاء الاصطناعي لإنتاج العمل."</w:t>
      </w:r>
    </w:p>
    <w:p w14:paraId="2B60F2A4" w14:textId="77777777" w:rsidR="00454428" w:rsidRDefault="0045442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56A16CF3"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992EEDC"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4D6E15F5" w14:textId="77777777" w:rsidR="00C72BA8" w:rsidRDefault="00C72BA8" w:rsidP="00B30BC9">
      <w:pPr>
        <w:pStyle w:val="BodyA"/>
        <w:bidi w:val="0"/>
        <w:spacing w:before="120" w:after="120" w:line="360" w:lineRule="auto"/>
        <w:rPr>
          <w:rStyle w:val="None"/>
          <w:rFonts w:ascii="Times New Roman" w:eastAsia="Times New Roman" w:hAnsi="Times New Roman" w:cs="Times New Roman" w:hint="default"/>
          <w:b/>
          <w:bCs/>
          <w:sz w:val="24"/>
          <w:szCs w:val="24"/>
        </w:rPr>
      </w:pPr>
    </w:p>
    <w:p w14:paraId="1A6D0370" w14:textId="77777777" w:rsidR="00DB607F" w:rsidRPr="00B30BC9" w:rsidRDefault="00DB607F" w:rsidP="00DB607F">
      <w:pPr>
        <w:pStyle w:val="BodyA"/>
        <w:bidi w:val="0"/>
        <w:spacing w:before="120" w:after="120" w:line="360" w:lineRule="auto"/>
        <w:rPr>
          <w:rStyle w:val="None"/>
          <w:rFonts w:ascii="Times New Roman" w:eastAsia="Times New Roman" w:hAnsi="Times New Roman" w:cs="Times New Roman" w:hint="default"/>
          <w:b/>
          <w:bCs/>
          <w:sz w:val="24"/>
          <w:szCs w:val="24"/>
        </w:rPr>
      </w:pPr>
    </w:p>
    <w:p w14:paraId="126346BF"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lang w:val="ar-SA"/>
        </w:rPr>
      </w:pPr>
    </w:p>
    <w:p w14:paraId="414959AA" w14:textId="77777777" w:rsidR="00454428" w:rsidRDefault="00000000" w:rsidP="00C72BA8">
      <w:pPr>
        <w:pStyle w:val="a"/>
        <w:rPr>
          <w:rStyle w:val="None"/>
          <w:b w:val="0"/>
          <w:bCs w:val="0"/>
          <w:lang w:val="ar-SA"/>
        </w:rPr>
      </w:pPr>
      <w:bookmarkStart w:id="138" w:name="_Toc90"/>
      <w:r>
        <w:rPr>
          <w:rStyle w:val="None"/>
          <w:rFonts w:ascii="Arial Unicode MS" w:eastAsia="Arial Unicode MS" w:hAnsi="Arial Unicode MS" w:hint="cs"/>
          <w:rtl/>
          <w:lang w:val="ar-SA"/>
        </w:rPr>
        <w:lastRenderedPageBreak/>
        <w:t xml:space="preserve">قائمة المراجع </w:t>
      </w:r>
      <w:bookmarkEnd w:id="138"/>
    </w:p>
    <w:p w14:paraId="3601B1AA" w14:textId="77777777" w:rsidR="00454428" w:rsidRDefault="00000000" w:rsidP="00C72BA8">
      <w:pPr>
        <w:pStyle w:val="a"/>
        <w:jc w:val="left"/>
        <w:rPr>
          <w:rStyle w:val="None"/>
          <w:lang w:val="ar-SA"/>
        </w:rPr>
      </w:pPr>
      <w:bookmarkStart w:id="139" w:name="_Toc91"/>
      <w:r>
        <w:rPr>
          <w:rStyle w:val="None"/>
          <w:rFonts w:ascii="Arial Unicode MS" w:eastAsia="Arial Unicode MS" w:hAnsi="Arial Unicode MS" w:hint="cs"/>
          <w:rtl/>
          <w:lang w:val="ar-SA"/>
        </w:rPr>
        <w:t>أولًا</w:t>
      </w:r>
      <w:r>
        <w:rPr>
          <w:rStyle w:val="None"/>
          <w:rtl/>
          <w:lang w:val="ar-SA"/>
        </w:rPr>
        <w:t xml:space="preserve">: </w:t>
      </w:r>
      <w:r>
        <w:rPr>
          <w:rStyle w:val="None"/>
          <w:rFonts w:ascii="Arial Unicode MS" w:eastAsia="Arial Unicode MS" w:hAnsi="Arial Unicode MS" w:hint="cs"/>
          <w:rtl/>
          <w:lang w:val="ar-SA"/>
        </w:rPr>
        <w:t>المراجع العربية</w:t>
      </w:r>
      <w:r>
        <w:rPr>
          <w:rStyle w:val="None"/>
          <w:rtl/>
          <w:lang w:val="ar-SA"/>
        </w:rPr>
        <w:t>.</w:t>
      </w:r>
      <w:bookmarkEnd w:id="139"/>
    </w:p>
    <w:p w14:paraId="7A09979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إبراهيم محمد إبراهيم المحيميد؛ علياء سعود الشطيطي، الملكية الفكرية للذكاء الاصطناعي، المجلة العلمية بكلية الآداب، ع</w:t>
      </w:r>
      <w:r>
        <w:rPr>
          <w:rStyle w:val="None"/>
          <w:rFonts w:ascii="Times New Roman" w:hAnsi="Times New Roman"/>
          <w:sz w:val="24"/>
          <w:szCs w:val="24"/>
          <w:rtl/>
          <w:lang w:val="ar-SA"/>
        </w:rPr>
        <w:t>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5D09EEC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اثير ذياب عباس الزهيري، دور الوسائل الرقمية في الكشف والإثبات الجنائي، مجلة الفارابي للعلوم الإنسانية،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119F71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إحسان طوير، حماية حقوق الملكية الفكرية على شبكة الإنترنت، رسالة دكتوراه، جامعة جيلالي لياس، سيدي بلعباس، رسالة منشورة، ٢٠٢١</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٢٠٢٢، ص ١٢</w:t>
      </w:r>
      <w:r>
        <w:rPr>
          <w:rStyle w:val="None"/>
          <w:rFonts w:ascii="Times New Roman" w:hAnsi="Times New Roman"/>
          <w:sz w:val="24"/>
          <w:szCs w:val="24"/>
          <w:rtl/>
          <w:lang w:val="ar-SA"/>
        </w:rPr>
        <w:t>.</w:t>
      </w:r>
    </w:p>
    <w:p w14:paraId="3C2A4E4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أحسن بوسقيعة، الوجيز في القانون الجزائي العام، الجزائر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هومه للطباعة والنشر والتوزيع، ط</w:t>
      </w:r>
      <w:r>
        <w:rPr>
          <w:rStyle w:val="None"/>
          <w:rFonts w:ascii="Times New Roman" w:hAnsi="Times New Roman"/>
          <w:sz w:val="24"/>
          <w:szCs w:val="24"/>
          <w:rtl/>
          <w:lang w:val="ar-SA"/>
        </w:rPr>
        <w:t>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E09065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مسند أحمد، مسند البصريين، حديث عمرو بن يثربي،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شعيب الأرنؤوط، عادل مرشد، وآخرون، إشراف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الله بن عبد المحسن التركي، مؤسسة الرسالة،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34/ 560</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(21082).</w:t>
      </w:r>
    </w:p>
    <w:p w14:paraId="7B44A1D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عبد اللاه عبد الحميد عبد الرحيم المراغي، المسؤولية الجنائية لمقدمي خدمات الإنترنت، مجلة حقوق حلوان للدراسات القانونية والاقتصادية، مج</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302F4A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أحمد عبد الله</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مصطفى، حقوق الملكية الفكرية والتأليف في بيئة الإنترنت</w:t>
      </w:r>
      <w:r>
        <w:rPr>
          <w:rStyle w:val="None"/>
          <w:rFonts w:ascii="Times New Roman" w:hAnsi="Times New Roman"/>
          <w:sz w:val="24"/>
          <w:szCs w:val="24"/>
          <w:rtl/>
          <w:lang w:val="ar-SA"/>
        </w:rPr>
        <w:t xml:space="preserve">. </w:t>
      </w:r>
      <w:r>
        <w:rPr>
          <w:rStyle w:val="None"/>
          <w:rFonts w:ascii="Times New Roman" w:hAnsi="Times New Roman"/>
          <w:sz w:val="24"/>
          <w:szCs w:val="24"/>
        </w:rPr>
        <w:t>Cybrarians Journal</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7370824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علي، المكتبة الرقمية الأسس والمفاهيم والتحديات التي تواجه المكتبات الرقمية العربية، مجلة جامعة دمشق، مج</w:t>
      </w:r>
      <w:r>
        <w:rPr>
          <w:rStyle w:val="None"/>
          <w:rFonts w:ascii="Times New Roman" w:hAnsi="Times New Roman"/>
          <w:sz w:val="24"/>
          <w:szCs w:val="24"/>
          <w:rtl/>
          <w:lang w:val="ar-SA"/>
        </w:rPr>
        <w:t>27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3E4204C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غنام، حقوق الملكية الفكرية المفهوم والأهداف، المعرفة، مج</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577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05BE283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فتحي سرور، الوسيط في قانون العقوبات القسم العام،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للنشر والتوزيع، ط</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6B19FC0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ماهر أبو سريع محمد رفاعي، تداخل الاختصاص بين أحكام التصميمات الصناعية أحكام حقوق المؤلف، المجلة العلمية للملكية الفكرية وإدارة الابتكار،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5EE78DC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عبد المعبود أحمد، الجريمة الإلكترونية وآلية مكافحتها في ظل القانون الدولي، جامعة المنوفية،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436423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علي علي الشريف،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097F42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p>
    <w:p w14:paraId="407F504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إرزيل الكاهنة، تأثر المستهلك بحماية حقوق الملكية الفكرية، مجلة الحقوق والحريات،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618-605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6F372C7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أسعد المحاسن لحرش، الملكية الفكرية بين تشجيع الابتكار وتحريم الاحتكار، مجلة دراسات وأبحاث، </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109-86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32B1194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لمين دباغين سطيف، الجزائر، </w:t>
      </w:r>
      <w:r>
        <w:rPr>
          <w:rStyle w:val="None"/>
          <w:rFonts w:ascii="Times New Roman" w:hAnsi="Times New Roman"/>
          <w:sz w:val="24"/>
          <w:szCs w:val="24"/>
          <w:rtl/>
          <w:lang w:val="ar-SA"/>
        </w:rPr>
        <w:t>(2024).</w:t>
      </w:r>
    </w:p>
    <w:p w14:paraId="4F22DEF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أكثم محمد القرعان، إثبات الجريمة الإلكترونية بالدليل الرقمي، رسالة ماجستير، </w:t>
      </w:r>
      <w:r>
        <w:rPr>
          <w:rStyle w:val="None"/>
          <w:rFonts w:ascii="Times New Roman" w:hAnsi="Times New Roman"/>
          <w:sz w:val="24"/>
          <w:szCs w:val="24"/>
          <w:rtl/>
          <w:lang w:val="ar-SA"/>
        </w:rPr>
        <w:t>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7D018A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آمال عبد الجبار حسوني، التعاقد عبر البريد الإلكتروني وإثباته، مجلة الحقوق،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277-294.</w:t>
      </w:r>
    </w:p>
    <w:p w14:paraId="554E624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أماني فوزي أحمد طه، الآثار الاقتصادية للتعدي على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p w14:paraId="3B1C628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AFCCC1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أمير الخوري، أساسيات الملكية الفكرية، منشورات مكتب براءات الاختراع والعلامات التجارية للولايات المتحدة، بدون طبعة، ٢٠٠٥</w:t>
      </w:r>
      <w:r>
        <w:rPr>
          <w:rStyle w:val="None"/>
          <w:rFonts w:ascii="Times New Roman" w:hAnsi="Times New Roman"/>
          <w:sz w:val="24"/>
          <w:szCs w:val="24"/>
          <w:rtl/>
          <w:lang w:val="ar-SA"/>
        </w:rPr>
        <w:t>.</w:t>
      </w:r>
    </w:p>
    <w:p w14:paraId="5F2EF35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أمينة يوسف عثمان البلغزي، الحماية القانونية للمصنفات الرقمية، مجلة الفرطاس،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73A07A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45651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إيمان نصر ذكي السيد، التعويض المستحق للمؤلف عن الاعتداء على مصنفه الإلكتروني، المجلة القانونية الاقتصادية، ع</w:t>
      </w:r>
      <w:r>
        <w:rPr>
          <w:rStyle w:val="None"/>
          <w:rFonts w:ascii="Times New Roman" w:hAnsi="Times New Roman"/>
          <w:sz w:val="24"/>
          <w:szCs w:val="24"/>
          <w:rtl/>
          <w:lang w:val="ar-SA"/>
        </w:rPr>
        <w:t>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19441D1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إيهاب خليفة، مجتمع ما بعد المعلومات تأثير الثورة الصناعية الرابعة على الأمن القومي، العربي للنشر والتوزيع، القاهرة، </w:t>
      </w:r>
      <w:r>
        <w:rPr>
          <w:rStyle w:val="None"/>
          <w:rFonts w:ascii="Times New Roman" w:hAnsi="Times New Roman"/>
          <w:sz w:val="24"/>
          <w:szCs w:val="24"/>
          <w:rtl/>
          <w:lang w:val="ar-SA"/>
        </w:rPr>
        <w:t>(2019).</w:t>
      </w:r>
    </w:p>
    <w:p w14:paraId="651DC1D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41A1586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w:t>
      </w:r>
    </w:p>
    <w:p w14:paraId="65CA1DD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بخوش عائشة؛ بن شريف الحسناء عائشة، البيئة الرقمية وأثرها على الأداء الوظيفي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Pr>
          <w:rStyle w:val="None"/>
          <w:rFonts w:ascii="Times New Roman" w:hAnsi="Times New Roman"/>
          <w:sz w:val="24"/>
          <w:szCs w:val="24"/>
          <w:rtl/>
          <w:lang w:val="ar-SA"/>
        </w:rPr>
        <w:t>(2023).</w:t>
      </w:r>
    </w:p>
    <w:p w14:paraId="15E7D5E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بشاير سعيد عبد الله الوالي، التنظيم القانوني للأسماء التجارية المشهورة في القانون الإماراتي والقوانين المقارنة،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الشارقة، الإمارات</w:t>
      </w:r>
      <w:r>
        <w:rPr>
          <w:rStyle w:val="None"/>
          <w:rFonts w:ascii="Times New Roman" w:hAnsi="Times New Roman"/>
          <w:sz w:val="24"/>
          <w:szCs w:val="24"/>
          <w:rtl/>
          <w:lang w:val="ar-SA"/>
        </w:rPr>
        <w:t>.</w:t>
      </w:r>
    </w:p>
    <w:p w14:paraId="7A0641C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أبو بكر محمود الهوش، نحو حقوق الملكية الفكرية في العصر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الثالث عشر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أكتوبر</w:t>
      </w:r>
      <w:r>
        <w:rPr>
          <w:rStyle w:val="None"/>
          <w:rFonts w:ascii="Times New Roman" w:hAnsi="Times New Roman"/>
          <w:sz w:val="24"/>
          <w:szCs w:val="24"/>
          <w:rtl/>
          <w:lang w:val="ar-SA"/>
        </w:rPr>
        <w:t>-2002).</w:t>
      </w:r>
    </w:p>
    <w:p w14:paraId="5D1766D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٢٠٠٩</w:t>
      </w:r>
      <w:r>
        <w:rPr>
          <w:rStyle w:val="None"/>
          <w:rFonts w:ascii="Times New Roman" w:hAnsi="Times New Roman"/>
          <w:sz w:val="24"/>
          <w:szCs w:val="24"/>
          <w:rtl/>
          <w:lang w:val="ar-SA"/>
        </w:rPr>
        <w:t>.</w:t>
      </w:r>
    </w:p>
    <w:p w14:paraId="65D0E1E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ثامر علي النويران، الجرائم الإلكترونية وطرق الحد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تجربة الأردن، جامعة محمد بن سعود الإسلامي، </w:t>
      </w:r>
      <w:r>
        <w:rPr>
          <w:rStyle w:val="None"/>
          <w:rFonts w:ascii="Times New Roman" w:hAnsi="Times New Roman"/>
          <w:sz w:val="24"/>
          <w:szCs w:val="24"/>
          <w:rtl/>
          <w:lang w:val="ar-SA"/>
        </w:rPr>
        <w:t>174-183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97743A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F6BCE6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جابر بن مرهون فليفل، أهمية حماية الملكية الفكرية تواصل،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69-60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(2006).</w:t>
      </w:r>
    </w:p>
    <w:p w14:paraId="35DA837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جاسم محمد سعيد النقبي، دعوى التعويض عن القرارات الإدارية غير المشروعة، بحث نشر بجامعة الشارقة، </w:t>
      </w:r>
      <w:r>
        <w:rPr>
          <w:rStyle w:val="None"/>
          <w:rFonts w:ascii="Times New Roman" w:hAnsi="Times New Roman"/>
          <w:sz w:val="24"/>
          <w:szCs w:val="24"/>
          <w:rtl/>
          <w:lang w:val="ar-SA"/>
        </w:rPr>
        <w:t>(2021).</w:t>
      </w:r>
    </w:p>
    <w:p w14:paraId="1AF12BB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3127D98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بو جفجوف الزهرة، ملامح البيئة الرقمية في الجزائر بين الواقع والمأمول، مجلة أبحاث،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0D046F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جمال الخولي، إثبات الملكية في الوثائق العربية، الدار المصرية اللبنانية للنشر، الطبعة الأولي، القاهرة، ١٩٩٤</w:t>
      </w:r>
      <w:r>
        <w:rPr>
          <w:rStyle w:val="None"/>
          <w:rFonts w:ascii="Times New Roman" w:hAnsi="Times New Roman"/>
          <w:sz w:val="24"/>
          <w:szCs w:val="24"/>
          <w:rtl/>
          <w:lang w:val="ar-SA"/>
        </w:rPr>
        <w:t>.</w:t>
      </w:r>
    </w:p>
    <w:p w14:paraId="31402DE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حاتم أحمد محمد بطيخ، تطوُّر السياسة التشريعية في مجال مكافحة جرائم تقنية المعلومات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تحليلية مقارنة، مجلة الدراسات القانونية والاقتصادية،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2ECB0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حازم أحمد شوقي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C2F443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حدو محمد،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الحميد بن باديس، الجزائر، </w:t>
      </w:r>
      <w:r>
        <w:rPr>
          <w:rStyle w:val="None"/>
          <w:rFonts w:ascii="Times New Roman" w:hAnsi="Times New Roman"/>
          <w:sz w:val="24"/>
          <w:szCs w:val="24"/>
          <w:rtl/>
          <w:lang w:val="ar-SA"/>
        </w:rPr>
        <w:t>(2017).</w:t>
      </w:r>
    </w:p>
    <w:p w14:paraId="4C583A0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حسام الدين صغير، المنظمة العالمية للملكية الفكرية </w:t>
      </w:r>
      <w:r>
        <w:rPr>
          <w:rStyle w:val="None"/>
          <w:rFonts w:ascii="Times New Roman" w:hAnsi="Times New Roman"/>
          <w:sz w:val="24"/>
          <w:szCs w:val="24"/>
        </w:rPr>
        <w:t>Wipo</w:t>
      </w:r>
      <w:r>
        <w:rPr>
          <w:rStyle w:val="None"/>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w:t>
      </w:r>
      <w:r>
        <w:rPr>
          <w:rStyle w:val="None"/>
          <w:rFonts w:ascii="Times New Roman" w:hAnsi="Times New Roman"/>
          <w:sz w:val="24"/>
          <w:szCs w:val="24"/>
          <w:rtl/>
          <w:lang w:val="ar-SA"/>
        </w:rPr>
        <w:t>.</w:t>
      </w:r>
    </w:p>
    <w:p w14:paraId="6FB644A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Pr>
          <w:rStyle w:val="None"/>
          <w:rFonts w:ascii="Times New Roman" w:hAnsi="Times New Roman"/>
          <w:sz w:val="24"/>
          <w:szCs w:val="24"/>
          <w:rtl/>
          <w:lang w:val="ar-SA"/>
        </w:rPr>
        <w:t>47-70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3E73AF8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حسن البدراوي، إنقاذ حقوق الملكية الفكرية، ملتقى تنظيم المنظمة العالمية للملكية الفكرية جنيف، في ١٨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١٩ جوان ٢٠٠٣</w:t>
      </w:r>
      <w:r>
        <w:rPr>
          <w:rStyle w:val="None"/>
          <w:rFonts w:ascii="Times New Roman" w:hAnsi="Times New Roman"/>
          <w:sz w:val="24"/>
          <w:szCs w:val="24"/>
          <w:rtl/>
          <w:lang w:val="ar-SA"/>
        </w:rPr>
        <w:t>.</w:t>
      </w:r>
    </w:p>
    <w:p w14:paraId="77219C3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أبو الحسين مسلم، </w:t>
      </w:r>
      <w:r>
        <w:rPr>
          <w:rStyle w:val="None"/>
          <w:rFonts w:ascii="Times New Roman" w:hAnsi="Times New Roman"/>
          <w:sz w:val="24"/>
          <w:szCs w:val="24"/>
          <w:rtl/>
          <w:lang w:val="ar-SA"/>
        </w:rPr>
        <w:t>(1955</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صحيح مسلم، كتاب الإيمان، باب قول النبي </w:t>
      </w:r>
      <w:r>
        <w:rPr>
          <w:rStyle w:val="None"/>
          <w:rFonts w:ascii="Arial Unicode MS" w:hAnsi="Arial Unicode MS"/>
          <w:sz w:val="24"/>
          <w:szCs w:val="24"/>
          <w:rtl/>
          <w:lang w:val="ar-SA"/>
        </w:rPr>
        <w:t>ﷺ</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غشنا فليس منا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فؤاد عبد الباقي،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طبعة عيسى البابي الحلبي وشركاه، 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 </w:t>
      </w:r>
      <w:r>
        <w:rPr>
          <w:rStyle w:val="None"/>
          <w:rFonts w:ascii="Times New Roman" w:hAnsi="Times New Roman"/>
          <w:sz w:val="24"/>
          <w:szCs w:val="24"/>
          <w:rtl/>
          <w:lang w:val="ar-SA"/>
        </w:rPr>
        <w:t>1/ 99</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 xml:space="preserve">(102). </w:t>
      </w:r>
    </w:p>
    <w:p w14:paraId="5F71EEF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(2022).</w:t>
      </w:r>
    </w:p>
    <w:p w14:paraId="30E8B06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231-251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241.</w:t>
      </w:r>
    </w:p>
    <w:p w14:paraId="69C3336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حكيمة عطا وشاح؛ خالدة عبد الله، حقوق الملكية الفكرية وتأثيرها على أخلاقيات البحث العلمي في البيئة الرقمية، مجلة آداب المستنصرية، ع </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0970EA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حليمة بودن، القرصنة والملكية الفكرية، مجلة القانون المغربي، ع</w:t>
      </w:r>
      <w:r>
        <w:rPr>
          <w:rStyle w:val="None"/>
          <w:rFonts w:ascii="Times New Roman" w:hAnsi="Times New Roman"/>
          <w:sz w:val="24"/>
          <w:szCs w:val="24"/>
          <w:rtl/>
          <w:lang w:val="ar-SA"/>
        </w:rPr>
        <w:t>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3E1993D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نبيل، بدر الدين،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7648F53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حنان محمد الحسيني، التحقيق الجنائي الرقمي، مجلة جامعة الملك سعود،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129-150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7F45C6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ماي قالمة، الجزائر، </w:t>
      </w:r>
      <w:r>
        <w:rPr>
          <w:rStyle w:val="None"/>
          <w:rFonts w:ascii="Times New Roman" w:hAnsi="Times New Roman"/>
          <w:sz w:val="24"/>
          <w:szCs w:val="24"/>
          <w:rtl/>
          <w:lang w:val="ar-SA"/>
        </w:rPr>
        <w:t>(2018).</w:t>
      </w:r>
    </w:p>
    <w:p w14:paraId="2489CD6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61-95.</w:t>
      </w:r>
    </w:p>
    <w:p w14:paraId="55990D0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حسن أحمد، حقوق الملكية الفكرية دورها في حماية المصنفات الرقمية وأسماء النطاقات على شبكة الإنترنت، دار الفكر الجامعي، ۲۰۲۱، بدون طبعه</w:t>
      </w:r>
      <w:r>
        <w:rPr>
          <w:rStyle w:val="None"/>
          <w:rFonts w:ascii="Times New Roman" w:hAnsi="Times New Roman"/>
          <w:sz w:val="24"/>
          <w:szCs w:val="24"/>
          <w:rtl/>
          <w:lang w:val="ar-SA"/>
        </w:rPr>
        <w:t>.</w:t>
      </w:r>
    </w:p>
    <w:p w14:paraId="6B94C87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زواتين، الذكاء الاصطناعي وحقوق الملكية الفكرية أي علاقة ترابطية؟، مجلة حقوق الإنسان والحريات العامة،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5DC372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C3DBC6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خديجة</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77162F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خضراوي الهادي؛ ايمان بو ناصر، الإطار القانوني للمسؤولية المدنية لمزودي الخدمة المعلوماتية دراسة مقارنة، مجلة البحوث القانونية والسياسية، ع</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33EF0D6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p>
    <w:p w14:paraId="74E2EB0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دليلة خينش، صعوبات النشر الإلكتروني الجامعي المنصة الجزائرية للمجلات العلمية انموذجًا، مجلة دفاتر المخبر،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0607DD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ديما ناجح المجالي؛ أحمد عبد القادر المجالي، أثر الاقتصاد الرقمي على النشاط الاقتصادي في الدول العربية، مجلة الدراسات الاقتصادية،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0C8370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2BF51CC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مجلة الاجتهاد للدراسات القانونية والاقتصادية،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55CFDF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ربحي مصطفي عليان، المكتبات الإلكترونية والمكتبات الرقمية، دار صفاء للنشر والتوزيع، عمان،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B86DAA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رشيد بن راشد؛ حسنية بلحاج،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النظريات الإعلامية والميديا الجديدة، مجلة المعيار، مج</w:t>
      </w:r>
      <w:r>
        <w:rPr>
          <w:rStyle w:val="None"/>
          <w:rFonts w:ascii="Times New Roman" w:hAnsi="Times New Roman"/>
          <w:sz w:val="24"/>
          <w:szCs w:val="24"/>
          <w:rtl/>
          <w:lang w:val="ar-SA"/>
        </w:rPr>
        <w:t>13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F7DD7F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Pr>
          <w:rStyle w:val="None"/>
          <w:rFonts w:ascii="Times New Roman" w:hAnsi="Times New Roman"/>
          <w:sz w:val="24"/>
          <w:szCs w:val="24"/>
          <w:rtl/>
          <w:lang w:val="ar-SA"/>
        </w:rPr>
        <w:t xml:space="preserve">22-23 </w:t>
      </w:r>
      <w:r>
        <w:rPr>
          <w:rStyle w:val="None"/>
          <w:rFonts w:ascii="Arial Unicode MS" w:hAnsi="Arial Unicode MS" w:cs="Times New Roman" w:hint="cs"/>
          <w:sz w:val="24"/>
          <w:szCs w:val="24"/>
          <w:rtl/>
          <w:lang w:val="ar-SA"/>
        </w:rPr>
        <w:t xml:space="preserve">ابريل </w:t>
      </w:r>
      <w:r>
        <w:rPr>
          <w:rStyle w:val="None"/>
          <w:rFonts w:ascii="Times New Roman" w:hAnsi="Times New Roman"/>
          <w:sz w:val="24"/>
          <w:szCs w:val="24"/>
          <w:rtl/>
          <w:lang w:val="ar-SA"/>
        </w:rPr>
        <w:t>2009.</w:t>
      </w:r>
    </w:p>
    <w:p w14:paraId="29D2B5C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رضوان حسان إسخيطة، التحقيق الجنائي الرقمي في ضوء قوانين حماية البيانات الشخصية، مجلة الندوة للدراسات القانونية،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3959DF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رمضان قنفود، المسائل القانونية المتعلقة بالبريد الإلكتروني، مجلة دراسات وأبحاث،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290-315.</w:t>
      </w:r>
    </w:p>
    <w:p w14:paraId="6DD8F4E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p>
    <w:p w14:paraId="373901C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Pr>
          <w:rStyle w:val="None"/>
          <w:rFonts w:ascii="Times New Roman" w:hAnsi="Times New Roman"/>
          <w:sz w:val="24"/>
          <w:szCs w:val="24"/>
          <w:rtl/>
          <w:lang w:val="ar-SA"/>
        </w:rPr>
        <w:t>(2020).</w:t>
      </w:r>
    </w:p>
    <w:p w14:paraId="2106663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ريماني يونس؛ ورحيلة الشيخ، دور القضاء المدني الجزائري في حقوق الملكية الفكرية، رسالة ماجستير غير منشورة، جامعة بلحاح بوشعيب، الجزائر، </w:t>
      </w:r>
      <w:r>
        <w:rPr>
          <w:rStyle w:val="None"/>
          <w:rFonts w:ascii="Times New Roman" w:hAnsi="Times New Roman"/>
          <w:sz w:val="24"/>
          <w:szCs w:val="24"/>
          <w:rtl/>
          <w:lang w:val="ar-SA"/>
        </w:rPr>
        <w:t>2024.</w:t>
      </w:r>
    </w:p>
    <w:p w14:paraId="0D8B4E6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مجلة روح القوانين، ع</w:t>
      </w:r>
      <w:r>
        <w:rPr>
          <w:rStyle w:val="None"/>
          <w:rFonts w:ascii="Times New Roman" w:hAnsi="Times New Roman"/>
          <w:sz w:val="24"/>
          <w:szCs w:val="24"/>
          <w:rtl/>
          <w:lang w:val="ar-SA"/>
        </w:rPr>
        <w:t>106</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44B8EC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مرجع سابق</w:t>
      </w:r>
      <w:r>
        <w:rPr>
          <w:rStyle w:val="None"/>
          <w:rFonts w:ascii="Times New Roman" w:hAnsi="Times New Roman"/>
          <w:sz w:val="24"/>
          <w:szCs w:val="24"/>
          <w:rtl/>
          <w:lang w:val="ar-SA"/>
        </w:rPr>
        <w:t>.</w:t>
      </w:r>
    </w:p>
    <w:p w14:paraId="51B1151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الزبير بلهوشات؛ 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18351C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75E3FB4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462BCC6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194D5DC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زين الدين صلاح سلمان أسمر، الملكية الفكرية نشأتها ونطاقها وعناصرها وأهميتها، 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4812F39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1A176AA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F62719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سامية خوخي، حقوق المؤلفين الأجانب،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4EAD66A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سرباز سعيد رشيد، الحماية القانونية لحقوق الملكية الفكرية، رسالة ماجستير غير منشورة، جامعة الشرق الأردني، الأردن، </w:t>
      </w:r>
      <w:r>
        <w:rPr>
          <w:rStyle w:val="None"/>
          <w:rFonts w:ascii="Times New Roman" w:hAnsi="Times New Roman"/>
          <w:sz w:val="24"/>
          <w:szCs w:val="24"/>
          <w:rtl/>
          <w:lang w:val="ar-SA"/>
        </w:rPr>
        <w:t>2020.</w:t>
      </w:r>
    </w:p>
    <w:p w14:paraId="6D49087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(2016).</w:t>
      </w:r>
    </w:p>
    <w:p w14:paraId="25D67C3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سعد بن علي بن تركي، الدليل الرقمي وأثره في الإثبات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تطبيقية مقارنة بالنظام السعودي، مجلة العلوم الشرعية، جامعة القصيم،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2384-2436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0694D9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سعيد سعد عبد السلام، مصادر الالتزام المدني،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52D23F0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سلمى عزت شاهين نبيل شاهين، دور قانون تشجيع الاستثمار في تنمية الابداعات في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2021.</w:t>
      </w:r>
    </w:p>
    <w:p w14:paraId="66C8804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p w14:paraId="34ED047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سليمان عبد الواحد عبدا لله أحمد محمد، التعاون الأمني لمواجهة الجريمة المنظمة، جامعة المنوفية،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1-45.</w:t>
      </w:r>
    </w:p>
    <w:p w14:paraId="03D24F8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سمية بالعربي؛ حمو فرحات، الوساطة في الملكية الفكرية، دراسات،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641F49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سمير عبد السيد تناغو، مصادر الالتزام،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الوفاء القانونية،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1B520D9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(2014).</w:t>
      </w:r>
    </w:p>
    <w:p w14:paraId="35DF480C" w14:textId="77777777" w:rsidR="00454428" w:rsidRDefault="00000000" w:rsidP="00C72BA8">
      <w:pPr>
        <w:pStyle w:val="1"/>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السيد أحمد عبد الخالق، حماية حقوق الملكية الفكرية في ظل اتفاقية التريس والتشريعات الاقتصادية، الطبعة الأولى، دار الفكر والقانون للنشر بالقاهرة، </w:t>
      </w:r>
      <w:r>
        <w:rPr>
          <w:rStyle w:val="None"/>
          <w:rFonts w:ascii="Times New Roman" w:hAnsi="Times New Roman"/>
          <w:sz w:val="24"/>
          <w:szCs w:val="24"/>
          <w:rtl/>
          <w:lang w:val="ar-SA"/>
        </w:rPr>
        <w:t>2011.</w:t>
      </w:r>
    </w:p>
    <w:p w14:paraId="51DBBC1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سيد عبد الله محمد خليلي، الحماية القانونية والشرعية لحق الترجمة دراسة مقارنة القانون المصري والنظام السعودي، مجلة كلية الشريعة والقانون،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CAAB7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السيد محمد ذكي حسن، الاقتصاد الرقمي، مجلة روح القوانين، ع</w:t>
      </w:r>
      <w:r>
        <w:rPr>
          <w:rStyle w:val="None"/>
          <w:rFonts w:ascii="Times New Roman" w:hAnsi="Times New Roman"/>
          <w:sz w:val="24"/>
          <w:szCs w:val="24"/>
          <w:rtl/>
          <w:lang w:val="ar-SA"/>
        </w:rPr>
        <w:t>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B22005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6275499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p>
    <w:p w14:paraId="489573F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شريهان ممدرح حسن أحمد، حماية حقوق الملكية الفكرية على المستوى الوطني والدولي مقارنة بين القانون المصري والنظام السعودي، المجلة القانونية،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288F58A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Pr>
          <w:rStyle w:val="None"/>
          <w:rFonts w:ascii="Times New Roman" w:hAnsi="Times New Roman"/>
          <w:sz w:val="24"/>
          <w:szCs w:val="24"/>
          <w:rtl/>
          <w:lang w:val="ar-SA"/>
        </w:rPr>
        <w:t>(636)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36-34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1E47AFF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مجلة الحقوق والعلوم الإنسانية،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p>
    <w:p w14:paraId="3F3584C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شنوف معمر،  دور الهيئات الدولية لحماية المليكة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33359B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شهد عبد الرحمن الصبحي، مدى وعي طلبة الدراسات العليا بنظام مكافحة الجرائم المعلوماتية في ظل التحول الرقمي ضمن رؤية المملكة </w:t>
      </w:r>
      <w:r>
        <w:rPr>
          <w:rStyle w:val="None"/>
          <w:rFonts w:ascii="Times New Roman" w:hAnsi="Times New Roman"/>
          <w:sz w:val="24"/>
          <w:szCs w:val="24"/>
          <w:rtl/>
          <w:lang w:val="ar-SA"/>
        </w:rPr>
        <w:t xml:space="preserve">2030 </w:t>
      </w:r>
      <w:r>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Pr>
          <w:rStyle w:val="None"/>
          <w:rFonts w:ascii="Times New Roman" w:hAnsi="Times New Roman"/>
          <w:sz w:val="24"/>
          <w:szCs w:val="24"/>
          <w:rtl/>
          <w:lang w:val="ar-SA"/>
        </w:rPr>
        <w:t>40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405039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(2003).</w:t>
      </w:r>
    </w:p>
    <w:p w14:paraId="2F67905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قطر، </w:t>
      </w:r>
      <w:r>
        <w:rPr>
          <w:rStyle w:val="None"/>
          <w:rFonts w:ascii="Times New Roman" w:hAnsi="Times New Roman"/>
          <w:sz w:val="24"/>
          <w:szCs w:val="24"/>
          <w:rtl/>
          <w:lang w:val="ar-SA"/>
        </w:rPr>
        <w:t>(2023).</w:t>
      </w:r>
    </w:p>
    <w:p w14:paraId="331984A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Pr>
          <w:rStyle w:val="None"/>
          <w:rFonts w:ascii="Times New Roman" w:hAnsi="Times New Roman"/>
          <w:sz w:val="24"/>
          <w:szCs w:val="24"/>
          <w:rtl/>
          <w:lang w:val="ar-SA"/>
        </w:rPr>
        <w:t>(2020).</w:t>
      </w:r>
    </w:p>
    <w:p w14:paraId="750361E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DCF7CD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صابرين حناش، المسؤولية الجنائية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أولحاج، الجزائر، </w:t>
      </w:r>
      <w:r>
        <w:rPr>
          <w:rStyle w:val="None"/>
          <w:rFonts w:ascii="Times New Roman" w:hAnsi="Times New Roman"/>
          <w:sz w:val="24"/>
          <w:szCs w:val="24"/>
          <w:rtl/>
          <w:lang w:val="ar-SA"/>
        </w:rPr>
        <w:t>2023.</w:t>
      </w:r>
    </w:p>
    <w:p w14:paraId="3BF5E8B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صبرينة بلخير، الحماية الدولية لحقوق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الجزائر، </w:t>
      </w:r>
      <w:r>
        <w:rPr>
          <w:rStyle w:val="None"/>
          <w:rFonts w:ascii="Times New Roman" w:hAnsi="Times New Roman"/>
          <w:sz w:val="24"/>
          <w:szCs w:val="24"/>
          <w:rtl/>
          <w:lang w:val="ar-SA"/>
        </w:rPr>
        <w:t>(2020).</w:t>
      </w:r>
    </w:p>
    <w:p w14:paraId="63ED00A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p>
    <w:p w14:paraId="163E060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الدين رجب فتح الباب صميدة،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479A60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سلمان أسمر زين الدين، الملكية الفكرية نشأتها ونطاقها وعناصرها وأهميتها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29E2A3C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76B19ED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صونية حقاص، حماية الملكية الفكرية الأدبية والفنية في البيئة الرقمية في ظل التشريع الجزائري،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منتوري قسنطينة، الجزائر، </w:t>
      </w:r>
      <w:r>
        <w:rPr>
          <w:rStyle w:val="None"/>
          <w:rFonts w:ascii="Times New Roman" w:hAnsi="Times New Roman"/>
          <w:sz w:val="24"/>
          <w:szCs w:val="24"/>
          <w:rtl/>
          <w:lang w:val="ar-SA"/>
        </w:rPr>
        <w:t>(2012).</w:t>
      </w:r>
    </w:p>
    <w:p w14:paraId="1728B6D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(2010).</w:t>
      </w:r>
    </w:p>
    <w:p w14:paraId="0FFB2A4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Pr>
          <w:rStyle w:val="None"/>
          <w:rFonts w:ascii="Times New Roman" w:hAnsi="Times New Roman"/>
          <w:sz w:val="24"/>
          <w:szCs w:val="24"/>
          <w:rtl/>
          <w:lang w:val="ar-SA"/>
        </w:rPr>
        <w:t>43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190B26A" w14:textId="77777777" w:rsidR="00454428" w:rsidRDefault="00000000" w:rsidP="00C72BA8">
      <w:pPr>
        <w:pStyle w:val="1"/>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2020.</w:t>
      </w:r>
    </w:p>
    <w:p w14:paraId="17196C3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حماد عثمان، ضبط الأدلة في مجال الجريمة المعلوماتية، رابطة الأدب الحديث، ج</w:t>
      </w:r>
      <w:r>
        <w:rPr>
          <w:rStyle w:val="None"/>
          <w:rFonts w:ascii="Times New Roman" w:hAnsi="Times New Roman"/>
          <w:sz w:val="24"/>
          <w:szCs w:val="24"/>
          <w:rtl/>
          <w:lang w:val="ar-SA"/>
        </w:rPr>
        <w:t>113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179-247.</w:t>
      </w:r>
    </w:p>
    <w:p w14:paraId="45586BE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محمد صفوت محمد علي، النظام القانوني لحماية حقوق الملكية الصناعية ومردودها الاقتصادي، مجلة روح القوانين، ع</w:t>
      </w:r>
      <w:r>
        <w:rPr>
          <w:rStyle w:val="None"/>
          <w:rFonts w:ascii="Times New Roman" w:hAnsi="Times New Roman"/>
          <w:sz w:val="24"/>
          <w:szCs w:val="24"/>
          <w:rtl/>
          <w:lang w:val="ar-SA"/>
        </w:rPr>
        <w:t>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C30E13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الخالق العاني، اتجاهات جديدة في الحصول على حقوق الملكية الفكرية في سوريا، برنامج الندوة الوطنية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حماية الملكية الفكرية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بدون طبعة، ٢٠١٠</w:t>
      </w:r>
      <w:r>
        <w:rPr>
          <w:rStyle w:val="None"/>
          <w:rFonts w:ascii="Times New Roman" w:hAnsi="Times New Roman"/>
          <w:sz w:val="24"/>
          <w:szCs w:val="24"/>
          <w:rtl/>
          <w:lang w:val="ar-SA"/>
        </w:rPr>
        <w:t>.</w:t>
      </w:r>
    </w:p>
    <w:p w14:paraId="2A3D332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الرحمان زيرق؛ وجعيرن بشير، حقوق الملكية الفكرية والاستثمار على ضوء القانون </w:t>
      </w:r>
      <w:r>
        <w:rPr>
          <w:rStyle w:val="None"/>
          <w:rFonts w:ascii="Times New Roman" w:hAnsi="Times New Roman"/>
          <w:sz w:val="24"/>
          <w:szCs w:val="24"/>
          <w:rtl/>
          <w:lang w:val="ar-SA"/>
        </w:rPr>
        <w:t xml:space="preserve">22/18 </w:t>
      </w:r>
      <w:r>
        <w:rPr>
          <w:rStyle w:val="None"/>
          <w:rFonts w:ascii="Arial Unicode MS" w:hAnsi="Arial Unicode MS" w:cs="Times New Roman" w:hint="cs"/>
          <w:sz w:val="24"/>
          <w:szCs w:val="24"/>
          <w:rtl/>
          <w:lang w:val="ar-SA"/>
        </w:rPr>
        <w:t>المتعلق بالاستثمار، مجلة الدراسات القانونية والسياسية،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8E04B2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سرحاني، الضوابط القانونية للجزاء الجنائي في ضوء مستجدات التشريع الجزائري، مجلة معالم للدراسات القانونية والسياسية، مح</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FAF741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عميمر، الحماية الجنائية للحق في الحياة الخاصة في البيئة الرقمية، مجلة القانون والأعمال،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2905E2F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p>
    <w:p w14:paraId="61E1B9B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الله الشريف، حقوق الملكية الفكرية وعصر تقنيات المعلومات والاتصالات، مجلة الجامعي،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284-261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2B9E3EA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70D5733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47B1DED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0DBDF00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p>
    <w:p w14:paraId="4AAE69A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p>
    <w:p w14:paraId="20170F9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عزة محمد حمزة، المسئولية القانونية لمتعاملي الإنترنت دراسة 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جيلالي ليابس، الجزائر، </w:t>
      </w:r>
      <w:r>
        <w:rPr>
          <w:rStyle w:val="None"/>
          <w:rFonts w:ascii="Times New Roman" w:hAnsi="Times New Roman"/>
          <w:sz w:val="24"/>
          <w:szCs w:val="24"/>
          <w:rtl/>
          <w:lang w:val="ar-SA"/>
        </w:rPr>
        <w:t>2019.</w:t>
      </w:r>
    </w:p>
    <w:p w14:paraId="2FBE065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عطية بدر الدين؛ ناجية قموح،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إشكالية المصطلح، أصله وأبعاده، أعلم،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28064CC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4BCADA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55F02C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8FAC36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علي محمد؛ فتاحي محمد، مفهوم براءة الاختراع وآليات حمايتها في التشريع الجزائري، مجلة الحقيقة،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5727B70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عماد بن محمد يوسف جان، مقدمة في الملكية الفكرية وتطوُّرها في المملكة العربية السعودية، مجلة البحوث الإسلامية، ع</w:t>
      </w:r>
      <w:r>
        <w:rPr>
          <w:rStyle w:val="None"/>
          <w:rFonts w:ascii="Times New Roman" w:hAnsi="Times New Roman"/>
          <w:sz w:val="24"/>
          <w:szCs w:val="24"/>
          <w:rtl/>
          <w:lang w:val="ar-SA"/>
        </w:rPr>
        <w:t>94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9A4D17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p>
    <w:p w14:paraId="3303D6B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مصر</w:t>
      </w:r>
      <w:r>
        <w:rPr>
          <w:rStyle w:val="None"/>
          <w:rFonts w:ascii="Times New Roman" w:hAnsi="Times New Roman"/>
          <w:sz w:val="24"/>
          <w:szCs w:val="24"/>
          <w:rtl/>
          <w:lang w:val="ar-SA"/>
        </w:rPr>
        <w:t>.</w:t>
      </w:r>
    </w:p>
    <w:p w14:paraId="3550C4D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عمر يوسف عبد الله، الإطار القانوني والمؤسساتي لمكافحة التقليد والقرصنة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وهران، الجزائر، </w:t>
      </w:r>
      <w:r>
        <w:rPr>
          <w:rStyle w:val="None"/>
          <w:rFonts w:ascii="Times New Roman" w:hAnsi="Times New Roman"/>
          <w:sz w:val="24"/>
          <w:szCs w:val="24"/>
          <w:rtl/>
          <w:lang w:val="ar-SA"/>
        </w:rPr>
        <w:t>(2022).</w:t>
      </w:r>
    </w:p>
    <w:p w14:paraId="769CDCF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Pr>
          <w:rStyle w:val="None"/>
          <w:rFonts w:ascii="Times New Roman" w:hAnsi="Times New Roman"/>
          <w:sz w:val="24"/>
          <w:szCs w:val="24"/>
          <w:rtl/>
          <w:lang w:val="ar-SA"/>
        </w:rPr>
        <w:t>: 2022/ 2023.</w:t>
      </w:r>
    </w:p>
    <w:p w14:paraId="7AD721D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غادة عبد الكريم جاد، أثر حماية الملكية الفكرية على الاستثمار دراسة مقارنة، مجلة الدراسات القانونية والاقتصادية،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2A3B057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غسان فطوم، حقوق المؤلف والملكية الفكرية والحقوق المجاورة في العالم العربي والشرق الأوسط، الاتحاد الدولي للصحفيين منظمة من اتحاد الاتحاد، </w:t>
      </w:r>
      <w:r>
        <w:rPr>
          <w:rStyle w:val="None"/>
          <w:rFonts w:ascii="Times New Roman" w:hAnsi="Times New Roman"/>
          <w:sz w:val="24"/>
          <w:szCs w:val="24"/>
          <w:rtl/>
          <w:lang w:val="ar-SA"/>
        </w:rPr>
        <w:t>2020.</w:t>
      </w:r>
    </w:p>
    <w:p w14:paraId="354D422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فاتن سعيد مبارك، حماية أمن المعلومات في شبكة المكتبات بجامعة أم القرى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المكتبات العربية في مطلع الألفية الثالثة، الشارقة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الاتحاد العربي للمكتبات والمعلومات وجامعة الشارقة،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(2001).</w:t>
      </w:r>
    </w:p>
    <w:p w14:paraId="6FF0AF0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ابن فارس، </w:t>
      </w:r>
      <w:r>
        <w:rPr>
          <w:rStyle w:val="None"/>
          <w:rFonts w:ascii="Arial Unicode MS" w:hAnsi="Arial Unicode MS" w:cs="Times New Roman" w:hint="cs"/>
          <w:sz w:val="24"/>
          <w:szCs w:val="24"/>
          <w:shd w:val="clear" w:color="auto" w:fill="FFFFFF"/>
          <w:rtl/>
          <w:lang w:val="ar-SA"/>
        </w:rPr>
        <w:t>معجم مقاييس اللغة، تحقيق وضبط</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عبد السلام محمد هارون، مصر</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Pr>
          <w:rStyle w:val="None"/>
          <w:rFonts w:ascii="Times New Roman" w:hAnsi="Times New Roman"/>
          <w:sz w:val="24"/>
          <w:szCs w:val="24"/>
          <w:shd w:val="clear" w:color="auto" w:fill="FFFFFF"/>
          <w:rtl/>
          <w:lang w:val="ar-SA"/>
        </w:rPr>
        <w:t>2</w:t>
      </w:r>
      <w:r>
        <w:rPr>
          <w:rStyle w:val="None"/>
          <w:rFonts w:ascii="Arial Unicode MS" w:hAnsi="Arial Unicode MS" w:cs="Times New Roman" w:hint="cs"/>
          <w:sz w:val="24"/>
          <w:szCs w:val="24"/>
          <w:shd w:val="clear" w:color="auto" w:fill="FFFFFF"/>
          <w:rtl/>
          <w:lang w:val="ar-SA"/>
        </w:rPr>
        <w:t xml:space="preserve">، </w:t>
      </w:r>
      <w:r>
        <w:rPr>
          <w:rStyle w:val="None"/>
          <w:rFonts w:ascii="Times New Roman" w:hAnsi="Times New Roman"/>
          <w:sz w:val="24"/>
          <w:szCs w:val="24"/>
          <w:shd w:val="clear" w:color="auto" w:fill="FFFFFF"/>
          <w:rtl/>
          <w:lang w:val="ar-SA"/>
        </w:rPr>
        <w:t>1972</w:t>
      </w:r>
      <w:r>
        <w:rPr>
          <w:rStyle w:val="None"/>
          <w:rFonts w:ascii="Arial Unicode MS" w:hAnsi="Arial Unicode MS" w:cs="Times New Roman" w:hint="cs"/>
          <w:sz w:val="24"/>
          <w:szCs w:val="24"/>
          <w:shd w:val="clear" w:color="auto" w:fill="FFFFFF"/>
          <w:rtl/>
          <w:lang w:val="ar-SA"/>
        </w:rPr>
        <w:t xml:space="preserve">م، </w:t>
      </w:r>
      <w:r>
        <w:rPr>
          <w:rStyle w:val="None"/>
          <w:rFonts w:ascii="Times New Roman" w:hAnsi="Times New Roman"/>
          <w:sz w:val="24"/>
          <w:szCs w:val="24"/>
          <w:shd w:val="clear" w:color="auto" w:fill="FFFFFF"/>
          <w:rtl/>
          <w:lang w:val="ar-SA"/>
        </w:rPr>
        <w:t>2/ 427.</w:t>
      </w:r>
    </w:p>
    <w:p w14:paraId="7F77BB5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فازية بو علوط، أثر الذكاء الاصطناعي على حقوق الملكية الفكرية، المجلة الأكاديمية للبحث القانوني،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F5A048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B6D148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ميسان، الجزائر، </w:t>
      </w:r>
      <w:r>
        <w:rPr>
          <w:rStyle w:val="None"/>
          <w:rFonts w:ascii="Times New Roman" w:hAnsi="Times New Roman"/>
          <w:sz w:val="24"/>
          <w:szCs w:val="24"/>
          <w:rtl/>
          <w:lang w:val="ar-SA"/>
        </w:rPr>
        <w:t>(2020).</w:t>
      </w:r>
    </w:p>
    <w:p w14:paraId="12BA26B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A6BE48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مصفح؛ وزينة أيت علي، مفهوم الدفع الإلكتروني وتمييزه عن الدفع التقليدي، مجلة البحوث والدراسات القانونية والسياسية، مج</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82A71F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فاطيمة ربوح، الاستثمار والملكية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ابن خلدون، الجزائر، </w:t>
      </w:r>
      <w:r>
        <w:rPr>
          <w:rStyle w:val="None"/>
          <w:rFonts w:ascii="Times New Roman" w:hAnsi="Times New Roman"/>
          <w:sz w:val="24"/>
          <w:szCs w:val="24"/>
          <w:rtl/>
          <w:lang w:val="ar-SA"/>
        </w:rPr>
        <w:t>2023.</w:t>
      </w:r>
    </w:p>
    <w:p w14:paraId="3F63250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98FCFD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D25263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1367-1429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15383E9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الكاهنة ارزيل، تأثر المستهلك بحماية حقوق الملكية الفكرية، مجلة الحقوق والحريات،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29C6C1B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كداوة عبد القادر، البحث الوثائقي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902313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كوثر مازوني؛ 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742608F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الجزائر، </w:t>
      </w:r>
      <w:r>
        <w:rPr>
          <w:rStyle w:val="None"/>
          <w:rFonts w:ascii="Times New Roman" w:hAnsi="Times New Roman"/>
          <w:sz w:val="24"/>
          <w:szCs w:val="24"/>
          <w:rtl/>
          <w:lang w:val="ar-SA"/>
        </w:rPr>
        <w:t>(2013).</w:t>
      </w:r>
    </w:p>
    <w:p w14:paraId="7233596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36F9A48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تسويق المعلومات في البيئة الرقمية، المجلة العربية الدولية لدراسات المكتبات والمعلومات،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22A90DD" w14:textId="77777777" w:rsidR="00454428" w:rsidRDefault="00000000" w:rsidP="00C72BA8">
      <w:pPr>
        <w:pStyle w:val="Body"/>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لفقيه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فتح</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الله؛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وكريمة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كريم،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الجزائية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لقانون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الملكية الفكرية للمصنف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الإلكتروني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بيئة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الأنترنت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ومدى</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استفادة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الصحفي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هذه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مجلة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الصورة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والاتصال، ع</w:t>
      </w:r>
      <w:r>
        <w:rPr>
          <w:rStyle w:val="None"/>
          <w:rFonts w:ascii="Times New Roman" w:hAnsi="Times New Roman"/>
          <w:sz w:val="24"/>
          <w:szCs w:val="24"/>
          <w:rtl/>
          <w:lang w:val="ar-SA"/>
        </w:rPr>
        <w:t>(22)</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Times New Roman" w:hAnsi="Times New Roman"/>
          <w:sz w:val="24"/>
          <w:szCs w:val="24"/>
          <w:rtl/>
          <w:lang w:val="ar-SA"/>
        </w:rPr>
        <w:t>2018.</w:t>
      </w:r>
      <w:r>
        <w:rPr>
          <w:rStyle w:val="None"/>
          <w:rFonts w:ascii="Times New Roman" w:hAnsi="Times New Roman"/>
          <w:sz w:val="24"/>
          <w:szCs w:val="24"/>
          <w:rtl/>
        </w:rPr>
        <w:t xml:space="preserve"> </w:t>
      </w:r>
    </w:p>
    <w:p w14:paraId="5604276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لمى بنت عبد الرزاق بن حميد المحمدي، حماية الملكية الفكرية في مواقع التواصل الاجتماعي، المجلة الدولية لنشر البحوث والدراسات،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الإصدار </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679DC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2014</w:t>
      </w:r>
      <w:r>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Pr>
          <w:rStyle w:val="None"/>
          <w:rFonts w:ascii="Times New Roman" w:hAnsi="Times New Roman"/>
          <w:sz w:val="24"/>
          <w:szCs w:val="24"/>
          <w:rtl/>
          <w:lang w:val="ar-SA"/>
        </w:rPr>
        <w:t>(2014).</w:t>
      </w:r>
    </w:p>
    <w:p w14:paraId="3A1E0BC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لونيس انقراشن؛ سعيد أمقران حاج، حقوق الملكية الفكرية وحماية المستهلك،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تيزي وزو، الجزائر، </w:t>
      </w:r>
      <w:r>
        <w:rPr>
          <w:rStyle w:val="None"/>
          <w:rFonts w:ascii="Times New Roman" w:hAnsi="Times New Roman"/>
          <w:sz w:val="24"/>
          <w:szCs w:val="24"/>
          <w:rtl/>
          <w:lang w:val="ar-SA"/>
        </w:rPr>
        <w:t>(2018).</w:t>
      </w:r>
    </w:p>
    <w:p w14:paraId="2DB6BB9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لؤي الزغبي، الوسائط المتعددة، المشاع المبدع للنشر، سوريا، </w:t>
      </w:r>
      <w:r>
        <w:rPr>
          <w:rStyle w:val="None"/>
          <w:rFonts w:ascii="Times New Roman" w:hAnsi="Times New Roman"/>
          <w:sz w:val="24"/>
          <w:szCs w:val="24"/>
          <w:rtl/>
          <w:lang w:val="ar-SA"/>
        </w:rPr>
        <w:t>(2020).</w:t>
      </w:r>
    </w:p>
    <w:p w14:paraId="56486C9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37A048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مبارك بن محمد الخالدي، الإثبات بالدليل الرقمي وتطبيقاته القضائية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بنظام الإثبات السعودي، مجلة قضاء، جامعة الإمام محمد بن سعود الإسلامي،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329-416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B0C0FD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مبروك العديلي، التسويق الإلكتروني، دار أمجد للنشر والتوزيع، الأردن، </w:t>
      </w:r>
      <w:r>
        <w:rPr>
          <w:rStyle w:val="None"/>
          <w:rFonts w:ascii="Times New Roman" w:hAnsi="Times New Roman"/>
          <w:sz w:val="24"/>
          <w:szCs w:val="24"/>
          <w:rtl/>
          <w:lang w:val="ar-SA"/>
        </w:rPr>
        <w:t>2015.</w:t>
      </w:r>
    </w:p>
    <w:p w14:paraId="48C9C8A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مجمع اللغة العربية، المعجم الوسيط، مكتبة الشروق الدولية، القاهرة، بدون طبعة، ٢٠٠٤</w:t>
      </w:r>
      <w:r>
        <w:rPr>
          <w:rStyle w:val="None"/>
          <w:rFonts w:ascii="Times New Roman" w:hAnsi="Times New Roman"/>
          <w:sz w:val="24"/>
          <w:szCs w:val="24"/>
          <w:rtl/>
          <w:lang w:val="ar-SA"/>
        </w:rPr>
        <w:t>.</w:t>
      </w:r>
    </w:p>
    <w:p w14:paraId="0022DAF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5437606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أحمد آدم أبكر، حقوق الملكية الفكرية وتطبيقاتها الجنائية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2016.</w:t>
      </w:r>
    </w:p>
    <w:p w14:paraId="6B7ABA2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محمد الطيب حمدان، واقع حماية الملكية الفكرية في الاتفاقيات الدولية، مجلة الحقوق والحريات، </w:t>
      </w:r>
      <w:r>
        <w:rPr>
          <w:rStyle w:val="None"/>
          <w:rFonts w:ascii="Times New Roman" w:hAnsi="Times New Roman"/>
          <w:sz w:val="24"/>
          <w:szCs w:val="24"/>
          <w:rtl/>
          <w:lang w:val="ar-SA"/>
        </w:rPr>
        <w:t>10(1)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55-34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E44EEE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العايبي؛ هيبة كنيوة؛ عواطف دودي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58E8B6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بن حدو،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الحمدي ابن باديس، الجزائر، </w:t>
      </w:r>
      <w:r>
        <w:rPr>
          <w:rStyle w:val="None"/>
          <w:rFonts w:ascii="Times New Roman" w:hAnsi="Times New Roman"/>
          <w:sz w:val="24"/>
          <w:szCs w:val="24"/>
          <w:rtl/>
          <w:lang w:val="ar-SA"/>
        </w:rPr>
        <w:t>(2017).</w:t>
      </w:r>
    </w:p>
    <w:p w14:paraId="1886ED0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بن علي بن عبد الله، دور حماية الملكية الفكرية في التنمية الصناعية، التعاون الصناعي في الخليج العربي، مج</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0B40BE2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الآداب،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2/ 838.</w:t>
      </w:r>
    </w:p>
    <w:p w14:paraId="4DCB9B0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حسين منصور، النظرية العامة للالتزام،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الجامعة الجديدة، </w:t>
      </w:r>
      <w:r>
        <w:rPr>
          <w:rStyle w:val="None"/>
          <w:rFonts w:ascii="Times New Roman" w:hAnsi="Times New Roman"/>
          <w:sz w:val="24"/>
          <w:szCs w:val="24"/>
          <w:rtl/>
          <w:lang w:val="ar-SA"/>
        </w:rPr>
        <w:t>(2005).</w:t>
      </w:r>
    </w:p>
    <w:p w14:paraId="17068873"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رضا علي البوسراية، الحماية المدنية للحق المعنوي للمؤلف في التشريعين الأردني والعراقي،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رسالة ماجستير غير منشورة، جامعة الشرق الأوسط، الأردن، </w:t>
      </w:r>
      <w:r>
        <w:rPr>
          <w:rStyle w:val="None"/>
          <w:rFonts w:ascii="Times New Roman" w:hAnsi="Times New Roman"/>
          <w:sz w:val="24"/>
          <w:szCs w:val="24"/>
          <w:rtl/>
          <w:lang w:val="ar-SA"/>
        </w:rPr>
        <w:t>(2018).</w:t>
      </w:r>
    </w:p>
    <w:p w14:paraId="70AD6CC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سلمان محمود، الحماية الدولية لحقوق الملكية الفكرية الإلكترونية، مجلة كلية دجلة الجامعة،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4832252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w:t>
      </w:r>
      <w:r>
        <w:rPr>
          <w:rStyle w:val="None"/>
          <w:rFonts w:ascii="Times New Roman" w:hAnsi="Times New Roman"/>
          <w:sz w:val="24"/>
          <w:szCs w:val="24"/>
          <w:rtl/>
          <w:lang w:val="ar-SA"/>
        </w:rPr>
        <w:t>.</w:t>
      </w:r>
    </w:p>
    <w:p w14:paraId="46C8C29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لعقاب، الأنترنت وعصر ثورة المعلومات، دار هومة للنشر والتوزيع، الطبعة الأولى، ١٩٩٩، ص ٥٤</w:t>
      </w:r>
    </w:p>
    <w:p w14:paraId="1EDE81F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92B8E8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محمد مصباح القاضي، علم العقاب،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بدون دار نشر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(2004).</w:t>
      </w:r>
    </w:p>
    <w:p w14:paraId="7708CA8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مصطفى محمد عمر، النظام القانوني لوسائل الدفع الإلكتروني في العمليات المصرفية، المجلة القانونية، 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74EA14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احمد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p>
    <w:p w14:paraId="0E8E84A7" w14:textId="77777777" w:rsidR="00454428" w:rsidRDefault="00000000" w:rsidP="00C72BA8">
      <w:pPr>
        <w:pStyle w:val="1"/>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العدد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أغسطس </w:t>
      </w:r>
      <w:r>
        <w:rPr>
          <w:rStyle w:val="None"/>
          <w:rFonts w:ascii="Times New Roman" w:hAnsi="Times New Roman"/>
          <w:sz w:val="24"/>
          <w:szCs w:val="24"/>
          <w:rtl/>
          <w:lang w:val="ar-SA"/>
        </w:rPr>
        <w:t>2023.</w:t>
      </w:r>
    </w:p>
    <w:p w14:paraId="0C83BC4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Pr>
          <w:rStyle w:val="None"/>
          <w:rFonts w:ascii="Times New Roman" w:hAnsi="Times New Roman"/>
          <w:sz w:val="24"/>
          <w:szCs w:val="24"/>
          <w:rtl/>
          <w:lang w:val="ar-SA"/>
        </w:rPr>
        <w:t>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34DBDAA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محمود نجيب حسني، شرح قانون العقوبات اللبناني القسم العام، لبنان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منشورات الحلبي الحقوقية،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(1998).</w:t>
      </w:r>
    </w:p>
    <w:p w14:paraId="7160C64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مروة زين العابدين سعد، التحكيم في منازعات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Pr>
          <w:rStyle w:val="None"/>
          <w:rFonts w:ascii="Times New Roman" w:hAnsi="Times New Roman"/>
          <w:sz w:val="24"/>
          <w:szCs w:val="24"/>
          <w:rtl/>
          <w:lang w:val="ar-SA"/>
        </w:rPr>
        <w:t>66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مصر، يناير </w:t>
      </w:r>
      <w:r>
        <w:rPr>
          <w:rStyle w:val="None"/>
          <w:rFonts w:ascii="Times New Roman" w:hAnsi="Times New Roman"/>
          <w:sz w:val="24"/>
          <w:szCs w:val="24"/>
          <w:rtl/>
          <w:lang w:val="ar-SA"/>
        </w:rPr>
        <w:t>2024.</w:t>
      </w:r>
    </w:p>
    <w:p w14:paraId="28A2C0A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زان، التجارة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C55EB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عبد الحكيم رمضان، مدى وعي الباحثين بحقوق الملكية الفكرية للمؤلف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CCF9E7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بن أحمد الحكيم؛ وخالد صلاح حنفي، كتاب المؤتمر الدولي المحكم الاتجاهات العالمية المعاصرة في العلوم الإنسانية والاجتماعية، </w:t>
      </w:r>
      <w:r>
        <w:rPr>
          <w:rStyle w:val="None"/>
          <w:rFonts w:ascii="Times New Roman" w:hAnsi="Times New Roman"/>
          <w:sz w:val="24"/>
          <w:szCs w:val="24"/>
          <w:rtl/>
          <w:lang w:val="ar-SA"/>
        </w:rPr>
        <w:t xml:space="preserve">6-7 </w:t>
      </w:r>
      <w:r>
        <w:rPr>
          <w:rStyle w:val="None"/>
          <w:rFonts w:ascii="Arial Unicode MS" w:hAnsi="Arial Unicode MS" w:cs="Times New Roman" w:hint="cs"/>
          <w:sz w:val="24"/>
          <w:szCs w:val="24"/>
          <w:rtl/>
          <w:lang w:val="ar-SA"/>
        </w:rPr>
        <w:t xml:space="preserve">نوفمبر تركيا، </w:t>
      </w:r>
      <w:r>
        <w:rPr>
          <w:rStyle w:val="None"/>
          <w:rFonts w:ascii="Times New Roman" w:hAnsi="Times New Roman"/>
          <w:sz w:val="24"/>
          <w:szCs w:val="24"/>
          <w:rtl/>
          <w:lang w:val="ar-SA"/>
        </w:rPr>
        <w:t>(2019).</w:t>
      </w:r>
    </w:p>
    <w:p w14:paraId="23FE60F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رحبي؛ ويوسف حمين، الطبيعة القانونية لحق المؤلف والحقوق المجاورة، رسالة ماجستير غير منشورة، جامعة زيان عاشور بالحلفة، الجزائر، </w:t>
      </w:r>
      <w:r>
        <w:rPr>
          <w:rStyle w:val="None"/>
          <w:rFonts w:ascii="Times New Roman" w:hAnsi="Times New Roman"/>
          <w:sz w:val="24"/>
          <w:szCs w:val="24"/>
          <w:rtl/>
          <w:lang w:val="ar-SA"/>
        </w:rPr>
        <w:t>2015.</w:t>
      </w:r>
    </w:p>
    <w:p w14:paraId="70D9DC1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مصعب علي أبو صلاح، واقع الملكية الفكرية وأثره على الاستثمار قطاع تكنولوجيا المعلومات في فلسطين، رسالة ماجستير، جامعة النجاح الوطنية،٢٠١٦</w:t>
      </w:r>
      <w:r>
        <w:rPr>
          <w:rStyle w:val="None"/>
          <w:rFonts w:ascii="Times New Roman" w:hAnsi="Times New Roman"/>
          <w:sz w:val="24"/>
          <w:szCs w:val="24"/>
          <w:rtl/>
          <w:lang w:val="ar-SA"/>
        </w:rPr>
        <w:t>.</w:t>
      </w:r>
    </w:p>
    <w:p w14:paraId="70DE00D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مليكة شبيشب؛ وميمونة بن عروسي، واقع النشر الإلكتروني لدى الأساتذة الجامعيين،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65.</w:t>
      </w:r>
    </w:p>
    <w:p w14:paraId="0FD38D9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معاذ فيغو، حقوق المصنفات الفكرية الرقمية، مجلة عدالة للدراسات القانونية والقضائية، المركز المتوسطي للدراسات القانونية والقضائية، المغرب، ع </w:t>
      </w:r>
      <w:r>
        <w:rPr>
          <w:rStyle w:val="None"/>
          <w:rFonts w:ascii="Times New Roman" w:hAnsi="Times New Roman"/>
          <w:sz w:val="24"/>
          <w:szCs w:val="24"/>
          <w:rtl/>
          <w:lang w:val="ar-SA"/>
        </w:rPr>
        <w:t>(44) 2025.</w:t>
      </w:r>
    </w:p>
    <w:p w14:paraId="41EB2D4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منال جابر محمد عكاشة، وعي اختصاص المكتبات والمعلومات في مكتبة الملك عبد الله بجامعة أم القرص</w:t>
      </w:r>
      <w:r>
        <w:rPr>
          <w:rStyle w:val="None"/>
          <w:rFonts w:ascii="Times New Roman" w:hAnsi="Times New Roman"/>
          <w:sz w:val="24"/>
          <w:szCs w:val="24"/>
          <w:rtl/>
          <w:lang w:val="ar-SA"/>
        </w:rPr>
        <w:t>.</w:t>
      </w:r>
    </w:p>
    <w:p w14:paraId="7634AD5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ابن منظور، لسان العرب دار صادر، بيروت، لبنان، ط ٣، المجلد الخامس، ١٩٩٤</w:t>
      </w:r>
      <w:r>
        <w:rPr>
          <w:rStyle w:val="None"/>
          <w:rFonts w:ascii="Times New Roman" w:hAnsi="Times New Roman"/>
          <w:sz w:val="24"/>
          <w:szCs w:val="24"/>
          <w:rtl/>
          <w:lang w:val="ar-SA"/>
        </w:rPr>
        <w:t>.</w:t>
      </w:r>
    </w:p>
    <w:p w14:paraId="5DEAFDC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1B16C26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منى علي زهير؛ وعزوزي قويدر، معاهدة الويبو لحق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بالجلفة، الجزائر، </w:t>
      </w:r>
      <w:r>
        <w:rPr>
          <w:rStyle w:val="None"/>
          <w:rFonts w:ascii="Times New Roman" w:hAnsi="Times New Roman"/>
          <w:sz w:val="24"/>
          <w:szCs w:val="24"/>
          <w:rtl/>
          <w:lang w:val="ar-SA"/>
        </w:rPr>
        <w:t>(2017).</w:t>
      </w:r>
    </w:p>
    <w:p w14:paraId="532C3CE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منى غازي حسان إبراهيم، فاعلية السياسية الجنائية في مواجهة الجرائم المعلوماتية، مجلة الشريعة والقانون بالقاهرة،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6329948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D33EFB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مها بنت مخلد العتيبي، الابتكار في حقوق الملكية الأدبية والفنية، رسالة ماجستير غير منشورة،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C80E05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مؤيد زيدان، حقوق الملكية الفكرية، المشاع المبدع للنشر، سوريا، </w:t>
      </w:r>
      <w:r>
        <w:rPr>
          <w:rStyle w:val="None"/>
          <w:rFonts w:ascii="Times New Roman" w:hAnsi="Times New Roman"/>
          <w:sz w:val="24"/>
          <w:szCs w:val="24"/>
          <w:rtl/>
          <w:lang w:val="ar-SA"/>
        </w:rPr>
        <w:t>2020.</w:t>
      </w:r>
    </w:p>
    <w:p w14:paraId="572AD8F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مي أكرم ياسين، المكتبات الرقمية المفاهيم والتحديات، المجلة العربية للنشر العلمي، ع</w:t>
      </w:r>
      <w:r>
        <w:rPr>
          <w:rStyle w:val="None"/>
          <w:rFonts w:ascii="Times New Roman" w:hAnsi="Times New Roman"/>
          <w:sz w:val="24"/>
          <w:szCs w:val="24"/>
          <w:rtl/>
          <w:lang w:val="ar-SA"/>
        </w:rPr>
        <w:t>84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1D295D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ميسر طارق يوسف جرار، المسؤولية المدنية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72. / </w:t>
      </w:r>
      <w:r>
        <w:rPr>
          <w:rStyle w:val="None"/>
          <w:rFonts w:ascii="Arial Unicode MS" w:hAnsi="Arial Unicode MS" w:cs="Times New Roman" w:hint="cs"/>
          <w:sz w:val="24"/>
          <w:szCs w:val="24"/>
          <w:rtl/>
          <w:lang w:val="ar-SA"/>
        </w:rPr>
        <w:t>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w:t>
      </w:r>
      <w:r>
        <w:rPr>
          <w:rStyle w:val="None"/>
          <w:rFonts w:ascii="Times New Roman" w:hAnsi="Times New Roman"/>
          <w:sz w:val="24"/>
          <w:szCs w:val="24"/>
          <w:rtl/>
          <w:lang w:val="ar-SA"/>
        </w:rPr>
        <w:t>.</w:t>
      </w:r>
    </w:p>
    <w:p w14:paraId="26CBE4C0"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وصفية تطبيقية على برامج الحاسوب والوسائط المتعددة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77136CB1"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نادية حدادو؛ وراضية بعوالي، النظام القانوني لقواعد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أمحمد بوقرة، الجزائر، </w:t>
      </w:r>
      <w:r>
        <w:rPr>
          <w:rStyle w:val="None"/>
          <w:rFonts w:ascii="Times New Roman" w:hAnsi="Times New Roman"/>
          <w:sz w:val="24"/>
          <w:szCs w:val="24"/>
          <w:rtl/>
          <w:lang w:val="ar-SA"/>
        </w:rPr>
        <w:t>(2023).</w:t>
      </w:r>
    </w:p>
    <w:p w14:paraId="3F3DC56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زواني، الاعتداء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p>
    <w:p w14:paraId="3FCBBB7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ناصر بن محمد الشريف، أخلاقيات العمل وحقوق الملكية الفكرية، الطبعة الأولى، بدون ناشر، ١٤٤٤ هـ، ٢٠٢٣</w:t>
      </w:r>
      <w:r>
        <w:rPr>
          <w:rStyle w:val="None"/>
          <w:rFonts w:ascii="Times New Roman" w:hAnsi="Times New Roman"/>
          <w:sz w:val="24"/>
          <w:szCs w:val="24"/>
          <w:rtl/>
          <w:lang w:val="ar-SA"/>
        </w:rPr>
        <w:t>.</w:t>
      </w:r>
    </w:p>
    <w:p w14:paraId="05E4A2E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نايف عبد الله العمادي،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الزرقاء، الأردن، </w:t>
      </w:r>
      <w:r>
        <w:rPr>
          <w:rStyle w:val="None"/>
          <w:rFonts w:ascii="Times New Roman" w:hAnsi="Times New Roman"/>
          <w:sz w:val="24"/>
          <w:szCs w:val="24"/>
          <w:rtl/>
          <w:lang w:val="ar-SA"/>
        </w:rPr>
        <w:t xml:space="preserve">(2020). </w:t>
      </w:r>
    </w:p>
    <w:p w14:paraId="2F4A080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نبيل بدر الدين، 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4622D06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نبيلة بركان، الملكية الفكرية وتأثيرها في الاقتصاد العالمي، رسالة ماجستير غير منشورة، جامعة دالي إبراهيم، الجزائر، </w:t>
      </w:r>
      <w:r>
        <w:rPr>
          <w:rStyle w:val="None"/>
          <w:rFonts w:ascii="Times New Roman" w:hAnsi="Times New Roman"/>
          <w:sz w:val="24"/>
          <w:szCs w:val="24"/>
          <w:rtl/>
          <w:lang w:val="ar-SA"/>
        </w:rPr>
        <w:t>2010.</w:t>
      </w:r>
    </w:p>
    <w:p w14:paraId="40A1F3C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نجاة سامي هادف، إدارة وتسيير الموارد البشرية في البيئة الرقمية تحديات وآفاق، مجلة علوم الإنسان والمجتمع،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0121CD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p>
    <w:p w14:paraId="71EA48F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نزيه محمد الصادق المهدي، آلية حماية حقوق الملكية الفكرية، كلية الحقوق جامعة القاهرة، دار النهضة العربية للنشر، القاهرة، الطبعة الثانية، </w:t>
      </w:r>
      <w:r>
        <w:rPr>
          <w:rStyle w:val="None"/>
          <w:rFonts w:ascii="Times New Roman" w:hAnsi="Times New Roman"/>
          <w:sz w:val="24"/>
          <w:szCs w:val="24"/>
          <w:rtl/>
          <w:lang w:val="ar-SA"/>
        </w:rPr>
        <w:t>2017.</w:t>
      </w:r>
    </w:p>
    <w:p w14:paraId="43FEF1A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sz w:val="24"/>
          <w:szCs w:val="24"/>
          <w:rtl/>
          <w:lang w:val="ar-SA"/>
        </w:rPr>
        <w:t>(2018).</w:t>
      </w:r>
    </w:p>
    <w:p w14:paraId="268A0C3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نسيمة فتحي،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الجزائر، </w:t>
      </w:r>
      <w:r>
        <w:rPr>
          <w:rStyle w:val="None"/>
          <w:rFonts w:ascii="Times New Roman" w:hAnsi="Times New Roman"/>
          <w:sz w:val="24"/>
          <w:szCs w:val="24"/>
          <w:rtl/>
          <w:lang w:val="ar-SA"/>
        </w:rPr>
        <w:t>(2012).</w:t>
      </w:r>
    </w:p>
    <w:p w14:paraId="190313F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نضال عطا بدوي الدويك، التعويض عن الأضرار المادية المستقبلية الناجمة عن الإصابات الجسدية، رسالة ماجستير غير منشورة، جامعة الشرق الأوسط، الأردن، </w:t>
      </w:r>
      <w:r>
        <w:rPr>
          <w:rStyle w:val="None"/>
          <w:rFonts w:ascii="Times New Roman" w:hAnsi="Times New Roman"/>
          <w:sz w:val="24"/>
          <w:szCs w:val="24"/>
          <w:rtl/>
          <w:lang w:val="ar-SA"/>
        </w:rPr>
        <w:t>(2016).</w:t>
      </w:r>
    </w:p>
    <w:p w14:paraId="2622965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نعيمة سحقي، الاقتصاد الرقمي في الجزائر الفرص والتحديات،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ولحاج، الجزائر، </w:t>
      </w:r>
      <w:r>
        <w:rPr>
          <w:rStyle w:val="None"/>
          <w:rFonts w:ascii="Times New Roman" w:hAnsi="Times New Roman"/>
          <w:sz w:val="24"/>
          <w:szCs w:val="24"/>
          <w:rtl/>
          <w:lang w:val="ar-SA"/>
        </w:rPr>
        <w:t>2015.</w:t>
      </w:r>
    </w:p>
    <w:p w14:paraId="17EF7C9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598BDB5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هبة الله ربحي الدويكات، الترخيص الإجباري في الاختراعات المتعلقة بالأدوية، رسالة ماجستير، جامعة الزرقاء، </w:t>
      </w:r>
      <w:r>
        <w:rPr>
          <w:rStyle w:val="None"/>
          <w:rFonts w:ascii="Times New Roman" w:hAnsi="Times New Roman"/>
          <w:sz w:val="24"/>
          <w:szCs w:val="24"/>
          <w:rtl/>
          <w:lang w:val="ar-SA"/>
        </w:rPr>
        <w:t>1-116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656B5A3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270211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مح</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02B1F23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هلال إبراهيم هلال الخطيب، القيود التي تحكم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Pr>
          <w:rStyle w:val="None"/>
          <w:rFonts w:ascii="Times New Roman" w:hAnsi="Times New Roman"/>
          <w:sz w:val="24"/>
          <w:szCs w:val="24"/>
          <w:rtl/>
          <w:lang w:val="ar-SA"/>
        </w:rPr>
        <w:t>(2004).</w:t>
      </w:r>
    </w:p>
    <w:p w14:paraId="7FA58AF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هناء عودة خضري أحمد عودة، دليل ضوابط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دراسات في التعليم الجامعي، </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462-420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0CD1B41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87-127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63F6151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وائل محمد رفعت إبراهيم علي، الحماية القانونية للتصميمات التخطيطية للدوائر المتكاملة، مجلة العلوم الاقتصادية والإدارية والقانونية،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2940B8A"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وثيقة الاستراتيجية الوطنية للأمن السيبراني، الهيئة الوطنية للأمن السيبراني، </w:t>
      </w:r>
      <w:r>
        <w:rPr>
          <w:rStyle w:val="None"/>
          <w:rFonts w:ascii="Times New Roman" w:hAnsi="Times New Roman"/>
          <w:sz w:val="24"/>
          <w:szCs w:val="24"/>
          <w:rtl/>
          <w:lang w:val="ar-SA"/>
        </w:rPr>
        <w:t>(2020).</w:t>
      </w:r>
    </w:p>
    <w:p w14:paraId="348B947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وثيقة الضوابط الأساسية للأمن السيبراني، الهيئة الوطنية للأمن السيبراني، </w:t>
      </w:r>
      <w:r>
        <w:rPr>
          <w:rStyle w:val="None"/>
          <w:rFonts w:ascii="Times New Roman" w:hAnsi="Times New Roman"/>
          <w:sz w:val="24"/>
          <w:szCs w:val="24"/>
          <w:rtl/>
          <w:lang w:val="ar-SA"/>
        </w:rPr>
        <w:t>(2018).</w:t>
      </w:r>
    </w:p>
    <w:p w14:paraId="69CB38E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453AF9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ولاء الدين محمد إبراهيم، التحكيم في منازعات المليكة الفكرية، المجلة المصرية للقانون الدولي، </w:t>
      </w:r>
      <w:r>
        <w:rPr>
          <w:rStyle w:val="None"/>
          <w:rFonts w:ascii="Times New Roman" w:hAnsi="Times New Roman"/>
          <w:sz w:val="24"/>
          <w:szCs w:val="24"/>
          <w:rtl/>
          <w:lang w:val="ar-SA"/>
        </w:rPr>
        <w:t>72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384-428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098334DB"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Pr>
          <w:rStyle w:val="None"/>
          <w:rFonts w:ascii="Times New Roman" w:hAnsi="Times New Roman"/>
          <w:sz w:val="24"/>
          <w:szCs w:val="24"/>
          <w:rtl/>
          <w:lang w:val="ar-SA"/>
        </w:rPr>
        <w:t>41</w:t>
      </w:r>
      <w:r>
        <w:rPr>
          <w:rStyle w:val="None"/>
          <w:rFonts w:ascii="Arial Unicode MS" w:hAnsi="Arial Unicode MS" w:cs="Times New Roman" w:hint="cs"/>
          <w:sz w:val="24"/>
          <w:szCs w:val="24"/>
          <w:rtl/>
          <w:lang w:val="ar-SA"/>
        </w:rPr>
        <w:t xml:space="preserve">، الإصدار الثاني، </w:t>
      </w:r>
      <w:r>
        <w:rPr>
          <w:rStyle w:val="None"/>
          <w:rFonts w:ascii="Times New Roman" w:hAnsi="Times New Roman"/>
          <w:sz w:val="24"/>
          <w:szCs w:val="24"/>
          <w:rtl/>
          <w:lang w:val="ar-SA"/>
        </w:rPr>
        <w:t>(2025).</w:t>
      </w:r>
    </w:p>
    <w:p w14:paraId="098F6D9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عبد جامعة الرحمان ميرة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بجاية، الجزائر، </w:t>
      </w:r>
      <w:r>
        <w:rPr>
          <w:rStyle w:val="None"/>
          <w:rFonts w:ascii="Times New Roman" w:hAnsi="Times New Roman"/>
          <w:sz w:val="24"/>
          <w:szCs w:val="24"/>
          <w:rtl/>
          <w:lang w:val="ar-SA"/>
        </w:rPr>
        <w:t>(2018).</w:t>
      </w:r>
    </w:p>
    <w:p w14:paraId="5E6CA80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172-228.</w:t>
      </w:r>
    </w:p>
    <w:p w14:paraId="0977E54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57A36D2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 بن نافلة، النشر الإلكتروني وأهميته في تحقيق البحوث العلمية والتعليمية، مجلة أدبيات،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39EFF8E"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BEBFA0" w14:textId="77777777" w:rsidR="00454428" w:rsidRDefault="00000000" w:rsidP="00C72BA8">
      <w:pPr>
        <w:pStyle w:val="a"/>
        <w:jc w:val="left"/>
        <w:rPr>
          <w:rStyle w:val="None"/>
          <w:lang w:val="ar-SA"/>
        </w:rPr>
      </w:pPr>
      <w:bookmarkStart w:id="140" w:name="_Toc92"/>
      <w:r>
        <w:rPr>
          <w:rStyle w:val="None"/>
          <w:rFonts w:ascii="Arial Unicode MS" w:eastAsia="Arial Unicode MS" w:hAnsi="Arial Unicode MS" w:hint="cs"/>
          <w:rtl/>
          <w:lang w:val="ar-SA"/>
        </w:rPr>
        <w:t>ثانيًا</w:t>
      </w:r>
      <w:r>
        <w:rPr>
          <w:rStyle w:val="None"/>
          <w:rtl/>
          <w:lang w:val="ar-SA"/>
        </w:rPr>
        <w:t xml:space="preserve">: </w:t>
      </w:r>
      <w:r>
        <w:rPr>
          <w:rStyle w:val="None"/>
          <w:rFonts w:ascii="Arial Unicode MS" w:eastAsia="Arial Unicode MS" w:hAnsi="Arial Unicode MS" w:hint="cs"/>
          <w:rtl/>
          <w:lang w:val="ar-SA"/>
        </w:rPr>
        <w:t>المراجع الأجنبية</w:t>
      </w:r>
      <w:r>
        <w:rPr>
          <w:rStyle w:val="None"/>
          <w:rtl/>
          <w:lang w:val="ar-SA"/>
        </w:rPr>
        <w:t>.</w:t>
      </w:r>
      <w:bookmarkEnd w:id="140"/>
    </w:p>
    <w:p w14:paraId="31CA638C"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AIPPI International. (2025). A Century of Excellence: The French Legacy in Global Intellectual Property. Retrieved from </w:t>
      </w:r>
      <w:hyperlink r:id="rId14" w:history="1">
        <w:r>
          <w:rPr>
            <w:rStyle w:val="Hyperlink7"/>
            <w:rFonts w:eastAsia="Arial Unicode MS"/>
          </w:rPr>
          <w:t>https://www.aippi.org/news/a-century-of-excellence-the-french-legacy-in-global-intellectual-property/</w:t>
        </w:r>
      </w:hyperlink>
    </w:p>
    <w:p w14:paraId="3C59C67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Ajakaye, O., &amp; Lawal, A. (2025). Digital Justice and IP Protection: A Transatlantic Approach to Regulating NFTs, Blockchain and Copyright Infringement. Engineering and Technology Journal, 10(9). </w:t>
      </w:r>
    </w:p>
    <w:p w14:paraId="5B1F2CC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al Dajeh, B</w:t>
      </w:r>
      <w:r>
        <w:rPr>
          <w:rStyle w:val="None"/>
          <w:rFonts w:ascii="Times New Roman" w:hAnsi="Times New Roman"/>
          <w:sz w:val="24"/>
          <w:szCs w:val="24"/>
          <w:rtl/>
          <w:lang w:val="ar-SA"/>
        </w:rPr>
        <w:t>.</w:t>
      </w:r>
      <w:r>
        <w:rPr>
          <w:rStyle w:val="None"/>
          <w:rFonts w:ascii="Times New Roman" w:hAnsi="Times New Roman"/>
          <w:sz w:val="24"/>
          <w:szCs w:val="24"/>
        </w:rPr>
        <w:t>, Aloun, D</w:t>
      </w:r>
      <w:r>
        <w:rPr>
          <w:rStyle w:val="None"/>
          <w:rFonts w:ascii="Times New Roman" w:hAnsi="Times New Roman"/>
          <w:sz w:val="24"/>
          <w:szCs w:val="24"/>
          <w:rtl/>
          <w:lang w:val="ar-SA"/>
        </w:rPr>
        <w:t>.</w:t>
      </w:r>
      <w:r>
        <w:rPr>
          <w:rStyle w:val="None"/>
          <w:rFonts w:ascii="Times New Roman" w:hAnsi="Times New Roman"/>
          <w:sz w:val="24"/>
          <w:szCs w:val="24"/>
        </w:rPr>
        <w:t xml:space="preserve"> &amp; Manaseer, S. (2024). Protecting digital intellectual property. Zarqa University (Jordan).</w:t>
      </w:r>
    </w:p>
    <w:p w14:paraId="5604AF1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ALA. (2025). Digital Millennium Copyright Act. Retrieved from </w:t>
      </w:r>
      <w:hyperlink r:id="rId15" w:history="1">
        <w:r>
          <w:rPr>
            <w:rStyle w:val="Hyperlink7"/>
            <w:rFonts w:eastAsia="Arial Unicode MS"/>
          </w:rPr>
          <w:t>https://www.ala.org/advocacy/copyright/dmca?utm_source</w:t>
        </w:r>
      </w:hyperlink>
    </w:p>
    <w:p w14:paraId="0CBD1FE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Al-Musallamawi, F. A. R. A., &amp; Al-Dulaimi, M. M. K. A. Protecting Intellectual Property Rights in Civil Legislation: A Comparative Study Between French Civil Law and Iraqi Civil Law. 2024</w:t>
      </w:r>
      <w:r>
        <w:rPr>
          <w:rStyle w:val="None"/>
          <w:rFonts w:ascii="Times New Roman" w:hAnsi="Times New Roman"/>
          <w:color w:val="222222"/>
          <w:sz w:val="24"/>
          <w:szCs w:val="24"/>
          <w:u w:color="222222"/>
          <w:shd w:val="clear" w:color="auto" w:fill="FFFFFF"/>
          <w:rtl/>
          <w:lang w:val="ar-SA"/>
        </w:rPr>
        <w:t>.</w:t>
      </w:r>
    </w:p>
    <w:p w14:paraId="4E7DBD01"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(1), 13-22.</w:t>
      </w:r>
      <w:r>
        <w:rPr>
          <w:rStyle w:val="None"/>
          <w:rFonts w:ascii="Times New Roman" w:hAnsi="Times New Roman"/>
          <w:color w:val="222222"/>
          <w:sz w:val="24"/>
          <w:szCs w:val="24"/>
          <w:u w:color="222222"/>
          <w:shd w:val="clear" w:color="auto" w:fill="FFFFFF"/>
          <w:rtl/>
          <w:lang w:val="ar-SA"/>
        </w:rPr>
        <w:t xml:space="preserve"> </w:t>
      </w:r>
      <w:r>
        <w:rPr>
          <w:rStyle w:val="None"/>
          <w:rFonts w:ascii="Times New Roman" w:hAnsi="Times New Roman"/>
          <w:color w:val="222222"/>
          <w:sz w:val="24"/>
          <w:szCs w:val="24"/>
          <w:u w:color="222222"/>
          <w:shd w:val="clear" w:color="auto" w:fill="FFFFFF"/>
        </w:rPr>
        <w:t xml:space="preserve"> </w:t>
      </w:r>
    </w:p>
    <w:p w14:paraId="48C8B24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(1), 13-22. </w:t>
      </w:r>
    </w:p>
    <w:p w14:paraId="566BD1E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 xml:space="preserve">Balganesh, S. (Ed.). </w:t>
      </w:r>
      <w:r>
        <w:rPr>
          <w:rStyle w:val="None"/>
          <w:rFonts w:ascii="Times New Roman" w:hAnsi="Times New Roman"/>
          <w:i/>
          <w:iCs/>
          <w:color w:val="222222"/>
          <w:sz w:val="24"/>
          <w:szCs w:val="24"/>
          <w:u w:color="222222"/>
          <w:shd w:val="clear" w:color="auto" w:fill="FFFFFF"/>
        </w:rPr>
        <w:t>Intellectual property and the common law</w:t>
      </w:r>
      <w:r>
        <w:rPr>
          <w:rStyle w:val="None"/>
          <w:rFonts w:ascii="Times New Roman" w:hAnsi="Times New Roman"/>
          <w:color w:val="222222"/>
          <w:sz w:val="24"/>
          <w:szCs w:val="24"/>
          <w:u w:color="222222"/>
          <w:shd w:val="clear" w:color="auto" w:fill="FFFFFF"/>
        </w:rPr>
        <w:t xml:space="preserve">. Cambridge University Press. 2013, PP. </w:t>
      </w:r>
    </w:p>
    <w:p w14:paraId="0160D77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BENHAMOU, Yaniv. Compensation of Prejudice for Infringements of Intellectual Property Rights in France, under the Directive 2004/48/EC and Its Transposition Law: New Notions? International Review of Intellectual Property and Competition Law (IIC), 2009, no. 2</w:t>
      </w:r>
      <w:r>
        <w:rPr>
          <w:rStyle w:val="None"/>
          <w:rFonts w:ascii="Times New Roman" w:hAnsi="Times New Roman"/>
          <w:sz w:val="24"/>
          <w:szCs w:val="24"/>
          <w:rtl/>
          <w:lang w:val="ar-SA"/>
        </w:rPr>
        <w:t>.</w:t>
      </w:r>
    </w:p>
    <w:p w14:paraId="7B37122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Benvenuti, S., Macmillan, F., E &amp; Zolea, S. (2024). </w:t>
      </w:r>
      <w:r>
        <w:rPr>
          <w:rStyle w:val="None"/>
          <w:rFonts w:ascii="Times New Roman" w:hAnsi="Times New Roman"/>
          <w:i/>
          <w:iCs/>
          <w:sz w:val="24"/>
          <w:szCs w:val="24"/>
        </w:rPr>
        <w:t>INTELLECTUAL PROPERTY IN THE DIGITAL AGE</w:t>
      </w:r>
      <w:r>
        <w:rPr>
          <w:rStyle w:val="None"/>
          <w:rFonts w:ascii="Times New Roman" w:hAnsi="Times New Roman"/>
          <w:sz w:val="24"/>
          <w:szCs w:val="24"/>
        </w:rPr>
        <w:t>.</w:t>
      </w:r>
    </w:p>
    <w:p w14:paraId="0AC029C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sz w:val="24"/>
          <w:szCs w:val="24"/>
        </w:rPr>
      </w:pPr>
      <w:r>
        <w:rPr>
          <w:rStyle w:val="None"/>
          <w:rFonts w:ascii="Times New Roman" w:hAnsi="Times New Roman"/>
          <w:sz w:val="24"/>
          <w:szCs w:val="24"/>
        </w:rPr>
        <w:t>Boshkov, T. (2020). Intellectual property in digital environment.</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Paper presented at </w:t>
      </w:r>
      <w:r>
        <w:rPr>
          <w:rStyle w:val="None"/>
          <w:rFonts w:ascii="Times New Roman" w:hAnsi="Times New Roman"/>
          <w:i/>
          <w:iCs/>
          <w:sz w:val="24"/>
          <w:szCs w:val="24"/>
        </w:rPr>
        <w:t>Third International Scientific Conference CHALLENGES OF TOURISM AND BUSINESS LOGISTICS IN THE 21ST CENTURY »ISCTBL 2020</w:t>
      </w:r>
      <w:r>
        <w:rPr>
          <w:rStyle w:val="None"/>
          <w:rFonts w:ascii="Times New Roman" w:hAnsi="Times New Roman"/>
          <w:sz w:val="24"/>
          <w:szCs w:val="24"/>
          <w:rtl/>
          <w:lang w:val="ar-SA"/>
        </w:rPr>
        <w:t>.</w:t>
      </w:r>
    </w:p>
    <w:p w14:paraId="0910755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Bronzo, Nicolas. "Remedies for Intellectual property rights infringement in France and Europe: have we gone too far?" In </w:t>
      </w:r>
      <w:r>
        <w:rPr>
          <w:rStyle w:val="None"/>
          <w:rFonts w:ascii="Times New Roman" w:hAnsi="Times New Roman"/>
          <w:i/>
          <w:iCs/>
          <w:color w:val="222222"/>
          <w:sz w:val="24"/>
          <w:szCs w:val="24"/>
          <w:u w:color="222222"/>
          <w:shd w:val="clear" w:color="auto" w:fill="FFFFFF"/>
        </w:rPr>
        <w:t>Second Property Remedies Discussion Forum Aix-en-Provence</w:t>
      </w:r>
      <w:r>
        <w:rPr>
          <w:rStyle w:val="None"/>
          <w:rFonts w:ascii="Times New Roman" w:hAnsi="Times New Roman"/>
          <w:color w:val="222222"/>
          <w:sz w:val="24"/>
          <w:szCs w:val="24"/>
          <w:u w:color="222222"/>
          <w:shd w:val="clear" w:color="auto" w:fill="FFFFFF"/>
        </w:rPr>
        <w:t xml:space="preserve">. 2014. </w:t>
      </w:r>
    </w:p>
    <w:p w14:paraId="57734D19"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Bureau of Justice Assistance. (2025). Intellectual Property Enforcement Program. Retrieved from  </w:t>
      </w:r>
      <w:hyperlink r:id="rId16" w:history="1">
        <w:r>
          <w:rPr>
            <w:rStyle w:val="Hyperlink7"/>
            <w:rFonts w:eastAsia="Arial Unicode MS"/>
          </w:rPr>
          <w:t>https://bja.ojp.gov/program/intellectual-property-enforcement-program/overview?utm_</w:t>
        </w:r>
      </w:hyperlink>
      <w:r>
        <w:rPr>
          <w:rStyle w:val="None"/>
          <w:rFonts w:ascii="Times New Roman" w:hAnsi="Times New Roman"/>
          <w:sz w:val="24"/>
          <w:szCs w:val="24"/>
        </w:rPr>
        <w:t xml:space="preserve"> </w:t>
      </w:r>
    </w:p>
    <w:p w14:paraId="7D61898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Center for Strategic &amp; International Studies. (2025). </w:t>
      </w:r>
      <w:r>
        <w:rPr>
          <w:rStyle w:val="None"/>
          <w:rFonts w:ascii="Times New Roman" w:hAnsi="Times New Roman"/>
          <w:i/>
          <w:iCs/>
          <w:sz w:val="24"/>
          <w:szCs w:val="24"/>
        </w:rPr>
        <w:t>Intellectual Property Rights and the Future of U.S. Technological Leadership</w:t>
      </w:r>
      <w:r>
        <w:rPr>
          <w:rStyle w:val="None"/>
          <w:rFonts w:ascii="Times New Roman" w:hAnsi="Times New Roman"/>
          <w:sz w:val="24"/>
          <w:szCs w:val="24"/>
        </w:rPr>
        <w:t xml:space="preserve">. Retrieved from </w:t>
      </w:r>
      <w:hyperlink r:id="rId17" w:history="1">
        <w:r>
          <w:rPr>
            <w:rStyle w:val="Hyperlink7"/>
            <w:rFonts w:eastAsia="Arial Unicode MS"/>
          </w:rPr>
          <w:t>https://www.csis.org/analysis/intellectual-property-rights-and-future-us-technological-leadership</w:t>
        </w:r>
      </w:hyperlink>
    </w:p>
    <w:p w14:paraId="21E5EAE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Chang, H. J. (2001). Intellectual Property Rights and Economic Development: historical lessons and emerging issues. Third World Network, Malaysia. </w:t>
      </w:r>
    </w:p>
    <w:p w14:paraId="0C71076B"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Chen, L. The evolution of intellectual property protection in China. </w:t>
      </w:r>
      <w:r>
        <w:rPr>
          <w:rStyle w:val="None"/>
          <w:rFonts w:ascii="Times New Roman" w:hAnsi="Times New Roman"/>
          <w:i/>
          <w:iCs/>
          <w:color w:val="222222"/>
          <w:sz w:val="24"/>
          <w:szCs w:val="24"/>
          <w:u w:color="222222"/>
          <w:shd w:val="clear" w:color="auto" w:fill="FFFFFF"/>
        </w:rPr>
        <w:t>Ibusiness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Pr>
        <w:t>(01), 2015</w:t>
      </w:r>
      <w:r>
        <w:rPr>
          <w:rStyle w:val="None"/>
          <w:rFonts w:ascii="Times New Roman" w:hAnsi="Times New Roman"/>
          <w:color w:val="222222"/>
          <w:sz w:val="24"/>
          <w:szCs w:val="24"/>
          <w:u w:color="222222"/>
          <w:shd w:val="clear" w:color="auto" w:fill="FFFFFF"/>
          <w:rtl/>
          <w:lang w:val="ar-SA"/>
        </w:rPr>
        <w:t>.</w:t>
      </w:r>
    </w:p>
    <w:p w14:paraId="67365E7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CIO Hub. (2025). A Brief History: How Intellectual Property Protection Evolved Over Time. Retrieved from </w:t>
      </w:r>
      <w:hyperlink r:id="rId18" w:history="1">
        <w:r>
          <w:rPr>
            <w:rStyle w:val="Hyperlink7"/>
            <w:rFonts w:eastAsia="Arial Unicode MS"/>
          </w:rPr>
          <w:t>https://ciohub.org/post/2023/06/a-brief-history-how-intellectual-property-protection-evolved-over-time/?utm_source</w:t>
        </w:r>
      </w:hyperlink>
    </w:p>
    <w:p w14:paraId="2BD42B0B"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Communications of the ACM. (2025). </w:t>
      </w:r>
      <w:r>
        <w:rPr>
          <w:rStyle w:val="None"/>
          <w:rFonts w:ascii="Times New Roman" w:hAnsi="Times New Roman"/>
          <w:i/>
          <w:iCs/>
          <w:sz w:val="24"/>
          <w:szCs w:val="24"/>
        </w:rPr>
        <w:t>Statutory Damages As a Threat to Innovation</w:t>
      </w:r>
      <w:r>
        <w:rPr>
          <w:rStyle w:val="None"/>
          <w:rFonts w:ascii="Times New Roman" w:hAnsi="Times New Roman"/>
          <w:sz w:val="24"/>
          <w:szCs w:val="24"/>
        </w:rPr>
        <w:t xml:space="preserve">. Retrieved from </w:t>
      </w:r>
      <w:hyperlink r:id="rId19" w:history="1">
        <w:r>
          <w:rPr>
            <w:rStyle w:val="Hyperlink7"/>
            <w:rFonts w:eastAsia="Arial Unicode MS"/>
          </w:rPr>
          <w:t>https://cacm.acm.org/opinion/statutory-damages-as-a-threat-to-innovation/?utm_source</w:t>
        </w:r>
      </w:hyperlink>
      <w:r>
        <w:rPr>
          <w:rStyle w:val="None"/>
          <w:rFonts w:ascii="Times New Roman" w:hAnsi="Times New Roman"/>
          <w:sz w:val="24"/>
          <w:szCs w:val="24"/>
        </w:rPr>
        <w:t xml:space="preserve"> </w:t>
      </w:r>
    </w:p>
    <w:p w14:paraId="058416F9"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 xml:space="preserve">Congress. Gov. (2025). Intellectual Property Law: A Brief Introduction. Retrieved from </w:t>
      </w:r>
      <w:hyperlink r:id="rId20" w:history="1">
        <w:r>
          <w:rPr>
            <w:rStyle w:val="Hyperlink8"/>
            <w:rFonts w:eastAsia="Arial Unicode MS"/>
          </w:rPr>
          <w:t>https://www.congress.gov/crs-product/IF10986</w:t>
        </w:r>
      </w:hyperlink>
    </w:p>
    <w:p w14:paraId="3771F6F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congress.gov. (2025). Intellectual Property Rights (IPR) and U.S. Trade Policy. Retrieved from </w:t>
      </w:r>
      <w:hyperlink r:id="rId21" w:history="1">
        <w:r>
          <w:rPr>
            <w:rStyle w:val="Hyperlink7"/>
            <w:rFonts w:eastAsia="Arial Unicode MS"/>
          </w:rPr>
          <w:t>https://www.congress.gov/crs-product/IF10033</w:t>
        </w:r>
      </w:hyperlink>
    </w:p>
    <w:p w14:paraId="2A1D5261"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Cooper, J. M. (2022). Intellectual property piracy in the time of the metaverse. IDEA, 63. Available at: </w:t>
      </w:r>
      <w:hyperlink r:id="rId22" w:history="1">
        <w:r>
          <w:rPr>
            <w:rStyle w:val="Hyperlink9"/>
          </w:rPr>
          <w:t>https://scholarlycommons.law.cwsl.edu/fs/422</w:t>
        </w:r>
      </w:hyperlink>
      <w:r>
        <w:rPr>
          <w:rStyle w:val="None"/>
          <w:rFonts w:ascii="Times New Roman" w:hAnsi="Times New Roman"/>
          <w:i/>
          <w:iCs/>
          <w:color w:val="222222"/>
          <w:sz w:val="24"/>
          <w:szCs w:val="24"/>
          <w:u w:color="222222"/>
          <w:shd w:val="clear" w:color="auto" w:fill="FFFFFF"/>
        </w:rPr>
        <w:t xml:space="preserve">. </w:t>
      </w:r>
    </w:p>
    <w:p w14:paraId="41EE207D"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 Alliance. (2025). </w:t>
      </w:r>
      <w:r>
        <w:rPr>
          <w:rStyle w:val="None"/>
          <w:rFonts w:ascii="Times New Roman" w:hAnsi="Times New Roman"/>
          <w:i/>
          <w:iCs/>
          <w:sz w:val="24"/>
          <w:szCs w:val="24"/>
        </w:rPr>
        <w:t>Copyright Statutory Damages.</w:t>
      </w:r>
      <w:r>
        <w:rPr>
          <w:rStyle w:val="None"/>
          <w:rFonts w:ascii="Times New Roman" w:hAnsi="Times New Roman"/>
          <w:sz w:val="24"/>
          <w:szCs w:val="24"/>
        </w:rPr>
        <w:t xml:space="preserve"> Retrieved from </w:t>
      </w:r>
      <w:hyperlink r:id="rId23" w:history="1">
        <w:r>
          <w:rPr>
            <w:rStyle w:val="Hyperlink7"/>
            <w:rFonts w:eastAsia="Arial Unicode MS"/>
          </w:rPr>
          <w:t>https://copyrightalliance.org/education/copyright-law-explained/copyright-infringement/copyright-statutory-damages/?utm_source</w:t>
        </w:r>
      </w:hyperlink>
    </w:p>
    <w:p w14:paraId="67613FA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copyright.gov. (2025). The Digital Millennium Copyright Act. Retrieved from </w:t>
      </w:r>
      <w:hyperlink r:id="rId24" w:history="1">
        <w:r>
          <w:rPr>
            <w:rStyle w:val="Hyperlink7"/>
            <w:rFonts w:eastAsia="Arial Unicode MS"/>
          </w:rPr>
          <w:t>https://www.copyright.gov/dmca/</w:t>
        </w:r>
      </w:hyperlink>
    </w:p>
    <w:p w14:paraId="18D437F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Crestpoint University. (2025). History and Sources of Intellectual Property Law. Law shelf educational media. Retrieved from </w:t>
      </w:r>
      <w:hyperlink r:id="rId25" w:history="1">
        <w:r>
          <w:rPr>
            <w:rStyle w:val="Hyperlink7"/>
            <w:rFonts w:eastAsia="Arial Unicode MS"/>
          </w:rPr>
          <w:t>https://www.lawshelf.com/coursewarecontentview/history-and-sources-of-intellectual-property-law</w:t>
        </w:r>
      </w:hyperlink>
    </w:p>
    <w:p w14:paraId="20731AE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Dalloz.fr. (2025). Code de la propriété intellectuelle. Retrieved from </w:t>
      </w:r>
      <w:hyperlink r:id="rId26" w:history="1">
        <w:r>
          <w:rPr>
            <w:rStyle w:val="Hyperlink7"/>
            <w:rFonts w:eastAsia="Arial Unicode MS"/>
          </w:rPr>
          <w:t>https://www.dalloz.fr/documentation/Document?id=CODE_CPPI_ARTI_L331-1-3&amp;scrll=CPPI008882&amp;FromId=CODES_SECS_CPPI_TALPHA</w:t>
        </w:r>
      </w:hyperlink>
    </w:p>
    <w:p w14:paraId="7ADCD20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Danis, 2022. </w:t>
      </w:r>
      <w:r>
        <w:rPr>
          <w:rStyle w:val="None"/>
          <w:rFonts w:ascii="Times New Roman" w:hAnsi="Times New Roman"/>
          <w:i/>
          <w:iCs/>
          <w:sz w:val="24"/>
          <w:szCs w:val="24"/>
        </w:rPr>
        <w:t>Trade secrets better protected by French law and by the courts</w:t>
      </w:r>
      <w:r>
        <w:rPr>
          <w:rStyle w:val="None"/>
          <w:rFonts w:ascii="Times New Roman" w:hAnsi="Times New Roman"/>
          <w:sz w:val="24"/>
          <w:szCs w:val="24"/>
        </w:rPr>
        <w:t xml:space="preserve">. </w:t>
      </w:r>
      <w:hyperlink r:id="rId27" w:history="1">
        <w:r>
          <w:rPr>
            <w:rStyle w:val="Hyperlink7"/>
            <w:rFonts w:eastAsia="Arial Unicode MS"/>
          </w:rPr>
          <w:t>https://www.august-debouzy.com/en/blog/1258-trade-secrets-better-protected-by-french-law-and-by-the-courts</w:t>
        </w:r>
      </w:hyperlink>
    </w:p>
    <w:p w14:paraId="0472783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De Beer (J.), Gold (E. R.), "International Trade, Intellectual Property, and Innovation Policy: Lessons from a Pandemic", in Vulnerable: The Policy, Law and Ethics of COVID-19, University of Ottawa Press, janvier 2020. </w:t>
      </w:r>
      <w:hyperlink r:id="rId28" w:history="1">
        <w:r>
          <w:rPr>
            <w:rStyle w:val="Hyperlink7"/>
            <w:rFonts w:eastAsia="Arial Unicode MS"/>
          </w:rPr>
          <w:t>https://2u.pw/g1P5N</w:t>
        </w:r>
      </w:hyperlink>
    </w:p>
    <w:p w14:paraId="367B954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Di Palma, J. (2013). The digital millenium copyright act and the clash between authors and innovators: the need for a legislative amendment to the safe harbor provisions.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47</w:t>
      </w:r>
      <w:r>
        <w:rPr>
          <w:rStyle w:val="None"/>
          <w:rFonts w:ascii="Times New Roman" w:hAnsi="Times New Roman"/>
          <w:color w:val="222222"/>
          <w:sz w:val="24"/>
          <w:szCs w:val="24"/>
          <w:u w:color="222222"/>
          <w:shd w:val="clear" w:color="auto" w:fill="FFFFFF"/>
          <w:rtl/>
          <w:lang w:val="ar-SA"/>
        </w:rPr>
        <w:t>.</w:t>
      </w:r>
    </w:p>
    <w:p w14:paraId="3E1990F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Dreyfus. (2025). </w:t>
      </w:r>
      <w:r>
        <w:rPr>
          <w:rStyle w:val="None"/>
          <w:rFonts w:ascii="Times New Roman" w:hAnsi="Times New Roman"/>
          <w:i/>
          <w:iCs/>
          <w:sz w:val="24"/>
          <w:szCs w:val="24"/>
        </w:rPr>
        <w:t>The French Intellectual Property Legal Framework: A Comprehensive Overview</w:t>
      </w:r>
      <w:r>
        <w:rPr>
          <w:rStyle w:val="None"/>
          <w:rFonts w:ascii="Times New Roman" w:hAnsi="Times New Roman"/>
          <w:sz w:val="24"/>
          <w:szCs w:val="24"/>
        </w:rPr>
        <w:t xml:space="preserve">. Retrieved from </w:t>
      </w:r>
      <w:hyperlink r:id="rId29" w:history="1">
        <w:r>
          <w:rPr>
            <w:rStyle w:val="Hyperlink7"/>
            <w:rFonts w:eastAsia="Arial Unicode MS"/>
          </w:rPr>
          <w:t>https://www.dreyfus.fr/en/2024/10/21/frances-ip-legislation-mastering-trademarks-in-a-global-playground/</w:t>
        </w:r>
      </w:hyperlink>
    </w:p>
    <w:p w14:paraId="75DB2FF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Dreyfus. </w:t>
      </w:r>
      <w:r>
        <w:rPr>
          <w:rStyle w:val="None"/>
          <w:rFonts w:ascii="Times New Roman" w:hAnsi="Times New Roman"/>
          <w:i/>
          <w:iCs/>
          <w:sz w:val="24"/>
          <w:szCs w:val="24"/>
        </w:rPr>
        <w:t>France’s IP Legislation: Mastering Trademarks in a Global Playground</w:t>
      </w:r>
      <w:r>
        <w:rPr>
          <w:rStyle w:val="None"/>
          <w:rFonts w:ascii="Times New Roman" w:hAnsi="Times New Roman"/>
          <w:sz w:val="24"/>
          <w:szCs w:val="24"/>
        </w:rPr>
        <w:t xml:space="preserve">. 2024, Retrieved from  </w:t>
      </w:r>
      <w:hyperlink r:id="rId30" w:history="1">
        <w:r>
          <w:rPr>
            <w:rStyle w:val="Hyperlink7"/>
            <w:rFonts w:eastAsia="Arial Unicode MS"/>
          </w:rPr>
          <w:t>https://www.dreyfus.fr/en/2024/10/21/frances-ip-legislation-mastering-trademarks-in-a-global-playground/</w:t>
        </w:r>
      </w:hyperlink>
    </w:p>
    <w:p w14:paraId="74CC079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Fisher, W.W. (2025, July 26). intellectual-property law. Encyclopedia Britannica. </w:t>
      </w:r>
      <w:hyperlink r:id="rId31" w:history="1">
        <w:r>
          <w:rPr>
            <w:rStyle w:val="Hyperlink7"/>
            <w:rFonts w:eastAsia="Arial Unicode MS"/>
          </w:rPr>
          <w:t>https://www.britannica.com/topic/intellectual-property-law</w:t>
        </w:r>
      </w:hyperlink>
    </w:p>
    <w:p w14:paraId="524B5B0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french-business-law. (2025). French Intellectual Property Code. Retrieved from </w:t>
      </w:r>
      <w:hyperlink r:id="rId32" w:history="1">
        <w:r>
          <w:rPr>
            <w:rStyle w:val="Hyperlink7"/>
            <w:rFonts w:eastAsia="Arial Unicode MS"/>
          </w:rPr>
          <w:t>https://french-business-law.com/french-legislation/legitext000006069414-french-intellectual-property-code/page/3/</w:t>
        </w:r>
      </w:hyperlink>
    </w:p>
    <w:p w14:paraId="2FEF360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Galvez-Behar, G. (2019). The patent system during the French industrial revolution: Institutional change and economic effects. </w:t>
      </w:r>
      <w:r>
        <w:rPr>
          <w:rStyle w:val="None"/>
          <w:rFonts w:ascii="Times New Roman" w:hAnsi="Times New Roman"/>
          <w:i/>
          <w:iCs/>
          <w:color w:val="222222"/>
          <w:sz w:val="24"/>
          <w:szCs w:val="24"/>
          <w:u w:color="222222"/>
          <w:shd w:val="clear" w:color="auto" w:fill="FFFFFF"/>
        </w:rPr>
        <w:t>Jahrbuch für Wirtschaftsgeschichte/Economic History Yearbook</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60</w:t>
      </w:r>
      <w:r>
        <w:rPr>
          <w:rStyle w:val="None"/>
          <w:rFonts w:ascii="Times New Roman" w:hAnsi="Times New Roman"/>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tl/>
          <w:lang w:val="ar-SA"/>
        </w:rPr>
        <w:t>(</w:t>
      </w:r>
    </w:p>
    <w:p w14:paraId="06F80C9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Georgetown Law. (2025). Intellectual Property Law. Retrieved from  </w:t>
      </w:r>
      <w:hyperlink r:id="rId33" w:history="1">
        <w:r>
          <w:rPr>
            <w:rStyle w:val="Hyperlink7"/>
            <w:rFonts w:eastAsia="Arial Unicode MS"/>
          </w:rPr>
          <w:t>https://www.law.georgetown.edu/your-life-career/career-exploration-professional-development/for-jd-students/explore-legal-careers/practice-areas/intellectual-property-law/\</w:t>
        </w:r>
      </w:hyperlink>
    </w:p>
    <w:p w14:paraId="7507241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Gov, U. S. (1998). The Digital Millennium Copyright Act of 1998—US Copyright Office Summary. </w:t>
      </w:r>
      <w:r>
        <w:rPr>
          <w:rStyle w:val="None"/>
          <w:rFonts w:ascii="Times New Roman" w:hAnsi="Times New Roman"/>
          <w:i/>
          <w:iCs/>
          <w:color w:val="222222"/>
          <w:sz w:val="24"/>
          <w:szCs w:val="24"/>
          <w:u w:color="222222"/>
          <w:shd w:val="clear" w:color="auto" w:fill="FFFFFF"/>
        </w:rPr>
        <w:t>Dec</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 1-18. </w:t>
      </w:r>
    </w:p>
    <w:p w14:paraId="2DFF70A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34" w:history="1">
        <w:r>
          <w:rPr>
            <w:rStyle w:val="Hyperlink7"/>
            <w:rFonts w:eastAsia="Arial Unicode MS"/>
          </w:rPr>
          <w:t>https://cyber.harvard.edu/property00/alternatives/dmca.html?utm_source</w:t>
        </w:r>
      </w:hyperlink>
    </w:p>
    <w:p w14:paraId="3B916D4B"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lastRenderedPageBreak/>
        <w:t>Hassan, M. U. (2025). The Rise of Digital Piracy: Implications for Intellectual Property Rights, Economic Losses, and Global Legal Challenges. QIT Press - International Journal of Intellectual Property Rights Law (QITP-IJIPR), 5(2)</w:t>
      </w:r>
      <w:r>
        <w:rPr>
          <w:rStyle w:val="None"/>
          <w:rFonts w:ascii="Times New Roman" w:hAnsi="Times New Roman"/>
          <w:i/>
          <w:iCs/>
          <w:color w:val="222222"/>
          <w:sz w:val="24"/>
          <w:szCs w:val="24"/>
          <w:u w:color="222222"/>
          <w:shd w:val="clear" w:color="auto" w:fill="FFFFFF"/>
          <w:rtl/>
          <w:lang w:val="ar-SA"/>
        </w:rPr>
        <w:t>.</w:t>
      </w:r>
    </w:p>
    <w:p w14:paraId="551A99A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Helen Dods &amp; Emily Haves. World Intellectual Property Day 26 April 2018. House of Lords Library briefings. 2017</w:t>
      </w:r>
      <w:r>
        <w:rPr>
          <w:rStyle w:val="None"/>
          <w:rFonts w:ascii="Times New Roman" w:hAnsi="Times New Roman"/>
          <w:sz w:val="24"/>
          <w:szCs w:val="24"/>
          <w:rtl/>
          <w:lang w:val="ar-SA"/>
        </w:rPr>
        <w:t>.</w:t>
      </w:r>
    </w:p>
    <w:p w14:paraId="7886945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i/>
          <w:iCs/>
          <w:color w:val="222222"/>
          <w:sz w:val="24"/>
          <w:szCs w:val="24"/>
          <w:u w:color="222222"/>
          <w:shd w:val="clear" w:color="auto" w:fill="FFFFFF"/>
        </w:rPr>
        <w:t xml:space="preserve">HG. (2025). What Is Intellectual Property Law? Retrieved from </w:t>
      </w:r>
      <w:hyperlink r:id="rId35" w:history="1">
        <w:r>
          <w:rPr>
            <w:rStyle w:val="Hyperlink8"/>
            <w:rFonts w:eastAsia="Arial Unicode MS"/>
          </w:rPr>
          <w:t>https://www.hg.org/intell.html</w:t>
        </w:r>
      </w:hyperlink>
    </w:p>
    <w:p w14:paraId="5DF55ED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Hong, J., Edler, J., &amp; Massini, S. Evolution of the Chinese intellectual property rights system: IPR law revisions and enforcement.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2022, </w:t>
      </w:r>
      <w:r>
        <w:rPr>
          <w:rStyle w:val="None"/>
          <w:rFonts w:ascii="Times New Roman" w:hAnsi="Times New Roman"/>
          <w:i/>
          <w:iCs/>
          <w:color w:val="222222"/>
          <w:sz w:val="24"/>
          <w:szCs w:val="24"/>
          <w:u w:color="222222"/>
          <w:shd w:val="clear" w:color="auto" w:fill="FFFFFF"/>
        </w:rPr>
        <w:t>18</w:t>
      </w:r>
      <w:r>
        <w:rPr>
          <w:rStyle w:val="None"/>
          <w:rFonts w:ascii="Times New Roman" w:hAnsi="Times New Roman"/>
          <w:color w:val="222222"/>
          <w:sz w:val="24"/>
          <w:szCs w:val="24"/>
          <w:u w:color="222222"/>
          <w:shd w:val="clear" w:color="auto" w:fill="FFFFFF"/>
        </w:rPr>
        <w:t>(4)</w:t>
      </w:r>
      <w:r>
        <w:rPr>
          <w:rStyle w:val="None"/>
          <w:rFonts w:ascii="Times New Roman" w:hAnsi="Times New Roman"/>
          <w:color w:val="222222"/>
          <w:sz w:val="24"/>
          <w:szCs w:val="24"/>
          <w:u w:color="222222"/>
          <w:shd w:val="clear" w:color="auto" w:fill="FFFFFF"/>
          <w:rtl/>
          <w:lang w:val="ar-SA"/>
        </w:rPr>
        <w:t>.</w:t>
      </w:r>
    </w:p>
    <w:p w14:paraId="29442F6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Hubanov, O., Hubanova, T., Kotliarevska, H., Vikhliaiev, M., Donenko, V., &amp; Lepekh, Y. (2021). International legal regulation of copyright and related rights protection in the digital environment. </w:t>
      </w:r>
      <w:r>
        <w:rPr>
          <w:rStyle w:val="None"/>
          <w:rFonts w:ascii="Times New Roman" w:hAnsi="Times New Roman"/>
          <w:i/>
          <w:iCs/>
          <w:color w:val="222222"/>
          <w:sz w:val="24"/>
          <w:szCs w:val="24"/>
          <w:u w:color="222222"/>
          <w:shd w:val="clear" w:color="auto" w:fill="FFFFFF"/>
        </w:rPr>
        <w:t>Studies of Applied Economics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39</w:t>
      </w:r>
      <w:r>
        <w:rPr>
          <w:rStyle w:val="None"/>
          <w:rFonts w:ascii="Times New Roman" w:hAnsi="Times New Roman"/>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tl/>
          <w:lang w:val="ar-SA"/>
        </w:rPr>
        <w:t>.</w:t>
      </w:r>
    </w:p>
    <w:p w14:paraId="37DB5F5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IPLAC. (2025). </w:t>
      </w:r>
      <w:r>
        <w:rPr>
          <w:rStyle w:val="None"/>
          <w:rFonts w:ascii="Times New Roman" w:hAnsi="Times New Roman"/>
          <w:i/>
          <w:iCs/>
          <w:sz w:val="24"/>
          <w:szCs w:val="24"/>
        </w:rPr>
        <w:t>Intellectual Property Timeline</w:t>
      </w:r>
      <w:r>
        <w:rPr>
          <w:rStyle w:val="None"/>
          <w:rFonts w:ascii="Times New Roman" w:hAnsi="Times New Roman"/>
          <w:sz w:val="24"/>
          <w:szCs w:val="24"/>
        </w:rPr>
        <w:t xml:space="preserve">. Retrieved from </w:t>
      </w:r>
      <w:hyperlink r:id="rId36" w:history="1">
        <w:r>
          <w:rPr>
            <w:rStyle w:val="Hyperlink7"/>
            <w:rFonts w:eastAsia="Arial Unicode MS"/>
          </w:rPr>
          <w:t>https://iplac.org/about/history/intellectual-property-timeline/</w:t>
        </w:r>
      </w:hyperlink>
    </w:p>
    <w:p w14:paraId="75E4FC5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 (2025). Intellectual Property Rights in the USA. Intellectual Property Office. </w:t>
      </w:r>
      <w:hyperlink r:id="rId37" w:history="1">
        <w:r>
          <w:rPr>
            <w:rStyle w:val="Hyperlink7"/>
            <w:rFonts w:eastAsia="Arial Unicode MS"/>
          </w:rPr>
          <w:t>https://assets.publishing.service.gov.uk/media/5a80bf68e5274a2e87dbb972/IP_rights_in_USA.pdf</w:t>
        </w:r>
      </w:hyperlink>
      <w:r>
        <w:rPr>
          <w:rStyle w:val="None"/>
          <w:rFonts w:ascii="Times New Roman" w:hAnsi="Times New Roman"/>
          <w:sz w:val="24"/>
          <w:szCs w:val="24"/>
        </w:rPr>
        <w:t xml:space="preserve">  </w:t>
      </w:r>
    </w:p>
    <w:p w14:paraId="6CB1AC3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IPOI. (2025). </w:t>
      </w:r>
      <w:r>
        <w:rPr>
          <w:rStyle w:val="None"/>
          <w:rFonts w:ascii="Times New Roman" w:hAnsi="Times New Roman"/>
          <w:i/>
          <w:iCs/>
          <w:sz w:val="24"/>
          <w:szCs w:val="24"/>
        </w:rPr>
        <w:t>What is intellectual property?</w:t>
      </w:r>
      <w:r>
        <w:rPr>
          <w:rStyle w:val="None"/>
          <w:rFonts w:ascii="Times New Roman" w:hAnsi="Times New Roman"/>
          <w:sz w:val="24"/>
          <w:szCs w:val="24"/>
        </w:rPr>
        <w:t xml:space="preserve"> Intellectual Property Office of Ireland, Government Offices, Hebron Road, Kilkenny, Ireland. Retrieved from </w:t>
      </w:r>
      <w:hyperlink r:id="rId38" w:history="1">
        <w:r>
          <w:rPr>
            <w:rStyle w:val="Hyperlink7"/>
            <w:rFonts w:eastAsia="Arial Unicode MS"/>
          </w:rPr>
          <w:t>https://www.ipoi.gov.ie/en/commercialise-your-ip/using-ip-to-grow-your-business/what-is-intellectual-property-/</w:t>
        </w:r>
      </w:hyperlink>
    </w:p>
    <w:p w14:paraId="7728713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Irrational (2025). The No Electronic Theft ("NET") ActSummary of Changes to the Criminal Copyright and Trademark Laws. Retrieved from </w:t>
      </w:r>
      <w:hyperlink r:id="rId39" w:history="1">
        <w:r>
          <w:rPr>
            <w:rStyle w:val="Hyperlink7"/>
            <w:rFonts w:eastAsia="Arial Unicode MS"/>
          </w:rPr>
          <w:t>https://www.irational.org/APD/CCIPS/netsum.htm?utm_source</w:t>
        </w:r>
      </w:hyperlink>
    </w:p>
    <w:p w14:paraId="658BACC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ITALIAN COPYRIGHT STATUTE. Law for the Protection of Copyright and Neighbouring Rights (Law No. 633 of April 22, 1941, as last amended by Legislative Decree No. 68, of April 9, 2003). </w:t>
      </w:r>
    </w:p>
    <w:p w14:paraId="3A706D3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Joyce, C. (2020). Intellectual Property: United States Law. University of Houston Law Center Institute for Intellectual Property &amp; Information Law. </w:t>
      </w:r>
    </w:p>
    <w:p w14:paraId="061ABAC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Justice.Pappers. (2025). Article L331-1-3 du Code de la propriété intellectuelle. Retrieved from </w:t>
      </w:r>
      <w:hyperlink r:id="rId40" w:history="1">
        <w:r>
          <w:rPr>
            <w:rStyle w:val="Hyperlink7"/>
            <w:rFonts w:eastAsia="Arial Unicode MS"/>
          </w:rPr>
          <w:t>https://justice.pappers.fr/loi/LEGITEXT000006069414/article/LEGIARTI000028716676?utm_source</w:t>
        </w:r>
      </w:hyperlink>
    </w:p>
    <w:p w14:paraId="4A7C88C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Kharchenko, O., Kronda, O., Kryvosheyina, I., &amp; Zerov, K. (2021). Protection of intellectual property rights on the Internet: New challenges. </w:t>
      </w:r>
      <w:r>
        <w:rPr>
          <w:rStyle w:val="None"/>
          <w:rFonts w:ascii="Times New Roman" w:hAnsi="Times New Roman"/>
          <w:i/>
          <w:iCs/>
          <w:color w:val="222222"/>
          <w:sz w:val="24"/>
          <w:szCs w:val="24"/>
          <w:u w:color="222222"/>
          <w:shd w:val="clear" w:color="auto" w:fill="FFFFFF"/>
        </w:rPr>
        <w:t>Amazonia Investiga</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10</w:t>
      </w:r>
      <w:r>
        <w:rPr>
          <w:rStyle w:val="None"/>
          <w:rFonts w:ascii="Times New Roman" w:hAnsi="Times New Roman"/>
          <w:color w:val="222222"/>
          <w:sz w:val="24"/>
          <w:szCs w:val="24"/>
          <w:u w:color="222222"/>
          <w:shd w:val="clear" w:color="auto" w:fill="FFFFFF"/>
        </w:rPr>
        <w:t xml:space="preserve">(41), 224-236. </w:t>
      </w:r>
    </w:p>
    <w:p w14:paraId="26976F3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Kmetyk, K., &amp; Beluga, Y. TYPES OF INTELLECTUAL PROPERTY RIGHTS IN THE UNITED KINGDOM. </w:t>
      </w:r>
      <w:r>
        <w:rPr>
          <w:rStyle w:val="None"/>
          <w:rFonts w:ascii="Times New Roman" w:hAnsi="Times New Roman"/>
          <w:i/>
          <w:iCs/>
          <w:color w:val="222222"/>
          <w:sz w:val="24"/>
          <w:szCs w:val="24"/>
          <w:u w:color="222222"/>
          <w:shd w:val="clear" w:color="auto" w:fill="FFFFFF"/>
        </w:rPr>
        <w:t>Scientific works of National Aviation University. Series: Law Journal" Air and Space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(62)</w:t>
      </w:r>
      <w:r>
        <w:rPr>
          <w:rStyle w:val="None"/>
          <w:rFonts w:ascii="Times New Roman" w:hAnsi="Times New Roman"/>
          <w:color w:val="222222"/>
          <w:sz w:val="24"/>
          <w:szCs w:val="24"/>
          <w:u w:color="222222"/>
          <w:shd w:val="clear" w:color="auto" w:fill="FFFFFF"/>
          <w:rtl/>
          <w:lang w:val="ar-SA"/>
        </w:rPr>
        <w:t>.</w:t>
      </w:r>
    </w:p>
    <w:p w14:paraId="1A926AAC"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Laurence R. Hefter </w:t>
      </w:r>
      <w:r>
        <w:rPr>
          <w:rStyle w:val="None"/>
          <w:rFonts w:ascii="Times New Roman" w:hAnsi="Times New Roman"/>
          <w:sz w:val="24"/>
          <w:szCs w:val="24"/>
          <w:rtl/>
          <w:lang w:val="ar-SA"/>
        </w:rPr>
        <w:t>&amp;</w:t>
      </w:r>
      <w:r>
        <w:rPr>
          <w:rStyle w:val="None"/>
          <w:rFonts w:ascii="Times New Roman" w:hAnsi="Times New Roman"/>
          <w:sz w:val="24"/>
          <w:szCs w:val="24"/>
        </w:rPr>
        <w:t xml:space="preserve"> Robert D. Litowitz. (2025). PROTECTING INTELLECTUAL PROPERTY. Retrieved from </w:t>
      </w:r>
      <w:hyperlink r:id="rId41" w:history="1">
        <w:r>
          <w:rPr>
            <w:rStyle w:val="Hyperlink10"/>
            <w:rFonts w:eastAsia="Arial Unicode MS"/>
          </w:rPr>
          <w:t>https://usinfo.org/trade/bg9515e.htm</w:t>
        </w:r>
      </w:hyperlink>
    </w:p>
    <w:p w14:paraId="7E130C3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Lawjournalnewsletter. (2025). No Electronic Theft Act Is A Partial Success. Retrieved from </w:t>
      </w:r>
      <w:hyperlink r:id="rId42" w:history="1">
        <w:r>
          <w:rPr>
            <w:rStyle w:val="Hyperlink7"/>
            <w:rFonts w:eastAsia="Arial Unicode MS"/>
          </w:rPr>
          <w:t>https://www.lawjournalnewsletters.com/2003/08/22/no-electronic-theft-act-is-a-partial-success/?utm_source=</w:t>
        </w:r>
      </w:hyperlink>
    </w:p>
    <w:p w14:paraId="3BC8A1F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lawyersitaly.eu. </w:t>
      </w:r>
      <w:r>
        <w:rPr>
          <w:rStyle w:val="None"/>
          <w:rFonts w:ascii="Times New Roman" w:hAnsi="Times New Roman"/>
          <w:i/>
          <w:iCs/>
          <w:sz w:val="24"/>
          <w:szCs w:val="24"/>
        </w:rPr>
        <w:t>Intellectual Property in Italy</w:t>
      </w:r>
      <w:r>
        <w:rPr>
          <w:rStyle w:val="None"/>
          <w:rFonts w:ascii="Times New Roman" w:hAnsi="Times New Roman"/>
          <w:sz w:val="24"/>
          <w:szCs w:val="24"/>
        </w:rPr>
        <w:t xml:space="preserve">. 2025, Retrieved from </w:t>
      </w:r>
      <w:hyperlink r:id="rId43" w:history="1">
        <w:r>
          <w:rPr>
            <w:rStyle w:val="Hyperlink7"/>
            <w:rFonts w:eastAsia="Arial Unicode MS"/>
          </w:rPr>
          <w:t>https://lawyersitaly.eu/intellectual-property-in-italy/</w:t>
        </w:r>
      </w:hyperlink>
    </w:p>
    <w:p w14:paraId="1AFAC16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Legifrance. (2025). Article L716-14. Retrieved from </w:t>
      </w:r>
      <w:hyperlink r:id="rId44" w:history="1">
        <w:r>
          <w:rPr>
            <w:rStyle w:val="Hyperlink7"/>
            <w:rFonts w:eastAsia="Arial Unicode MS"/>
          </w:rPr>
          <w:t>https://www.legifrance.gouv.fr/codes/article_lc/LEGIARTI000028716663/2016-06-05</w:t>
        </w:r>
      </w:hyperlink>
    </w:p>
    <w:p w14:paraId="20D9334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Legifrance. (2025). Code de la propriété intellectuelle. Retrieved from </w:t>
      </w:r>
      <w:hyperlink r:id="rId45" w:history="1">
        <w:r>
          <w:rPr>
            <w:rStyle w:val="Hyperlink7"/>
            <w:rFonts w:eastAsia="Arial Unicode MS"/>
          </w:rPr>
          <w:t>https://www.legifrance.gouv.fr/codes/article_lc/LEGIARTI000032655082</w:t>
        </w:r>
      </w:hyperlink>
    </w:p>
    <w:p w14:paraId="4790F57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shd w:val="clear" w:color="auto" w:fill="FFFFFF"/>
        </w:rPr>
        <w:t>legifrance. (2025). Code de la propriété intellectuelle. Retrieved from</w:t>
      </w:r>
      <w:r>
        <w:rPr>
          <w:rStyle w:val="None"/>
          <w:rFonts w:ascii="Times New Roman" w:hAnsi="Times New Roman"/>
          <w:sz w:val="24"/>
          <w:szCs w:val="24"/>
        </w:rPr>
        <w:t xml:space="preserve"> </w:t>
      </w:r>
      <w:hyperlink r:id="rId46" w:history="1">
        <w:r>
          <w:rPr>
            <w:rStyle w:val="Hyperlink7"/>
            <w:rFonts w:eastAsia="Arial Unicode MS"/>
          </w:rPr>
          <w:t>https://www.legifrance.gouv.fr/codes/article_lc/LEGIARTI000006278891/</w:t>
        </w:r>
      </w:hyperlink>
    </w:p>
    <w:p w14:paraId="1F26E6A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legifrance.gouv. (2025). </w:t>
      </w:r>
      <w:r>
        <w:rPr>
          <w:rStyle w:val="None"/>
          <w:rFonts w:ascii="Times New Roman" w:hAnsi="Times New Roman"/>
          <w:i/>
          <w:iCs/>
          <w:sz w:val="24"/>
          <w:szCs w:val="24"/>
        </w:rPr>
        <w:t>Code de la propriété intellectuelle</w:t>
      </w:r>
      <w:r>
        <w:rPr>
          <w:rStyle w:val="None"/>
          <w:rFonts w:ascii="Times New Roman" w:hAnsi="Times New Roman"/>
          <w:sz w:val="24"/>
          <w:szCs w:val="24"/>
        </w:rPr>
        <w:t xml:space="preserve">. Retrieved from </w:t>
      </w:r>
      <w:hyperlink r:id="rId47" w:history="1">
        <w:r>
          <w:rPr>
            <w:rStyle w:val="Hyperlink7"/>
            <w:rFonts w:eastAsia="Arial Unicode MS"/>
          </w:rPr>
          <w:t>https://www.legifrance.gouv.fr/codes/article_lc/LEGIARTI000006278958</w:t>
        </w:r>
      </w:hyperlink>
    </w:p>
    <w:p w14:paraId="326B3C2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Lemercier,</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L., Blanchet, T. &amp; Dundon, C. (2021). </w:t>
      </w:r>
      <w:r>
        <w:rPr>
          <w:rStyle w:val="None"/>
          <w:rFonts w:ascii="Times New Roman" w:hAnsi="Times New Roman"/>
          <w:i/>
          <w:iCs/>
          <w:sz w:val="24"/>
          <w:szCs w:val="24"/>
        </w:rPr>
        <w:t>Private Acquisitions: Intellectual Property Issues (France)</w:t>
      </w:r>
      <w:r>
        <w:rPr>
          <w:rStyle w:val="None"/>
          <w:rFonts w:ascii="Times New Roman" w:hAnsi="Times New Roman"/>
          <w:sz w:val="24"/>
          <w:szCs w:val="24"/>
        </w:rPr>
        <w:t xml:space="preserve">. Practical Law. Thomson Reuters. </w:t>
      </w:r>
    </w:p>
    <w:p w14:paraId="56EF99C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Licensing Executives Society. (2025). IP-Related Aspects Of The French Law On Modernization Of The Economy. Retrieved from </w:t>
      </w:r>
      <w:hyperlink r:id="rId48" w:history="1">
        <w:r>
          <w:rPr>
            <w:rStyle w:val="Hyperlink7"/>
            <w:rFonts w:eastAsia="Arial Unicode MS"/>
          </w:rPr>
          <w:t>https://lesi.org/ip-related-aspects-of-the-french-law-on-modernization-of-the-economy/</w:t>
        </w:r>
      </w:hyperlink>
    </w:p>
    <w:p w14:paraId="40EC546B"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Liemer, S. P. (2011). On the origins of Le Droit moral: how non-economic rights came to be protected in French IP law. </w:t>
      </w:r>
      <w:r>
        <w:rPr>
          <w:rStyle w:val="None"/>
          <w:rFonts w:ascii="Times New Roman" w:hAnsi="Times New Roman"/>
          <w:i/>
          <w:iCs/>
          <w:color w:val="222222"/>
          <w:sz w:val="24"/>
          <w:szCs w:val="24"/>
          <w:u w:color="222222"/>
          <w:shd w:val="clear" w:color="auto" w:fill="FFFFFF"/>
        </w:rPr>
        <w:t>J. Intell. Prop. L.</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19</w:t>
      </w:r>
      <w:r>
        <w:rPr>
          <w:rStyle w:val="None"/>
          <w:rFonts w:ascii="Times New Roman" w:hAnsi="Times New Roman"/>
          <w:color w:val="222222"/>
          <w:sz w:val="24"/>
          <w:szCs w:val="24"/>
          <w:u w:color="222222"/>
          <w:shd w:val="clear" w:color="auto" w:fill="FFFFFF"/>
        </w:rPr>
        <w:t>:65</w:t>
      </w:r>
      <w:r>
        <w:rPr>
          <w:rStyle w:val="None"/>
          <w:rFonts w:ascii="Times New Roman" w:hAnsi="Times New Roman"/>
          <w:color w:val="222222"/>
          <w:sz w:val="24"/>
          <w:szCs w:val="24"/>
          <w:u w:color="222222"/>
          <w:shd w:val="clear" w:color="auto" w:fill="FFFFFF"/>
          <w:rtl/>
          <w:lang w:val="ar-SA"/>
        </w:rPr>
        <w:t>.</w:t>
      </w:r>
    </w:p>
    <w:p w14:paraId="456F6BE1"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LII. (2025). </w:t>
      </w:r>
      <w:r>
        <w:rPr>
          <w:rStyle w:val="None"/>
          <w:rFonts w:ascii="Times New Roman" w:hAnsi="Times New Roman"/>
          <w:i/>
          <w:iCs/>
          <w:sz w:val="24"/>
          <w:szCs w:val="24"/>
        </w:rPr>
        <w:t>17 U.S. Code § 504 - Remedies for infringement: Damages and profits</w:t>
      </w:r>
      <w:r>
        <w:rPr>
          <w:rStyle w:val="None"/>
          <w:rFonts w:ascii="Times New Roman" w:hAnsi="Times New Roman"/>
          <w:sz w:val="24"/>
          <w:szCs w:val="24"/>
        </w:rPr>
        <w:t xml:space="preserve">. Retrieved from </w:t>
      </w:r>
      <w:hyperlink r:id="rId49" w:history="1">
        <w:r>
          <w:rPr>
            <w:rStyle w:val="Hyperlink7"/>
            <w:rFonts w:eastAsia="Arial Unicode MS"/>
          </w:rPr>
          <w:t>https://www.law.cornell.edu/uscode/text/17/504?utm_source</w:t>
        </w:r>
      </w:hyperlink>
    </w:p>
    <w:p w14:paraId="5E8A7CDD"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Limbong, A. H. (2025). ESPN's Broadcast Rights Protection in Intellectual Property Law Over World Cup Broadcast Piracy. Journal of Law, Politic and Humanities, 5(4), P. 3114.</w:t>
      </w:r>
    </w:p>
    <w:p w14:paraId="01E51A3B"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Lucchi (N.)</w:t>
      </w:r>
      <w:r>
        <w:rPr>
          <w:rStyle w:val="None"/>
          <w:rFonts w:ascii="Arial Unicode MS" w:hAnsi="Arial Unicode MS" w:cs="Times New Roman" w:hint="cs"/>
          <w:sz w:val="24"/>
          <w:szCs w:val="24"/>
          <w:rtl/>
          <w:lang w:val="ar-SA"/>
        </w:rPr>
        <w:t>،</w:t>
      </w:r>
      <w:r>
        <w:rPr>
          <w:rStyle w:val="None"/>
          <w:rFonts w:ascii="Times New Roman" w:hAnsi="Times New Roman"/>
          <w:sz w:val="24"/>
          <w:szCs w:val="24"/>
        </w:rPr>
        <w:t xml:space="preserve"> "Intellectual Property Rights in Digital Media: A Comparative Analysis of Legal Protection, Technological Measures, and New Business Models under EU and US Law", Buffalo Law Review, vol. 53, 2005</w:t>
      </w:r>
      <w:r>
        <w:rPr>
          <w:rStyle w:val="None"/>
          <w:rFonts w:ascii="Times New Roman" w:hAnsi="Times New Roman"/>
          <w:sz w:val="24"/>
          <w:szCs w:val="24"/>
          <w:rtl/>
          <w:lang w:val="ar-SA"/>
        </w:rPr>
        <w:t>.</w:t>
      </w:r>
    </w:p>
    <w:p w14:paraId="4D2C0B2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Mbah, G. O. (2024). US Intellectual Property Law and Its Impact on Business: Recent Developments and Trends. International Journal of Science and Research Archive, 13, 3279-3280.</w:t>
      </w:r>
    </w:p>
    <w:p w14:paraId="2DB46FC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Mbah, G. O. US Intellectual Property Law and its Impact on Business: Recent Developments and Trends. </w:t>
      </w:r>
      <w:r>
        <w:rPr>
          <w:rStyle w:val="None"/>
          <w:rFonts w:ascii="Times New Roman" w:hAnsi="Times New Roman"/>
          <w:i/>
          <w:iCs/>
          <w:color w:val="222222"/>
          <w:sz w:val="24"/>
          <w:szCs w:val="24"/>
          <w:u w:color="222222"/>
          <w:shd w:val="clear" w:color="auto" w:fill="FFFFFF"/>
        </w:rPr>
        <w:t>International Journal of science and Research Archive</w:t>
      </w:r>
      <w:r>
        <w:rPr>
          <w:rStyle w:val="None"/>
          <w:rFonts w:ascii="Times New Roman" w:hAnsi="Times New Roman"/>
          <w:color w:val="222222"/>
          <w:sz w:val="24"/>
          <w:szCs w:val="24"/>
          <w:u w:color="222222"/>
          <w:shd w:val="clear" w:color="auto" w:fill="FFFFFF"/>
        </w:rPr>
        <w:t>, 2024</w:t>
      </w:r>
      <w:r>
        <w:rPr>
          <w:rStyle w:val="None"/>
          <w:rFonts w:ascii="Times New Roman" w:hAnsi="Times New Roman"/>
          <w:color w:val="222222"/>
          <w:sz w:val="24"/>
          <w:szCs w:val="24"/>
          <w:u w:color="222222"/>
          <w:shd w:val="clear" w:color="auto" w:fill="FFFFFF"/>
          <w:rtl/>
          <w:lang w:val="ar-SA"/>
        </w:rPr>
        <w:t>.</w:t>
      </w:r>
    </w:p>
    <w:p w14:paraId="7E2FD30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Michael Dudzik (2022).  “Inventors and the French business environment (1791–1798)”, e-Phaïstos, Revue d’histoire des techniques / Journal of the history of technology</w:t>
      </w:r>
      <w:r>
        <w:rPr>
          <w:rStyle w:val="None"/>
          <w:rFonts w:ascii="Times New Roman" w:hAnsi="Times New Roman"/>
          <w:sz w:val="24"/>
          <w:szCs w:val="24"/>
          <w:rtl/>
          <w:lang w:val="ar-SA"/>
        </w:rPr>
        <w:t>.</w:t>
      </w:r>
      <w:r>
        <w:rPr>
          <w:rStyle w:val="None"/>
          <w:rFonts w:ascii="Times New Roman" w:hAnsi="Times New Roman"/>
          <w:sz w:val="24"/>
          <w:szCs w:val="24"/>
        </w:rPr>
        <w:t xml:space="preserve"> </w:t>
      </w:r>
    </w:p>
    <w:p w14:paraId="0BC032FA"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National University. (2025). INTELLECTUAL PROPERTY OBJECTS PROTECTION IN FRANCE. Retrieved from </w:t>
      </w:r>
      <w:hyperlink r:id="rId50" w:history="1">
        <w:r>
          <w:rPr>
            <w:rStyle w:val="Hyperlink7"/>
            <w:rFonts w:eastAsia="Arial Unicode MS"/>
          </w:rPr>
          <w:t>https://reposit.nupp.edu.ua/bitstream/PoltNTU/12441/1/75%20%D0%A2.1-441-442.pdf</w:t>
        </w:r>
      </w:hyperlink>
    </w:p>
    <w:p w14:paraId="67705C89"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NCL. (2025). Copyright laws and Digital Rights Management – National Consumers League. Retrieved from </w:t>
      </w:r>
      <w:hyperlink r:id="rId51" w:history="1">
        <w:r>
          <w:rPr>
            <w:rStyle w:val="Hyperlink7"/>
            <w:rFonts w:eastAsia="Arial Unicode MS"/>
          </w:rPr>
          <w:t>https://nclnet.org/drm/</w:t>
        </w:r>
      </w:hyperlink>
    </w:p>
    <w:p w14:paraId="5C9AEB0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Nicola Lucchi, Intellectual Property Rights in Digital Media: A Comparative Analysis of Legal Protection, Technological Measures, and New Business Models under EU and U.S. Law, 53 Buff. L. Rev. 1111 (2005). </w:t>
      </w:r>
    </w:p>
    <w:p w14:paraId="3E38588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Nicolas Bronzo. Remedies for Intellectual property rights infringement in France and Europe: have we gone too far? Second Property Remedies Discussion Forum Aix-en-Provence, Russel L. Weaver; François Lichere, Jun 2014, Aix-en -Provence, France</w:t>
      </w:r>
      <w:r>
        <w:rPr>
          <w:rStyle w:val="None"/>
          <w:rFonts w:ascii="Times New Roman" w:hAnsi="Times New Roman"/>
          <w:sz w:val="24"/>
          <w:szCs w:val="24"/>
          <w:rtl/>
          <w:lang w:val="ar-SA"/>
        </w:rPr>
        <w:t>.</w:t>
      </w:r>
    </w:p>
    <w:p w14:paraId="12A8B76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OECD </w:t>
      </w:r>
      <w:r>
        <w:rPr>
          <w:rStyle w:val="None"/>
          <w:rFonts w:ascii="Times New Roman" w:hAnsi="Times New Roman"/>
          <w:sz w:val="24"/>
          <w:szCs w:val="24"/>
          <w:rtl/>
          <w:lang w:val="ar-SA"/>
        </w:rPr>
        <w:t>)</w:t>
      </w:r>
      <w:r>
        <w:rPr>
          <w:rStyle w:val="None"/>
          <w:rFonts w:ascii="Times New Roman" w:hAnsi="Times New Roman"/>
          <w:sz w:val="24"/>
          <w:szCs w:val="24"/>
        </w:rPr>
        <w:t>2025</w:t>
      </w:r>
      <w:r>
        <w:rPr>
          <w:rStyle w:val="None"/>
          <w:rFonts w:ascii="Times New Roman" w:hAnsi="Times New Roman"/>
          <w:sz w:val="24"/>
          <w:szCs w:val="24"/>
          <w:rtl/>
          <w:lang w:val="ar-SA"/>
        </w:rPr>
        <w:t>(</w:t>
      </w:r>
      <w:r>
        <w:rPr>
          <w:rStyle w:val="None"/>
          <w:rFonts w:ascii="Times New Roman" w:hAnsi="Times New Roman"/>
          <w:sz w:val="24"/>
          <w:szCs w:val="24"/>
        </w:rPr>
        <w:t xml:space="preserve">. Law for a Digital Republic. Retrieved from </w:t>
      </w:r>
      <w:hyperlink r:id="rId52" w:history="1">
        <w:r>
          <w:rPr>
            <w:rStyle w:val="Hyperlink10"/>
            <w:rFonts w:eastAsia="Arial Unicode MS"/>
          </w:rPr>
          <w:t>https://www.oecd.org/en/publications/access-to-public-research-data-toolkit_a12e8998-en/law-for-a-digital-republic_b99868b0-en.html</w:t>
        </w:r>
      </w:hyperlink>
    </w:p>
    <w:p w14:paraId="6D903F5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Ortega, S. (2023). The Digital Millennium Copyright Act-In Need of a Major Software Update. </w:t>
      </w:r>
      <w:r>
        <w:rPr>
          <w:rStyle w:val="None"/>
          <w:rFonts w:ascii="Times New Roman" w:hAnsi="Times New Roman"/>
          <w:i/>
          <w:iCs/>
          <w:color w:val="222222"/>
          <w:sz w:val="24"/>
          <w:szCs w:val="24"/>
          <w:u w:color="222222"/>
          <w:shd w:val="clear" w:color="auto" w:fill="FFFFFF"/>
        </w:rPr>
        <w:t>Mich. Bus. &amp; Entrepreneurial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12</w:t>
      </w:r>
      <w:r>
        <w:rPr>
          <w:rStyle w:val="None"/>
          <w:rFonts w:ascii="Times New Roman" w:hAnsi="Times New Roman"/>
          <w:color w:val="222222"/>
          <w:sz w:val="24"/>
          <w:szCs w:val="24"/>
          <w:u w:color="222222"/>
          <w:shd w:val="clear" w:color="auto" w:fill="FFFFFF"/>
          <w:rtl/>
          <w:lang w:val="ar-SA"/>
        </w:rPr>
        <w:t>.</w:t>
      </w:r>
    </w:p>
    <w:p w14:paraId="51DA8F1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 </w:t>
      </w: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48AF94A8"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12E6D92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Peukert, A. Introduction to Intellectual Property Law in Germany. 2023, </w:t>
      </w:r>
      <w:r>
        <w:rPr>
          <w:rStyle w:val="None"/>
          <w:rFonts w:ascii="Times New Roman" w:hAnsi="Times New Roman"/>
          <w:i/>
          <w:iCs/>
          <w:color w:val="222222"/>
          <w:sz w:val="24"/>
          <w:szCs w:val="24"/>
          <w:u w:color="222222"/>
          <w:shd w:val="clear" w:color="auto" w:fill="FFFFFF"/>
        </w:rPr>
        <w:t>Available at SSRN 4599740</w:t>
      </w:r>
      <w:r>
        <w:rPr>
          <w:rStyle w:val="None"/>
          <w:rFonts w:ascii="Times New Roman" w:hAnsi="Times New Roman"/>
          <w:color w:val="222222"/>
          <w:sz w:val="24"/>
          <w:szCs w:val="24"/>
          <w:u w:color="222222"/>
          <w:shd w:val="clear" w:color="auto" w:fill="FFFFFF"/>
        </w:rPr>
        <w:t xml:space="preserve">. </w:t>
      </w:r>
    </w:p>
    <w:p w14:paraId="3D26A5FC"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Piette Coudol (T.), Bertrand (A.), Internet et la loi, Dalloz, 1997</w:t>
      </w:r>
      <w:r>
        <w:rPr>
          <w:rStyle w:val="None"/>
          <w:rFonts w:ascii="Times New Roman" w:hAnsi="Times New Roman"/>
          <w:sz w:val="24"/>
          <w:szCs w:val="24"/>
          <w:rtl/>
          <w:lang w:val="ar-SA"/>
        </w:rPr>
        <w:t>.</w:t>
      </w:r>
    </w:p>
    <w:p w14:paraId="0EBA7A1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Piotraut, J. Des extraits de textes et des décisions</w:t>
      </w:r>
      <w:r>
        <w:rPr>
          <w:rStyle w:val="None"/>
          <w:rFonts w:ascii="Times New Roman" w:hAnsi="Times New Roman"/>
          <w:sz w:val="24"/>
          <w:szCs w:val="24"/>
          <w:rtl/>
          <w:lang w:val="ar-SA"/>
        </w:rPr>
        <w:t xml:space="preserve"> </w:t>
      </w:r>
      <w:r>
        <w:rPr>
          <w:rStyle w:val="None"/>
          <w:rFonts w:ascii="Times New Roman" w:hAnsi="Times New Roman"/>
          <w:sz w:val="24"/>
          <w:szCs w:val="24"/>
        </w:rPr>
        <w:t>(4e ed.). Ellipse</w:t>
      </w:r>
      <w:r>
        <w:rPr>
          <w:rStyle w:val="None"/>
          <w:rFonts w:ascii="Times New Roman" w:hAnsi="Times New Roman"/>
          <w:sz w:val="24"/>
          <w:szCs w:val="24"/>
          <w:rtl/>
          <w:lang w:val="ar-SA"/>
        </w:rPr>
        <w:t xml:space="preserve"> </w:t>
      </w:r>
      <w:r>
        <w:rPr>
          <w:rStyle w:val="None"/>
          <w:rFonts w:ascii="Times New Roman" w:hAnsi="Times New Roman"/>
          <w:sz w:val="24"/>
          <w:szCs w:val="24"/>
        </w:rPr>
        <w:t>2004</w:t>
      </w:r>
      <w:r>
        <w:rPr>
          <w:rStyle w:val="None"/>
          <w:rFonts w:ascii="Times New Roman" w:hAnsi="Times New Roman"/>
          <w:sz w:val="24"/>
          <w:szCs w:val="24"/>
          <w:rtl/>
          <w:lang w:val="ar-SA"/>
        </w:rPr>
        <w:t>.</w:t>
      </w:r>
    </w:p>
    <w:p w14:paraId="22EA40B0"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Project MUSE. (2025). A Politics of Intellectual Property. Creating a Patent System in Revolutionary France. </w:t>
      </w:r>
      <w:hyperlink r:id="rId53" w:history="1">
        <w:r>
          <w:rPr>
            <w:rStyle w:val="Hyperlink7"/>
            <w:rFonts w:eastAsia="Arial Unicode MS"/>
          </w:rPr>
          <w:t>https://muse.jhu.edu/pub/1/article/777601</w:t>
        </w:r>
      </w:hyperlink>
    </w:p>
    <w:p w14:paraId="0FC0573D"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Prospect Law LTD. </w:t>
      </w:r>
      <w:r>
        <w:rPr>
          <w:rStyle w:val="None"/>
          <w:rFonts w:ascii="Times New Roman" w:hAnsi="Times New Roman"/>
          <w:i/>
          <w:iCs/>
          <w:sz w:val="24"/>
          <w:szCs w:val="24"/>
        </w:rPr>
        <w:t xml:space="preserve">Intellectual Property in the UK: A Brief Overview, </w:t>
      </w:r>
      <w:r>
        <w:rPr>
          <w:rStyle w:val="None"/>
          <w:rFonts w:ascii="Times New Roman" w:hAnsi="Times New Roman"/>
          <w:sz w:val="24"/>
          <w:szCs w:val="24"/>
        </w:rPr>
        <w:t xml:space="preserve">2025. Retrieved from </w:t>
      </w:r>
      <w:hyperlink r:id="rId54" w:history="1">
        <w:r>
          <w:rPr>
            <w:rStyle w:val="Hyperlink7"/>
            <w:rFonts w:eastAsia="Arial Unicode MS"/>
          </w:rPr>
          <w:t>https://prospectlaw.co.uk/news/article/protecting-and-exploiting-uk-intellectual-property/</w:t>
        </w:r>
      </w:hyperlink>
    </w:p>
    <w:p w14:paraId="60DF749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Qiwei, L., Zhang, S., Pratt, S. P., Kasper, A. T., Gilbert, E., &amp; Schoenebeck, S. (2025, April). A Law of One's Own: The Inefficacy of the DMCA for Non-Consensual Intimate Media. In </w:t>
      </w:r>
      <w:r>
        <w:rPr>
          <w:rStyle w:val="None"/>
          <w:rFonts w:ascii="Times New Roman" w:hAnsi="Times New Roman"/>
          <w:i/>
          <w:iCs/>
          <w:color w:val="222222"/>
          <w:sz w:val="24"/>
          <w:szCs w:val="24"/>
          <w:u w:color="222222"/>
          <w:shd w:val="clear" w:color="auto" w:fill="FFFFFF"/>
        </w:rPr>
        <w:t>Proceedings of the 2025 CHI Conference on Human Factors in Computing Systems</w:t>
      </w:r>
      <w:r>
        <w:rPr>
          <w:rStyle w:val="None"/>
          <w:rFonts w:ascii="Times New Roman" w:hAnsi="Times New Roman"/>
          <w:color w:val="222222"/>
          <w:sz w:val="24"/>
          <w:szCs w:val="24"/>
          <w:u w:color="222222"/>
          <w:shd w:val="clear" w:color="auto" w:fill="FFFFFF"/>
        </w:rPr>
        <w:t xml:space="preserve"> (pp. 1-17). </w:t>
      </w:r>
    </w:p>
    <w:p w14:paraId="7788658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Roma TrE-Press, Roma, Settembre</w:t>
      </w:r>
      <w:r>
        <w:rPr>
          <w:rStyle w:val="None"/>
          <w:rFonts w:ascii="Times New Roman" w:hAnsi="Times New Roman"/>
          <w:sz w:val="24"/>
          <w:szCs w:val="24"/>
          <w:rtl/>
          <w:lang w:val="ar-SA"/>
        </w:rPr>
        <w:t>.</w:t>
      </w:r>
    </w:p>
    <w:p w14:paraId="46ABA70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RPC. (2018). Cross-Border Copyright Guide 2018. </w:t>
      </w:r>
      <w:hyperlink r:id="rId55" w:history="1">
        <w:r>
          <w:rPr>
            <w:rStyle w:val="Hyperlink7"/>
            <w:rFonts w:eastAsia="Arial Unicode MS"/>
          </w:rPr>
          <w:t>https://www.rpclegal.com/-/media/rpc/files/perspectives/ip/france.pdf</w:t>
        </w:r>
      </w:hyperlink>
    </w:p>
    <w:p w14:paraId="4232F621"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lastRenderedPageBreak/>
        <w:t>Rubio Alfageme, B. M. (2025). Intellectual property challenges in the 21st century: A study of digital piracy in the European Union. Intangible Capital, 21(2)</w:t>
      </w:r>
      <w:r>
        <w:rPr>
          <w:rStyle w:val="None"/>
          <w:rFonts w:ascii="Times New Roman" w:hAnsi="Times New Roman"/>
          <w:i/>
          <w:iCs/>
          <w:color w:val="222222"/>
          <w:sz w:val="24"/>
          <w:szCs w:val="24"/>
          <w:u w:color="222222"/>
          <w:shd w:val="clear" w:color="auto" w:fill="FFFFFF"/>
          <w:rtl/>
          <w:lang w:val="ar-SA"/>
        </w:rPr>
        <w:t>.</w:t>
      </w:r>
    </w:p>
    <w:p w14:paraId="38193A3D"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 xml:space="preserve">SACD </w:t>
      </w:r>
      <w:r>
        <w:rPr>
          <w:rStyle w:val="None"/>
          <w:rFonts w:ascii="Times New Roman" w:hAnsi="Times New Roman"/>
          <w:sz w:val="24"/>
          <w:szCs w:val="24"/>
          <w:shd w:val="clear" w:color="auto" w:fill="FFFFFF"/>
          <w:rtl/>
          <w:lang w:val="ar-SA"/>
        </w:rPr>
        <w:t>)</w:t>
      </w:r>
      <w:r>
        <w:rPr>
          <w:rStyle w:val="None"/>
          <w:rFonts w:ascii="Times New Roman" w:hAnsi="Times New Roman"/>
          <w:sz w:val="24"/>
          <w:szCs w:val="24"/>
          <w:shd w:val="clear" w:color="auto" w:fill="FFFFFF"/>
        </w:rPr>
        <w:t>2021</w:t>
      </w:r>
      <w:r>
        <w:rPr>
          <w:rStyle w:val="None"/>
          <w:rFonts w:ascii="Times New Roman" w:hAnsi="Times New Roman"/>
          <w:sz w:val="24"/>
          <w:szCs w:val="24"/>
          <w:shd w:val="clear" w:color="auto" w:fill="FFFFFF"/>
          <w:rtl/>
          <w:lang w:val="ar-SA"/>
        </w:rPr>
        <w:t>. (</w:t>
      </w:r>
      <w:r>
        <w:rPr>
          <w:rStyle w:val="None"/>
          <w:rFonts w:ascii="Times New Roman" w:hAnsi="Times New Roman"/>
          <w:sz w:val="24"/>
          <w:szCs w:val="24"/>
          <w:shd w:val="clear" w:color="auto" w:fill="FFFFFF"/>
        </w:rPr>
        <w:t>Authors' rights and their work</w:t>
      </w:r>
      <w:r>
        <w:rPr>
          <w:rStyle w:val="None"/>
          <w:rFonts w:ascii="Times New Roman" w:hAnsi="Times New Roman"/>
          <w:sz w:val="24"/>
          <w:szCs w:val="24"/>
          <w:shd w:val="clear" w:color="auto" w:fill="FFFFFF"/>
          <w:rtl/>
          <w:lang w:val="ar-SA"/>
        </w:rPr>
        <w:t xml:space="preserv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56" w:history="1">
        <w:r>
          <w:rPr>
            <w:rStyle w:val="Hyperlink10"/>
            <w:rFonts w:eastAsia="Arial Unicode MS"/>
          </w:rPr>
          <w:t>https://www.sacd.fr/en/authors-rights-and-their-work</w:t>
        </w:r>
      </w:hyperlink>
    </w:p>
    <w:p w14:paraId="3ADBFF5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Sadhana, G. S. (2025). Protecting creative rights: Addressing digital piracy and copyright issues in Indian media. International Journal of Law, Justice and Jurisprudence. 5(1)</w:t>
      </w:r>
      <w:r>
        <w:rPr>
          <w:rStyle w:val="None"/>
          <w:rFonts w:ascii="Times New Roman" w:hAnsi="Times New Roman"/>
          <w:i/>
          <w:iCs/>
          <w:color w:val="222222"/>
          <w:sz w:val="24"/>
          <w:szCs w:val="24"/>
          <w:u w:color="222222"/>
          <w:shd w:val="clear" w:color="auto" w:fill="FFFFFF"/>
          <w:rtl/>
          <w:lang w:val="ar-SA"/>
        </w:rPr>
        <w:t>.</w:t>
      </w:r>
    </w:p>
    <w:p w14:paraId="24E07E6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Salman Mahmood, M. (2023, June). Penal and International Protection of Electronic Intellectual Property Rights. Paper presented at </w:t>
      </w:r>
      <w:r>
        <w:rPr>
          <w:rStyle w:val="None"/>
          <w:rFonts w:ascii="Times New Roman" w:hAnsi="Times New Roman"/>
          <w:i/>
          <w:iCs/>
          <w:sz w:val="24"/>
          <w:szCs w:val="24"/>
        </w:rPr>
        <w:t>1st International Conference on Legal Sciences: (Intellectual property -Contemporary Problems and Legal Solutions, ICLS’23),</w:t>
      </w:r>
      <w:r>
        <w:rPr>
          <w:rStyle w:val="None"/>
          <w:rFonts w:ascii="Times New Roman" w:hAnsi="Times New Roman"/>
          <w:sz w:val="24"/>
          <w:szCs w:val="24"/>
        </w:rPr>
        <w:t xml:space="preserve"> Fallujah, Iraq</w:t>
      </w:r>
      <w:r>
        <w:rPr>
          <w:rStyle w:val="None"/>
          <w:rFonts w:ascii="Times New Roman" w:hAnsi="Times New Roman"/>
          <w:color w:val="222222"/>
          <w:sz w:val="24"/>
          <w:szCs w:val="24"/>
          <w:u w:color="222222"/>
          <w:shd w:val="clear" w:color="auto" w:fill="FFFFFF"/>
        </w:rPr>
        <w:t xml:space="preserve">. </w:t>
      </w:r>
    </w:p>
    <w:p w14:paraId="535D492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Samuelson, P., &amp; Wheatland, T. (2009). Statutory damages in copyright law: A remedy in need of reform. </w:t>
      </w:r>
      <w:r>
        <w:rPr>
          <w:rStyle w:val="None"/>
          <w:rFonts w:ascii="Times New Roman" w:hAnsi="Times New Roman"/>
          <w:i/>
          <w:iCs/>
          <w:color w:val="222222"/>
          <w:sz w:val="24"/>
          <w:szCs w:val="24"/>
          <w:u w:color="222222"/>
          <w:shd w:val="clear" w:color="auto" w:fill="FFFFFF"/>
        </w:rPr>
        <w:t>Wm. &amp; Mary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51</w:t>
      </w:r>
      <w:r>
        <w:rPr>
          <w:rStyle w:val="None"/>
          <w:rFonts w:ascii="Times New Roman" w:hAnsi="Times New Roman"/>
          <w:color w:val="222222"/>
          <w:sz w:val="24"/>
          <w:szCs w:val="24"/>
          <w:u w:color="222222"/>
          <w:shd w:val="clear" w:color="auto" w:fill="FFFFFF"/>
        </w:rPr>
        <w:t xml:space="preserve">, 439. </w:t>
      </w:r>
    </w:p>
    <w:p w14:paraId="3CCBFE9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Sell, S. (2004). Intellectual property and public policy in historical perspective: Contestation and settlement.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38</w:t>
      </w:r>
      <w:r>
        <w:rPr>
          <w:rStyle w:val="None"/>
          <w:rFonts w:ascii="Times New Roman" w:hAnsi="Times New Roman"/>
          <w:color w:val="222222"/>
          <w:sz w:val="24"/>
          <w:szCs w:val="24"/>
          <w:u w:color="222222"/>
          <w:shd w:val="clear" w:color="auto" w:fill="FFFFFF"/>
        </w:rPr>
        <w:t xml:space="preserve">, 267. </w:t>
      </w:r>
    </w:p>
    <w:p w14:paraId="78F29AC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Sunwater Capital. (2025). Adoption of Intellectual Property Laws across the globe: Timeline. Retrieved from </w:t>
      </w:r>
      <w:hyperlink r:id="rId57" w:history="1">
        <w:r>
          <w:rPr>
            <w:rStyle w:val="Hyperlink7"/>
            <w:rFonts w:eastAsia="Arial Unicode MS"/>
          </w:rPr>
          <w:t>https://sunwater.org/adoption-of-intellectual-property-laws-across-the-globe-timeline/</w:t>
        </w:r>
      </w:hyperlink>
    </w:p>
    <w:p w14:paraId="0E28BFC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TERTEREANU, P., GÎNGU, A. I., &amp; ȚÎȚU, A. M. (2021). Counterfeiting and Infringements Upon Intellectual Property Rights. Review of Management and Economic Engineering, 20(2)</w:t>
      </w:r>
      <w:r>
        <w:rPr>
          <w:rStyle w:val="None"/>
          <w:rFonts w:ascii="Times New Roman" w:hAnsi="Times New Roman"/>
          <w:i/>
          <w:iCs/>
          <w:color w:val="222222"/>
          <w:sz w:val="24"/>
          <w:szCs w:val="24"/>
          <w:u w:color="222222"/>
          <w:shd w:val="clear" w:color="auto" w:fill="FFFFFF"/>
          <w:rtl/>
          <w:lang w:val="ar-SA"/>
        </w:rPr>
        <w:t>.</w:t>
      </w:r>
    </w:p>
    <w:p w14:paraId="4C51F5F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testu-avocat. (2025). La méthode de calcul des dommages et intérêts au titre de la contrefaçon de droits d’auteur. Retrieved from </w:t>
      </w:r>
      <w:hyperlink r:id="rId58" w:history="1">
        <w:r>
          <w:rPr>
            <w:rStyle w:val="Hyperlink7"/>
            <w:rFonts w:eastAsia="Arial Unicode MS"/>
          </w:rPr>
          <w:t>https://www.testu-avocat.fr/droit-auteur-avocat-bordeaux/les-sanctions-de-l-atteinte-aux-droits-d-auteur</w:t>
        </w:r>
      </w:hyperlink>
    </w:p>
    <w:p w14:paraId="7F558879"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Federalist Society. (2025). The Forgotten History of the Intellectual Property Clause. Retrieved from </w:t>
      </w:r>
      <w:hyperlink r:id="rId59" w:history="1">
        <w:r>
          <w:rPr>
            <w:rStyle w:val="Hyperlink7"/>
            <w:rFonts w:eastAsia="Arial Unicode MS"/>
          </w:rPr>
          <w:t>https://fedsoc.org/commentary/fedsoc-blog/the-forgotten-history-of-the-intellectual-property-clause</w:t>
        </w:r>
      </w:hyperlink>
    </w:p>
    <w:p w14:paraId="0F618D4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The George Mason Law Review. (2023). The Future of Criminal Enforcement of Copyright: The Promise of Civil Enforcement. Retrieved from </w:t>
      </w:r>
      <w:hyperlink r:id="rId60" w:history="1">
        <w:r>
          <w:rPr>
            <w:rStyle w:val="Hyperlink7"/>
            <w:rFonts w:eastAsia="Arial Unicode MS"/>
          </w:rPr>
          <w:t>https://lawreview.gmu.edu/print__issues/the-future-of-criminal-enforcement-of-copyright-the-promise-of-civil-enforcement/?utm_source</w:t>
        </w:r>
      </w:hyperlink>
      <w:r>
        <w:rPr>
          <w:rStyle w:val="None"/>
          <w:rFonts w:ascii="Times New Roman" w:hAnsi="Times New Roman"/>
          <w:sz w:val="24"/>
          <w:szCs w:val="24"/>
        </w:rPr>
        <w:t xml:space="preserve"> </w:t>
      </w:r>
    </w:p>
    <w:p w14:paraId="2C76D33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Thuy, L. T. B. (2020). PROTECTION OF COPYRIGHT IN THE DIGITAL ENVIRONMENT IN VIET NAM. WIPO-WTO Colloquium Papers, 2020, Special Edition. </w:t>
      </w:r>
    </w:p>
    <w:p w14:paraId="65918B5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Toole, A., Miller, R. &amp; Rada, N. (2025). Intellectual property and the U.S. economy: Third edition. U.S. Patent and Trademark Office. </w:t>
      </w:r>
      <w:hyperlink r:id="rId61" w:history="1">
        <w:r>
          <w:rPr>
            <w:rStyle w:val="Hyperlink7"/>
            <w:rFonts w:eastAsia="Arial Unicode MS"/>
          </w:rPr>
          <w:t>https://www.uspto.gov/sites/default/files/documents/uspto-ip-us-economy-third-edition.pdf</w:t>
        </w:r>
      </w:hyperlink>
      <w:r>
        <w:rPr>
          <w:rStyle w:val="None"/>
          <w:rFonts w:ascii="Times New Roman" w:hAnsi="Times New Roman"/>
          <w:sz w:val="24"/>
          <w:szCs w:val="24"/>
        </w:rPr>
        <w:t xml:space="preserve"> </w:t>
      </w:r>
    </w:p>
    <w:p w14:paraId="1B9B88C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Traverso, M. INTELLECTUAL PROPERTY A tool for economic growth in the third millennium An Overview of Italian IP Law. UffICIO ITALIANO BREvETTI E MARChI. The Licensing Executives Society (LES). ministero dello sviluppo economico dipArtimento per l’impresA e l’internAzionAlizzAzione direzione generAle per lA lottA AllA contrAffAzione. 2010</w:t>
      </w:r>
      <w:r>
        <w:rPr>
          <w:rStyle w:val="None"/>
          <w:rFonts w:ascii="Times New Roman" w:hAnsi="Times New Roman"/>
          <w:sz w:val="24"/>
          <w:szCs w:val="24"/>
          <w:rtl/>
          <w:lang w:val="ar-SA"/>
        </w:rPr>
        <w:t>.</w:t>
      </w:r>
    </w:p>
    <w:p w14:paraId="38DC3EDF"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property.Amazonia Investiga,13(74)</w:t>
      </w:r>
      <w:r>
        <w:rPr>
          <w:rStyle w:val="None"/>
          <w:rFonts w:ascii="Times New Roman" w:hAnsi="Times New Roman"/>
          <w:sz w:val="24"/>
          <w:szCs w:val="24"/>
          <w:shd w:val="clear" w:color="auto" w:fill="FFFFFF"/>
          <w:rtl/>
          <w:lang w:val="ar-SA"/>
        </w:rPr>
        <w:t>.</w:t>
      </w:r>
    </w:p>
    <w:p w14:paraId="7464CA6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 Amazonia Investiga,13(74)</w:t>
      </w:r>
      <w:r>
        <w:rPr>
          <w:rStyle w:val="None"/>
          <w:rFonts w:ascii="Times New Roman" w:hAnsi="Times New Roman"/>
          <w:sz w:val="24"/>
          <w:szCs w:val="24"/>
          <w:shd w:val="clear" w:color="auto" w:fill="FFFFFF"/>
          <w:rtl/>
          <w:lang w:val="ar-SA"/>
        </w:rPr>
        <w:t>.</w:t>
      </w:r>
    </w:p>
    <w:p w14:paraId="59B59FA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Copyright Office. (2025). United States Intellectual Property Organization Act of 1996 (S. 1961). Retrieved from </w:t>
      </w:r>
      <w:hyperlink r:id="rId62" w:history="1">
        <w:r>
          <w:rPr>
            <w:rStyle w:val="Hyperlink7"/>
            <w:rFonts w:eastAsia="Arial Unicode MS"/>
          </w:rPr>
          <w:t>https://www.copyright.gov/docs/ipo.html</w:t>
        </w:r>
      </w:hyperlink>
    </w:p>
    <w:p w14:paraId="27BA48B2"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Department Of state. (2025). </w:t>
      </w:r>
      <w:r>
        <w:rPr>
          <w:rStyle w:val="None"/>
          <w:rFonts w:ascii="Times New Roman" w:hAnsi="Times New Roman"/>
          <w:i/>
          <w:iCs/>
          <w:sz w:val="24"/>
          <w:szCs w:val="24"/>
        </w:rPr>
        <w:t>Intellectual Property Enforcement</w:t>
      </w:r>
      <w:r>
        <w:rPr>
          <w:rStyle w:val="None"/>
          <w:rFonts w:ascii="Times New Roman" w:hAnsi="Times New Roman"/>
          <w:sz w:val="24"/>
          <w:szCs w:val="24"/>
        </w:rPr>
        <w:t xml:space="preserve">. Retrieved from </w:t>
      </w:r>
      <w:hyperlink r:id="rId63" w:history="1">
        <w:r>
          <w:rPr>
            <w:rStyle w:val="Hyperlink7"/>
            <w:rFonts w:eastAsia="Arial Unicode MS"/>
          </w:rPr>
          <w:t>https://www.state.gov/intellectual-property-enforcement</w:t>
        </w:r>
      </w:hyperlink>
    </w:p>
    <w:p w14:paraId="3083A0A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United States Code, 2023. </w:t>
      </w:r>
      <w:r>
        <w:rPr>
          <w:rStyle w:val="None"/>
          <w:rFonts w:ascii="Times New Roman" w:hAnsi="Times New Roman"/>
          <w:i/>
          <w:iCs/>
          <w:sz w:val="24"/>
          <w:szCs w:val="24"/>
        </w:rPr>
        <w:t>504. Remedies for infringement: Damages and profits</w:t>
      </w:r>
      <w:r>
        <w:rPr>
          <w:rStyle w:val="None"/>
          <w:rFonts w:ascii="Times New Roman" w:hAnsi="Times New Roman"/>
          <w:sz w:val="24"/>
          <w:szCs w:val="24"/>
        </w:rPr>
        <w:t xml:space="preserve">. Retrieved from </w:t>
      </w:r>
      <w:hyperlink r:id="rId64" w:history="1">
        <w:r>
          <w:rPr>
            <w:rStyle w:val="Hyperlink7"/>
            <w:rFonts w:eastAsia="Arial Unicode MS"/>
          </w:rPr>
          <w:t>https://www.govinfo.gov/content/pkg/USCODE-2023-title17/html/USCODE-2023-title17-chap5-sec504.htm?utm_source</w:t>
        </w:r>
      </w:hyperlink>
    </w:p>
    <w:p w14:paraId="44B69476"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United States District Court Judgment February 2, 2000, </w:t>
      </w:r>
      <w:hyperlink r:id="rId65" w:history="1">
        <w:r>
          <w:rPr>
            <w:rStyle w:val="Hyperlink7"/>
            <w:rFonts w:eastAsia="Arial Unicode MS"/>
          </w:rPr>
          <w:t>https://www.law.uh.edu/faculty/cjoyce/copyright/release10/universal.html</w:t>
        </w:r>
      </w:hyperlink>
      <w:r>
        <w:rPr>
          <w:rStyle w:val="None"/>
          <w:rFonts w:ascii="Times New Roman" w:hAnsi="Times New Roman"/>
          <w:sz w:val="24"/>
          <w:szCs w:val="24"/>
        </w:rPr>
        <w:t xml:space="preserve"> .</w:t>
      </w:r>
    </w:p>
    <w:p w14:paraId="2B6A4763"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USPTO. (2025). </w:t>
      </w:r>
      <w:r>
        <w:rPr>
          <w:rStyle w:val="None"/>
          <w:rFonts w:ascii="Times New Roman" w:hAnsi="Times New Roman"/>
          <w:i/>
          <w:iCs/>
          <w:sz w:val="24"/>
          <w:szCs w:val="24"/>
        </w:rPr>
        <w:t>Enforcement initiatives</w:t>
      </w:r>
      <w:r>
        <w:rPr>
          <w:rStyle w:val="None"/>
          <w:rFonts w:ascii="Times New Roman" w:hAnsi="Times New Roman"/>
          <w:sz w:val="24"/>
          <w:szCs w:val="24"/>
        </w:rPr>
        <w:t xml:space="preserve">. United States Patent and Trademark Office. Retrieved from </w:t>
      </w:r>
      <w:hyperlink r:id="rId66" w:history="1">
        <w:r>
          <w:rPr>
            <w:rStyle w:val="Hyperlink7"/>
            <w:rFonts w:eastAsia="Arial Unicode MS"/>
          </w:rPr>
          <w:t>https://www.uspto.gov/ip-policy/enforcement-policy/enforcement-initiatives?utm_</w:t>
        </w:r>
      </w:hyperlink>
      <w:r>
        <w:rPr>
          <w:rStyle w:val="None"/>
          <w:rFonts w:ascii="Times New Roman" w:hAnsi="Times New Roman"/>
          <w:sz w:val="24"/>
          <w:szCs w:val="24"/>
        </w:rPr>
        <w:t xml:space="preserve"> </w:t>
      </w:r>
    </w:p>
    <w:p w14:paraId="2741769C"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shd w:val="clear" w:color="auto" w:fill="FFFFFF"/>
          <w:rtl/>
        </w:rPr>
      </w:pPr>
      <w:r>
        <w:rPr>
          <w:rStyle w:val="None"/>
          <w:rFonts w:ascii="Times New Roman" w:hAnsi="Times New Roman"/>
          <w:sz w:val="24"/>
          <w:szCs w:val="24"/>
          <w:shd w:val="clear" w:color="auto" w:fill="FFFFFF"/>
        </w:rPr>
        <w:lastRenderedPageBreak/>
        <w:t xml:space="preserve">WIPO. (2024). THE PROSECUTION OF INTELLECTUAL PROPERTY CRIME: REPORT ON RESULTS OF SURVEY.  World Intellectual Property Organization. </w:t>
      </w:r>
    </w:p>
    <w:p w14:paraId="157009C1"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WIPO. (2025). Intellectual Property Code (consolidated version of March 2, 2006), France. Retrieved from </w:t>
      </w:r>
      <w:hyperlink r:id="rId67" w:history="1">
        <w:r>
          <w:rPr>
            <w:rStyle w:val="Hyperlink7"/>
            <w:rFonts w:eastAsia="Arial Unicode MS"/>
          </w:rPr>
          <w:t>https://www.wipo.int/wipolex/en/legislation/details/14446</w:t>
        </w:r>
      </w:hyperlink>
    </w:p>
    <w:p w14:paraId="0632E4BE"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Hacker Lexicon: What Is the Digital Millennium Copyright Act? Retrieved from </w:t>
      </w:r>
      <w:hyperlink r:id="rId68" w:history="1">
        <w:r>
          <w:rPr>
            <w:rStyle w:val="Hyperlink7"/>
            <w:rFonts w:eastAsia="Arial Unicode MS"/>
          </w:rPr>
          <w:t>https://www.wired.com/2016/06/hacker-lexicon-digital-millennium-copyright-act/?utm_source</w:t>
        </w:r>
      </w:hyperlink>
    </w:p>
    <w:p w14:paraId="697E0644"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w:t>
      </w:r>
      <w:r>
        <w:rPr>
          <w:rStyle w:val="None"/>
          <w:rFonts w:ascii="Times New Roman" w:hAnsi="Times New Roman"/>
          <w:i/>
          <w:iCs/>
          <w:sz w:val="24"/>
          <w:szCs w:val="24"/>
        </w:rPr>
        <w:t>Industry 1, Academics 0: Clinton Signs Copyright Bill</w:t>
      </w:r>
      <w:r>
        <w:rPr>
          <w:rStyle w:val="None"/>
          <w:rFonts w:ascii="Times New Roman" w:hAnsi="Times New Roman"/>
          <w:sz w:val="24"/>
          <w:szCs w:val="24"/>
        </w:rPr>
        <w:t xml:space="preserve">. Retrieved from </w:t>
      </w:r>
      <w:hyperlink r:id="rId69" w:history="1">
        <w:r>
          <w:rPr>
            <w:rStyle w:val="Hyperlink7"/>
            <w:rFonts w:eastAsia="Arial Unicode MS"/>
          </w:rPr>
          <w:t>https://www.wired.com/1997/12/industry-1-academics-0-clinton-signs-copyright-bill/?utm_source</w:t>
        </w:r>
      </w:hyperlink>
    </w:p>
    <w:p w14:paraId="22C3563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World Intellectual Property Organization (WIPO), Understanding Copyright and Related Rights, (2rd ed.), 2020, Available at: </w:t>
      </w:r>
      <w:hyperlink r:id="rId70" w:history="1">
        <w:r>
          <w:rPr>
            <w:rStyle w:val="Hyperlink11"/>
            <w:rFonts w:eastAsia="Arial Unicode MS"/>
          </w:rPr>
          <w:t>https://www.wipo.int/edocs/pubdocs/en/wipo_pub_909_2016.pdf</w:t>
        </w:r>
      </w:hyperlink>
      <w:r>
        <w:rPr>
          <w:rStyle w:val="None"/>
          <w:rFonts w:ascii="Times New Roman" w:hAnsi="Times New Roman"/>
          <w:sz w:val="24"/>
          <w:szCs w:val="24"/>
        </w:rPr>
        <w:t xml:space="preserve"> ,Date of visit: 10/15/2024.</w:t>
      </w:r>
    </w:p>
    <w:p w14:paraId="3ACF4AF5"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color w:val="2E3136"/>
          <w:sz w:val="24"/>
          <w:szCs w:val="24"/>
          <w:u w:color="2E3136"/>
          <w:shd w:val="clear" w:color="auto" w:fill="FFFFFF"/>
          <w:rtl/>
        </w:rPr>
      </w:pPr>
      <w:r>
        <w:rPr>
          <w:rStyle w:val="None"/>
          <w:rFonts w:ascii="Times New Roman" w:hAnsi="Times New Roman"/>
          <w:sz w:val="24"/>
          <w:szCs w:val="24"/>
        </w:rPr>
        <w:t xml:space="preserve">WTO. (2025). What are intellectual property rights? </w:t>
      </w:r>
      <w:r>
        <w:rPr>
          <w:rStyle w:val="None"/>
          <w:rFonts w:ascii="Times New Roman" w:hAnsi="Times New Roman"/>
          <w:color w:val="2E3136"/>
          <w:sz w:val="24"/>
          <w:szCs w:val="24"/>
          <w:u w:color="2E3136"/>
          <w:shd w:val="clear" w:color="auto" w:fill="FFFFFF"/>
        </w:rPr>
        <w:t xml:space="preserve">World Trade Organization. Retrieved from </w:t>
      </w:r>
      <w:hyperlink r:id="rId71" w:history="1">
        <w:r>
          <w:rPr>
            <w:rStyle w:val="Hyperlink12"/>
            <w:rFonts w:eastAsia="Arial Unicode MS"/>
          </w:rPr>
          <w:t>https://www.wto.org/English/tratop_e/trips_e/intel1_e.htm</w:t>
        </w:r>
      </w:hyperlink>
    </w:p>
    <w:p w14:paraId="3D7B5DB7" w14:textId="77777777" w:rsidR="00454428" w:rsidRDefault="00000000" w:rsidP="00C72BA8">
      <w:pPr>
        <w:pStyle w:val="FootnoteText"/>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Yager, L. (2004). Intellectual Property: US Efforts Have Contributed to Strengthened Laws Overseas, But Challenges Remain: Testimony Before the Committee on Government Reform, House of Representatives. US Government Accountability Office</w:t>
      </w:r>
      <w:r>
        <w:rPr>
          <w:rStyle w:val="None"/>
          <w:rFonts w:ascii="Times New Roman" w:hAnsi="Times New Roman"/>
          <w:i/>
          <w:iCs/>
          <w:color w:val="222222"/>
          <w:sz w:val="24"/>
          <w:szCs w:val="24"/>
          <w:u w:color="222222"/>
          <w:shd w:val="clear" w:color="auto" w:fill="FFFFFF"/>
          <w:rtl/>
          <w:lang w:val="ar-SA"/>
        </w:rPr>
        <w:t>.</w:t>
      </w:r>
    </w:p>
    <w:p w14:paraId="40C6FE9C" w14:textId="77777777" w:rsidR="00454428" w:rsidRDefault="00000000" w:rsidP="00C72BA8">
      <w:pPr>
        <w:pStyle w:val="a"/>
        <w:jc w:val="left"/>
        <w:rPr>
          <w:rStyle w:val="None"/>
          <w:lang w:val="ar-SA"/>
        </w:rPr>
      </w:pPr>
      <w:bookmarkStart w:id="141" w:name="_Toc93"/>
      <w:r>
        <w:rPr>
          <w:rStyle w:val="None"/>
          <w:rFonts w:ascii="Arial Unicode MS" w:eastAsia="Arial Unicode MS" w:hAnsi="Arial Unicode MS" w:hint="cs"/>
          <w:rtl/>
          <w:lang w:val="ar-SA"/>
        </w:rPr>
        <w:t>ثالثًا</w:t>
      </w:r>
      <w:r>
        <w:rPr>
          <w:rStyle w:val="None"/>
          <w:rtl/>
          <w:lang w:val="ar-SA"/>
        </w:rPr>
        <w:t xml:space="preserve">: </w:t>
      </w:r>
      <w:r>
        <w:rPr>
          <w:rStyle w:val="None"/>
          <w:rFonts w:ascii="Arial Unicode MS" w:eastAsia="Arial Unicode MS" w:hAnsi="Arial Unicode MS" w:hint="cs"/>
          <w:rtl/>
          <w:lang w:val="ar-SA"/>
        </w:rPr>
        <w:t>القوانين</w:t>
      </w:r>
      <w:r>
        <w:rPr>
          <w:rStyle w:val="None"/>
          <w:rtl/>
          <w:lang w:val="ar-SA"/>
        </w:rPr>
        <w:t>.</w:t>
      </w:r>
      <w:bookmarkEnd w:id="141"/>
    </w:p>
    <w:p w14:paraId="2D228B4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p w14:paraId="2146E0A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عام </w:t>
      </w:r>
      <w:r>
        <w:rPr>
          <w:rStyle w:val="None"/>
          <w:rFonts w:ascii="Times New Roman" w:hAnsi="Times New Roman"/>
          <w:sz w:val="24"/>
          <w:szCs w:val="24"/>
          <w:rtl/>
          <w:lang w:val="ar-SA"/>
        </w:rPr>
        <w:t>1967.</w:t>
      </w:r>
    </w:p>
    <w:p w14:paraId="3724BAF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w:t>
      </w:r>
      <w:r>
        <w:rPr>
          <w:rStyle w:val="None"/>
          <w:rFonts w:ascii="Times New Roman" w:hAnsi="Times New Roman"/>
          <w:sz w:val="24"/>
          <w:szCs w:val="24"/>
          <w:rtl/>
          <w:lang w:val="ar-SA"/>
        </w:rPr>
        <w:t>.</w:t>
      </w:r>
    </w:p>
    <w:p w14:paraId="1726335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عام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عام </w:t>
      </w:r>
      <w:r>
        <w:rPr>
          <w:rStyle w:val="None"/>
          <w:rFonts w:ascii="Times New Roman" w:hAnsi="Times New Roman"/>
          <w:sz w:val="24"/>
          <w:szCs w:val="24"/>
          <w:rtl/>
          <w:lang w:val="ar-SA"/>
        </w:rPr>
        <w:t>1979.</w:t>
      </w:r>
    </w:p>
    <w:p w14:paraId="2F8D13C9"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p w14:paraId="523CC4C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تنظيم الهيئة السعودية للملكية الفكرية قرار مجلس الوزراء رقم </w:t>
      </w:r>
      <w:r>
        <w:rPr>
          <w:rStyle w:val="None"/>
          <w:rFonts w:ascii="Times New Roman" w:hAnsi="Times New Roman"/>
          <w:sz w:val="24"/>
          <w:szCs w:val="24"/>
          <w:rtl/>
          <w:lang w:val="ar-SA"/>
        </w:rPr>
        <w:t xml:space="preserve">(496)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1439/9/14 </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0571B49" w14:textId="77777777" w:rsidR="00454428" w:rsidRDefault="00000000" w:rsidP="00C72BA8">
      <w:pPr>
        <w:pStyle w:val="Body"/>
        <w:spacing w:before="120" w:after="120" w:line="360" w:lineRule="auto"/>
        <w:rPr>
          <w:rStyle w:val="None"/>
          <w:rFonts w:ascii="Times New Roman" w:eastAsia="Times New Roman" w:hAnsi="Times New Roman" w:cs="Times New Roman"/>
        </w:rPr>
      </w:pPr>
      <w:r>
        <w:rPr>
          <w:rStyle w:val="None"/>
          <w:rFonts w:ascii="Arial Unicode MS" w:hAnsi="Arial Unicode MS" w:cs="Times New Roman" w:hint="cs"/>
          <w:rtl/>
          <w:lang w:val="ar-SA"/>
        </w:rPr>
        <w:t xml:space="preserve">تنظيم الهيئة الوطنية للأمن السيبراني، الصادر بالأمر الملكي رقم </w:t>
      </w:r>
      <w:r>
        <w:rPr>
          <w:rStyle w:val="None"/>
          <w:rFonts w:ascii="Times New Roman" w:hAnsi="Times New Roman"/>
          <w:rtl/>
          <w:lang w:val="ar-SA"/>
        </w:rPr>
        <w:t xml:space="preserve">6801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11/2/1439</w:t>
      </w:r>
      <w:r>
        <w:rPr>
          <w:rStyle w:val="None"/>
          <w:rFonts w:ascii="Arial Unicode MS" w:hAnsi="Arial Unicode MS" w:cs="Times New Roman" w:hint="cs"/>
          <w:rtl/>
          <w:lang w:val="ar-SA"/>
        </w:rPr>
        <w:t xml:space="preserve">هـ المعدل بالأمر الملكي رقم </w:t>
      </w:r>
      <w:r>
        <w:rPr>
          <w:rStyle w:val="None"/>
          <w:rFonts w:ascii="Times New Roman" w:hAnsi="Times New Roman"/>
          <w:rtl/>
          <w:lang w:val="ar-SA"/>
        </w:rPr>
        <w:t xml:space="preserve">7053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2/2/1443</w:t>
      </w:r>
      <w:r>
        <w:rPr>
          <w:rStyle w:val="None"/>
          <w:rFonts w:ascii="Arial Unicode MS" w:hAnsi="Arial Unicode MS" w:cs="Times New Roman" w:hint="cs"/>
          <w:rtl/>
          <w:lang w:val="ar-SA"/>
        </w:rPr>
        <w:t>هـ</w:t>
      </w:r>
      <w:r>
        <w:rPr>
          <w:rStyle w:val="None"/>
          <w:rFonts w:ascii="Times New Roman" w:hAnsi="Times New Roman"/>
          <w:rtl/>
          <w:lang w:val="ar-SA"/>
        </w:rPr>
        <w:t>.</w:t>
      </w:r>
    </w:p>
    <w:p w14:paraId="28BE6A15"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آن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قانون حقوق الطبع والنشر ١٧٠٩</w:t>
      </w:r>
      <w:r>
        <w:rPr>
          <w:rStyle w:val="None"/>
          <w:rFonts w:ascii="Times New Roman" w:hAnsi="Times New Roman"/>
          <w:sz w:val="24"/>
          <w:szCs w:val="24"/>
          <w:rtl/>
          <w:lang w:val="ar-SA"/>
        </w:rPr>
        <w:t>.</w:t>
      </w:r>
    </w:p>
    <w:p w14:paraId="2BF861B4" w14:textId="77777777" w:rsidR="00454428" w:rsidRDefault="00000000" w:rsidP="00C72BA8">
      <w:pPr>
        <w:pStyle w:val="Body"/>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القانون الفرنسي الصادر في 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مبدأ حماية حقوق المؤلف في فرنسا</w:t>
      </w:r>
      <w:r>
        <w:rPr>
          <w:rStyle w:val="None"/>
          <w:rFonts w:ascii="Times New Roman" w:hAnsi="Times New Roman"/>
          <w:sz w:val="24"/>
          <w:szCs w:val="24"/>
          <w:rtl/>
          <w:lang w:val="ar-SA"/>
        </w:rPr>
        <w:t>.</w:t>
      </w:r>
    </w:p>
    <w:p w14:paraId="72C8EF7C"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حقوق المؤلف الصادرة بقرار رقم 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والمعدل برقم </w:t>
      </w:r>
      <w:r>
        <w:rPr>
          <w:rStyle w:val="None"/>
          <w:rFonts w:ascii="Times New Roman" w:hAnsi="Times New Roman"/>
          <w:sz w:val="24"/>
          <w:szCs w:val="24"/>
          <w:rtl/>
          <w:lang w:val="ar-SA"/>
        </w:rPr>
        <w:t>3/31/2022.</w:t>
      </w:r>
    </w:p>
    <w:p w14:paraId="2198519F"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6B80180D"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معاهدة الويبو بشأن حق المؤلف جنيف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w:t>
      </w:r>
      <w:r>
        <w:rPr>
          <w:rStyle w:val="None"/>
          <w:rFonts w:ascii="Times New Roman" w:hAnsi="Times New Roman"/>
          <w:sz w:val="24"/>
          <w:szCs w:val="24"/>
          <w:rtl/>
          <w:lang w:val="ar-SA"/>
        </w:rPr>
        <w:t>1996.</w:t>
      </w:r>
    </w:p>
    <w:p w14:paraId="2C279C04"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 نظام الأسماء التجارية الصادر بالمرسوم الملكي رقم م</w:t>
      </w:r>
      <w:r>
        <w:rPr>
          <w:rStyle w:val="None"/>
          <w:rFonts w:ascii="Times New Roman" w:hAnsi="Times New Roman"/>
          <w:sz w:val="24"/>
          <w:szCs w:val="24"/>
          <w:rtl/>
          <w:lang w:val="ar-SA"/>
        </w:rPr>
        <w:t>/83.</w:t>
      </w:r>
    </w:p>
    <w:p w14:paraId="0699118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الإثبات رقم م</w:t>
      </w:r>
      <w:r>
        <w:rPr>
          <w:rStyle w:val="None"/>
          <w:rFonts w:ascii="Times New Roman" w:hAnsi="Times New Roman"/>
          <w:sz w:val="24"/>
          <w:szCs w:val="24"/>
          <w:rtl/>
          <w:lang w:val="ar-SA"/>
        </w:rPr>
        <w:t>/43.</w:t>
      </w:r>
    </w:p>
    <w:p w14:paraId="394169B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1D8161E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العلامات التجارية مرسوم ملكي رقم م</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28/5/1423.</w:t>
      </w:r>
    </w:p>
    <w:p w14:paraId="0794CAC2"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نظام المعاملات المدنية، مرسوم 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/191)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29/11/1444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2333C08"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3292EAA7"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حماية حقوق المؤلف مرسوم ملكي رقم م</w:t>
      </w:r>
      <w:r>
        <w:rPr>
          <w:rStyle w:val="None"/>
          <w:rFonts w:ascii="Times New Roman" w:hAnsi="Times New Roman"/>
          <w:sz w:val="24"/>
          <w:szCs w:val="24"/>
          <w:rtl/>
          <w:lang w:val="ar-SA"/>
        </w:rPr>
        <w:t>/41.</w:t>
      </w:r>
    </w:p>
    <w:p w14:paraId="4940EA26" w14:textId="77777777" w:rsidR="00454428" w:rsidRDefault="00000000" w:rsidP="00C72BA8">
      <w:pPr>
        <w:pStyle w:val="FootnoteText"/>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الهيئة السعودية للملكية الفكرية</w:t>
      </w:r>
      <w:r>
        <w:rPr>
          <w:rStyle w:val="None"/>
          <w:rFonts w:ascii="Times New Roman" w:hAnsi="Times New Roman"/>
          <w:sz w:val="24"/>
          <w:szCs w:val="24"/>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٢٠٢٣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تقارير ومبادرات الحماية الفكرية</w:t>
      </w:r>
      <w:r>
        <w:rPr>
          <w:rStyle w:val="None"/>
          <w:rFonts w:ascii="Times New Roman" w:hAnsi="Times New Roman"/>
          <w:sz w:val="24"/>
          <w:szCs w:val="24"/>
          <w:rtl/>
          <w:lang w:val="ar-SA"/>
        </w:rPr>
        <w:t>.</w:t>
      </w:r>
    </w:p>
    <w:p w14:paraId="5A6399B5" w14:textId="77777777" w:rsidR="00454428" w:rsidRDefault="00000000" w:rsidP="00C72BA8">
      <w:pPr>
        <w:pStyle w:val="FootnoteText"/>
        <w:spacing w:before="120" w:after="120" w:line="360" w:lineRule="auto"/>
        <w:ind w:left="720" w:hanging="720"/>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الاستثمار الصادر بموجب المرسوم الملكي رقم م</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16/1/1446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3A0C8FCB" w14:textId="77777777" w:rsidR="00454428" w:rsidRDefault="00000000" w:rsidP="00C72BA8">
      <w:pPr>
        <w:pStyle w:val="FootnoteText"/>
        <w:spacing w:before="120" w:after="120" w:line="360" w:lineRule="auto"/>
        <w:ind w:left="720" w:hanging="720"/>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الاتصالات وتقنية المعلومات الصادر بالمرسوم الملكي رقم م</w:t>
      </w:r>
      <w:r>
        <w:rPr>
          <w:rStyle w:val="None"/>
          <w:rFonts w:ascii="Times New Roman" w:hAnsi="Times New Roman"/>
          <w:sz w:val="24"/>
          <w:szCs w:val="24"/>
          <w:rtl/>
          <w:lang w:val="ar-SA"/>
        </w:rPr>
        <w:t xml:space="preserve">/106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EF52CD3" w14:textId="77777777" w:rsidR="00454428" w:rsidRDefault="00000000" w:rsidP="00C72BA8">
      <w:pPr>
        <w:pStyle w:val="a"/>
        <w:jc w:val="left"/>
        <w:rPr>
          <w:rStyle w:val="None"/>
          <w:lang w:val="ar-SA"/>
        </w:rPr>
      </w:pPr>
      <w:bookmarkStart w:id="142" w:name="_Toc94"/>
      <w:r>
        <w:rPr>
          <w:rStyle w:val="None"/>
          <w:rFonts w:ascii="Arial Unicode MS" w:eastAsia="Arial Unicode MS" w:hAnsi="Arial Unicode MS" w:hint="cs"/>
          <w:rtl/>
          <w:lang w:val="ar-SA"/>
        </w:rPr>
        <w:t>رابعًا</w:t>
      </w:r>
      <w:r>
        <w:rPr>
          <w:rStyle w:val="None"/>
          <w:rtl/>
          <w:lang w:val="ar-SA"/>
        </w:rPr>
        <w:t xml:space="preserve">: </w:t>
      </w:r>
      <w:r>
        <w:rPr>
          <w:rStyle w:val="None"/>
          <w:rFonts w:ascii="Arial Unicode MS" w:eastAsia="Arial Unicode MS" w:hAnsi="Arial Unicode MS" w:hint="cs"/>
          <w:rtl/>
          <w:lang w:val="ar-SA"/>
        </w:rPr>
        <w:t>المواقع الإلكترونية</w:t>
      </w:r>
      <w:r>
        <w:rPr>
          <w:rStyle w:val="None"/>
          <w:rtl/>
          <w:lang w:val="ar-SA"/>
        </w:rPr>
        <w:t>.</w:t>
      </w:r>
      <w:bookmarkEnd w:id="142"/>
    </w:p>
    <w:p w14:paraId="6EC55877" w14:textId="77777777" w:rsidR="00454428" w:rsidRDefault="00000000" w:rsidP="00C72BA8">
      <w:pPr>
        <w:pStyle w:val="FootnoteText"/>
        <w:spacing w:before="288" w:after="288" w:line="360" w:lineRule="auto"/>
        <w:ind w:left="720" w:hanging="720"/>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التقرير العالمي للملكية الفكرية الويبو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w:t>
      </w:r>
      <w:hyperlink r:id="rId72" w:history="1">
        <w:r>
          <w:rPr>
            <w:rStyle w:val="Hyperlink10"/>
            <w:rFonts w:eastAsia="Arial Unicode MS"/>
          </w:rPr>
          <w:t>https://www.wipo.int/pressroom/ar/articles/2024/article_0004.html?utm_source=chatgpt.com</w:t>
        </w:r>
      </w:hyperlink>
      <w:r>
        <w:rPr>
          <w:rStyle w:val="None"/>
          <w:rFonts w:ascii="Times New Roman" w:hAnsi="Times New Roman"/>
          <w:sz w:val="24"/>
          <w:szCs w:val="24"/>
          <w:rtl/>
          <w:lang w:val="ar-SA"/>
        </w:rPr>
        <w:t xml:space="preserve"> .</w:t>
      </w:r>
    </w:p>
    <w:p w14:paraId="23DFC7D1"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المنظمة العالمية للملكية الفكرية، اليوم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Pr>
          <w:rStyle w:val="None"/>
          <w:rFonts w:ascii="Times New Roman" w:hAnsi="Times New Roman"/>
          <w:sz w:val="24"/>
          <w:szCs w:val="24"/>
          <w:rtl/>
          <w:lang w:val="ar-SA"/>
        </w:rPr>
        <w:t>:</w:t>
      </w:r>
    </w:p>
    <w:p w14:paraId="5B0156B2"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 xml:space="preserve"> </w:t>
      </w:r>
      <w:hyperlink r:id="rId73" w:history="1">
        <w:r>
          <w:rPr>
            <w:rStyle w:val="Hyperlink13"/>
            <w:rFonts w:eastAsia="Arial Unicode MS"/>
          </w:rPr>
          <w:t>https://www.wipo.int/pressroom/ar/articles/2024/article_0003.html</w:t>
        </w:r>
      </w:hyperlink>
      <w:r>
        <w:rPr>
          <w:rStyle w:val="None"/>
          <w:rFonts w:ascii="Arial Unicode MS" w:hAnsi="Arial Unicode MS" w:cs="Times New Roman" w:hint="cs"/>
          <w:sz w:val="24"/>
          <w:szCs w:val="24"/>
          <w:rtl/>
          <w:lang w:val="ar-SA"/>
        </w:rPr>
        <w:t>،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p>
    <w:p w14:paraId="5D67C63A"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4" w:history="1">
        <w:r>
          <w:rPr>
            <w:rStyle w:val="Hyperlink10"/>
            <w:rFonts w:eastAsia="Arial Unicode MS"/>
          </w:rPr>
          <w:t>https://www.saip.gov.sa/committees-secretariat/1457</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712C778F"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5" w:history="1">
        <w:r>
          <w:rPr>
            <w:rStyle w:val="Hyperlink10"/>
            <w:rFonts w:eastAsia="Arial Unicode MS"/>
          </w:rPr>
          <w:t>https://www.saip.gov.sa/committees-secretariat/1412</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51F396A5"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6" w:history="1">
        <w:r>
          <w:rPr>
            <w:rStyle w:val="Hyperlink10"/>
            <w:rFonts w:eastAsia="Arial Unicode MS"/>
          </w:rPr>
          <w:t>https://www.saip.gov.sa/committees-secretariat</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08E70EC9"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7" w:history="1">
        <w:r>
          <w:rPr>
            <w:rStyle w:val="Hyperlink10"/>
            <w:rFonts w:eastAsia="Arial Unicode MS"/>
          </w:rPr>
          <w:t>https://www.saip.gov.sa/committees-secretariat/1456</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232EFC81"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للمنصة الوطنية التابعة لحومة المملكة العربية السعودية، تم دخول الموقع يوم </w:t>
      </w:r>
      <w:r>
        <w:rPr>
          <w:rStyle w:val="None"/>
          <w:rFonts w:ascii="Times New Roman" w:hAnsi="Times New Roman"/>
          <w:sz w:val="24"/>
          <w:szCs w:val="24"/>
          <w:rtl/>
          <w:lang w:val="ar-SA"/>
        </w:rPr>
        <w:t>29/7/2025</w:t>
      </w:r>
      <w:r>
        <w:rPr>
          <w:rStyle w:val="None"/>
          <w:rFonts w:ascii="Arial Unicode MS" w:hAnsi="Arial Unicode MS" w:cs="Times New Roman" w:hint="cs"/>
          <w:sz w:val="24"/>
          <w:szCs w:val="24"/>
          <w:rtl/>
          <w:lang w:val="ar-SA"/>
        </w:rPr>
        <w:t xml:space="preserve">، </w:t>
      </w:r>
      <w:hyperlink r:id="rId78" w:history="1">
        <w:r>
          <w:rPr>
            <w:rStyle w:val="Hyperlink10"/>
            <w:rFonts w:eastAsia="Arial Unicode MS"/>
          </w:rPr>
          <w:t>https://eparticipation.my.gov.sa/e-consultations/consultations/legal/legal-consultation-25811</w:t>
        </w:r>
      </w:hyperlink>
      <w:r>
        <w:rPr>
          <w:rStyle w:val="None"/>
          <w:rFonts w:ascii="Times New Roman" w:hAnsi="Times New Roman"/>
          <w:sz w:val="24"/>
          <w:szCs w:val="24"/>
          <w:rtl/>
          <w:lang w:val="ar-SA"/>
        </w:rPr>
        <w:t xml:space="preserve"> </w:t>
      </w:r>
    </w:p>
    <w:p w14:paraId="5C999F47"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الدخول على الموقع بتاريخ </w:t>
      </w:r>
      <w:r>
        <w:rPr>
          <w:rStyle w:val="None"/>
          <w:rFonts w:ascii="Times New Roman" w:hAnsi="Times New Roman"/>
          <w:sz w:val="24"/>
          <w:szCs w:val="24"/>
          <w:rtl/>
          <w:lang w:val="ar-SA"/>
        </w:rPr>
        <w:t xml:space="preserve">18/8/2025 </w:t>
      </w:r>
      <w:r>
        <w:rPr>
          <w:rStyle w:val="None"/>
          <w:rFonts w:ascii="Arial Unicode MS" w:hAnsi="Arial Unicode MS" w:cs="Times New Roman" w:hint="cs"/>
          <w:sz w:val="24"/>
          <w:szCs w:val="24"/>
          <w:rtl/>
          <w:lang w:val="ar-SA"/>
        </w:rPr>
        <w:t>من خلال الرابط التالي</w:t>
      </w:r>
      <w:r>
        <w:rPr>
          <w:rStyle w:val="None"/>
          <w:rFonts w:ascii="Times New Roman" w:hAnsi="Times New Roman"/>
          <w:sz w:val="24"/>
          <w:szCs w:val="24"/>
          <w:rtl/>
          <w:lang w:val="ar-SA"/>
        </w:rPr>
        <w:t xml:space="preserve">: </w:t>
      </w:r>
      <w:hyperlink r:id="rId79" w:history="1">
        <w:r>
          <w:rPr>
            <w:rStyle w:val="Hyperlink10"/>
            <w:rFonts w:eastAsia="Arial Unicode MS"/>
          </w:rPr>
          <w:t>https://www.saip.gov.sa/about/brief</w:t>
        </w:r>
        <w:r>
          <w:rPr>
            <w:rStyle w:val="Link"/>
            <w:rFonts w:ascii="Times New Roman" w:hAnsi="Times New Roman"/>
            <w:sz w:val="24"/>
            <w:szCs w:val="24"/>
            <w:rtl/>
            <w:lang w:val="ar-SA"/>
          </w:rPr>
          <w:t>/</w:t>
        </w:r>
      </w:hyperlink>
      <w:r>
        <w:rPr>
          <w:rStyle w:val="None"/>
          <w:rFonts w:ascii="Times New Roman" w:hAnsi="Times New Roman"/>
          <w:sz w:val="24"/>
          <w:szCs w:val="24"/>
          <w:rtl/>
          <w:lang w:val="ar-SA"/>
        </w:rPr>
        <w:t xml:space="preserve"> </w:t>
      </w:r>
    </w:p>
    <w:p w14:paraId="0C804C66"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Pr>
          <w:rStyle w:val="None"/>
          <w:rFonts w:ascii="Times New Roman" w:hAnsi="Times New Roman"/>
          <w:sz w:val="24"/>
          <w:szCs w:val="24"/>
          <w:rtl/>
          <w:lang w:val="ar-SA"/>
        </w:rPr>
        <w:t>19/7/2025</w:t>
      </w:r>
      <w:r>
        <w:rPr>
          <w:rStyle w:val="None"/>
          <w:rFonts w:ascii="Arial Unicode MS" w:hAnsi="Arial Unicode MS" w:cs="Times New Roman" w:hint="cs"/>
          <w:sz w:val="24"/>
          <w:szCs w:val="24"/>
          <w:rtl/>
          <w:lang w:val="ar-SA"/>
        </w:rPr>
        <w:t xml:space="preserve">، </w:t>
      </w:r>
      <w:hyperlink r:id="rId80" w:history="1">
        <w:r>
          <w:rPr>
            <w:rStyle w:val="Hyperlink10"/>
            <w:rFonts w:eastAsia="Arial Unicode MS"/>
          </w:rPr>
          <w:t>https://www.saip.gov.sa/pct</w:t>
        </w:r>
      </w:hyperlink>
      <w:r>
        <w:rPr>
          <w:rStyle w:val="None"/>
          <w:rFonts w:ascii="Times New Roman" w:hAnsi="Times New Roman"/>
          <w:sz w:val="24"/>
          <w:szCs w:val="24"/>
          <w:rtl/>
          <w:lang w:val="ar-SA"/>
        </w:rPr>
        <w:t xml:space="preserve"> </w:t>
      </w:r>
    </w:p>
    <w:p w14:paraId="30FFA438"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موقع منظمة الويبو، مقال حق المؤلف، متاح من </w:t>
      </w:r>
      <w:hyperlink r:id="rId81" w:history="1">
        <w:r>
          <w:rPr>
            <w:rStyle w:val="Hyperlink13"/>
            <w:rFonts w:eastAsia="Arial Unicode MS"/>
          </w:rPr>
          <w:t>https://www.wipo.int/copyright/ar</w:t>
        </w:r>
      </w:hyperlink>
      <w:r>
        <w:rPr>
          <w:rStyle w:val="None"/>
          <w:rFonts w:ascii="Arial Unicode MS" w:hAnsi="Arial Unicode MS" w:cs="Times New Roman" w:hint="cs"/>
          <w:sz w:val="24"/>
          <w:szCs w:val="24"/>
          <w:rtl/>
          <w:lang w:val="ar-SA"/>
        </w:rPr>
        <w:t xml:space="preserve"> ،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p w14:paraId="5A4BD6E7" w14:textId="77777777" w:rsidR="00454428" w:rsidRDefault="00000000" w:rsidP="00C72BA8">
      <w:pPr>
        <w:pStyle w:val="FootnoteText"/>
        <w:spacing w:before="288" w:after="288" w:line="360" w:lineRule="auto"/>
        <w:ind w:left="720" w:hanging="720"/>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الموقع الرسمي البنك المركزي السعودي،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2" w:history="1">
        <w:r>
          <w:rPr>
            <w:rStyle w:val="Hyperlink10"/>
            <w:rFonts w:eastAsia="Arial Unicode MS"/>
          </w:rPr>
          <w:t>https://www.sama.gov.sa/ar-sa/News/Pages/news-1083.aspx</w:t>
        </w:r>
      </w:hyperlink>
      <w:r>
        <w:rPr>
          <w:rStyle w:val="None"/>
          <w:rFonts w:ascii="Times New Roman" w:hAnsi="Times New Roman"/>
          <w:sz w:val="24"/>
          <w:szCs w:val="24"/>
          <w:rtl/>
          <w:lang w:val="ar-SA"/>
        </w:rPr>
        <w:t xml:space="preserve"> </w:t>
      </w:r>
    </w:p>
    <w:p w14:paraId="2A803E9A"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 </w:t>
      </w:r>
      <w:r>
        <w:rPr>
          <w:rStyle w:val="None"/>
          <w:rFonts w:ascii="Times New Roman" w:hAnsi="Times New Roman"/>
          <w:sz w:val="24"/>
          <w:szCs w:val="24"/>
        </w:rPr>
        <w:t>mordor intelligence</w:t>
      </w:r>
      <w:r>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w:t>
      </w:r>
    </w:p>
    <w:p w14:paraId="14EE55E4" w14:textId="77777777" w:rsidR="00454428" w:rsidRDefault="00000000" w:rsidP="00C72BA8">
      <w:pPr>
        <w:pStyle w:val="FootnoteText"/>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3" w:history="1">
        <w:r>
          <w:rPr>
            <w:rStyle w:val="Hyperlink10"/>
            <w:rFonts w:eastAsia="Arial Unicode MS"/>
          </w:rPr>
          <w:t>https://www.mordorintelligence.com/ar/industry-reports/saudi-arabia-ecommerce-market</w:t>
        </w:r>
      </w:hyperlink>
    </w:p>
    <w:p w14:paraId="1661CB4C" w14:textId="77777777" w:rsidR="00454428" w:rsidRDefault="00454428" w:rsidP="00C72BA8">
      <w:pPr>
        <w:pStyle w:val="FootnoteText"/>
        <w:spacing w:before="288" w:after="288" w:line="360" w:lineRule="auto"/>
        <w:ind w:left="720" w:hanging="720"/>
        <w:jc w:val="both"/>
      </w:pPr>
    </w:p>
    <w:sectPr w:rsidR="00454428">
      <w:headerReference w:type="default" r:id="rId84"/>
      <w:footerReference w:type="default" r:id="rId85"/>
      <w:pgSz w:w="11900" w:h="16840"/>
      <w:pgMar w:top="1418" w:right="1701" w:bottom="1418" w:left="1418" w:header="709" w:footer="709" w:gutter="0"/>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FF8A4" w14:textId="77777777" w:rsidR="00F26E82" w:rsidRDefault="00F26E82">
      <w:r>
        <w:separator/>
      </w:r>
    </w:p>
  </w:endnote>
  <w:endnote w:type="continuationSeparator" w:id="0">
    <w:p w14:paraId="4B100323" w14:textId="77777777" w:rsidR="00F26E82" w:rsidRDefault="00F26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B911" w14:textId="77777777" w:rsidR="00454428" w:rsidRDefault="00000000">
    <w:pPr>
      <w:pStyle w:val="Footer"/>
      <w:tabs>
        <w:tab w:val="clear" w:pos="9026"/>
        <w:tab w:val="right" w:pos="8761"/>
      </w:tabs>
      <w:jc w:val="center"/>
    </w:pPr>
    <w:r>
      <w:rPr>
        <w:rtl/>
      </w:rPr>
      <w:fldChar w:fldCharType="begin"/>
    </w:r>
    <w:r>
      <w:rPr>
        <w:rtl/>
      </w:rPr>
      <w:instrText xml:space="preserve"> PAGE </w:instrText>
    </w:r>
    <w:r>
      <w:rPr>
        <w:rtl/>
      </w:rPr>
      <w:fldChar w:fldCharType="separate"/>
    </w:r>
    <w:r w:rsidR="00C72BA8">
      <w:rPr>
        <w:noProof/>
        <w:rtl/>
      </w:rPr>
      <w:t>1</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F7963" w14:textId="77777777" w:rsidR="00454428" w:rsidRDefault="00454428">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D44C5" w14:textId="77777777" w:rsidR="00454428" w:rsidRDefault="00000000">
    <w:pPr>
      <w:pStyle w:val="Footer"/>
      <w:tabs>
        <w:tab w:val="clear" w:pos="9026"/>
        <w:tab w:val="right" w:pos="8761"/>
      </w:tabs>
      <w:jc w:val="center"/>
    </w:pPr>
    <w:r>
      <w:rPr>
        <w:rtl/>
      </w:rPr>
      <w:fldChar w:fldCharType="begin"/>
    </w:r>
    <w:r>
      <w:rPr>
        <w:rtl/>
      </w:rPr>
      <w:instrText xml:space="preserve"> PAGE </w:instrText>
    </w:r>
    <w:r>
      <w:rPr>
        <w:rtl/>
      </w:rPr>
      <w:fldChar w:fldCharType="separate"/>
    </w:r>
    <w:r w:rsidR="00C72BA8">
      <w:rPr>
        <w:noProof/>
        <w:rtl/>
      </w:rPr>
      <w:t>1</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3795E" w14:textId="77777777" w:rsidR="00F26E82" w:rsidRDefault="00F26E82">
      <w:r>
        <w:separator/>
      </w:r>
    </w:p>
  </w:footnote>
  <w:footnote w:type="continuationSeparator" w:id="0">
    <w:p w14:paraId="21C0F745" w14:textId="77777777" w:rsidR="00F26E82" w:rsidRDefault="00F26E82">
      <w:r>
        <w:continuationSeparator/>
      </w:r>
    </w:p>
  </w:footnote>
  <w:footnote w:type="continuationNotice" w:id="1">
    <w:p w14:paraId="226842AA" w14:textId="77777777" w:rsidR="00F26E82" w:rsidRDefault="00F26E82"/>
  </w:footnote>
  <w:footnote w:id="2">
    <w:p w14:paraId="143C7A63"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Pr>
        <w:t>(</w:t>
      </w:r>
      <w:r>
        <w:rPr>
          <w:rFonts w:ascii="Arial Unicode MS" w:hAnsi="Arial Unicode MS" w:cs="Times New Roman" w:hint="cs"/>
          <w:sz w:val="24"/>
          <w:szCs w:val="24"/>
          <w:rtl/>
          <w:lang w:val="ar-SA"/>
        </w:rPr>
        <w:t xml:space="preserve"> كوثر مازوني، ومبروك مشونشي، نطاق الملكية الفكرية في البيئة الرقمية، مجلة العلوم الإنسانية، جامعة العربي بن مهيدي، أم البواقي، </w:t>
      </w:r>
      <w:r>
        <w:rPr>
          <w:rFonts w:ascii="Times New Roman" w:hAnsi="Times New Roman"/>
          <w:sz w:val="24"/>
          <w:szCs w:val="24"/>
          <w:rtl/>
          <w:lang w:val="ar-SA"/>
        </w:rPr>
        <w:t>9 (3) 2022</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1273</w:t>
      </w:r>
    </w:p>
  </w:footnote>
  <w:footnote w:id="3">
    <w:p w14:paraId="6F2FF331"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صلاح سلمان أسمر زين الدين،  الملكية الفكرية نشأتها ونطاقها وعناصرها وأهميتها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المؤتمر العلمي الثالث</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موقف الإسلام من مسألة الملكية الفكرية، الأردن، </w:t>
      </w:r>
      <w:r>
        <w:rPr>
          <w:rFonts w:ascii="Times New Roman" w:hAnsi="Times New Roman"/>
          <w:sz w:val="24"/>
          <w:szCs w:val="24"/>
          <w:rtl/>
          <w:lang w:val="ar-SA"/>
        </w:rPr>
        <w:t>2001</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3.</w:t>
      </w:r>
    </w:p>
  </w:footnote>
  <w:footnote w:id="4">
    <w:p w14:paraId="1D9186BB" w14:textId="77777777" w:rsidR="00454428" w:rsidRDefault="00000000">
      <w:pPr>
        <w:pStyle w:val="FootnoteText"/>
        <w:jc w:val="both"/>
      </w:pPr>
      <w:r>
        <w:rPr>
          <w:rFonts w:ascii="Times New Roman" w:hAnsi="Times New Roman"/>
          <w:sz w:val="24"/>
          <w:szCs w:val="24"/>
          <w:vertAlign w:val="superscript"/>
          <w:rtl/>
          <w:lang w:val="ar-SA"/>
        </w:rPr>
        <w:t>(1)</w:t>
      </w:r>
      <w:r>
        <w:rPr>
          <w:rFonts w:ascii="Arial Unicode MS" w:hAnsi="Arial Unicode MS" w:cs="Times New Roman" w:hint="cs"/>
          <w:sz w:val="24"/>
          <w:szCs w:val="24"/>
          <w:rtl/>
          <w:lang w:val="ar-SA"/>
        </w:rPr>
        <w:t xml:space="preserve"> نزيه محمد الصادق المهدي، آلية حماية حقوق الملكية الفكرية، كلية الحقوق جامعة القاهرة، دار النهضة العربية للنشر، القاهرة، الطبعة الثانية، </w:t>
      </w:r>
      <w:r>
        <w:rPr>
          <w:rFonts w:ascii="Times New Roman" w:hAnsi="Times New Roman"/>
          <w:sz w:val="24"/>
          <w:szCs w:val="24"/>
          <w:rtl/>
          <w:lang w:val="ar-SA"/>
        </w:rPr>
        <w:t xml:space="preserve">2017, </w:t>
      </w:r>
      <w:r>
        <w:rPr>
          <w:rFonts w:ascii="Arial Unicode MS" w:hAnsi="Arial Unicode MS" w:cs="Times New Roman" w:hint="cs"/>
          <w:sz w:val="24"/>
          <w:szCs w:val="24"/>
          <w:rtl/>
          <w:lang w:val="ar-SA"/>
        </w:rPr>
        <w:t>ص</w:t>
      </w:r>
      <w:r>
        <w:rPr>
          <w:rFonts w:ascii="Times New Roman" w:hAnsi="Times New Roman"/>
          <w:sz w:val="24"/>
          <w:szCs w:val="24"/>
          <w:rtl/>
          <w:lang w:val="ar-SA"/>
        </w:rPr>
        <w:t>3.</w:t>
      </w:r>
    </w:p>
  </w:footnote>
  <w:footnote w:id="5">
    <w:p w14:paraId="72EA6502" w14:textId="77777777" w:rsidR="00454428" w:rsidRDefault="00000000">
      <w:pPr>
        <w:pStyle w:val="1"/>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tl/>
          <w:lang w:val="ar-SA"/>
        </w:rPr>
        <w:t xml:space="preserve">) </w:t>
      </w:r>
      <w:r>
        <w:rPr>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Pr>
          <w:rFonts w:ascii="Times New Roman" w:hAnsi="Times New Roman"/>
          <w:sz w:val="24"/>
          <w:szCs w:val="24"/>
          <w:rtl/>
          <w:lang w:val="ar-SA"/>
        </w:rPr>
        <w:t>3</w:t>
      </w:r>
      <w:r>
        <w:rPr>
          <w:rFonts w:ascii="Arial Unicode MS" w:hAnsi="Arial Unicode MS" w:cs="Times New Roman" w:hint="cs"/>
          <w:sz w:val="24"/>
          <w:szCs w:val="24"/>
          <w:rtl/>
          <w:lang w:val="ar-SA"/>
        </w:rPr>
        <w:t xml:space="preserve">، العدد </w:t>
      </w:r>
      <w:r>
        <w:rPr>
          <w:rFonts w:ascii="Times New Roman" w:hAnsi="Times New Roman"/>
          <w:sz w:val="24"/>
          <w:szCs w:val="24"/>
          <w:rtl/>
          <w:lang w:val="ar-SA"/>
        </w:rPr>
        <w:t>5</w:t>
      </w:r>
      <w:r>
        <w:rPr>
          <w:rFonts w:ascii="Arial Unicode MS" w:hAnsi="Arial Unicode MS" w:cs="Times New Roman" w:hint="cs"/>
          <w:sz w:val="24"/>
          <w:szCs w:val="24"/>
          <w:rtl/>
          <w:lang w:val="ar-SA"/>
        </w:rPr>
        <w:t xml:space="preserve">، أغسطس </w:t>
      </w:r>
      <w:r>
        <w:rPr>
          <w:rFonts w:ascii="Times New Roman" w:hAnsi="Times New Roman"/>
          <w:sz w:val="24"/>
          <w:szCs w:val="24"/>
          <w:rtl/>
          <w:lang w:val="ar-SA"/>
        </w:rPr>
        <w:t>2023</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19-22.</w:t>
      </w:r>
    </w:p>
  </w:footnote>
  <w:footnote w:id="6">
    <w:p w14:paraId="2531FCF5" w14:textId="77777777" w:rsidR="00454428" w:rsidRDefault="00000000">
      <w:pPr>
        <w:pStyle w:val="1"/>
        <w:jc w:val="both"/>
      </w:pPr>
      <w:r>
        <w:rPr>
          <w:rFonts w:ascii="Times New Roman" w:hAnsi="Times New Roman"/>
          <w:sz w:val="24"/>
          <w:szCs w:val="24"/>
          <w:vertAlign w:val="superscript"/>
          <w:rtl/>
          <w:lang w:val="ar-SA"/>
        </w:rPr>
        <w:t>(1)</w:t>
      </w:r>
      <w:r>
        <w:rPr>
          <w:rFonts w:ascii="Arial Unicode MS" w:hAnsi="Arial Unicode MS" w:cs="Times New Roman" w:hint="cs"/>
          <w:sz w:val="24"/>
          <w:szCs w:val="24"/>
          <w:rtl/>
          <w:lang w:val="ar-SA"/>
        </w:rPr>
        <w:t xml:space="preserve"> السيد أحمد عبد الخالق، حماية حقوق الملكية الفكرية في ظل اتفاقية التريس والتشريعات الاقتصادية، الطبعة الأولى، دار الفكر والقانون للنشر بالقاهرة، </w:t>
      </w:r>
      <w:r>
        <w:rPr>
          <w:rFonts w:ascii="Times New Roman" w:hAnsi="Times New Roman"/>
          <w:sz w:val="24"/>
          <w:szCs w:val="24"/>
          <w:rtl/>
          <w:lang w:val="ar-SA"/>
        </w:rPr>
        <w:t>2011</w:t>
      </w:r>
      <w:r>
        <w:rPr>
          <w:rFonts w:ascii="Arial Unicode MS" w:hAnsi="Arial Unicode MS" w:cs="Times New Roman" w:hint="cs"/>
          <w:sz w:val="24"/>
          <w:szCs w:val="24"/>
          <w:rtl/>
          <w:lang w:val="ar-SA"/>
        </w:rPr>
        <w:t>، ص</w:t>
      </w:r>
      <w:r>
        <w:rPr>
          <w:rFonts w:ascii="Times New Roman" w:hAnsi="Times New Roman"/>
          <w:sz w:val="24"/>
          <w:szCs w:val="24"/>
          <w:rtl/>
          <w:lang w:val="ar-SA"/>
        </w:rPr>
        <w:t>:43-58.</w:t>
      </w:r>
    </w:p>
  </w:footnote>
  <w:footnote w:id="7">
    <w:p w14:paraId="09C206D1" w14:textId="77777777" w:rsidR="00454428" w:rsidRDefault="00000000">
      <w:pPr>
        <w:pStyle w:val="1"/>
        <w:jc w:val="both"/>
      </w:pPr>
      <w:r>
        <w:rPr>
          <w:rFonts w:ascii="Times New Roman" w:hAnsi="Times New Roman"/>
          <w:sz w:val="24"/>
          <w:szCs w:val="24"/>
          <w:vertAlign w:val="superscript"/>
          <w:rtl/>
          <w:lang w:val="ar-SA"/>
        </w:rPr>
        <w:t>(2)</w:t>
      </w:r>
      <w:r>
        <w:rPr>
          <w:rFonts w:ascii="Arial Unicode MS" w:hAnsi="Arial Unicode MS" w:cs="Times New Roman" w:hint="cs"/>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Fonts w:ascii="Times New Roman" w:hAnsi="Times New Roman"/>
          <w:sz w:val="24"/>
          <w:szCs w:val="24"/>
          <w:rtl/>
          <w:lang w:val="ar-SA"/>
        </w:rPr>
        <w:t xml:space="preserve">27 </w:t>
      </w:r>
      <w:r>
        <w:rPr>
          <w:rFonts w:ascii="Arial Unicode MS" w:hAnsi="Arial Unicode MS" w:cs="Times New Roman" w:hint="cs"/>
          <w:sz w:val="24"/>
          <w:szCs w:val="24"/>
          <w:rtl/>
          <w:lang w:val="ar-SA"/>
        </w:rPr>
        <w:t xml:space="preserve">مارس </w:t>
      </w:r>
      <w:r>
        <w:rPr>
          <w:rFonts w:ascii="Times New Roman" w:hAnsi="Times New Roman"/>
          <w:sz w:val="24"/>
          <w:szCs w:val="24"/>
          <w:rtl/>
          <w:lang w:val="ar-SA"/>
        </w:rPr>
        <w:t>2020</w:t>
      </w:r>
      <w:r>
        <w:rPr>
          <w:rFonts w:ascii="Arial Unicode MS" w:hAnsi="Arial Unicode MS" w:cs="Times New Roman" w:hint="cs"/>
          <w:sz w:val="24"/>
          <w:szCs w:val="24"/>
          <w:rtl/>
          <w:lang w:val="ar-SA"/>
        </w:rPr>
        <w:t>، ص</w:t>
      </w:r>
      <w:r>
        <w:rPr>
          <w:rFonts w:ascii="Times New Roman" w:hAnsi="Times New Roman"/>
          <w:sz w:val="24"/>
          <w:szCs w:val="24"/>
          <w:rtl/>
          <w:lang w:val="ar-SA"/>
        </w:rPr>
        <w:t>:39-42.</w:t>
      </w:r>
    </w:p>
  </w:footnote>
  <w:footnote w:id="8">
    <w:p w14:paraId="738C4229" w14:textId="77777777" w:rsidR="00454428" w:rsidRDefault="00000000">
      <w:pPr>
        <w:pStyle w:val="FootnoteText"/>
        <w:jc w:val="both"/>
      </w:pPr>
      <w:r>
        <w:rPr>
          <w:rFonts w:ascii="Times New Roman" w:hAnsi="Times New Roman"/>
          <w:sz w:val="24"/>
          <w:szCs w:val="24"/>
          <w:vertAlign w:val="superscript"/>
          <w:rtl/>
          <w:lang w:val="ar-SA"/>
        </w:rPr>
        <w:t>(1)</w:t>
      </w:r>
      <w:r>
        <w:rPr>
          <w:rFonts w:ascii="Arial Unicode MS" w:hAnsi="Arial Unicode MS" w:cs="Times New Roman" w:hint="cs"/>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Fonts w:ascii="Times New Roman" w:hAnsi="Times New Roman"/>
          <w:sz w:val="24"/>
          <w:szCs w:val="24"/>
          <w:rtl/>
          <w:lang w:val="ar-SA"/>
        </w:rPr>
        <w:t xml:space="preserve">27 </w:t>
      </w:r>
      <w:r>
        <w:rPr>
          <w:rFonts w:ascii="Arial Unicode MS" w:hAnsi="Arial Unicode MS" w:cs="Times New Roman" w:hint="cs"/>
          <w:sz w:val="24"/>
          <w:szCs w:val="24"/>
          <w:rtl/>
          <w:lang w:val="ar-SA"/>
        </w:rPr>
        <w:t xml:space="preserve">مارس </w:t>
      </w:r>
      <w:r>
        <w:rPr>
          <w:rFonts w:ascii="Times New Roman" w:hAnsi="Times New Roman"/>
          <w:sz w:val="24"/>
          <w:szCs w:val="24"/>
          <w:rtl/>
          <w:lang w:val="ar-SA"/>
        </w:rPr>
        <w:t>2020</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31-53.</w:t>
      </w:r>
    </w:p>
  </w:footnote>
  <w:footnote w:id="9">
    <w:p w14:paraId="66D30E9C"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tl/>
          <w:lang w:val="ar-SA"/>
        </w:rPr>
        <w:t xml:space="preserve">) </w:t>
      </w:r>
      <w:r>
        <w:rPr>
          <w:rFonts w:ascii="Arial Unicode MS" w:hAnsi="Arial Unicode MS" w:cs="Times New Roman" w:hint="cs"/>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Pr>
          <w:rFonts w:ascii="Times New Roman" w:hAnsi="Times New Roman"/>
          <w:sz w:val="24"/>
          <w:szCs w:val="24"/>
          <w:rtl/>
          <w:lang w:val="ar-SA"/>
        </w:rPr>
        <w:t xml:space="preserve">: 2022/ 2023. </w:t>
      </w:r>
      <w:r>
        <w:rPr>
          <w:rFonts w:ascii="Arial Unicode MS" w:hAnsi="Arial Unicode MS" w:cs="Times New Roman" w:hint="cs"/>
          <w:sz w:val="24"/>
          <w:szCs w:val="24"/>
          <w:rtl/>
          <w:lang w:val="ar-SA"/>
        </w:rPr>
        <w:t xml:space="preserve">ص </w:t>
      </w:r>
      <w:r>
        <w:rPr>
          <w:rFonts w:ascii="Times New Roman" w:hAnsi="Times New Roman"/>
          <w:sz w:val="24"/>
          <w:szCs w:val="24"/>
          <w:rtl/>
          <w:lang w:val="ar-SA"/>
        </w:rPr>
        <w:t>7-87.</w:t>
      </w:r>
    </w:p>
  </w:footnote>
  <w:footnote w:id="10">
    <w:p w14:paraId="49E47048" w14:textId="77777777" w:rsidR="00454428" w:rsidRDefault="00000000">
      <w:pPr>
        <w:pStyle w:val="FootnoteText"/>
        <w:jc w:val="both"/>
      </w:pPr>
      <w:r>
        <w:rPr>
          <w:rFonts w:ascii="Times New Roman" w:hAnsi="Times New Roman"/>
          <w:sz w:val="24"/>
          <w:szCs w:val="24"/>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مروة زين العابدين سعد، التحكيم في منازعات الملكية الفكرية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Pr>
          <w:rFonts w:ascii="Times New Roman" w:hAnsi="Times New Roman"/>
          <w:sz w:val="24"/>
          <w:szCs w:val="24"/>
          <w:rtl/>
          <w:lang w:val="ar-SA"/>
        </w:rPr>
        <w:t>66</w:t>
      </w:r>
      <w:r>
        <w:rPr>
          <w:rFonts w:ascii="Arial Unicode MS" w:hAnsi="Arial Unicode MS" w:cs="Times New Roman" w:hint="cs"/>
          <w:sz w:val="24"/>
          <w:szCs w:val="24"/>
          <w:rtl/>
          <w:lang w:val="ar-SA"/>
        </w:rPr>
        <w:t>، ع</w:t>
      </w:r>
      <w:r>
        <w:rPr>
          <w:rFonts w:ascii="Times New Roman" w:hAnsi="Times New Roman"/>
          <w:sz w:val="24"/>
          <w:szCs w:val="24"/>
          <w:rtl/>
          <w:lang w:val="ar-SA"/>
        </w:rPr>
        <w:t>1</w:t>
      </w:r>
      <w:r>
        <w:rPr>
          <w:rFonts w:ascii="Arial Unicode MS" w:hAnsi="Arial Unicode MS" w:cs="Times New Roman" w:hint="cs"/>
          <w:sz w:val="24"/>
          <w:szCs w:val="24"/>
          <w:rtl/>
          <w:lang w:val="ar-SA"/>
        </w:rPr>
        <w:t xml:space="preserve">، مصر، يناير </w:t>
      </w:r>
      <w:r>
        <w:rPr>
          <w:rFonts w:ascii="Times New Roman" w:hAnsi="Times New Roman"/>
          <w:sz w:val="24"/>
          <w:szCs w:val="24"/>
          <w:rtl/>
          <w:lang w:val="ar-SA"/>
        </w:rPr>
        <w:t>2024</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1069 - 1163.</w:t>
      </w:r>
    </w:p>
  </w:footnote>
  <w:footnote w:id="11">
    <w:p w14:paraId="5BB44C6D" w14:textId="77777777" w:rsidR="00454428" w:rsidRDefault="00000000">
      <w:pPr>
        <w:pStyle w:val="FootnoteText"/>
        <w:bidi w:val="0"/>
        <w:jc w:val="both"/>
      </w:pPr>
      <w:r>
        <w:rPr>
          <w:rFonts w:ascii="Times New Roman" w:hAnsi="Times New Roman"/>
          <w:sz w:val="24"/>
          <w:szCs w:val="24"/>
          <w:rtl/>
          <w:lang w:val="ar-SA"/>
        </w:rPr>
        <w:t xml:space="preserve"> (</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rtl/>
          <w:lang w:val="ar-SA"/>
        </w:rPr>
        <w:t>)</w:t>
      </w:r>
      <w:r>
        <w:rPr>
          <w:rFonts w:ascii="Times New Roman" w:hAnsi="Times New Roman"/>
        </w:rPr>
        <w:t xml:space="preserve">De Beer (J.), Gold (E. R.), "International Trade, Intellectual Property, and Innovation Policy: Lessons from a Pandemic", in Vulnerable: The Policy, Law and Ethics of COVID-19, University of Ottawa Press, janvier 2020. </w:t>
      </w:r>
      <w:hyperlink r:id="rId1" w:history="1">
        <w:r>
          <w:rPr>
            <w:rStyle w:val="Hyperlink0"/>
            <w:rFonts w:eastAsia="Arial Unicode MS"/>
          </w:rPr>
          <w:t>https://2u.pw/g1P5N</w:t>
        </w:r>
      </w:hyperlink>
    </w:p>
  </w:footnote>
  <w:footnote w:id="12">
    <w:p w14:paraId="2EE4DC5F" w14:textId="70D0B1E6"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sz w:val="24"/>
          <w:szCs w:val="24"/>
          <w:vertAlign w:val="superscript"/>
          <w:rtl/>
          <w:lang w:val="ar-SA"/>
          <w14:textOutline w14:w="12700" w14:cap="flat" w14:cmpd="sng" w14:algn="ctr">
            <w14:noFill/>
            <w14:prstDash w14:val="solid"/>
            <w14:miter w14:lim="400000"/>
          </w14:textOutline>
        </w:rPr>
        <w:t>١</w:t>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 xml:space="preserve"> ولاء الدين محمد إبراهيم، التحكيم في منازعات المليكة الفكرية، المجلة المصرية للقانون الدولي، </w:t>
      </w:r>
      <w:r>
        <w:rPr>
          <w:rFonts w:ascii="Times New Roman" w:hAnsi="Times New Roman"/>
          <w:sz w:val="24"/>
          <w:szCs w:val="24"/>
          <w:rtl/>
          <w:lang w:val="ar-SA"/>
        </w:rPr>
        <w:t>72</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384-428</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2016</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388-389.</w:t>
      </w:r>
    </w:p>
  </w:footnote>
  <w:footnote w:id="13">
    <w:p w14:paraId="1CE6FC22" w14:textId="296DBEAA"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sz w:val="24"/>
          <w:szCs w:val="24"/>
          <w:vertAlign w:val="superscript"/>
          <w:rtl/>
          <w:lang w:val="ar-SA"/>
          <w14:textOutline w14:w="12700" w14:cap="flat" w14:cmpd="sng" w14:algn="ctr">
            <w14:noFill/>
            <w14:prstDash w14:val="solid"/>
            <w14:miter w14:lim="400000"/>
          </w14:textOutline>
        </w:rPr>
        <w:t>٢</w:t>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 xml:space="preserve">أسعد المحاسن لحرش، الملكية الفكرية بين تشجيع الابتكار وتحريم الاحتكار، مجلة دراسات وأبحاث، </w:t>
      </w:r>
      <w:r>
        <w:rPr>
          <w:rFonts w:ascii="Times New Roman" w:hAnsi="Times New Roman"/>
          <w:sz w:val="24"/>
          <w:szCs w:val="24"/>
          <w:rtl/>
          <w:lang w:val="ar-SA"/>
        </w:rPr>
        <w:t>(6)</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109-86</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2012</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90.</w:t>
      </w:r>
    </w:p>
  </w:footnote>
  <w:footnote w:id="14">
    <w:p w14:paraId="64637319" w14:textId="461F2D2A"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sz w:val="24"/>
          <w:szCs w:val="24"/>
          <w:vertAlign w:val="superscript"/>
          <w:rtl/>
          <w:lang w:val="ar-SA"/>
          <w14:textOutline w14:w="12700" w14:cap="flat" w14:cmpd="sng" w14:algn="ctr">
            <w14:noFill/>
            <w14:prstDash w14:val="solid"/>
            <w14:miter w14:lim="400000"/>
          </w14:textOutline>
        </w:rPr>
        <w:t>١٣</w:t>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هناء عودة خضري أحمد عودة، دليل ضوابط الملكية الفكرية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دراسات في التعليم الجامعي، </w:t>
      </w:r>
      <w:r>
        <w:rPr>
          <w:rFonts w:ascii="Times New Roman" w:hAnsi="Times New Roman"/>
          <w:sz w:val="24"/>
          <w:szCs w:val="24"/>
          <w:rtl/>
          <w:lang w:val="ar-SA"/>
        </w:rPr>
        <w:t>(23)</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462-420</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2012</w:t>
      </w:r>
      <w:r>
        <w:rPr>
          <w:rFonts w:ascii="Arial Unicode MS" w:hAnsi="Arial Unicode MS" w:cs="Times New Roman" w:hint="cs"/>
          <w:sz w:val="24"/>
          <w:szCs w:val="24"/>
          <w:rtl/>
          <w:lang w:val="ar-SA"/>
        </w:rPr>
        <w:t>، ص</w:t>
      </w:r>
      <w:r>
        <w:rPr>
          <w:rFonts w:ascii="Times New Roman" w:hAnsi="Times New Roman"/>
          <w:sz w:val="24"/>
          <w:szCs w:val="24"/>
          <w:rtl/>
          <w:lang w:val="ar-SA"/>
        </w:rPr>
        <w:t>424.</w:t>
      </w:r>
    </w:p>
  </w:footnote>
  <w:footnote w:id="15">
    <w:p w14:paraId="5643829D" w14:textId="09E19864"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rtl/>
          <w:lang w:val="ar-SA"/>
          <w14:textOutline w14:w="12700" w14:cap="flat" w14:cmpd="sng" w14:algn="ctr">
            <w14:noFill/>
            <w14:prstDash w14:val="solid"/>
            <w14:miter w14:lim="400000"/>
          </w14:textOutline>
        </w:rPr>
        <w:t>١٤</w:t>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ابن منظور، لسان العرب دار صادر، بيروت، لبنان، ط ٣، المجلد الخامس، ١٩٩٤، ص ٦٥</w:t>
      </w:r>
      <w:r>
        <w:rPr>
          <w:rFonts w:ascii="Times New Roman" w:hAnsi="Times New Roman"/>
          <w:sz w:val="24"/>
          <w:szCs w:val="24"/>
          <w:rtl/>
          <w:lang w:val="ar-SA"/>
        </w:rPr>
        <w:t>.</w:t>
      </w:r>
    </w:p>
  </w:footnote>
  <w:footnote w:id="16">
    <w:p w14:paraId="76F69686" w14:textId="2D4448D7"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rtl/>
          <w:lang w:val="ar-SA"/>
          <w14:textOutline w14:w="12700" w14:cap="flat" w14:cmpd="sng" w14:algn="ctr">
            <w14:noFill/>
            <w14:prstDash w14:val="solid"/>
            <w14:miter w14:lim="400000"/>
          </w14:textOutline>
        </w:rPr>
        <w:t>١٥</w:t>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مجمع اللغة العربية، المعجم الوسيط، مكتبة الشروق الدولية، القاهرة، بدون طبعة، ٢٠٠٤، ص ٦٩٨</w:t>
      </w:r>
      <w:r>
        <w:rPr>
          <w:rFonts w:ascii="Times New Roman" w:hAnsi="Times New Roman"/>
          <w:sz w:val="24"/>
          <w:szCs w:val="24"/>
          <w:rtl/>
          <w:lang w:val="ar-SA"/>
        </w:rPr>
        <w:t>.</w:t>
      </w:r>
    </w:p>
  </w:footnote>
  <w:footnote w:id="17">
    <w:p w14:paraId="6CF99C8C" w14:textId="5A690AEA"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sz w:val="24"/>
          <w:szCs w:val="24"/>
          <w:vertAlign w:val="superscript"/>
          <w:rtl/>
          <w:lang w:val="ar-SA"/>
          <w14:textOutline w14:w="12700" w14:cap="flat" w14:cmpd="sng" w14:algn="ctr">
            <w14:noFill/>
            <w14:prstDash w14:val="solid"/>
            <w14:miter w14:lim="400000"/>
          </w14:textOutline>
        </w:rPr>
        <w:t>١٦</w:t>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محمد أحمد آدم أبكر، حقوق الملكية الفكرية وتطبيقاتها الجنائية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دراسة مقارنة</w:t>
      </w:r>
      <w:r>
        <w:rPr>
          <w:rFonts w:ascii="Times New Roman" w:hAnsi="Times New Roman"/>
          <w:sz w:val="24"/>
          <w:szCs w:val="24"/>
          <w:rtl/>
          <w:lang w:val="ar-SA"/>
        </w:rPr>
        <w:t>. (</w:t>
      </w:r>
      <w:r>
        <w:rPr>
          <w:rFonts w:ascii="Arial Unicode MS" w:hAnsi="Arial Unicode MS" w:cs="Times New Roman" w:hint="cs"/>
          <w:sz w:val="24"/>
          <w:szCs w:val="24"/>
          <w:rtl/>
          <w:lang w:val="ar-SA"/>
        </w:rPr>
        <w:t>رسالة دكتوراه غير منشورة</w:t>
      </w:r>
      <w:r>
        <w:rPr>
          <w:rFonts w:ascii="Times New Roman" w:hAnsi="Times New Roman"/>
          <w:sz w:val="24"/>
          <w:szCs w:val="24"/>
          <w:rtl/>
          <w:lang w:val="ar-SA"/>
        </w:rPr>
        <w:t>)</w:t>
      </w:r>
      <w:r>
        <w:rPr>
          <w:rFonts w:ascii="Arial Unicode MS" w:hAnsi="Arial Unicode MS" w:cs="Times New Roman" w:hint="cs"/>
          <w:sz w:val="24"/>
          <w:szCs w:val="24"/>
          <w:rtl/>
          <w:lang w:val="ar-SA"/>
        </w:rPr>
        <w:t xml:space="preserve">، جامعة أم درمان الإسلامية، السودان، </w:t>
      </w:r>
      <w:r>
        <w:rPr>
          <w:rFonts w:ascii="Times New Roman" w:hAnsi="Times New Roman"/>
          <w:sz w:val="24"/>
          <w:szCs w:val="24"/>
          <w:rtl/>
          <w:lang w:val="ar-SA"/>
        </w:rPr>
        <w:t>2016</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2.</w:t>
      </w:r>
    </w:p>
  </w:footnote>
  <w:footnote w:id="18">
    <w:p w14:paraId="3EF78917" w14:textId="1B4F0472"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rtl/>
          <w:lang w:val="ar-SA"/>
          <w14:textOutline w14:w="12700" w14:cap="flat" w14:cmpd="sng" w14:algn="ctr">
            <w14:noFill/>
            <w14:prstDash w14:val="solid"/>
            <w14:miter w14:lim="400000"/>
          </w14:textOutline>
        </w:rPr>
        <w:t>١٧</w:t>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ناصر بن محمد الشريف، أخلاقيات العمل وحقوق الملكية الفكرية، الطبعة الأولى، بدون ناشر، ١٤٤٤ هـ، ٢٠٢٣، ص ٢٦٩</w:t>
      </w:r>
      <w:r>
        <w:rPr>
          <w:rFonts w:ascii="Times New Roman" w:hAnsi="Times New Roman"/>
          <w:sz w:val="24"/>
          <w:szCs w:val="24"/>
          <w:rtl/>
          <w:lang w:val="ar-SA"/>
        </w:rPr>
        <w:t>.</w:t>
      </w:r>
    </w:p>
  </w:footnote>
  <w:footnote w:id="19">
    <w:p w14:paraId="3953164A" w14:textId="5B33EFCB" w:rsidR="00454428" w:rsidRDefault="00000000">
      <w:pPr>
        <w:pStyle w:val="FootnoteText"/>
        <w:jc w:val="both"/>
      </w:pPr>
      <w:r>
        <w:rPr>
          <w:rFonts w:ascii="Times New Roman" w:hAnsi="Times New Roman"/>
          <w:sz w:val="24"/>
          <w:szCs w:val="24"/>
          <w:vertAlign w:val="superscript"/>
          <w:rtl/>
          <w:lang w:val="ar-SA"/>
        </w:rPr>
        <w:t>(</w:t>
      </w:r>
      <w:r w:rsidR="00113335">
        <w:rPr>
          <w:rFonts w:ascii="Times New Roman" w:eastAsia="Times New Roman" w:hAnsi="Times New Roman" w:cs="Times New Roman" w:hint="cs"/>
          <w:rtl/>
          <w:lang w:val="ar-SA"/>
          <w14:textOutline w14:w="12700" w14:cap="flat" w14:cmpd="sng" w14:algn="ctr">
            <w14:noFill/>
            <w14:prstDash w14:val="solid"/>
            <w14:miter w14:lim="400000"/>
          </w14:textOutline>
        </w:rPr>
        <w:t>١٨</w:t>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جمال الخولي، مرجع سابق، ص، </w:t>
      </w:r>
      <w:r>
        <w:rPr>
          <w:rFonts w:ascii="Times New Roman" w:hAnsi="Times New Roman"/>
          <w:sz w:val="24"/>
          <w:szCs w:val="24"/>
          <w:rtl/>
          <w:lang w:val="ar-SA"/>
        </w:rPr>
        <w:t>-</w:t>
      </w:r>
      <w:r>
        <w:rPr>
          <w:rFonts w:ascii="Arial Unicode MS" w:hAnsi="Arial Unicode MS" w:cs="Times New Roman" w:hint="cs"/>
          <w:sz w:val="24"/>
          <w:szCs w:val="24"/>
          <w:rtl/>
          <w:lang w:val="ar-SA"/>
        </w:rPr>
        <w:t>٥٨</w:t>
      </w:r>
      <w:r>
        <w:rPr>
          <w:rFonts w:ascii="Times New Roman" w:hAnsi="Times New Roman"/>
          <w:sz w:val="24"/>
          <w:szCs w:val="24"/>
          <w:rtl/>
          <w:lang w:val="ar-SA"/>
        </w:rPr>
        <w:t>.</w:t>
      </w:r>
    </w:p>
  </w:footnote>
  <w:footnote w:id="20">
    <w:p w14:paraId="438AF40B"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Pr>
          <w:rFonts w:ascii="Times New Roman" w:hAnsi="Times New Roman"/>
          <w:sz w:val="24"/>
          <w:szCs w:val="24"/>
          <w:rtl/>
          <w:lang w:val="ar-SA"/>
        </w:rPr>
        <w:t>-</w:t>
      </w:r>
      <w:r>
        <w:rPr>
          <w:rFonts w:ascii="Arial Unicode MS" w:hAnsi="Arial Unicode MS" w:cs="Times New Roman" w:hint="cs"/>
          <w:sz w:val="24"/>
          <w:szCs w:val="24"/>
          <w:rtl/>
          <w:lang w:val="ar-SA"/>
        </w:rPr>
        <w:t>٢٠٠٩، ص</w:t>
      </w:r>
      <w:r>
        <w:rPr>
          <w:rFonts w:ascii="Times New Roman" w:hAnsi="Times New Roman"/>
          <w:sz w:val="24"/>
          <w:szCs w:val="24"/>
          <w:rtl/>
          <w:lang w:val="ar-SA"/>
        </w:rPr>
        <w:t>.</w:t>
      </w:r>
    </w:p>
  </w:footnote>
  <w:footnote w:id="21">
    <w:p w14:paraId="44C117B2"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حسام الدين صغير، المنظمة العالمية للملكية الفكرية </w:t>
      </w:r>
      <w:r>
        <w:rPr>
          <w:rFonts w:ascii="Times New Roman" w:hAnsi="Times New Roman"/>
        </w:rPr>
        <w:t>Wipo</w:t>
      </w:r>
      <w:r>
        <w:rPr>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 ص ٢</w:t>
      </w:r>
      <w:r>
        <w:rPr>
          <w:rFonts w:ascii="Times New Roman" w:hAnsi="Times New Roman"/>
          <w:sz w:val="24"/>
          <w:szCs w:val="24"/>
          <w:rtl/>
          <w:lang w:val="ar-SA"/>
        </w:rPr>
        <w:t>.</w:t>
      </w:r>
    </w:p>
  </w:footnote>
  <w:footnote w:id="22">
    <w:p w14:paraId="3EB6EF5D"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ناصر بن محمد الشريف، مرجع سابق، ص ٢٧٠</w:t>
      </w:r>
      <w:r>
        <w:rPr>
          <w:rFonts w:ascii="Times New Roman" w:hAnsi="Times New Roman"/>
          <w:sz w:val="24"/>
          <w:szCs w:val="24"/>
          <w:rtl/>
          <w:lang w:val="ar-SA"/>
        </w:rPr>
        <w:t>.</w:t>
      </w:r>
    </w:p>
  </w:footnote>
  <w:footnote w:id="23">
    <w:p w14:paraId="0B09AB9D"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ناصر بن محمد الشريف، مرجع سابق، ص ٢٧٠</w:t>
      </w:r>
      <w:r>
        <w:rPr>
          <w:rFonts w:ascii="Times New Roman" w:hAnsi="Times New Roman"/>
          <w:sz w:val="24"/>
          <w:szCs w:val="24"/>
          <w:rtl/>
          <w:lang w:val="ar-SA"/>
        </w:rPr>
        <w:t>.</w:t>
      </w:r>
    </w:p>
  </w:footnote>
  <w:footnote w:id="24">
    <w:p w14:paraId="0D095DEF"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ناصر بن محمد الشريف، مرجع سابق، ص ٢٧٠</w:t>
      </w:r>
      <w:r>
        <w:rPr>
          <w:rFonts w:ascii="Times New Roman" w:hAnsi="Times New Roman"/>
          <w:sz w:val="24"/>
          <w:szCs w:val="24"/>
          <w:rtl/>
          <w:lang w:val="ar-SA"/>
        </w:rPr>
        <w:t>.</w:t>
      </w:r>
    </w:p>
  </w:footnote>
  <w:footnote w:id="25">
    <w:p w14:paraId="3B6560A2"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جمال الخولي، إثبات الملكية في الوثائق العربية، الدار المصرية اللبنانية للنشر، الطبعة الأولي، القاهرة، ١٩٩٤، ص٥٨</w:t>
      </w:r>
      <w:r>
        <w:rPr>
          <w:rFonts w:ascii="Times New Roman" w:hAnsi="Times New Roman"/>
          <w:sz w:val="24"/>
          <w:szCs w:val="24"/>
          <w:rtl/>
          <w:lang w:val="ar-SA"/>
        </w:rPr>
        <w:t>.</w:t>
      </w:r>
    </w:p>
  </w:footnote>
  <w:footnote w:id="26">
    <w:p w14:paraId="3B38F347"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جمال الخولي، مرجع سابق، ص، </w:t>
      </w:r>
      <w:r>
        <w:rPr>
          <w:rFonts w:ascii="Times New Roman" w:hAnsi="Times New Roman"/>
          <w:sz w:val="24"/>
          <w:szCs w:val="24"/>
          <w:rtl/>
          <w:lang w:val="ar-SA"/>
        </w:rPr>
        <w:t>-</w:t>
      </w:r>
      <w:r>
        <w:rPr>
          <w:rFonts w:ascii="Arial Unicode MS" w:hAnsi="Arial Unicode MS" w:cs="Times New Roman" w:hint="cs"/>
          <w:sz w:val="24"/>
          <w:szCs w:val="24"/>
          <w:rtl/>
          <w:lang w:val="ar-SA"/>
        </w:rPr>
        <w:t>٥٨</w:t>
      </w:r>
      <w:r>
        <w:rPr>
          <w:rFonts w:ascii="Times New Roman" w:hAnsi="Times New Roman"/>
          <w:sz w:val="24"/>
          <w:szCs w:val="24"/>
          <w:rtl/>
          <w:lang w:val="ar-SA"/>
        </w:rPr>
        <w:t>.</w:t>
      </w:r>
    </w:p>
  </w:footnote>
  <w:footnote w:id="27">
    <w:p w14:paraId="12D9CF20" w14:textId="77777777" w:rsidR="00454428" w:rsidRDefault="00000000">
      <w:pPr>
        <w:pStyle w:val="FootnoteText"/>
        <w:bidi w:val="0"/>
        <w:jc w:val="both"/>
      </w:pPr>
      <w:r>
        <w:rPr>
          <w:rFonts w:ascii="Times New Roman" w:hAnsi="Times New Roman"/>
          <w:vertAlign w:val="superscript"/>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vertAlign w:val="superscript"/>
        </w:rPr>
        <w:t>)</w:t>
      </w:r>
      <w:r>
        <w:rPr>
          <w:rFonts w:ascii="Times New Roman" w:hAnsi="Times New Roman"/>
          <w:sz w:val="24"/>
          <w:szCs w:val="24"/>
          <w:rtl/>
          <w:lang w:val="ar-SA"/>
        </w:rPr>
        <w:t xml:space="preserve"> </w:t>
      </w:r>
      <w:r>
        <w:rPr>
          <w:rFonts w:ascii="Times New Roman" w:hAnsi="Times New Roman"/>
        </w:rPr>
        <w:t>Lucchi (N.)</w:t>
      </w:r>
      <w:r>
        <w:rPr>
          <w:rFonts w:ascii="Arial Unicode MS" w:hAnsi="Arial Unicode MS" w:cs="Times New Roman" w:hint="cs"/>
          <w:sz w:val="24"/>
          <w:szCs w:val="24"/>
          <w:rtl/>
          <w:lang w:val="ar-SA"/>
        </w:rPr>
        <w:t>،</w:t>
      </w:r>
      <w:r>
        <w:rPr>
          <w:rFonts w:ascii="Times New Roman" w:hAnsi="Times New Roman"/>
        </w:rPr>
        <w:t xml:space="preserve"> "Intellectual Property Rights in Digital Media: A Comparative Analysis of Legal Protection, Technological Measures, and New Business Models under EU and US Law", Buffalo Law Review, vol. 53, 2005, p. 1111</w:t>
      </w:r>
    </w:p>
  </w:footnote>
  <w:footnote w:id="28">
    <w:p w14:paraId="48EBBA6B"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محمد لعقاب، الأنترنت وعصر ثورة المعلومات، دار هومة للنشر والتوزيع، الطبعة الأولى، ١٩٩٩، ص ٥٤</w:t>
      </w:r>
      <w:r>
        <w:rPr>
          <w:rFonts w:ascii="Times New Roman" w:hAnsi="Times New Roman"/>
          <w:sz w:val="24"/>
          <w:szCs w:val="24"/>
          <w:rtl/>
          <w:lang w:val="ar-SA"/>
        </w:rPr>
        <w:t>.</w:t>
      </w:r>
    </w:p>
  </w:footnote>
  <w:footnote w:id="29">
    <w:p w14:paraId="165B72C4"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نادية إبراهيم أحمد علي، تكنولوجيا المعلومات وقانون الملكية الفكرية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دراسة وصفية تطبيقية على برامج الحاسوب والوسائط المتعددة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مجلة جامعة الناصر، </w:t>
      </w:r>
      <w:r>
        <w:rPr>
          <w:rFonts w:ascii="Times New Roman" w:hAnsi="Times New Roman"/>
          <w:sz w:val="24"/>
          <w:szCs w:val="24"/>
          <w:rtl/>
          <w:lang w:val="ar-SA"/>
        </w:rPr>
        <w:t>(8)</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256-227</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2016</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232.</w:t>
      </w:r>
    </w:p>
  </w:footnote>
  <w:footnote w:id="30">
    <w:p w14:paraId="4D4E7F27" w14:textId="77777777" w:rsidR="00454428" w:rsidRDefault="00000000">
      <w:pPr>
        <w:pStyle w:val="FootnoteText"/>
        <w:bidi w:val="0"/>
        <w:jc w:val="both"/>
      </w:pPr>
      <w:r>
        <w:rPr>
          <w:rFonts w:ascii="Times New Roman" w:hAnsi="Times New Roman"/>
          <w:vertAlign w:val="superscript"/>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vertAlign w:val="superscript"/>
        </w:rPr>
        <w:t>)</w:t>
      </w:r>
      <w:r>
        <w:rPr>
          <w:rFonts w:ascii="Times New Roman" w:hAnsi="Times New Roman"/>
          <w:sz w:val="24"/>
          <w:szCs w:val="24"/>
          <w:rtl/>
          <w:lang w:val="ar-SA"/>
        </w:rPr>
        <w:t xml:space="preserve"> </w:t>
      </w:r>
      <w:r>
        <w:rPr>
          <w:rFonts w:ascii="Times New Roman" w:hAnsi="Times New Roman"/>
        </w:rPr>
        <w:t>Piette Coudol (T.), Bertrand (A.), Internet et la loi, Dalloz, 1997, p. 141</w:t>
      </w:r>
    </w:p>
  </w:footnote>
  <w:footnote w:id="31">
    <w:p w14:paraId="5770CC9D"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محمد لعقاب، مرجع سابق، ص ٥٤</w:t>
      </w:r>
      <w:r>
        <w:rPr>
          <w:rFonts w:ascii="Times New Roman" w:hAnsi="Times New Roman"/>
          <w:sz w:val="24"/>
          <w:szCs w:val="24"/>
          <w:rtl/>
          <w:lang w:val="ar-SA"/>
        </w:rPr>
        <w:t>.</w:t>
      </w:r>
    </w:p>
  </w:footnote>
  <w:footnote w:id="32">
    <w:p w14:paraId="1D668DE3" w14:textId="77777777" w:rsidR="00454428" w:rsidRDefault="00000000">
      <w:pPr>
        <w:pStyle w:val="FootnoteText"/>
        <w:bidi w:val="0"/>
        <w:jc w:val="both"/>
      </w:pPr>
      <w:r>
        <w:rPr>
          <w:rFonts w:ascii="Times New Roman" w:hAnsi="Times New Roman"/>
          <w:vertAlign w:val="superscript"/>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vertAlign w:val="superscript"/>
        </w:rPr>
        <w:t>)</w:t>
      </w:r>
      <w:r>
        <w:rPr>
          <w:rFonts w:ascii="Times New Roman" w:hAnsi="Times New Roman"/>
          <w:sz w:val="24"/>
          <w:szCs w:val="24"/>
          <w:rtl/>
          <w:lang w:val="ar-SA"/>
        </w:rPr>
        <w:t xml:space="preserve"> </w:t>
      </w:r>
      <w:r>
        <w:rPr>
          <w:rFonts w:ascii="Times New Roman" w:hAnsi="Times New Roman"/>
        </w:rPr>
        <w:t>Piette Coudol (T.), Bertrand (A.), Internet et la loi, Dalloz, 1997, p. 141</w:t>
      </w:r>
      <w:r>
        <w:rPr>
          <w:rFonts w:ascii="Times New Roman" w:hAnsi="Times New Roman"/>
          <w:sz w:val="24"/>
          <w:szCs w:val="24"/>
          <w:rtl/>
          <w:lang w:val="ar-SA"/>
        </w:rPr>
        <w:t>.</w:t>
      </w:r>
    </w:p>
  </w:footnote>
  <w:footnote w:id="33">
    <w:p w14:paraId="025DF1B2" w14:textId="77777777" w:rsidR="00454428" w:rsidRDefault="00000000">
      <w:pPr>
        <w:pStyle w:val="Body"/>
        <w:spacing w:after="0" w:line="240" w:lineRule="auto"/>
        <w:jc w:val="both"/>
      </w:pPr>
      <w:r>
        <w:rPr>
          <w:rFonts w:ascii="Times New Roman" w:hAnsi="Times New Roman"/>
          <w:sz w:val="24"/>
          <w:szCs w:val="24"/>
          <w:vertAlign w:val="superscript"/>
          <w:rtl/>
          <w:lang w:val="ar-SA"/>
        </w:rPr>
        <w:t>(</w:t>
      </w:r>
      <w:r>
        <w:rPr>
          <w:rFonts w:ascii="Times New Roman" w:eastAsia="Times New Roman" w:hAnsi="Times New Roman" w:cs="Times New Roman"/>
          <w:sz w:val="20"/>
          <w:szCs w:val="20"/>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لفقيه</w:t>
      </w:r>
      <w:r>
        <w:rPr>
          <w:rFonts w:ascii="Times New Roman" w:hAnsi="Times New Roman"/>
          <w:sz w:val="20"/>
          <w:szCs w:val="20"/>
          <w:rtl/>
        </w:rPr>
        <w:t xml:space="preserve"> </w:t>
      </w:r>
      <w:r>
        <w:rPr>
          <w:rFonts w:ascii="Arial Unicode MS" w:hAnsi="Arial Unicode MS" w:cs="Times New Roman" w:hint="cs"/>
          <w:sz w:val="24"/>
          <w:szCs w:val="24"/>
          <w:rtl/>
          <w:lang w:val="ar-SA"/>
        </w:rPr>
        <w:t>فتح</w:t>
      </w:r>
      <w:r>
        <w:rPr>
          <w:rFonts w:ascii="Times New Roman" w:hAnsi="Times New Roman"/>
          <w:sz w:val="20"/>
          <w:szCs w:val="20"/>
          <w:rtl/>
        </w:rPr>
        <w:t xml:space="preserve"> </w:t>
      </w:r>
      <w:r>
        <w:rPr>
          <w:rFonts w:ascii="Arial Unicode MS" w:hAnsi="Arial Unicode MS" w:cs="Times New Roman" w:hint="cs"/>
          <w:sz w:val="24"/>
          <w:szCs w:val="24"/>
          <w:rtl/>
          <w:lang w:val="ar-SA"/>
        </w:rPr>
        <w:t>الله؛</w:t>
      </w:r>
      <w:r>
        <w:rPr>
          <w:rFonts w:ascii="Times New Roman" w:hAnsi="Times New Roman"/>
          <w:sz w:val="20"/>
          <w:szCs w:val="20"/>
          <w:rtl/>
        </w:rPr>
        <w:t xml:space="preserve"> </w:t>
      </w:r>
      <w:r>
        <w:rPr>
          <w:rFonts w:ascii="Arial Unicode MS" w:hAnsi="Arial Unicode MS" w:cs="Times New Roman" w:hint="cs"/>
          <w:sz w:val="24"/>
          <w:szCs w:val="24"/>
          <w:rtl/>
          <w:lang w:val="ar-SA"/>
        </w:rPr>
        <w:t>وكريمة</w:t>
      </w:r>
      <w:r>
        <w:rPr>
          <w:rFonts w:ascii="Times New Roman" w:hAnsi="Times New Roman"/>
          <w:sz w:val="20"/>
          <w:szCs w:val="20"/>
          <w:rtl/>
        </w:rPr>
        <w:t xml:space="preserve"> </w:t>
      </w:r>
      <w:r>
        <w:rPr>
          <w:rFonts w:ascii="Arial Unicode MS" w:hAnsi="Arial Unicode MS" w:cs="Times New Roman" w:hint="cs"/>
          <w:sz w:val="24"/>
          <w:szCs w:val="24"/>
          <w:rtl/>
          <w:lang w:val="ar-SA"/>
        </w:rPr>
        <w:t>كريم،</w:t>
      </w:r>
      <w:r>
        <w:rPr>
          <w:rFonts w:ascii="Times New Roman" w:hAnsi="Times New Roman"/>
          <w:sz w:val="20"/>
          <w:szCs w:val="20"/>
          <w:rtl/>
        </w:rPr>
        <w:t xml:space="preserve"> </w:t>
      </w:r>
      <w:r>
        <w:rPr>
          <w:rFonts w:ascii="Arial Unicode MS" w:hAnsi="Arial Unicode MS" w:cs="Times New Roman" w:hint="cs"/>
          <w:sz w:val="24"/>
          <w:szCs w:val="24"/>
          <w:rtl/>
          <w:lang w:val="ar-SA"/>
        </w:rPr>
        <w:t>الحماية</w:t>
      </w:r>
      <w:r>
        <w:rPr>
          <w:rFonts w:ascii="Times New Roman" w:hAnsi="Times New Roman"/>
          <w:sz w:val="20"/>
          <w:szCs w:val="20"/>
          <w:rtl/>
        </w:rPr>
        <w:t xml:space="preserve"> </w:t>
      </w:r>
      <w:r>
        <w:rPr>
          <w:rFonts w:ascii="Arial Unicode MS" w:hAnsi="Arial Unicode MS" w:cs="Times New Roman" w:hint="cs"/>
          <w:sz w:val="24"/>
          <w:szCs w:val="24"/>
          <w:rtl/>
          <w:lang w:val="ar-SA"/>
        </w:rPr>
        <w:t>الجزائية</w:t>
      </w:r>
      <w:r>
        <w:rPr>
          <w:rFonts w:ascii="Times New Roman" w:hAnsi="Times New Roman"/>
          <w:sz w:val="20"/>
          <w:szCs w:val="20"/>
          <w:rtl/>
        </w:rPr>
        <w:t xml:space="preserve"> </w:t>
      </w:r>
      <w:r>
        <w:rPr>
          <w:rFonts w:ascii="Arial Unicode MS" w:hAnsi="Arial Unicode MS" w:cs="Times New Roman" w:hint="cs"/>
          <w:sz w:val="24"/>
          <w:szCs w:val="24"/>
          <w:rtl/>
          <w:lang w:val="ar-SA"/>
        </w:rPr>
        <w:t>لقانون</w:t>
      </w:r>
      <w:r>
        <w:rPr>
          <w:rFonts w:ascii="Times New Roman" w:hAnsi="Times New Roman"/>
          <w:sz w:val="20"/>
          <w:szCs w:val="20"/>
          <w:rtl/>
        </w:rPr>
        <w:t xml:space="preserve"> </w:t>
      </w:r>
      <w:r>
        <w:rPr>
          <w:rFonts w:ascii="Arial Unicode MS" w:hAnsi="Arial Unicode MS" w:cs="Times New Roman" w:hint="cs"/>
          <w:sz w:val="24"/>
          <w:szCs w:val="24"/>
          <w:rtl/>
          <w:lang w:val="ar-SA"/>
        </w:rPr>
        <w:t>الملكية الفكرية للمصنف</w:t>
      </w:r>
      <w:r>
        <w:rPr>
          <w:rFonts w:ascii="Times New Roman" w:hAnsi="Times New Roman"/>
          <w:sz w:val="20"/>
          <w:szCs w:val="20"/>
          <w:rtl/>
        </w:rPr>
        <w:t xml:space="preserve"> </w:t>
      </w:r>
      <w:r>
        <w:rPr>
          <w:rFonts w:ascii="Arial Unicode MS" w:hAnsi="Arial Unicode MS" w:cs="Times New Roman" w:hint="cs"/>
          <w:sz w:val="24"/>
          <w:szCs w:val="24"/>
          <w:rtl/>
          <w:lang w:val="ar-SA"/>
        </w:rPr>
        <w:t>الإلكتروني</w:t>
      </w:r>
      <w:r>
        <w:rPr>
          <w:rFonts w:ascii="Times New Roman" w:hAnsi="Times New Roman"/>
          <w:sz w:val="20"/>
          <w:szCs w:val="20"/>
          <w:rtl/>
        </w:rPr>
        <w:t xml:space="preserve"> </w:t>
      </w:r>
      <w:r>
        <w:rPr>
          <w:rFonts w:ascii="Arial Unicode MS" w:hAnsi="Arial Unicode MS" w:cs="Times New Roman" w:hint="cs"/>
          <w:sz w:val="24"/>
          <w:szCs w:val="24"/>
          <w:rtl/>
          <w:lang w:val="ar-SA"/>
        </w:rPr>
        <w:t>في</w:t>
      </w:r>
      <w:r>
        <w:rPr>
          <w:rFonts w:ascii="Times New Roman" w:hAnsi="Times New Roman"/>
          <w:sz w:val="20"/>
          <w:szCs w:val="20"/>
          <w:rtl/>
        </w:rPr>
        <w:t xml:space="preserve"> </w:t>
      </w:r>
      <w:r>
        <w:rPr>
          <w:rFonts w:ascii="Arial Unicode MS" w:hAnsi="Arial Unicode MS" w:cs="Times New Roman" w:hint="cs"/>
          <w:sz w:val="24"/>
          <w:szCs w:val="24"/>
          <w:rtl/>
          <w:lang w:val="ar-SA"/>
        </w:rPr>
        <w:t>بيئة</w:t>
      </w:r>
      <w:r>
        <w:rPr>
          <w:rFonts w:ascii="Times New Roman" w:hAnsi="Times New Roman"/>
          <w:sz w:val="20"/>
          <w:szCs w:val="20"/>
          <w:rtl/>
        </w:rPr>
        <w:t xml:space="preserve"> </w:t>
      </w:r>
      <w:r>
        <w:rPr>
          <w:rFonts w:ascii="Arial Unicode MS" w:hAnsi="Arial Unicode MS" w:cs="Times New Roman" w:hint="cs"/>
          <w:sz w:val="24"/>
          <w:szCs w:val="24"/>
          <w:rtl/>
          <w:lang w:val="ar-SA"/>
        </w:rPr>
        <w:t>الأنترنت</w:t>
      </w:r>
      <w:r>
        <w:rPr>
          <w:rFonts w:ascii="Times New Roman" w:hAnsi="Times New Roman"/>
          <w:sz w:val="20"/>
          <w:szCs w:val="20"/>
          <w:rtl/>
        </w:rPr>
        <w:t xml:space="preserve"> </w:t>
      </w:r>
      <w:r>
        <w:rPr>
          <w:rFonts w:ascii="Arial Unicode MS" w:hAnsi="Arial Unicode MS" w:cs="Times New Roman" w:hint="cs"/>
          <w:sz w:val="24"/>
          <w:szCs w:val="24"/>
          <w:rtl/>
          <w:lang w:val="ar-SA"/>
        </w:rPr>
        <w:t>ومدى</w:t>
      </w:r>
      <w:r>
        <w:rPr>
          <w:rFonts w:ascii="Times New Roman" w:hAnsi="Times New Roman"/>
          <w:sz w:val="20"/>
          <w:szCs w:val="20"/>
          <w:rtl/>
        </w:rPr>
        <w:t xml:space="preserve"> </w:t>
      </w:r>
      <w:r>
        <w:rPr>
          <w:rFonts w:ascii="Arial Unicode MS" w:hAnsi="Arial Unicode MS" w:cs="Times New Roman" w:hint="cs"/>
          <w:sz w:val="24"/>
          <w:szCs w:val="24"/>
          <w:rtl/>
          <w:lang w:val="ar-SA"/>
        </w:rPr>
        <w:t>استفادة</w:t>
      </w:r>
      <w:r>
        <w:rPr>
          <w:rFonts w:ascii="Times New Roman" w:hAnsi="Times New Roman"/>
          <w:sz w:val="20"/>
          <w:szCs w:val="20"/>
          <w:rtl/>
        </w:rPr>
        <w:t xml:space="preserve"> </w:t>
      </w:r>
      <w:r>
        <w:rPr>
          <w:rFonts w:ascii="Arial Unicode MS" w:hAnsi="Arial Unicode MS" w:cs="Times New Roman" w:hint="cs"/>
          <w:sz w:val="24"/>
          <w:szCs w:val="24"/>
          <w:rtl/>
          <w:lang w:val="ar-SA"/>
        </w:rPr>
        <w:t>المصنف</w:t>
      </w:r>
      <w:r>
        <w:rPr>
          <w:rFonts w:ascii="Times New Roman" w:hAnsi="Times New Roman"/>
          <w:sz w:val="20"/>
          <w:szCs w:val="20"/>
          <w:rtl/>
        </w:rPr>
        <w:t xml:space="preserve"> </w:t>
      </w:r>
      <w:r>
        <w:rPr>
          <w:rFonts w:ascii="Arial Unicode MS" w:hAnsi="Arial Unicode MS" w:cs="Times New Roman" w:hint="cs"/>
          <w:sz w:val="24"/>
          <w:szCs w:val="24"/>
          <w:rtl/>
          <w:lang w:val="ar-SA"/>
        </w:rPr>
        <w:t>الصحفي</w:t>
      </w:r>
      <w:r>
        <w:rPr>
          <w:rFonts w:ascii="Times New Roman" w:hAnsi="Times New Roman"/>
          <w:sz w:val="20"/>
          <w:szCs w:val="20"/>
          <w:rtl/>
        </w:rPr>
        <w:t xml:space="preserve"> </w:t>
      </w:r>
      <w:r>
        <w:rPr>
          <w:rFonts w:ascii="Arial Unicode MS" w:hAnsi="Arial Unicode MS" w:cs="Times New Roman" w:hint="cs"/>
          <w:sz w:val="24"/>
          <w:szCs w:val="24"/>
          <w:rtl/>
          <w:lang w:val="ar-SA"/>
        </w:rPr>
        <w:t>من</w:t>
      </w:r>
      <w:r>
        <w:rPr>
          <w:rFonts w:ascii="Times New Roman" w:hAnsi="Times New Roman"/>
          <w:sz w:val="20"/>
          <w:szCs w:val="20"/>
          <w:rtl/>
        </w:rPr>
        <w:t xml:space="preserve"> </w:t>
      </w:r>
      <w:r>
        <w:rPr>
          <w:rFonts w:ascii="Arial Unicode MS" w:hAnsi="Arial Unicode MS" w:cs="Times New Roman" w:hint="cs"/>
          <w:sz w:val="24"/>
          <w:szCs w:val="24"/>
          <w:rtl/>
          <w:lang w:val="ar-SA"/>
        </w:rPr>
        <w:t>هذه</w:t>
      </w:r>
      <w:r>
        <w:rPr>
          <w:rFonts w:ascii="Times New Roman" w:hAnsi="Times New Roman"/>
          <w:sz w:val="20"/>
          <w:szCs w:val="20"/>
          <w:rtl/>
        </w:rPr>
        <w:t xml:space="preserve"> </w:t>
      </w:r>
      <w:r>
        <w:rPr>
          <w:rFonts w:ascii="Arial Unicode MS" w:hAnsi="Arial Unicode MS" w:cs="Times New Roman" w:hint="cs"/>
          <w:sz w:val="24"/>
          <w:szCs w:val="24"/>
          <w:rtl/>
          <w:lang w:val="ar-SA"/>
        </w:rPr>
        <w:t>الحماية،</w:t>
      </w:r>
      <w:r>
        <w:rPr>
          <w:rFonts w:ascii="Times New Roman" w:hAnsi="Times New Roman"/>
          <w:sz w:val="20"/>
          <w:szCs w:val="20"/>
          <w:rtl/>
        </w:rPr>
        <w:t xml:space="preserve"> </w:t>
      </w:r>
      <w:r>
        <w:rPr>
          <w:rFonts w:ascii="Arial Unicode MS" w:hAnsi="Arial Unicode MS" w:cs="Times New Roman" w:hint="cs"/>
          <w:sz w:val="24"/>
          <w:szCs w:val="24"/>
          <w:rtl/>
          <w:lang w:val="ar-SA"/>
        </w:rPr>
        <w:t>مجلة</w:t>
      </w:r>
      <w:r>
        <w:rPr>
          <w:rFonts w:ascii="Times New Roman" w:hAnsi="Times New Roman"/>
          <w:sz w:val="20"/>
          <w:szCs w:val="20"/>
          <w:rtl/>
        </w:rPr>
        <w:t xml:space="preserve"> </w:t>
      </w:r>
      <w:r>
        <w:rPr>
          <w:rFonts w:ascii="Arial Unicode MS" w:hAnsi="Arial Unicode MS" w:cs="Times New Roman" w:hint="cs"/>
          <w:sz w:val="24"/>
          <w:szCs w:val="24"/>
          <w:rtl/>
          <w:lang w:val="ar-SA"/>
        </w:rPr>
        <w:t>الصورة</w:t>
      </w:r>
      <w:r>
        <w:rPr>
          <w:rFonts w:ascii="Times New Roman" w:hAnsi="Times New Roman"/>
          <w:sz w:val="20"/>
          <w:szCs w:val="20"/>
          <w:rtl/>
        </w:rPr>
        <w:t xml:space="preserve"> </w:t>
      </w:r>
      <w:r>
        <w:rPr>
          <w:rFonts w:ascii="Arial Unicode MS" w:hAnsi="Arial Unicode MS" w:cs="Times New Roman" w:hint="cs"/>
          <w:sz w:val="24"/>
          <w:szCs w:val="24"/>
          <w:rtl/>
          <w:lang w:val="ar-SA"/>
        </w:rPr>
        <w:t>والاتصال، ع</w:t>
      </w:r>
      <w:r>
        <w:rPr>
          <w:rFonts w:ascii="Times New Roman" w:hAnsi="Times New Roman"/>
          <w:sz w:val="24"/>
          <w:szCs w:val="24"/>
          <w:rtl/>
          <w:lang w:val="ar-SA"/>
        </w:rPr>
        <w:t>(22)</w:t>
      </w:r>
      <w:r>
        <w:rPr>
          <w:rFonts w:ascii="Arial Unicode MS" w:hAnsi="Arial Unicode MS" w:cs="Times New Roman" w:hint="cs"/>
          <w:sz w:val="24"/>
          <w:szCs w:val="24"/>
          <w:rtl/>
          <w:lang w:val="ar-SA"/>
        </w:rPr>
        <w:t>،</w:t>
      </w:r>
      <w:r>
        <w:rPr>
          <w:rFonts w:ascii="Times New Roman" w:hAnsi="Times New Roman"/>
          <w:sz w:val="20"/>
          <w:szCs w:val="20"/>
          <w:rtl/>
        </w:rPr>
        <w:t xml:space="preserve"> </w:t>
      </w:r>
      <w:r>
        <w:rPr>
          <w:rFonts w:ascii="Times New Roman" w:hAnsi="Times New Roman"/>
          <w:sz w:val="24"/>
          <w:szCs w:val="24"/>
          <w:rtl/>
          <w:lang w:val="ar-SA"/>
        </w:rPr>
        <w:t>2018</w:t>
      </w:r>
      <w:r>
        <w:rPr>
          <w:rFonts w:ascii="Arial Unicode MS" w:hAnsi="Arial Unicode MS" w:cs="Times New Roman" w:hint="cs"/>
          <w:sz w:val="24"/>
          <w:szCs w:val="24"/>
          <w:rtl/>
          <w:lang w:val="ar-SA"/>
        </w:rPr>
        <w:t>، ص</w:t>
      </w:r>
      <w:r>
        <w:rPr>
          <w:rFonts w:ascii="Times New Roman" w:hAnsi="Times New Roman"/>
          <w:sz w:val="24"/>
          <w:szCs w:val="24"/>
          <w:rtl/>
          <w:lang w:val="ar-SA"/>
        </w:rPr>
        <w:t>40.</w:t>
      </w:r>
      <w:r>
        <w:rPr>
          <w:rFonts w:ascii="Times New Roman" w:hAnsi="Times New Roman"/>
          <w:sz w:val="20"/>
          <w:szCs w:val="20"/>
          <w:rtl/>
        </w:rPr>
        <w:t xml:space="preserve"> </w:t>
      </w:r>
    </w:p>
  </w:footnote>
  <w:footnote w:id="34">
    <w:p w14:paraId="690DDDED"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إحسان طوير، حماية حقوق الملكية الفكرية على شبكة الإنترنت، رسالة دكتوراه، جامعة جيلالي لياس، سيدي بلعباس، رسالة منشورة، ٢٠٢١</w:t>
      </w:r>
      <w:r>
        <w:rPr>
          <w:rFonts w:ascii="Times New Roman" w:hAnsi="Times New Roman"/>
          <w:sz w:val="24"/>
          <w:szCs w:val="24"/>
          <w:rtl/>
          <w:lang w:val="ar-SA"/>
        </w:rPr>
        <w:t>-</w:t>
      </w:r>
      <w:r>
        <w:rPr>
          <w:rFonts w:ascii="Arial Unicode MS" w:hAnsi="Arial Unicode MS" w:cs="Times New Roman" w:hint="cs"/>
          <w:sz w:val="24"/>
          <w:szCs w:val="24"/>
          <w:rtl/>
          <w:lang w:val="ar-SA"/>
        </w:rPr>
        <w:t>٢٠٢٢، ص ١٢</w:t>
      </w:r>
      <w:r>
        <w:rPr>
          <w:rFonts w:ascii="Times New Roman" w:hAnsi="Times New Roman"/>
          <w:sz w:val="24"/>
          <w:szCs w:val="24"/>
          <w:rtl/>
          <w:lang w:val="ar-SA"/>
        </w:rPr>
        <w:t>.</w:t>
      </w:r>
    </w:p>
  </w:footnote>
  <w:footnote w:id="35">
    <w:p w14:paraId="5407CA01"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Pr>
          <w:rFonts w:ascii="Times New Roman" w:hAnsi="Times New Roman"/>
          <w:sz w:val="24"/>
          <w:szCs w:val="24"/>
          <w:rtl/>
          <w:lang w:val="ar-SA"/>
        </w:rPr>
        <w:t>- 2006</w:t>
      </w:r>
      <w:r>
        <w:rPr>
          <w:rFonts w:ascii="Arial Unicode MS" w:hAnsi="Arial Unicode MS" w:cs="Times New Roman" w:hint="cs"/>
          <w:sz w:val="24"/>
          <w:szCs w:val="24"/>
          <w:rtl/>
          <w:lang w:val="ar-SA"/>
        </w:rPr>
        <w:t xml:space="preserve">، مصر، ص </w:t>
      </w:r>
      <w:r>
        <w:rPr>
          <w:rFonts w:ascii="Times New Roman" w:hAnsi="Times New Roman"/>
          <w:sz w:val="24"/>
          <w:szCs w:val="24"/>
          <w:rtl/>
          <w:lang w:val="ar-SA"/>
        </w:rPr>
        <w:t>4.</w:t>
      </w:r>
    </w:p>
  </w:footnote>
  <w:footnote w:id="36">
    <w:p w14:paraId="49DD7156"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احسان طوير، مرجع سابق، ص ١٢</w:t>
      </w:r>
      <w:r>
        <w:rPr>
          <w:rFonts w:ascii="Times New Roman" w:hAnsi="Times New Roman"/>
        </w:rPr>
        <w:t>.</w:t>
      </w:r>
    </w:p>
  </w:footnote>
  <w:footnote w:id="37">
    <w:p w14:paraId="4F51DC70"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دراسة حالة الصحافة الإلكترونية السودانية الفترة من </w:t>
      </w:r>
      <w:r>
        <w:rPr>
          <w:rFonts w:ascii="Times New Roman" w:hAnsi="Times New Roman"/>
          <w:sz w:val="24"/>
          <w:szCs w:val="24"/>
          <w:rtl/>
          <w:lang w:val="ar-SA"/>
        </w:rPr>
        <w:t>2011</w:t>
      </w:r>
      <w:r>
        <w:rPr>
          <w:rFonts w:ascii="Arial Unicode MS" w:hAnsi="Arial Unicode MS" w:cs="Times New Roman" w:hint="cs"/>
          <w:sz w:val="24"/>
          <w:szCs w:val="24"/>
          <w:rtl/>
          <w:lang w:val="ar-SA"/>
        </w:rPr>
        <w:t>م</w:t>
      </w:r>
      <w:r>
        <w:rPr>
          <w:rFonts w:ascii="Times New Roman" w:hAnsi="Times New Roman"/>
          <w:sz w:val="24"/>
          <w:szCs w:val="24"/>
          <w:rtl/>
          <w:lang w:val="ar-SA"/>
        </w:rPr>
        <w:t>-2014</w:t>
      </w:r>
      <w:r>
        <w:rPr>
          <w:rFonts w:ascii="Arial Unicode MS" w:hAnsi="Arial Unicode MS" w:cs="Times New Roman" w:hint="cs"/>
          <w:sz w:val="24"/>
          <w:szCs w:val="24"/>
          <w:rtl/>
          <w:lang w:val="ar-SA"/>
        </w:rPr>
        <w:t>م</w:t>
      </w:r>
      <w:r>
        <w:rPr>
          <w:rFonts w:ascii="Times New Roman" w:hAnsi="Times New Roman"/>
          <w:sz w:val="24"/>
          <w:szCs w:val="24"/>
          <w:rtl/>
          <w:lang w:val="ar-SA"/>
        </w:rPr>
        <w:t>. (</w:t>
      </w:r>
      <w:r>
        <w:rPr>
          <w:rFonts w:ascii="Arial Unicode MS" w:hAnsi="Arial Unicode MS" w:cs="Times New Roman" w:hint="cs"/>
          <w:sz w:val="24"/>
          <w:szCs w:val="24"/>
          <w:rtl/>
          <w:lang w:val="ar-SA"/>
        </w:rPr>
        <w:t>رسالة دكتوراه غير منشورة</w:t>
      </w:r>
      <w:r>
        <w:rPr>
          <w:rFonts w:ascii="Times New Roman" w:hAnsi="Times New Roman"/>
          <w:sz w:val="24"/>
          <w:szCs w:val="24"/>
          <w:rtl/>
          <w:lang w:val="ar-SA"/>
        </w:rPr>
        <w:t>)</w:t>
      </w:r>
      <w:r>
        <w:rPr>
          <w:rFonts w:ascii="Arial Unicode MS" w:hAnsi="Arial Unicode MS" w:cs="Times New Roman" w:hint="cs"/>
          <w:sz w:val="24"/>
          <w:szCs w:val="24"/>
          <w:rtl/>
          <w:lang w:val="ar-SA"/>
        </w:rPr>
        <w:t xml:space="preserve">، جامعة أم درمان الإسلامية، السودان، </w:t>
      </w:r>
      <w:r>
        <w:rPr>
          <w:rFonts w:ascii="Times New Roman" w:hAnsi="Times New Roman"/>
          <w:sz w:val="24"/>
          <w:szCs w:val="24"/>
          <w:rtl/>
          <w:lang w:val="ar-SA"/>
        </w:rPr>
        <w:t>2014</w:t>
      </w:r>
      <w:r>
        <w:rPr>
          <w:rFonts w:ascii="Arial Unicode MS" w:hAnsi="Arial Unicode MS" w:cs="Times New Roman" w:hint="cs"/>
          <w:sz w:val="24"/>
          <w:szCs w:val="24"/>
          <w:rtl/>
          <w:lang w:val="ar-SA"/>
        </w:rPr>
        <w:t xml:space="preserve">، ص </w:t>
      </w:r>
      <w:r>
        <w:rPr>
          <w:rFonts w:ascii="Times New Roman" w:hAnsi="Times New Roman"/>
          <w:sz w:val="24"/>
          <w:szCs w:val="24"/>
          <w:rtl/>
          <w:lang w:val="ar-SA"/>
        </w:rPr>
        <w:t>2.</w:t>
      </w:r>
    </w:p>
  </w:footnote>
  <w:footnote w:id="38">
    <w:p w14:paraId="1282999E"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 xml:space="preserve">عبد الله الشريف، حقوق الملكية الفكرية وعصر تقنيات المعلومات والاتصالات، مجلة الجامعي، </w:t>
      </w:r>
      <w:r>
        <w:rPr>
          <w:rFonts w:ascii="Times New Roman" w:hAnsi="Times New Roman"/>
          <w:sz w:val="24"/>
          <w:szCs w:val="24"/>
          <w:rtl/>
          <w:lang w:val="ar-SA"/>
        </w:rPr>
        <w:t>(5)</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284-261</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2003</w:t>
      </w:r>
      <w:r>
        <w:rPr>
          <w:rFonts w:ascii="Arial Unicode MS" w:hAnsi="Arial Unicode MS" w:cs="Times New Roman" w:hint="cs"/>
          <w:sz w:val="24"/>
          <w:szCs w:val="24"/>
          <w:rtl/>
          <w:lang w:val="ar-SA"/>
        </w:rPr>
        <w:t>، ص</w:t>
      </w:r>
      <w:r>
        <w:rPr>
          <w:rFonts w:ascii="Times New Roman" w:hAnsi="Times New Roman"/>
          <w:sz w:val="24"/>
          <w:szCs w:val="24"/>
          <w:rtl/>
          <w:lang w:val="ar-SA"/>
        </w:rPr>
        <w:t>267.</w:t>
      </w:r>
    </w:p>
  </w:footnote>
  <w:footnote w:id="39">
    <w:p w14:paraId="374C0F93"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أحمد عبد الله</w:t>
      </w:r>
      <w:r>
        <w:rPr>
          <w:rFonts w:ascii="Times New Roman" w:hAnsi="Times New Roman"/>
        </w:rPr>
        <w:t xml:space="preserve"> </w:t>
      </w:r>
      <w:r>
        <w:rPr>
          <w:rFonts w:ascii="Arial Unicode MS" w:hAnsi="Arial Unicode MS" w:cs="Times New Roman" w:hint="cs"/>
          <w:sz w:val="24"/>
          <w:szCs w:val="24"/>
          <w:rtl/>
          <w:lang w:val="ar-SA"/>
        </w:rPr>
        <w:t>مصطفى، حقوق الملكية الفكرية والتأليف في بيئة الإنترنت</w:t>
      </w:r>
      <w:r>
        <w:rPr>
          <w:rFonts w:ascii="Times New Roman" w:hAnsi="Times New Roman"/>
          <w:sz w:val="24"/>
          <w:szCs w:val="24"/>
          <w:rtl/>
          <w:lang w:val="ar-SA"/>
        </w:rPr>
        <w:t xml:space="preserve">. </w:t>
      </w:r>
      <w:r>
        <w:rPr>
          <w:rFonts w:ascii="Times New Roman" w:hAnsi="Times New Roman"/>
        </w:rPr>
        <w:t xml:space="preserve">Cybrarians Journal </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 xml:space="preserve">(21) </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1-35</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2009</w:t>
      </w:r>
      <w:r>
        <w:rPr>
          <w:rFonts w:ascii="Arial Unicode MS" w:hAnsi="Arial Unicode MS" w:cs="Times New Roman" w:hint="cs"/>
          <w:sz w:val="24"/>
          <w:szCs w:val="24"/>
          <w:rtl/>
          <w:lang w:val="ar-SA"/>
        </w:rPr>
        <w:t>، ص</w:t>
      </w:r>
      <w:r>
        <w:rPr>
          <w:rFonts w:ascii="Times New Roman" w:hAnsi="Times New Roman"/>
          <w:sz w:val="24"/>
          <w:szCs w:val="24"/>
          <w:rtl/>
          <w:lang w:val="ar-SA"/>
        </w:rPr>
        <w:t>2.</w:t>
      </w:r>
    </w:p>
  </w:footnote>
  <w:footnote w:id="40">
    <w:p w14:paraId="7BFE57AF"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عبد الرزاق السنهوري، مرجع سابق، ص ٣٤٧، بند ١٦٥</w:t>
      </w:r>
      <w:r>
        <w:rPr>
          <w:rFonts w:ascii="Times New Roman" w:hAnsi="Times New Roman"/>
          <w:sz w:val="24"/>
          <w:szCs w:val="24"/>
          <w:rtl/>
          <w:lang w:val="ar-SA"/>
        </w:rPr>
        <w:t>.</w:t>
      </w:r>
    </w:p>
  </w:footnote>
  <w:footnote w:id="41">
    <w:p w14:paraId="6776DA3F"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عبد الرزاق السنهوري، مرجع سابق، ص ٣٤٧، بند ١٦٥</w:t>
      </w:r>
      <w:r>
        <w:rPr>
          <w:rFonts w:ascii="Times New Roman" w:hAnsi="Times New Roman"/>
          <w:sz w:val="24"/>
          <w:szCs w:val="24"/>
          <w:rtl/>
          <w:lang w:val="ar-SA"/>
        </w:rPr>
        <w:t>.</w:t>
      </w:r>
    </w:p>
  </w:footnote>
  <w:footnote w:id="42">
    <w:p w14:paraId="559F7E86"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w:t>
      </w:r>
      <w:r>
        <w:rPr>
          <w:rFonts w:ascii="Times New Roman" w:hAnsi="Times New Roman"/>
          <w:sz w:val="24"/>
          <w:szCs w:val="24"/>
          <w:rtl/>
          <w:lang w:val="ar-SA"/>
        </w:rPr>
        <w:t>9</w:t>
      </w:r>
      <w:r>
        <w:rPr>
          <w:rFonts w:ascii="Arial Unicode MS" w:hAnsi="Arial Unicode MS" w:cs="Times New Roman" w:hint="cs"/>
          <w:sz w:val="24"/>
          <w:szCs w:val="24"/>
          <w:rtl/>
          <w:lang w:val="ar-SA"/>
        </w:rPr>
        <w:t>، ع</w:t>
      </w:r>
      <w:r>
        <w:rPr>
          <w:rFonts w:ascii="Times New Roman" w:hAnsi="Times New Roman"/>
          <w:sz w:val="24"/>
          <w:szCs w:val="24"/>
          <w:rtl/>
          <w:lang w:val="ar-SA"/>
        </w:rPr>
        <w:t>2</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2021</w:t>
      </w:r>
      <w:r>
        <w:rPr>
          <w:rFonts w:ascii="Arial Unicode MS" w:hAnsi="Arial Unicode MS" w:cs="Times New Roman" w:hint="cs"/>
          <w:sz w:val="24"/>
          <w:szCs w:val="24"/>
          <w:rtl/>
          <w:lang w:val="ar-SA"/>
        </w:rPr>
        <w:t>، ص</w:t>
      </w:r>
      <w:r>
        <w:rPr>
          <w:rFonts w:ascii="Times New Roman" w:hAnsi="Times New Roman"/>
          <w:sz w:val="24"/>
          <w:szCs w:val="24"/>
          <w:rtl/>
          <w:lang w:val="ar-SA"/>
        </w:rPr>
        <w:t>538.</w:t>
      </w:r>
    </w:p>
  </w:footnote>
  <w:footnote w:id="43">
    <w:p w14:paraId="62C5BA23"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إحسان طوير، مرجع سابق، ص ٢٠</w:t>
      </w:r>
      <w:r>
        <w:rPr>
          <w:rFonts w:ascii="Times New Roman" w:hAnsi="Times New Roman"/>
          <w:sz w:val="24"/>
          <w:szCs w:val="24"/>
          <w:rtl/>
          <w:lang w:val="ar-SA"/>
        </w:rPr>
        <w:t>.</w:t>
      </w:r>
    </w:p>
  </w:footnote>
  <w:footnote w:id="44">
    <w:p w14:paraId="5682BA4A"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سرباز سعيد رشيد، الحماية القانونية لحقوق الملكية الفكرية، رسالة ماجستير غير منشورة، جامعة الشرق الأردني، الأردن، </w:t>
      </w:r>
      <w:r>
        <w:rPr>
          <w:rFonts w:ascii="Times New Roman" w:hAnsi="Times New Roman"/>
          <w:sz w:val="24"/>
          <w:szCs w:val="24"/>
          <w:rtl/>
          <w:lang w:val="ar-SA"/>
        </w:rPr>
        <w:t>2020</w:t>
      </w:r>
      <w:r>
        <w:rPr>
          <w:rFonts w:ascii="Arial Unicode MS" w:hAnsi="Arial Unicode MS" w:cs="Times New Roman" w:hint="cs"/>
          <w:sz w:val="24"/>
          <w:szCs w:val="24"/>
          <w:rtl/>
          <w:lang w:val="ar-SA"/>
        </w:rPr>
        <w:t>، ص</w:t>
      </w:r>
      <w:r>
        <w:rPr>
          <w:rFonts w:ascii="Times New Roman" w:hAnsi="Times New Roman"/>
          <w:sz w:val="24"/>
          <w:szCs w:val="24"/>
          <w:rtl/>
          <w:lang w:val="ar-SA"/>
        </w:rPr>
        <w:t>46.</w:t>
      </w:r>
    </w:p>
  </w:footnote>
  <w:footnote w:id="45">
    <w:p w14:paraId="70318019"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هناء عودة خضري أحمد عودة، دليل ضوابط الملكية الفكرية، دراسات في التعليم الجماعي، ع </w:t>
      </w:r>
      <w:r>
        <w:rPr>
          <w:rFonts w:ascii="Times New Roman" w:hAnsi="Times New Roman"/>
          <w:sz w:val="24"/>
          <w:szCs w:val="24"/>
          <w:rtl/>
          <w:lang w:val="ar-SA"/>
        </w:rPr>
        <w:t>(23)</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420-462</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2012</w:t>
      </w:r>
      <w:r>
        <w:rPr>
          <w:rFonts w:ascii="Arial Unicode MS" w:hAnsi="Arial Unicode MS" w:cs="Times New Roman" w:hint="cs"/>
          <w:sz w:val="24"/>
          <w:szCs w:val="24"/>
          <w:rtl/>
          <w:lang w:val="ar-SA"/>
        </w:rPr>
        <w:t>، ص</w:t>
      </w:r>
      <w:r>
        <w:rPr>
          <w:rFonts w:ascii="Times New Roman" w:hAnsi="Times New Roman"/>
          <w:sz w:val="24"/>
          <w:szCs w:val="24"/>
          <w:rtl/>
          <w:lang w:val="ar-SA"/>
        </w:rPr>
        <w:t>429.</w:t>
      </w:r>
    </w:p>
  </w:footnote>
  <w:footnote w:id="46">
    <w:p w14:paraId="360C2968"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إحسان طوير، مرجع سابق، ص ٢٣</w:t>
      </w:r>
      <w:r>
        <w:rPr>
          <w:rFonts w:ascii="Times New Roman" w:hAnsi="Times New Roman"/>
          <w:sz w:val="24"/>
          <w:szCs w:val="24"/>
          <w:rtl/>
          <w:lang w:val="ar-SA"/>
        </w:rPr>
        <w:t>-</w:t>
      </w:r>
      <w:r>
        <w:rPr>
          <w:rFonts w:ascii="Arial Unicode MS" w:hAnsi="Arial Unicode MS" w:cs="Times New Roman" w:hint="cs"/>
          <w:sz w:val="24"/>
          <w:szCs w:val="24"/>
          <w:rtl/>
          <w:lang w:val="ar-SA"/>
        </w:rPr>
        <w:t>٢٤</w:t>
      </w:r>
      <w:r>
        <w:rPr>
          <w:rFonts w:ascii="Times New Roman" w:hAnsi="Times New Roman"/>
          <w:sz w:val="24"/>
          <w:szCs w:val="24"/>
          <w:rtl/>
          <w:lang w:val="ar-SA"/>
        </w:rPr>
        <w:t>.</w:t>
      </w:r>
    </w:p>
  </w:footnote>
  <w:footnote w:id="47">
    <w:p w14:paraId="0B9D4B08"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w:t>
      </w:r>
      <w:r>
        <w:rPr>
          <w:rFonts w:ascii="Times New Roman" w:hAnsi="Times New Roman"/>
          <w:sz w:val="24"/>
          <w:szCs w:val="24"/>
          <w:rtl/>
          <w:lang w:val="ar-SA"/>
        </w:rPr>
        <w:t>9</w:t>
      </w:r>
      <w:r>
        <w:rPr>
          <w:rFonts w:ascii="Arial Unicode MS" w:hAnsi="Arial Unicode MS" w:cs="Times New Roman" w:hint="cs"/>
          <w:sz w:val="24"/>
          <w:szCs w:val="24"/>
          <w:rtl/>
          <w:lang w:val="ar-SA"/>
        </w:rPr>
        <w:t>، ع</w:t>
      </w:r>
      <w:r>
        <w:rPr>
          <w:rFonts w:ascii="Times New Roman" w:hAnsi="Times New Roman"/>
          <w:sz w:val="24"/>
          <w:szCs w:val="24"/>
          <w:rtl/>
          <w:lang w:val="ar-SA"/>
        </w:rPr>
        <w:t>2</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2021</w:t>
      </w:r>
      <w:r>
        <w:rPr>
          <w:rFonts w:ascii="Arial Unicode MS" w:hAnsi="Arial Unicode MS" w:cs="Times New Roman" w:hint="cs"/>
          <w:sz w:val="24"/>
          <w:szCs w:val="24"/>
          <w:rtl/>
          <w:lang w:val="ar-SA"/>
        </w:rPr>
        <w:t>، ص</w:t>
      </w:r>
      <w:r>
        <w:rPr>
          <w:rFonts w:ascii="Times New Roman" w:hAnsi="Times New Roman"/>
          <w:sz w:val="24"/>
          <w:szCs w:val="24"/>
          <w:rtl/>
          <w:lang w:val="ar-SA"/>
        </w:rPr>
        <w:t>560.</w:t>
      </w:r>
    </w:p>
  </w:footnote>
  <w:footnote w:id="48">
    <w:p w14:paraId="2C5439FD"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إحسان طوير، مرجع سابق، ص ٢٣</w:t>
      </w:r>
      <w:r>
        <w:rPr>
          <w:rFonts w:ascii="Times New Roman" w:hAnsi="Times New Roman"/>
          <w:sz w:val="24"/>
          <w:szCs w:val="24"/>
          <w:rtl/>
          <w:lang w:val="ar-SA"/>
        </w:rPr>
        <w:t>-</w:t>
      </w:r>
      <w:r>
        <w:rPr>
          <w:rFonts w:ascii="Arial Unicode MS" w:hAnsi="Arial Unicode MS" w:cs="Times New Roman" w:hint="cs"/>
          <w:sz w:val="24"/>
          <w:szCs w:val="24"/>
          <w:rtl/>
          <w:lang w:val="ar-SA"/>
        </w:rPr>
        <w:t>٢٤</w:t>
      </w:r>
      <w:r>
        <w:rPr>
          <w:rFonts w:ascii="Times New Roman" w:hAnsi="Times New Roman"/>
          <w:sz w:val="24"/>
          <w:szCs w:val="24"/>
          <w:rtl/>
          <w:lang w:val="ar-SA"/>
        </w:rPr>
        <w:t>.</w:t>
      </w:r>
    </w:p>
  </w:footnote>
  <w:footnote w:id="49">
    <w:p w14:paraId="36416EB6"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Fonts w:ascii="Times New Roman" w:hAnsi="Times New Roman"/>
          <w:sz w:val="24"/>
          <w:szCs w:val="24"/>
          <w:vertAlign w:val="superscript"/>
          <w:rtl/>
          <w:lang w:val="ar-SA"/>
        </w:rPr>
        <w:t>)</w:t>
      </w:r>
      <w:r>
        <w:rPr>
          <w:rFonts w:ascii="Times New Roman" w:hAnsi="Times New Roman"/>
        </w:rPr>
        <w:t xml:space="preserve"> </w:t>
      </w:r>
      <w:r>
        <w:rPr>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Fonts w:ascii="Times New Roman" w:hAnsi="Times New Roman"/>
          <w:sz w:val="24"/>
          <w:szCs w:val="24"/>
          <w:rtl/>
          <w:lang w:val="ar-SA"/>
        </w:rPr>
        <w:t>(42)</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1367-1429</w:t>
      </w:r>
      <w:r>
        <w:rPr>
          <w:rFonts w:ascii="Arial Unicode MS" w:hAnsi="Arial Unicode MS" w:cs="Times New Roman" w:hint="cs"/>
          <w:sz w:val="24"/>
          <w:szCs w:val="24"/>
          <w:rtl/>
          <w:lang w:val="ar-SA"/>
        </w:rPr>
        <w:t xml:space="preserve">، </w:t>
      </w:r>
      <w:r>
        <w:rPr>
          <w:rFonts w:ascii="Times New Roman" w:hAnsi="Times New Roman"/>
          <w:sz w:val="24"/>
          <w:szCs w:val="24"/>
          <w:rtl/>
          <w:lang w:val="ar-SA"/>
        </w:rPr>
        <w:t>2023</w:t>
      </w:r>
      <w:r>
        <w:rPr>
          <w:rFonts w:ascii="Arial Unicode MS" w:hAnsi="Arial Unicode MS" w:cs="Times New Roman" w:hint="cs"/>
          <w:sz w:val="24"/>
          <w:szCs w:val="24"/>
          <w:rtl/>
          <w:lang w:val="ar-SA"/>
        </w:rPr>
        <w:t>، ص</w:t>
      </w:r>
      <w:r>
        <w:rPr>
          <w:rFonts w:ascii="Times New Roman" w:hAnsi="Times New Roman"/>
          <w:sz w:val="24"/>
          <w:szCs w:val="24"/>
          <w:rtl/>
          <w:lang w:val="ar-SA"/>
        </w:rPr>
        <w:t>1369.</w:t>
      </w:r>
    </w:p>
  </w:footnote>
  <w:footnote w:id="50">
    <w:p w14:paraId="074100C1" w14:textId="77777777" w:rsidR="00454428" w:rsidRDefault="00000000">
      <w:pPr>
        <w:pStyle w:val="FootnoteText"/>
        <w:jc w:val="both"/>
      </w:pP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rtl/>
          <w:lang w:val="ar-SA"/>
        </w:rPr>
        <w:footnoteRef/>
      </w:r>
      <w:r>
        <w:rPr>
          <w:rFonts w:ascii="Times New Roman" w:hAnsi="Times New Roman"/>
          <w:sz w:val="24"/>
          <w:szCs w:val="24"/>
          <w:vertAlign w:val="superscript"/>
          <w:rtl/>
          <w:lang w:val="ar-SA"/>
        </w:rPr>
        <w:t>)</w:t>
      </w:r>
      <w:r>
        <w:rPr>
          <w:rFonts w:ascii="Arial Unicode MS" w:hAnsi="Arial Unicode MS" w:cs="Times New Roman" w:hint="cs"/>
          <w:sz w:val="24"/>
          <w:szCs w:val="24"/>
          <w:rtl/>
          <w:lang w:val="ar-SA"/>
        </w:rPr>
        <w:t xml:space="preserve"> موقع منظمة الويبو، مقال حق المؤلف، متاح من </w:t>
      </w:r>
      <w:hyperlink r:id="rId2" w:history="1">
        <w:r>
          <w:rPr>
            <w:rStyle w:val="Hyperlink1"/>
            <w:rFonts w:eastAsia="Arial Unicode MS"/>
          </w:rPr>
          <w:t>https://www.wipo.int/copyright/ar</w:t>
        </w:r>
      </w:hyperlink>
      <w:r>
        <w:rPr>
          <w:rStyle w:val="None"/>
          <w:rFonts w:ascii="Arial Unicode MS" w:hAnsi="Arial Unicode MS" w:cs="Times New Roman" w:hint="cs"/>
          <w:sz w:val="24"/>
          <w:szCs w:val="24"/>
          <w:rtl/>
          <w:lang w:val="ar-SA"/>
        </w:rPr>
        <w:t xml:space="preserve"> ،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footnote>
  <w:footnote w:id="51">
    <w:p w14:paraId="63C6AE4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المنظمة العالمية للملكية الفكرية، اليوم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Pr>
          <w:rStyle w:val="None"/>
          <w:rFonts w:ascii="Times New Roman" w:hAnsi="Times New Roman"/>
          <w:sz w:val="24"/>
          <w:szCs w:val="24"/>
          <w:rtl/>
          <w:lang w:val="ar-SA"/>
        </w:rPr>
        <w:t xml:space="preserve">: </w:t>
      </w:r>
      <w:hyperlink r:id="rId3" w:history="1">
        <w:r>
          <w:rPr>
            <w:rStyle w:val="Hyperlink1"/>
            <w:rFonts w:eastAsia="Arial Unicode MS"/>
          </w:rPr>
          <w:t>https://www.wipo.int/pressroom/ar/articles/2024/article_0003.html</w:t>
        </w:r>
      </w:hyperlink>
      <w:r>
        <w:rPr>
          <w:rStyle w:val="None"/>
          <w:rFonts w:ascii="Arial Unicode MS" w:hAnsi="Arial Unicode MS" w:cs="Times New Roman" w:hint="cs"/>
          <w:sz w:val="24"/>
          <w:szCs w:val="24"/>
          <w:rtl/>
          <w:lang w:val="ar-SA"/>
        </w:rPr>
        <w:t>،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footnote>
  <w:footnote w:id="52">
    <w:p w14:paraId="58189C2E" w14:textId="77777777" w:rsidR="00454428" w:rsidRDefault="00000000">
      <w:pPr>
        <w:pStyle w:val="FootnoteText"/>
        <w:bidi w:val="0"/>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r>
        <w:rPr>
          <w:rStyle w:val="None"/>
          <w:rFonts w:ascii="Times New Roman" w:hAnsi="Times New Roman"/>
        </w:rPr>
        <w:t xml:space="preserve">World Intellectual Property Organization (WIPO), Understanding Copyright and Related Rights, (2rd ed.), 2020, Available at: </w:t>
      </w:r>
      <w:hyperlink r:id="rId4" w:history="1">
        <w:r>
          <w:rPr>
            <w:rStyle w:val="Hyperlink1"/>
            <w:rFonts w:eastAsia="Arial Unicode MS"/>
          </w:rPr>
          <w:t>https://www.wipo.int/edocs/pubdocs/en/wipo_pub_909_2016.pdf</w:t>
        </w:r>
      </w:hyperlink>
      <w:r>
        <w:rPr>
          <w:rStyle w:val="None"/>
          <w:rFonts w:ascii="Times New Roman" w:hAnsi="Times New Roman"/>
        </w:rPr>
        <w:t xml:space="preserve"> ,Date of visit: 10/15/2024.</w:t>
      </w:r>
    </w:p>
  </w:footnote>
  <w:footnote w:id="53">
    <w:p w14:paraId="432C680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الثالثة من اتفاقية إنشاء المنظمة العالمية للملكية الفكرية عام </w:t>
      </w:r>
      <w:r>
        <w:rPr>
          <w:rStyle w:val="None"/>
          <w:rFonts w:ascii="Times New Roman" w:hAnsi="Times New Roman"/>
          <w:sz w:val="24"/>
          <w:szCs w:val="24"/>
          <w:rtl/>
          <w:lang w:val="ar-SA"/>
        </w:rPr>
        <w:t>1967.</w:t>
      </w:r>
    </w:p>
  </w:footnote>
  <w:footnote w:id="54">
    <w:p w14:paraId="199EB94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مؤيد زيدان، حقوق الملكية الفكرية، المشاع المبدع للنشر، سوريا،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footnote>
  <w:footnote w:id="55">
    <w:p w14:paraId="79373E4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61-95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75.</w:t>
      </w:r>
    </w:p>
  </w:footnote>
  <w:footnote w:id="56">
    <w:p w14:paraId="575DD17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الرزاق أحمد السنهوري، مرجع سابق، ص ٣٥٧</w:t>
      </w:r>
      <w:r>
        <w:rPr>
          <w:rStyle w:val="None"/>
          <w:rFonts w:ascii="Times New Roman" w:hAnsi="Times New Roman"/>
          <w:sz w:val="24"/>
          <w:szCs w:val="24"/>
          <w:rtl/>
          <w:lang w:val="ar-SA"/>
        </w:rPr>
        <w:t>.</w:t>
      </w:r>
    </w:p>
  </w:footnote>
  <w:footnote w:id="57">
    <w:p w14:paraId="45396C4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الحق الأدبي للمؤلف وأثر النشر الرقمي عليه، مجلة الأستاذ الباحث للدراسات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579.</w:t>
      </w:r>
    </w:p>
  </w:footnote>
  <w:footnote w:id="58">
    <w:p w14:paraId="46FB42B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مصطفي رحبي؛ ويوسف حمين، الطبيعة القانونية لحق المؤلف والحقوق المجاورة، رسالة ماجستير غير منشورة، جامعة زيان عاشور بالحلفة، الجزائر،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w:t>
      </w:r>
    </w:p>
  </w:footnote>
  <w:footnote w:id="59">
    <w:p w14:paraId="303B7AC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حسن البدراوي، إنقاذ حقوق الملكية الفكرية، ملتقى تنظيم المنظمة العالمية للملكية الفكرية جنيف، في ١٨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١٩ جوان ٢٠٠٣، ص ٣</w:t>
      </w:r>
      <w:r>
        <w:rPr>
          <w:rStyle w:val="None"/>
          <w:rFonts w:ascii="Times New Roman" w:hAnsi="Times New Roman"/>
          <w:sz w:val="24"/>
          <w:szCs w:val="24"/>
          <w:rtl/>
          <w:lang w:val="ar-SA"/>
        </w:rPr>
        <w:t>.</w:t>
      </w:r>
    </w:p>
  </w:footnote>
  <w:footnote w:id="60">
    <w:p w14:paraId="74E1769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ناصر بن محمد الشريف، مرجع سابق، ص ٢٧٣</w:t>
      </w:r>
      <w:r>
        <w:rPr>
          <w:rStyle w:val="None"/>
          <w:rFonts w:ascii="Times New Roman" w:hAnsi="Times New Roman"/>
          <w:sz w:val="24"/>
          <w:szCs w:val="24"/>
          <w:rtl/>
          <w:lang w:val="ar-SA"/>
        </w:rPr>
        <w:t>.</w:t>
      </w:r>
    </w:p>
  </w:footnote>
  <w:footnote w:id="61">
    <w:p w14:paraId="088F39F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ناصر بن محمد الشريف، مرجع سابق، ص ٢٧٣</w:t>
      </w:r>
      <w:r>
        <w:rPr>
          <w:rStyle w:val="None"/>
          <w:rFonts w:ascii="Times New Roman" w:hAnsi="Times New Roman"/>
          <w:sz w:val="24"/>
          <w:szCs w:val="24"/>
          <w:rtl/>
          <w:lang w:val="ar-SA"/>
        </w:rPr>
        <w:t>.</w:t>
      </w:r>
    </w:p>
  </w:footnote>
  <w:footnote w:id="62">
    <w:p w14:paraId="79AFEB6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سيد عبد الله محمد خليلي، الحماية القانونية والشرعية لحق الترجمة دراسة مقارنة القانون المصري والنظام السعودي، مجلة كلية الشريعة والقانون،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1891.</w:t>
      </w:r>
    </w:p>
  </w:footnote>
  <w:footnote w:id="63">
    <w:p w14:paraId="6CE7E35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الرزاق أحمد السنهوري، مرجع سابق، ص ٢٩٦</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٢٩٧</w:t>
      </w:r>
      <w:r>
        <w:rPr>
          <w:rStyle w:val="None"/>
          <w:rFonts w:ascii="Times New Roman" w:hAnsi="Times New Roman"/>
          <w:sz w:val="24"/>
          <w:szCs w:val="24"/>
          <w:rtl/>
          <w:lang w:val="ar-SA"/>
        </w:rPr>
        <w:t>.</w:t>
      </w:r>
    </w:p>
  </w:footnote>
  <w:footnote w:id="64">
    <w:p w14:paraId="1708FDD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وحمدين سعيد، الحق الأدبي للمؤلف وأثر النشر الرقمي عليه، مجلة الأستاذ الباحث للدراسات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583.</w:t>
      </w:r>
    </w:p>
  </w:footnote>
  <w:footnote w:id="65">
    <w:p w14:paraId="4EFEB90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ناصر بن محمد الشريف، مرجع سابق، ص ٢٧٥</w:t>
      </w:r>
      <w:r>
        <w:rPr>
          <w:rStyle w:val="None"/>
          <w:rFonts w:ascii="Times New Roman" w:hAnsi="Times New Roman"/>
          <w:sz w:val="24"/>
          <w:szCs w:val="24"/>
          <w:rtl/>
          <w:lang w:val="ar-SA"/>
        </w:rPr>
        <w:t>.</w:t>
      </w:r>
    </w:p>
  </w:footnote>
  <w:footnote w:id="66">
    <w:p w14:paraId="1D0C596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عادل محمد صفوت محمد علي، النظام القانوني لحماية حقوق الملكية الصناعية ومردودها الاقتصادي، مجلة روح القوانين، ع</w:t>
      </w:r>
      <w:r>
        <w:rPr>
          <w:rStyle w:val="None"/>
          <w:rFonts w:ascii="Times New Roman" w:hAnsi="Times New Roman"/>
          <w:sz w:val="24"/>
          <w:szCs w:val="24"/>
          <w:rtl/>
          <w:lang w:val="ar-SA"/>
        </w:rPr>
        <w:t>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581.</w:t>
      </w:r>
    </w:p>
  </w:footnote>
  <w:footnote w:id="67">
    <w:p w14:paraId="7DCE3F1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 المادة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إنشاء الاتحاد ونطاق الملكية الصناعية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١</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تشكِّل الدول التي تسري عليها هذه الاتفاقية اتحادًا لحماية الملكية الصناعية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٢</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حماية الملكية الصناعية براءات الاختراع، ونماذج المنفعة، والرسوم، والنماذج الصناعية، والعلامات الصناعية أو التجارية، وعلامات الخدمة، والاسم التجاري، وبيانات المصدر أو تسميات المنشأ، وكذلك قمع المنافسة غير المشروعة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تؤخذ الملكية الصناعية بأوسع معانيها، فلا يقتصر تطبيقها على الصناعة والتجارة بمعناها الحرفي، وإنما تطبق كذلك على الصناعات الزراعية والاستخراجية، وعلى جميع المنتجات المصنعة أو الطبيعية،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الأنبذة، والحبوب، وأوراق التبغ، والفواكه، والمواشي، والمعادن، والمياه المعدنية، والبيرة، والزهور، والدقيق</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٤</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براءات الاختراع مختلف أنواع البراءات الصناعية التي تقرها تشريعات دول الاتحاد كبَرَاءات الاستيراد، وبراءات التحسين، وبراءات وشهادات الإضافة وغيرها</w:t>
      </w:r>
      <w:r>
        <w:rPr>
          <w:rStyle w:val="None"/>
          <w:rFonts w:ascii="Times New Roman" w:hAnsi="Times New Roman"/>
          <w:sz w:val="24"/>
          <w:szCs w:val="24"/>
          <w:rtl/>
          <w:lang w:val="ar-SA"/>
        </w:rPr>
        <w:t>".</w:t>
      </w:r>
    </w:p>
  </w:footnote>
  <w:footnote w:id="68">
    <w:p w14:paraId="6C577FE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ريماني يونس؛ ورحيلة الشيخ، دور القضاء المدني الجزائري في حقوق الملكية الفكرية، رسالة ماجستير غير منشورة، جامعة بلحاح بوشعيب، الجزائر،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w:t>
      </w:r>
    </w:p>
  </w:footnote>
  <w:footnote w:id="69">
    <w:p w14:paraId="73D2378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المنظمة العالمية للملكية الفكرية الويبو، وثيقة ما هي الملكية الفكرية، مرجع سابق، ص ٤</w:t>
      </w:r>
      <w:r>
        <w:rPr>
          <w:rStyle w:val="None"/>
          <w:rFonts w:ascii="Times New Roman" w:hAnsi="Times New Roman"/>
          <w:sz w:val="24"/>
          <w:szCs w:val="24"/>
          <w:rtl/>
          <w:lang w:val="ar-SA"/>
        </w:rPr>
        <w:t>.</w:t>
      </w:r>
    </w:p>
  </w:footnote>
  <w:footnote w:id="70">
    <w:p w14:paraId="62AA017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المنظمة العالمية للملكية الفكرية الويبو، وثيقة ما هي الملكية الفكرية، مرجع سابق، ص 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٨</w:t>
      </w:r>
      <w:r>
        <w:rPr>
          <w:rStyle w:val="None"/>
          <w:rFonts w:ascii="Times New Roman" w:hAnsi="Times New Roman"/>
          <w:sz w:val="24"/>
          <w:szCs w:val="24"/>
          <w:rtl/>
          <w:lang w:val="ar-SA"/>
        </w:rPr>
        <w:t>.</w:t>
      </w:r>
    </w:p>
  </w:footnote>
  <w:footnote w:id="71">
    <w:p w14:paraId="2F0681E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علي محمد؛ فتاحي محمد، مفهوم براءة الاختراع وآليات حمايتها في التشريع الجزائري، مجلة الحقيقة،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w:t>
      </w:r>
    </w:p>
  </w:footnote>
  <w:footnote w:id="72">
    <w:p w14:paraId="27B24EB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73">
    <w:p w14:paraId="7E81929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189.</w:t>
      </w:r>
    </w:p>
  </w:footnote>
  <w:footnote w:id="74">
    <w:p w14:paraId="4BE2D20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ماهر أبو سريع محمد رفاعي، تداخل الاختصاص بين أحكام التصميمات الصناعية أحكام حقوق المؤلف، المجلة العلمية للملكية الفكرية وإدارة الابتكار،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211.</w:t>
      </w:r>
    </w:p>
  </w:footnote>
  <w:footnote w:id="75">
    <w:p w14:paraId="57A112F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76">
    <w:p w14:paraId="59616A3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محمود أحمد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w:t>
      </w:r>
    </w:p>
  </w:footnote>
  <w:footnote w:id="77">
    <w:p w14:paraId="0933B93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754.</w:t>
      </w:r>
    </w:p>
  </w:footnote>
  <w:footnote w:id="78">
    <w:p w14:paraId="205422A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المادة الأولى من نظام العلامات التجارية مرسوم ملكي رقم م</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28/5/1423.</w:t>
      </w:r>
    </w:p>
  </w:footnote>
  <w:footnote w:id="79">
    <w:p w14:paraId="56C3488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نبيلة بركان، الملكية الفكرية وتأثيرها في الاقتصاد العالمي، رسالة ماجستير غير منشورة، جامعة دالي إبراهيم، الجزائر،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w:t>
      </w:r>
    </w:p>
  </w:footnote>
  <w:footnote w:id="80">
    <w:p w14:paraId="1CC30CC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حسن أحمد، حقوق الملكية الفكرية دورها في حماية المصنفات الرقمية وأسماء النطاقات على شبكة الإنترنت، دار الفكر الجامعي، ۲۰۲۱، بدون طبعه، ص ١٣</w:t>
      </w:r>
      <w:r>
        <w:rPr>
          <w:rStyle w:val="None"/>
          <w:rFonts w:ascii="Times New Roman" w:hAnsi="Times New Roman"/>
          <w:sz w:val="24"/>
          <w:szCs w:val="24"/>
          <w:rtl/>
          <w:lang w:val="ar-SA"/>
        </w:rPr>
        <w:t>.</w:t>
      </w:r>
    </w:p>
  </w:footnote>
  <w:footnote w:id="81">
    <w:p w14:paraId="01CF34E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2"/>
          <w:szCs w:val="22"/>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مسند أحمد، مسند البصريين، حديث عمرو بن يثربي،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شعيب الأرنؤوط، عادل مرشد، وآخرون، إشراف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الله بن عبد المحسن التركي، مؤسسة الرسالة،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34/ 560</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(21082).</w:t>
      </w:r>
    </w:p>
  </w:footnote>
  <w:footnote w:id="82">
    <w:p w14:paraId="052D0AE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أبو الحسين مسلم، </w:t>
      </w:r>
      <w:r>
        <w:rPr>
          <w:rStyle w:val="None"/>
          <w:rFonts w:ascii="Times New Roman" w:hAnsi="Times New Roman"/>
          <w:sz w:val="24"/>
          <w:szCs w:val="24"/>
          <w:rtl/>
          <w:lang w:val="ar-SA"/>
        </w:rPr>
        <w:t>(1955</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صحيح مسلم، كتاب الإيمان، باب قول النبي </w:t>
      </w:r>
      <w:r>
        <w:rPr>
          <w:rStyle w:val="None"/>
          <w:rFonts w:ascii="Arial Unicode MS" w:hAnsi="Arial Unicode MS"/>
          <w:sz w:val="24"/>
          <w:szCs w:val="24"/>
          <w:rtl/>
          <w:lang w:val="ar-SA"/>
        </w:rPr>
        <w:t>ﷺ</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غشنا فليس منا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فؤاد عبد الباقي،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طبعة عيسى البابي الحلبي وشركاه، 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 </w:t>
      </w:r>
      <w:r>
        <w:rPr>
          <w:rStyle w:val="None"/>
          <w:rFonts w:ascii="Times New Roman" w:hAnsi="Times New Roman"/>
          <w:sz w:val="24"/>
          <w:szCs w:val="24"/>
          <w:rtl/>
          <w:lang w:val="ar-SA"/>
        </w:rPr>
        <w:t>1/ 99</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 xml:space="preserve">(102). </w:t>
      </w:r>
    </w:p>
  </w:footnote>
  <w:footnote w:id="83">
    <w:p w14:paraId="2C085EB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مسند أحمد، مسند المكثرين من الصحابة، مسند عبد الله بن مسعود رضي الله تعالى عنه، </w:t>
      </w:r>
      <w:r>
        <w:rPr>
          <w:rStyle w:val="None"/>
          <w:rFonts w:ascii="Times New Roman" w:hAnsi="Times New Roman"/>
          <w:sz w:val="24"/>
          <w:szCs w:val="24"/>
          <w:rtl/>
          <w:lang w:val="ar-SA"/>
        </w:rPr>
        <w:t>7/ 221</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(4157)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انظر الترمذي، أبو عيسى محمد بن عيسى</w:t>
      </w:r>
      <w:r>
        <w:rPr>
          <w:rStyle w:val="None"/>
          <w:rFonts w:ascii="Times New Roman" w:hAnsi="Times New Roman"/>
          <w:sz w:val="24"/>
          <w:szCs w:val="24"/>
          <w:rtl/>
          <w:lang w:val="ar-SA"/>
        </w:rPr>
        <w:t>. (1996</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سنن الترمذي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أبواب العلم عن رسول الله </w:t>
      </w:r>
      <w:r>
        <w:rPr>
          <w:rStyle w:val="None"/>
          <w:rFonts w:ascii="Arial Unicode MS" w:hAnsi="Arial Unicode MS"/>
          <w:sz w:val="24"/>
          <w:szCs w:val="24"/>
          <w:rtl/>
          <w:lang w:val="ar-SA"/>
        </w:rPr>
        <w:t>ﷺ</w:t>
      </w:r>
      <w:r>
        <w:rPr>
          <w:rStyle w:val="None"/>
          <w:rFonts w:ascii="Arial Unicode MS" w:hAnsi="Arial Unicode MS" w:cs="Times New Roman" w:hint="cs"/>
          <w:sz w:val="24"/>
          <w:szCs w:val="24"/>
          <w:rtl/>
          <w:lang w:val="ar-SA"/>
        </w:rPr>
        <w:t>، باب ما جاء في الحث على تبليغ السماع، حققه وعلق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بشار عواد معروف، بيروت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الغرب الإسلامي،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4/ 394</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(2657).</w:t>
      </w:r>
    </w:p>
  </w:footnote>
  <w:footnote w:id="84">
    <w:p w14:paraId="5825992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حقاص صونية، مرجع سابق، ص ٢٢</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٢٣</w:t>
      </w:r>
      <w:r>
        <w:rPr>
          <w:rStyle w:val="None"/>
          <w:rFonts w:ascii="Times New Roman" w:hAnsi="Times New Roman"/>
          <w:sz w:val="24"/>
          <w:szCs w:val="24"/>
          <w:rtl/>
          <w:lang w:val="ar-SA"/>
        </w:rPr>
        <w:t>.</w:t>
      </w:r>
    </w:p>
  </w:footnote>
  <w:footnote w:id="85">
    <w:p w14:paraId="3571D5E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قانون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آن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قانون حقوق الطبع والنشر ١٧٠٩</w:t>
      </w:r>
      <w:r>
        <w:rPr>
          <w:rStyle w:val="None"/>
          <w:rFonts w:ascii="Times New Roman" w:hAnsi="Times New Roman"/>
          <w:sz w:val="24"/>
          <w:szCs w:val="24"/>
          <w:rtl/>
          <w:lang w:val="ar-SA"/>
        </w:rPr>
        <w:t>.</w:t>
      </w:r>
    </w:p>
  </w:footnote>
  <w:footnote w:id="86">
    <w:p w14:paraId="6B2792C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حسن أحمد، مرجع سابق، ص ١٥</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١٦</w:t>
      </w:r>
      <w:r>
        <w:rPr>
          <w:rStyle w:val="None"/>
          <w:rFonts w:ascii="Times New Roman" w:hAnsi="Times New Roman"/>
          <w:sz w:val="24"/>
          <w:szCs w:val="24"/>
          <w:rtl/>
          <w:lang w:val="ar-SA"/>
        </w:rPr>
        <w:t>.</w:t>
      </w:r>
    </w:p>
  </w:footnote>
  <w:footnote w:id="87">
    <w:p w14:paraId="683694F0" w14:textId="77777777" w:rsidR="00454428" w:rsidRDefault="00000000">
      <w:pPr>
        <w:pStyle w:val="Body"/>
        <w:spacing w:after="0" w:line="240" w:lineRule="auto"/>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القانون الفرنسي الصادر في 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مبدأ حماية حقوق المؤلف في فرنسا</w:t>
      </w:r>
      <w:r>
        <w:rPr>
          <w:rStyle w:val="None"/>
          <w:rFonts w:ascii="Times New Roman" w:hAnsi="Times New Roman"/>
          <w:sz w:val="24"/>
          <w:szCs w:val="24"/>
          <w:rtl/>
          <w:lang w:val="ar-SA"/>
        </w:rPr>
        <w:t>.</w:t>
      </w:r>
    </w:p>
  </w:footnote>
  <w:footnote w:id="88">
    <w:p w14:paraId="10FCA15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حسن أحمد، مرجع سابق، ص</w:t>
      </w:r>
      <w:r>
        <w:rPr>
          <w:rStyle w:val="None"/>
          <w:rFonts w:ascii="Times New Roman" w:hAnsi="Times New Roman"/>
          <w:sz w:val="24"/>
          <w:szCs w:val="24"/>
          <w:rtl/>
          <w:lang w:val="ar-SA"/>
        </w:rPr>
        <w:t>16.</w:t>
      </w:r>
    </w:p>
  </w:footnote>
  <w:footnote w:id="89">
    <w:p w14:paraId="46C56A0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مصعب علي أبو صلاح، واقع الملكية الفكرية وأثره على الاستثمار قطاع تكنولوجيا المعلومات في فلسطين، رسالة ماجستير، جامعة النجاح الوطنية،٢٠١٦، ص ٢٦</w:t>
      </w:r>
      <w:r>
        <w:rPr>
          <w:rStyle w:val="None"/>
          <w:rFonts w:ascii="Times New Roman" w:hAnsi="Times New Roman"/>
          <w:sz w:val="24"/>
          <w:szCs w:val="24"/>
          <w:rtl/>
          <w:lang w:val="ar-SA"/>
        </w:rPr>
        <w:t>.</w:t>
      </w:r>
    </w:p>
  </w:footnote>
  <w:footnote w:id="90">
    <w:p w14:paraId="1E80907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أمير الخوري، أساسيات الملكية الفكرية، منشورات مكتب براءات الاختراع والعلامات التجارية للولايات المتحدة، بدون طبعة، ٢٠٠٥، ص ٣٤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٣٥</w:t>
      </w:r>
      <w:r>
        <w:rPr>
          <w:rStyle w:val="None"/>
          <w:rFonts w:ascii="Times New Roman" w:hAnsi="Times New Roman"/>
          <w:sz w:val="24"/>
          <w:szCs w:val="24"/>
          <w:rtl/>
          <w:lang w:val="ar-SA"/>
        </w:rPr>
        <w:t>.</w:t>
      </w:r>
    </w:p>
  </w:footnote>
  <w:footnote w:id="91">
    <w:p w14:paraId="4531FDF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حسن أحمد، مرجع سابق، ص ١٧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١٨</w:t>
      </w:r>
      <w:r>
        <w:rPr>
          <w:rStyle w:val="None"/>
          <w:rFonts w:ascii="Times New Roman" w:hAnsi="Times New Roman"/>
          <w:sz w:val="24"/>
          <w:szCs w:val="24"/>
          <w:rtl/>
          <w:lang w:val="ar-SA"/>
        </w:rPr>
        <w:t>.</w:t>
      </w:r>
    </w:p>
  </w:footnote>
  <w:footnote w:id="92">
    <w:p w14:paraId="29E9C2E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 ص ٦٧٠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٦٧٢</w:t>
      </w:r>
      <w:r>
        <w:rPr>
          <w:rStyle w:val="None"/>
          <w:rFonts w:ascii="Times New Roman" w:hAnsi="Times New Roman"/>
          <w:sz w:val="24"/>
          <w:szCs w:val="24"/>
          <w:rtl/>
          <w:lang w:val="ar-SA"/>
        </w:rPr>
        <w:t>.</w:t>
      </w:r>
    </w:p>
  </w:footnote>
  <w:footnote w:id="93">
    <w:p w14:paraId="07E7ED2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عثمان نعمان محمد، مرجع سابق، ص ٦٧٠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٦٧٢</w:t>
      </w:r>
      <w:r>
        <w:rPr>
          <w:rStyle w:val="None"/>
          <w:rFonts w:ascii="Times New Roman" w:hAnsi="Times New Roman"/>
          <w:sz w:val="24"/>
          <w:szCs w:val="24"/>
          <w:rtl/>
          <w:lang w:val="ar-SA"/>
        </w:rPr>
        <w:t>.</w:t>
      </w:r>
    </w:p>
  </w:footnote>
  <w:footnote w:id="94">
    <w:p w14:paraId="67815F4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عثمان نعمان محمد، مرجع سابق، ص ٦٧٠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٦٧٢</w:t>
      </w:r>
      <w:r>
        <w:rPr>
          <w:rStyle w:val="None"/>
          <w:rFonts w:ascii="Times New Roman" w:hAnsi="Times New Roman"/>
          <w:sz w:val="24"/>
          <w:szCs w:val="24"/>
          <w:rtl/>
          <w:lang w:val="ar-SA"/>
        </w:rPr>
        <w:t>.</w:t>
      </w:r>
    </w:p>
  </w:footnote>
  <w:footnote w:id="95">
    <w:p w14:paraId="6930575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عثمان نعمان محمد، مرجع سابق، ص ٦٧٠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٦٧٢</w:t>
      </w:r>
      <w:r>
        <w:rPr>
          <w:rStyle w:val="None"/>
          <w:rFonts w:ascii="Times New Roman" w:hAnsi="Times New Roman"/>
          <w:sz w:val="24"/>
          <w:szCs w:val="24"/>
          <w:rtl/>
          <w:lang w:val="ar-SA"/>
        </w:rPr>
        <w:t>.</w:t>
      </w:r>
    </w:p>
  </w:footnote>
  <w:footnote w:id="96">
    <w:p w14:paraId="7E949CA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عثمان نعمان محمد، مرجع سابق، ص ٦٧٠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٦٧٢</w:t>
      </w:r>
      <w:r>
        <w:rPr>
          <w:rStyle w:val="None"/>
          <w:rFonts w:ascii="Times New Roman" w:hAnsi="Times New Roman"/>
          <w:sz w:val="24"/>
          <w:szCs w:val="24"/>
          <w:rtl/>
          <w:lang w:val="ar-SA"/>
        </w:rPr>
        <w:t>.</w:t>
      </w:r>
    </w:p>
  </w:footnote>
  <w:footnote w:id="97">
    <w:p w14:paraId="264B3F1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الخالق العاني، اتجاهات جديدة في الحصول على حقوق الملكية الفكرية في سوريا، برنامج الندوة الوطنية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حماية الملكية الفكرية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بدون طبعة، ٢٠١٠، ص ٦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٨</w:t>
      </w:r>
      <w:r>
        <w:rPr>
          <w:rStyle w:val="None"/>
          <w:rFonts w:ascii="Times New Roman" w:hAnsi="Times New Roman"/>
          <w:sz w:val="24"/>
          <w:szCs w:val="24"/>
          <w:rtl/>
          <w:lang w:val="ar-SA"/>
        </w:rPr>
        <w:t>.</w:t>
      </w:r>
    </w:p>
  </w:footnote>
  <w:footnote w:id="98">
    <w:p w14:paraId="2FBF14B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الخالق العاني، مرجع سابق، ص ٦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٨</w:t>
      </w:r>
      <w:r>
        <w:rPr>
          <w:rStyle w:val="None"/>
          <w:rFonts w:ascii="Times New Roman" w:hAnsi="Times New Roman"/>
          <w:sz w:val="24"/>
          <w:szCs w:val="24"/>
          <w:rtl/>
          <w:lang w:val="ar-SA"/>
        </w:rPr>
        <w:t>.</w:t>
      </w:r>
    </w:p>
  </w:footnote>
  <w:footnote w:id="99">
    <w:p w14:paraId="508A8A6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الخالق العاني، مرجع سابق، ص ٦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٨</w:t>
      </w:r>
      <w:r>
        <w:rPr>
          <w:rStyle w:val="None"/>
          <w:rFonts w:ascii="Times New Roman" w:hAnsi="Times New Roman"/>
          <w:sz w:val="24"/>
          <w:szCs w:val="24"/>
          <w:rtl/>
          <w:lang w:val="ar-SA"/>
        </w:rPr>
        <w:t>.</w:t>
      </w:r>
    </w:p>
  </w:footnote>
  <w:footnote w:id="100">
    <w:p w14:paraId="6DEC1D5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غسان فطوم، حقوق المؤلف والملكية الفكرية والحقوق المجاورة في العالم العربي والشرق الأوسط، الاتحاد الدولي للصحفيين منظمة من اتحاد الاتحاد،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w:t>
      </w:r>
    </w:p>
  </w:footnote>
  <w:footnote w:id="101">
    <w:p w14:paraId="162E1B2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الملكية الرقمية في عصر الذكاء الاصطناعي تحديات الواقع والمستقبل، المركز الديمقراطي العربي للدراسات الاستراتيجية والسياسية والاقتصادية، ألمانيا، برلين، الطبعة الأولى، ٢٠٢١، ص ٥٥</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٦٦</w:t>
      </w:r>
      <w:r>
        <w:rPr>
          <w:rStyle w:val="None"/>
          <w:rFonts w:ascii="Times New Roman" w:hAnsi="Times New Roman"/>
          <w:sz w:val="24"/>
          <w:szCs w:val="24"/>
          <w:rtl/>
          <w:lang w:val="ar-SA"/>
        </w:rPr>
        <w:t>.</w:t>
      </w:r>
    </w:p>
  </w:footnote>
  <w:footnote w:id="102">
    <w:p w14:paraId="01D44F6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مرجع سابق، ٢٠٢١، ص ٥٥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٦٦</w:t>
      </w:r>
      <w:r>
        <w:rPr>
          <w:rStyle w:val="None"/>
          <w:rFonts w:ascii="Times New Roman" w:hAnsi="Times New Roman"/>
          <w:sz w:val="24"/>
          <w:szCs w:val="24"/>
          <w:rtl/>
          <w:lang w:val="ar-SA"/>
        </w:rPr>
        <w:t>.</w:t>
      </w:r>
    </w:p>
  </w:footnote>
  <w:footnote w:id="103">
    <w:p w14:paraId="48F7110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مرجع سابق، ٢٠٢١، ص ٥٥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٦٦</w:t>
      </w:r>
      <w:r>
        <w:rPr>
          <w:rStyle w:val="None"/>
          <w:rFonts w:ascii="Times New Roman" w:hAnsi="Times New Roman"/>
          <w:sz w:val="24"/>
          <w:szCs w:val="24"/>
          <w:rtl/>
          <w:lang w:val="ar-SA"/>
        </w:rPr>
        <w:t>.</w:t>
      </w:r>
    </w:p>
  </w:footnote>
  <w:footnote w:id="104">
    <w:p w14:paraId="49547DD4"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z w:val="24"/>
          <w:szCs w:val="24"/>
          <w:rtl/>
          <w:lang w:val="ar-SA"/>
        </w:rPr>
        <w:t xml:space="preserve">Piotraut, J. Des extraits de textes et des décisions (4e ed.). Ellipses, </w:t>
      </w:r>
      <w:r>
        <w:rPr>
          <w:rStyle w:val="None"/>
          <w:rFonts w:ascii="Times New Roman" w:hAnsi="Times New Roman"/>
        </w:rPr>
        <w:t xml:space="preserve"> 2004, </w:t>
      </w:r>
      <w:r>
        <w:rPr>
          <w:rStyle w:val="None"/>
          <w:rFonts w:ascii="Times New Roman" w:hAnsi="Times New Roman"/>
          <w:sz w:val="24"/>
          <w:szCs w:val="24"/>
          <w:rtl/>
          <w:lang w:val="ar-SA"/>
        </w:rPr>
        <w:t xml:space="preserve">  p</w:t>
      </w:r>
      <w:r>
        <w:rPr>
          <w:rStyle w:val="None"/>
          <w:rFonts w:ascii="Times New Roman" w:hAnsi="Times New Roman"/>
        </w:rPr>
        <w:t>67.</w:t>
      </w:r>
    </w:p>
  </w:footnote>
  <w:footnote w:id="105">
    <w:p w14:paraId="496C016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Prospect Law LTD. </w:t>
      </w:r>
      <w:r>
        <w:rPr>
          <w:rStyle w:val="None"/>
          <w:rFonts w:ascii="Times New Roman" w:hAnsi="Times New Roman"/>
          <w:i/>
          <w:iCs/>
        </w:rPr>
        <w:t xml:space="preserve">Intellectual Property in the UK: A Brief Overview, </w:t>
      </w:r>
      <w:r>
        <w:rPr>
          <w:rStyle w:val="None"/>
          <w:rFonts w:ascii="Times New Roman" w:hAnsi="Times New Roman"/>
        </w:rPr>
        <w:t xml:space="preserve">2025. Retrieved from </w:t>
      </w:r>
      <w:hyperlink r:id="rId5" w:history="1">
        <w:r>
          <w:rPr>
            <w:rStyle w:val="Hyperlink0"/>
            <w:rFonts w:eastAsia="Arial Unicode MS"/>
          </w:rPr>
          <w:t>https://prospectlaw.co.uk/news/article/protecting-and-exploiting-uk-intellectual-property/</w:t>
        </w:r>
      </w:hyperlink>
    </w:p>
  </w:footnote>
  <w:footnote w:id="106">
    <w:p w14:paraId="4F7EF95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Helen Dods &amp; Emily Haves. World Intellectual Property Day 26 April 2018. House of Lords Library briefings. 2017, PP 2-3.</w:t>
      </w:r>
    </w:p>
  </w:footnote>
  <w:footnote w:id="107">
    <w:p w14:paraId="5530D43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Al-Musallamawi, F. A. R. A., &amp; Al-Dulaimi, M. M. K. A. Protecting Intellectual Property Rights in Civil Legislation: A Comparative Study Between French Civil Law and Iraqi Civil Law. 2024, PP. 159-160.</w:t>
      </w:r>
    </w:p>
  </w:footnote>
  <w:footnote w:id="108">
    <w:p w14:paraId="4D4A897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Dreyfus. </w:t>
      </w:r>
      <w:r>
        <w:rPr>
          <w:rStyle w:val="None"/>
          <w:rFonts w:ascii="Times New Roman" w:hAnsi="Times New Roman"/>
          <w:i/>
          <w:iCs/>
        </w:rPr>
        <w:t>France’s IP Legislation: Mastering Trademarks in a Global Playground</w:t>
      </w:r>
      <w:r>
        <w:rPr>
          <w:rStyle w:val="None"/>
          <w:rFonts w:ascii="Times New Roman" w:hAnsi="Times New Roman"/>
        </w:rPr>
        <w:t xml:space="preserve">. 2024, Retrieved from  </w:t>
      </w:r>
      <w:hyperlink r:id="rId6" w:history="1">
        <w:r>
          <w:rPr>
            <w:rStyle w:val="Hyperlink0"/>
            <w:rFonts w:eastAsia="Arial Unicode MS"/>
          </w:rPr>
          <w:t>https://www.dreyfus.fr/en/2024/10/21/frances-ip-legislation-mastering-trademarks-in-a-global-playground/</w:t>
        </w:r>
      </w:hyperlink>
    </w:p>
  </w:footnote>
  <w:footnote w:id="109">
    <w:p w14:paraId="3F877BC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Mbah, G. O. US Intellectual Property Law and its Impact on Business: Recent Developments and Trends. </w:t>
      </w:r>
      <w:r>
        <w:rPr>
          <w:rStyle w:val="None"/>
          <w:rFonts w:ascii="Times New Roman" w:hAnsi="Times New Roman"/>
          <w:i/>
          <w:iCs/>
          <w:color w:val="222222"/>
          <w:u w:color="222222"/>
          <w:shd w:val="clear" w:color="auto" w:fill="FFFFFF"/>
        </w:rPr>
        <w:t>International Journal of science and Research Archive</w:t>
      </w:r>
      <w:r>
        <w:rPr>
          <w:rStyle w:val="None"/>
          <w:rFonts w:ascii="Times New Roman" w:hAnsi="Times New Roman"/>
          <w:color w:val="222222"/>
          <w:u w:color="222222"/>
          <w:shd w:val="clear" w:color="auto" w:fill="FFFFFF"/>
        </w:rPr>
        <w:t>, 2024, P. 3281.</w:t>
      </w:r>
    </w:p>
  </w:footnote>
  <w:footnote w:id="110">
    <w:p w14:paraId="4BA394C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 xml:space="preserve">Balganesh, S. (Ed.). </w:t>
      </w:r>
      <w:r>
        <w:rPr>
          <w:rStyle w:val="None"/>
          <w:rFonts w:ascii="Times New Roman" w:hAnsi="Times New Roman"/>
          <w:i/>
          <w:iCs/>
          <w:color w:val="222222"/>
          <w:u w:color="222222"/>
          <w:shd w:val="clear" w:color="auto" w:fill="FFFFFF"/>
        </w:rPr>
        <w:t>Intellectual property and the common law</w:t>
      </w:r>
      <w:r>
        <w:rPr>
          <w:rStyle w:val="None"/>
          <w:rFonts w:ascii="Times New Roman" w:hAnsi="Times New Roman"/>
          <w:color w:val="222222"/>
          <w:u w:color="222222"/>
          <w:shd w:val="clear" w:color="auto" w:fill="FFFFFF"/>
        </w:rPr>
        <w:t>. Cambridge University Press. 2013, PP. 64-65.</w:t>
      </w:r>
    </w:p>
  </w:footnote>
  <w:footnote w:id="111">
    <w:p w14:paraId="5D902F5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Kmetyk, K., &amp; Beluga, Y. TYPES OF INTELLECTUAL PROPERTY RIGHTS IN THE UNITED KINGDOM. </w:t>
      </w:r>
      <w:r>
        <w:rPr>
          <w:rStyle w:val="None"/>
          <w:rFonts w:ascii="Times New Roman" w:hAnsi="Times New Roman"/>
          <w:i/>
          <w:iCs/>
          <w:color w:val="222222"/>
          <w:u w:color="222222"/>
          <w:shd w:val="clear" w:color="auto" w:fill="FFFFFF"/>
        </w:rPr>
        <w:t>Scientific works of National Aviation University. Series: Law Journal" Air and Space Law"</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1</w:t>
      </w:r>
      <w:r>
        <w:rPr>
          <w:rStyle w:val="None"/>
          <w:rFonts w:ascii="Times New Roman" w:hAnsi="Times New Roman"/>
          <w:color w:val="222222"/>
          <w:u w:color="222222"/>
          <w:shd w:val="clear" w:color="auto" w:fill="FFFFFF"/>
        </w:rPr>
        <w:t>(62), P. 106.</w:t>
      </w:r>
    </w:p>
  </w:footnote>
  <w:footnote w:id="112">
    <w:p w14:paraId="7F754FFB"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lawyersitaly.eu. </w:t>
      </w:r>
      <w:r>
        <w:rPr>
          <w:rStyle w:val="None"/>
          <w:rFonts w:ascii="Times New Roman" w:hAnsi="Times New Roman"/>
          <w:i/>
          <w:iCs/>
        </w:rPr>
        <w:t>Intellectual Property in Italy</w:t>
      </w:r>
      <w:r>
        <w:rPr>
          <w:rStyle w:val="None"/>
          <w:rFonts w:ascii="Times New Roman" w:hAnsi="Times New Roman"/>
        </w:rPr>
        <w:t xml:space="preserve">. 2025, Retrieved from </w:t>
      </w:r>
      <w:hyperlink r:id="rId7" w:history="1">
        <w:r>
          <w:rPr>
            <w:rStyle w:val="Hyperlink0"/>
            <w:rFonts w:eastAsia="Arial Unicode MS"/>
          </w:rPr>
          <w:t>https://lawyersitaly.eu/intellectual-property-in-italy/</w:t>
        </w:r>
      </w:hyperlink>
    </w:p>
  </w:footnote>
  <w:footnote w:id="113">
    <w:p w14:paraId="528A4A8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Traverso, M. INTELLECTUAL PROPERTY A tool for economic growth in the third millennium An Overview of Italian IP Law. UffICIO ITALIANO BREvETTI E MARChI. The Licensing Executives Society (LES). ministero dello sviluppo economico dipArtimento per l’impresA e l’internAzionAlizzAzione direzione generAle per lA lottA AllA contrAffAzione. 2010, PP.8-9.</w:t>
      </w:r>
    </w:p>
  </w:footnote>
  <w:footnote w:id="114">
    <w:p w14:paraId="1E5A81CD"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rPr>
        <w:t>ITALIAN COPYRIGHT STATUTE. Law for the Protection of Copyright and Neighbouring Rights (Law No. 633 of April 22, 1941, as last amended by Legislative Decree No. 68, of April 9, 2003). P. 3.</w:t>
      </w:r>
    </w:p>
  </w:footnote>
  <w:footnote w:id="115">
    <w:p w14:paraId="11325E0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Peukert, A. Introduction to Intellectual Property Law in Germany. 2023, </w:t>
      </w:r>
      <w:r>
        <w:rPr>
          <w:rStyle w:val="None"/>
          <w:rFonts w:ascii="Times New Roman" w:hAnsi="Times New Roman"/>
          <w:i/>
          <w:iCs/>
          <w:color w:val="222222"/>
          <w:u w:color="222222"/>
          <w:shd w:val="clear" w:color="auto" w:fill="FFFFFF"/>
        </w:rPr>
        <w:t>Available at SSRN 4599740</w:t>
      </w:r>
      <w:r>
        <w:rPr>
          <w:rStyle w:val="None"/>
          <w:rFonts w:ascii="Times New Roman" w:hAnsi="Times New Roman"/>
          <w:color w:val="222222"/>
          <w:u w:color="222222"/>
          <w:shd w:val="clear" w:color="auto" w:fill="FFFFFF"/>
        </w:rPr>
        <w:t>. P. 2</w:t>
      </w:r>
    </w:p>
  </w:footnote>
  <w:footnote w:id="116">
    <w:p w14:paraId="544D1F9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Hong, J., Edler, J., &amp; Massini, S. Evolution of the Chinese intellectual property rights system: IPR law revisions and enforcement. </w:t>
      </w:r>
      <w:r>
        <w:rPr>
          <w:rStyle w:val="None"/>
          <w:rFonts w:ascii="Times New Roman" w:hAnsi="Times New Roman"/>
          <w:i/>
          <w:iCs/>
          <w:color w:val="222222"/>
          <w:u w:color="222222"/>
          <w:shd w:val="clear" w:color="auto" w:fill="FFFFFF"/>
        </w:rPr>
        <w:t>Management and Organization Review</w:t>
      </w:r>
      <w:r>
        <w:rPr>
          <w:rStyle w:val="None"/>
          <w:rFonts w:ascii="Times New Roman" w:hAnsi="Times New Roman"/>
          <w:color w:val="222222"/>
          <w:u w:color="222222"/>
          <w:shd w:val="clear" w:color="auto" w:fill="FFFFFF"/>
        </w:rPr>
        <w:t>, 2022, </w:t>
      </w:r>
      <w:r>
        <w:rPr>
          <w:rStyle w:val="None"/>
          <w:rFonts w:ascii="Times New Roman" w:hAnsi="Times New Roman"/>
          <w:i/>
          <w:iCs/>
          <w:color w:val="222222"/>
          <w:u w:color="222222"/>
          <w:shd w:val="clear" w:color="auto" w:fill="FFFFFF"/>
        </w:rPr>
        <w:t>18</w:t>
      </w:r>
      <w:r>
        <w:rPr>
          <w:rStyle w:val="None"/>
          <w:rFonts w:ascii="Times New Roman" w:hAnsi="Times New Roman"/>
          <w:color w:val="222222"/>
          <w:u w:color="222222"/>
          <w:shd w:val="clear" w:color="auto" w:fill="FFFFFF"/>
        </w:rPr>
        <w:t>(4), PP. 1-2.</w:t>
      </w:r>
    </w:p>
  </w:footnote>
  <w:footnote w:id="117">
    <w:p w14:paraId="2DC275F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color w:val="222222"/>
          <w:u w:color="222222"/>
          <w:shd w:val="clear" w:color="auto" w:fill="FFFFFF"/>
        </w:rPr>
        <w:t>Chen, L. The evolution of intellectual property protection in China. </w:t>
      </w:r>
      <w:r>
        <w:rPr>
          <w:rStyle w:val="None"/>
          <w:rFonts w:ascii="Times New Roman" w:hAnsi="Times New Roman"/>
          <w:i/>
          <w:iCs/>
          <w:color w:val="222222"/>
          <w:u w:color="222222"/>
          <w:shd w:val="clear" w:color="auto" w:fill="FFFFFF"/>
        </w:rPr>
        <w:t>Ibusiness</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7</w:t>
      </w:r>
      <w:r>
        <w:rPr>
          <w:rStyle w:val="None"/>
          <w:rFonts w:ascii="Times New Roman" w:hAnsi="Times New Roman"/>
          <w:color w:val="222222"/>
          <w:u w:color="222222"/>
          <w:shd w:val="clear" w:color="auto" w:fill="FFFFFF"/>
        </w:rPr>
        <w:t>(01), 2015, PP. 66-67.</w:t>
      </w:r>
    </w:p>
  </w:footnote>
  <w:footnote w:id="118">
    <w:p w14:paraId="1833895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الهيئة السعودية للملكية الفكرية</w:t>
      </w:r>
      <w:r>
        <w:rPr>
          <w:rStyle w:val="None"/>
          <w:rFonts w:ascii="Times New Roman" w:hAnsi="Times New Roman"/>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٢٠٢٣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تقارير ومبادرات الحماية الفكرية</w:t>
      </w:r>
      <w:r>
        <w:rPr>
          <w:rStyle w:val="None"/>
          <w:rFonts w:ascii="Times New Roman" w:hAnsi="Times New Roman"/>
          <w:sz w:val="24"/>
          <w:szCs w:val="24"/>
          <w:rtl/>
          <w:lang w:val="ar-SA"/>
        </w:rPr>
        <w:t>.</w:t>
      </w:r>
    </w:p>
  </w:footnote>
  <w:footnote w:id="119">
    <w:p w14:paraId="0C2808C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منال جابر محمد عكاشة، وعي اختصاص المكتبات والمعلومات في مكتبة الملك عبد الله بجامعة أم القرص</w:t>
      </w:r>
      <w:r>
        <w:rPr>
          <w:rStyle w:val="None"/>
          <w:rFonts w:ascii="Times New Roman" w:hAnsi="Times New Roman"/>
          <w:sz w:val="24"/>
          <w:szCs w:val="24"/>
          <w:rtl/>
          <w:lang w:val="ar-SA"/>
        </w:rPr>
        <w:t>153.</w:t>
      </w:r>
    </w:p>
  </w:footnote>
  <w:footnote w:id="120">
    <w:p w14:paraId="76E562A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1594.</w:t>
      </w:r>
    </w:p>
  </w:footnote>
  <w:footnote w:id="121">
    <w:p w14:paraId="5907836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تنظيم الهيئة السعودية للملكية الفكرية قرار مجلس الوزراء رقم </w:t>
      </w:r>
      <w:r>
        <w:rPr>
          <w:rStyle w:val="None"/>
          <w:rFonts w:ascii="Times New Roman" w:hAnsi="Times New Roman"/>
          <w:sz w:val="24"/>
          <w:szCs w:val="24"/>
          <w:rtl/>
          <w:lang w:val="ar-SA"/>
        </w:rPr>
        <w:t xml:space="preserve">(496)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1439/9/14 </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122">
    <w:p w14:paraId="1047F5B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الهيئة السعودية للملكية الفكرية </w:t>
      </w:r>
      <w:hyperlink r:id="rId8" w:history="1">
        <w:r>
          <w:rPr>
            <w:rStyle w:val="Hyperlink0"/>
            <w:rFonts w:eastAsia="Arial Unicode MS"/>
          </w:rPr>
          <w:t>https://www.saip.gov.sa/committees-secretariat</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footnote>
  <w:footnote w:id="123">
    <w:p w14:paraId="33AAEA7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الهيئة السعودية للملكية الفكرية  </w:t>
      </w:r>
      <w:hyperlink r:id="rId9" w:history="1">
        <w:r>
          <w:rPr>
            <w:rStyle w:val="Hyperlink0"/>
            <w:rFonts w:eastAsia="Arial Unicode MS"/>
          </w:rPr>
          <w:t>https://www.saip.gov.sa/committees-secretariat/1457</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footnote>
  <w:footnote w:id="124">
    <w:p w14:paraId="3EF0ACE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الهيئة السعودية للملكية الفكرية </w:t>
      </w:r>
      <w:hyperlink r:id="rId10" w:history="1">
        <w:r>
          <w:rPr>
            <w:rStyle w:val="Hyperlink0"/>
            <w:rFonts w:eastAsia="Arial Unicode MS"/>
          </w:rPr>
          <w:t>https://www.saip.gov.sa/committees-secretariat/1456</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footnote>
  <w:footnote w:id="125">
    <w:p w14:paraId="3226923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الهيئة السعودية للملكية الفكرية  </w:t>
      </w:r>
      <w:hyperlink r:id="rId11" w:history="1">
        <w:r>
          <w:rPr>
            <w:rStyle w:val="Hyperlink0"/>
            <w:rFonts w:eastAsia="Arial Unicode MS"/>
          </w:rPr>
          <w:t>https://www.saip.gov.sa/committees-secretariat/1412</w:t>
        </w:r>
        <w:r>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footnote>
  <w:footnote w:id="126">
    <w:p w14:paraId="0CC4B9A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خديجة</w:t>
      </w:r>
      <w:r>
        <w:rPr>
          <w:rStyle w:val="None"/>
          <w:rFonts w:ascii="Times New Roman" w:hAnsi="Times New Roman"/>
        </w:rPr>
        <w:t xml:space="preserve"> </w:t>
      </w:r>
      <w:r>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1044.</w:t>
      </w:r>
    </w:p>
  </w:footnote>
  <w:footnote w:id="127">
    <w:p w14:paraId="721200F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شنوف معمر،  دور الهيئات الدولية لحماية المليكة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188.</w:t>
      </w:r>
    </w:p>
  </w:footnote>
  <w:footnote w:id="128">
    <w:p w14:paraId="37BB2B3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Pr>
          <w:rStyle w:val="None"/>
          <w:rFonts w:ascii="Times New Roman" w:hAnsi="Times New Roman"/>
          <w:sz w:val="24"/>
          <w:szCs w:val="24"/>
          <w:vertAlign w:val="superscript"/>
          <w:rtl/>
          <w:lang w:val="ar-SA"/>
        </w:rPr>
        <w:t xml:space="preserve">) </w:t>
      </w:r>
      <w:r>
        <w:rPr>
          <w:rStyle w:val="None"/>
          <w:rFonts w:ascii="Arial Unicode MS" w:hAnsi="Arial Unicode MS" w:cs="Times New Roman" w:hint="cs"/>
          <w:sz w:val="24"/>
          <w:szCs w:val="24"/>
          <w:rtl/>
          <w:lang w:val="ar-SA"/>
        </w:rPr>
        <w:t>نبيل بدر الدين، 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193.</w:t>
      </w:r>
    </w:p>
  </w:footnote>
  <w:footnote w:id="129">
    <w:p w14:paraId="2276AF9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رشيد بن راشد؛ حسنية بلحاج،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النظريات الإعلامية والميديا الجديدة، مجلة المعيار، مج</w:t>
      </w:r>
      <w:r>
        <w:rPr>
          <w:rStyle w:val="None"/>
          <w:rFonts w:ascii="Times New Roman" w:hAnsi="Times New Roman"/>
          <w:sz w:val="24"/>
          <w:szCs w:val="24"/>
          <w:rtl/>
          <w:lang w:val="ar-SA"/>
        </w:rPr>
        <w:t>13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797.</w:t>
      </w:r>
    </w:p>
  </w:footnote>
  <w:footnote w:id="130">
    <w:p w14:paraId="3E3ABA9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الجزائر،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50.</w:t>
      </w:r>
    </w:p>
  </w:footnote>
  <w:footnote w:id="131">
    <w:p w14:paraId="6E1566C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لطيفة علي الكميشي، تسويق المعلومات في البيئة الرقمية، المجلة العربية الدولية لدراسات المكتبات والمعلومات،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57.</w:t>
      </w:r>
    </w:p>
  </w:footnote>
  <w:footnote w:id="132">
    <w:p w14:paraId="4613FEE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مريم عبد الحكيم رمضان، مدى وعي الباحثين بحقوق الملكية الفكرية للمؤلف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791.</w:t>
      </w:r>
    </w:p>
  </w:footnote>
  <w:footnote w:id="133">
    <w:p w14:paraId="08261F3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عطية بدر الدين؛ ناجية قموح،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إشكالية المصطلح، أصله وأبعاده، أعلم،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119.</w:t>
      </w:r>
    </w:p>
  </w:footnote>
  <w:footnote w:id="134">
    <w:p w14:paraId="39881EC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109.</w:t>
      </w:r>
    </w:p>
  </w:footnote>
  <w:footnote w:id="135">
    <w:p w14:paraId="3612838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أماني فوزي أحمد طه، الآثار الاقتصادية للفجوة الرقمية بين دول العالم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الفجوة الرقمية بين الدول النامية والدول المتقدمة،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w:t>
      </w:r>
    </w:p>
  </w:footnote>
  <w:footnote w:id="136">
    <w:p w14:paraId="7F4D935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نجاة سامي هادف، إدارة وتسيير الموارد البشرية في البيئة الرقمية تحديات وآفاق، مجلة علوم الإنسان والمجتمع،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244.</w:t>
      </w:r>
    </w:p>
  </w:footnote>
  <w:footnote w:id="137">
    <w:p w14:paraId="5E1A1F4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266.</w:t>
      </w:r>
    </w:p>
  </w:footnote>
  <w:footnote w:id="138">
    <w:p w14:paraId="2B2F13A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266.</w:t>
      </w:r>
    </w:p>
  </w:footnote>
  <w:footnote w:id="139">
    <w:p w14:paraId="4811C93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بوجفجوف الزهرة، ملامح البيئة الرقمية في الجزائر بين الواقع والمأمول، مجلة أبحاث،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54.</w:t>
      </w:r>
    </w:p>
  </w:footnote>
  <w:footnote w:id="140">
    <w:p w14:paraId="6D61B4E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حاتم أحمد محمد بطيخ، تطور السياسة التشريعية في مجال مكافحة جرائم تقنية المعلومات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تحليلية مقارنة، مجلة الدراسات القانونية والاقتصادية،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w:t>
      </w:r>
    </w:p>
  </w:footnote>
  <w:footnote w:id="141">
    <w:p w14:paraId="5866AF6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30.</w:t>
      </w:r>
    </w:p>
  </w:footnote>
  <w:footnote w:id="142">
    <w:p w14:paraId="7664E5C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بخوش عائشة؛ بن شريف الحسناء عائشة، البيئة الرقمية وأثرها على الأداء الوظيفي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 أ</w:t>
      </w:r>
      <w:r>
        <w:rPr>
          <w:rStyle w:val="None"/>
          <w:rFonts w:ascii="Times New Roman" w:hAnsi="Times New Roman"/>
          <w:sz w:val="24"/>
          <w:szCs w:val="24"/>
          <w:rtl/>
          <w:lang w:val="ar-SA"/>
        </w:rPr>
        <w:t>.</w:t>
      </w:r>
    </w:p>
  </w:footnote>
  <w:footnote w:id="143">
    <w:p w14:paraId="17D0D75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95.</w:t>
      </w:r>
    </w:p>
  </w:footnote>
  <w:footnote w:id="144">
    <w:p w14:paraId="41E1233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110.</w:t>
      </w:r>
    </w:p>
  </w:footnote>
  <w:footnote w:id="145">
    <w:p w14:paraId="7510677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94.</w:t>
      </w:r>
    </w:p>
  </w:footnote>
  <w:footnote w:id="146">
    <w:p w14:paraId="115F324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336.</w:t>
      </w:r>
    </w:p>
  </w:footnote>
  <w:footnote w:id="147">
    <w:p w14:paraId="0C19929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ريهان محروس السيد إبراهيم الفخراني، أثر أنظمة الذكاء الاصطناعي على حقوق الملكية الفكرية، مجلة روح القوانين، ع</w:t>
      </w:r>
      <w:r>
        <w:rPr>
          <w:rStyle w:val="None"/>
          <w:rFonts w:ascii="Times New Roman" w:hAnsi="Times New Roman"/>
          <w:sz w:val="24"/>
          <w:szCs w:val="24"/>
          <w:rtl/>
          <w:lang w:val="ar-SA"/>
        </w:rPr>
        <w:t>106</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1180.</w:t>
      </w:r>
    </w:p>
  </w:footnote>
  <w:footnote w:id="148">
    <w:p w14:paraId="4C1A2DF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1641.</w:t>
      </w:r>
    </w:p>
  </w:footnote>
  <w:footnote w:id="149">
    <w:p w14:paraId="2361EE3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من نظام براءات الاختراع والتصميمات التخطيطية للدارات المتكاملة والأصناف النباتية والنماذج الصناعية الصادر بالمرسوم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150">
    <w:p w14:paraId="7EFB8DA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إبراهيم محمد إبراهيم المحيميد؛ علياء سعود الشطيطي، الملكية الفكرية للذكاء الاصطناعي، المجلة العلمية بكلية الآداب، ع</w:t>
      </w:r>
      <w:r>
        <w:rPr>
          <w:rStyle w:val="None"/>
          <w:rFonts w:ascii="Times New Roman" w:hAnsi="Times New Roman"/>
          <w:sz w:val="24"/>
          <w:szCs w:val="24"/>
          <w:rtl/>
          <w:lang w:val="ar-SA"/>
        </w:rPr>
        <w:t>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1880.</w:t>
      </w:r>
    </w:p>
  </w:footnote>
  <w:footnote w:id="151">
    <w:p w14:paraId="13759D2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ريهان محروس السيد إبراهيم الفخراني، أثر أنظمة الذكاء الاصطناعي على حقوق الملكية الفكرية، مرجع سابق، ص</w:t>
      </w:r>
      <w:r>
        <w:rPr>
          <w:rStyle w:val="None"/>
          <w:rFonts w:ascii="Times New Roman" w:hAnsi="Times New Roman"/>
          <w:sz w:val="24"/>
          <w:szCs w:val="24"/>
          <w:rtl/>
          <w:lang w:val="ar-SA"/>
        </w:rPr>
        <w:t>1194.</w:t>
      </w:r>
    </w:p>
  </w:footnote>
  <w:footnote w:id="152">
    <w:p w14:paraId="2219B8A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فازية بو علوط، أثر الذكاء الاصطناعي على حقوق الملكية الفكرية، المجلة الأكاديمية للبحث القانوني،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386.</w:t>
      </w:r>
    </w:p>
  </w:footnote>
  <w:footnote w:id="153">
    <w:p w14:paraId="4FCDCB5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مريم زان، التجارة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119.</w:t>
      </w:r>
    </w:p>
  </w:footnote>
  <w:footnote w:id="154">
    <w:p w14:paraId="24FDA47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29.</w:t>
      </w:r>
    </w:p>
  </w:footnote>
  <w:footnote w:id="155">
    <w:p w14:paraId="319A378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35.</w:t>
      </w:r>
    </w:p>
  </w:footnote>
  <w:footnote w:id="156">
    <w:p w14:paraId="0450090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37.</w:t>
      </w:r>
    </w:p>
  </w:footnote>
  <w:footnote w:id="157">
    <w:p w14:paraId="0D77687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ألمانيا،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136.</w:t>
      </w:r>
    </w:p>
  </w:footnote>
  <w:footnote w:id="158">
    <w:p w14:paraId="38EED6E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1543.</w:t>
      </w:r>
    </w:p>
  </w:footnote>
  <w:footnote w:id="159">
    <w:p w14:paraId="3DB613B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1281.</w:t>
      </w:r>
    </w:p>
  </w:footnote>
  <w:footnote w:id="160">
    <w:p w14:paraId="0D1EF9C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35.</w:t>
      </w:r>
    </w:p>
  </w:footnote>
  <w:footnote w:id="161">
    <w:p w14:paraId="7860CD6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48.</w:t>
      </w:r>
    </w:p>
  </w:footnote>
  <w:footnote w:id="162">
    <w:p w14:paraId="34B6177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زين الدين صلاح سلمان أسمر، الملكية الفكرية نشأتها ونطاقها وعناصرها وأهميتها، 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w:t>
      </w:r>
    </w:p>
  </w:footnote>
  <w:footnote w:id="163">
    <w:p w14:paraId="48AFA2C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62.</w:t>
      </w:r>
    </w:p>
  </w:footnote>
  <w:footnote w:id="164">
    <w:p w14:paraId="15045EA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جابر بن مرهون فليفل، أهمية حماية الملكية الفكرية، تواصل،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61. </w:t>
      </w:r>
    </w:p>
  </w:footnote>
  <w:footnote w:id="165">
    <w:p w14:paraId="63AFBC2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سمية بالعربي؛ حمو فرحات، الوساطة في الملكية الفكرية، دراسات،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127.</w:t>
      </w:r>
    </w:p>
  </w:footnote>
  <w:footnote w:id="166">
    <w:p w14:paraId="67D2FB30" w14:textId="77777777" w:rsidR="00454428" w:rsidRDefault="00000000">
      <w:pPr>
        <w:pStyle w:val="FootnoteText"/>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التقرير العالمي للملكية الفكرية الويبو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w:t>
      </w:r>
      <w:hyperlink r:id="rId12" w:history="1">
        <w:r>
          <w:rPr>
            <w:rStyle w:val="Hyperlink0"/>
            <w:rFonts w:eastAsia="Arial Unicode MS"/>
          </w:rPr>
          <w:t>https://www.wipo.int/pressroom/ar/articles/2024/article_0004.html?utm_source=chatgpt.com</w:t>
        </w:r>
      </w:hyperlink>
      <w:r>
        <w:rPr>
          <w:rStyle w:val="None"/>
          <w:rFonts w:ascii="Times New Roman" w:hAnsi="Times New Roman"/>
          <w:sz w:val="24"/>
          <w:szCs w:val="24"/>
          <w:rtl/>
          <w:lang w:val="ar-SA"/>
        </w:rPr>
        <w:t xml:space="preserve"> .</w:t>
      </w:r>
    </w:p>
  </w:footnote>
  <w:footnote w:id="167">
    <w:p w14:paraId="23FB4F6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حكيمة عطا وشاح؛ وخالدة عبد الله، حقوق الملكية الفكرية وتأثيرها على اخلاقيات البحث العلمي في البيئة الرقمية، مجلة آداب المستنصرية، ع</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518.</w:t>
      </w:r>
    </w:p>
  </w:footnote>
  <w:footnote w:id="168">
    <w:p w14:paraId="7B2222F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تأثير الملكية الفكرية عبر الإنترنت على التطورات السياسية والاقتصادية العالمية، المنعقد في أغسطس، مصر،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4. </w:t>
      </w:r>
    </w:p>
  </w:footnote>
  <w:footnote w:id="169">
    <w:p w14:paraId="67A55EC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نايف عبد الله العمادي،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الزرقاء، الأردن،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4. </w:t>
      </w:r>
    </w:p>
  </w:footnote>
  <w:footnote w:id="170">
    <w:p w14:paraId="4E32303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1281.</w:t>
      </w:r>
    </w:p>
  </w:footnote>
  <w:footnote w:id="171">
    <w:p w14:paraId="7671919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w:t>
      </w:r>
    </w:p>
  </w:footnote>
  <w:footnote w:id="172">
    <w:p w14:paraId="7DEB2A3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مها بنت مخلد العتيبي، الابتكار في حقوق الملكية الأدبية والفنية،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مج</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499.</w:t>
      </w:r>
    </w:p>
  </w:footnote>
  <w:footnote w:id="173">
    <w:p w14:paraId="41C0650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91.</w:t>
      </w:r>
    </w:p>
  </w:footnote>
  <w:footnote w:id="174">
    <w:p w14:paraId="0CF011D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من اتفاقية تريبس</w:t>
      </w:r>
      <w:r>
        <w:rPr>
          <w:rStyle w:val="None"/>
          <w:rFonts w:ascii="Times New Roman" w:hAnsi="Times New Roman"/>
          <w:sz w:val="24"/>
          <w:szCs w:val="24"/>
          <w:rtl/>
          <w:lang w:val="ar-SA"/>
        </w:rPr>
        <w:t>.</w:t>
      </w:r>
    </w:p>
  </w:footnote>
  <w:footnote w:id="175">
    <w:p w14:paraId="70EA02B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w:t>
      </w:r>
    </w:p>
  </w:footnote>
  <w:footnote w:id="176">
    <w:p w14:paraId="5C77A9A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رضا علي البوسراية، الحماية المدنية للحق المعنوي للمؤلف في التشريعين الأردني والعراقي،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رسالة ماجستير غير منشورة، جامعة الشرق الأوسط، الأردن،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81.</w:t>
      </w:r>
    </w:p>
  </w:footnote>
  <w:footnote w:id="177">
    <w:p w14:paraId="75B4774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ديما ناجح المجالي؛ أحمد عبد القادر المجالي، أثر الاقتصاد الرقمي على النشاط الاقتصادي في الدول العربية، مجلة الدراسات الاقتصادية،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34.</w:t>
      </w:r>
    </w:p>
  </w:footnote>
  <w:footnote w:id="178">
    <w:p w14:paraId="2750080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118.</w:t>
      </w:r>
    </w:p>
  </w:footnote>
  <w:footnote w:id="179">
    <w:p w14:paraId="4450C15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السيد محمد ذكي حسن، الاقتصاد الرقمي، مجلة روح القوانين، ع</w:t>
      </w:r>
      <w:r>
        <w:rPr>
          <w:rStyle w:val="None"/>
          <w:rFonts w:ascii="Times New Roman" w:hAnsi="Times New Roman"/>
          <w:sz w:val="24"/>
          <w:szCs w:val="24"/>
          <w:rtl/>
          <w:lang w:val="ar-SA"/>
        </w:rPr>
        <w:t>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w:t>
      </w:r>
    </w:p>
  </w:footnote>
  <w:footnote w:id="180">
    <w:p w14:paraId="69162DC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نعيمة سحقي، الاقتصاد الرقمي في الجزائر الفرص والتحديات،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ولحاج، الجزائر،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37.</w:t>
      </w:r>
    </w:p>
  </w:footnote>
  <w:footnote w:id="181">
    <w:p w14:paraId="12E6F8D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فاطمة مصفح؛ وزينة أيت علي، مفهوم الدفع الإلكتروني وتمييزه عن الدفع التقليدي، مجلة البحوث والدراسات القانونية والسياسية، مج</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224.</w:t>
      </w:r>
    </w:p>
  </w:footnote>
  <w:footnote w:id="182">
    <w:p w14:paraId="41E5503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مصطفى محمد عمر، النظام القانوني لوسائل الدفع الإلكتروني في العمليات المصرفية، المجلة القانونية، 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1486.</w:t>
      </w:r>
    </w:p>
  </w:footnote>
  <w:footnote w:id="183">
    <w:p w14:paraId="1543D88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البنك المركزي السعودي،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13" w:history="1">
        <w:r>
          <w:rPr>
            <w:rStyle w:val="Hyperlink2"/>
          </w:rPr>
          <w:t>https://www.sama.gov.sa/ar-sa/News/Pages/news-1083.aspx</w:t>
        </w:r>
      </w:hyperlink>
      <w:r>
        <w:rPr>
          <w:rStyle w:val="None"/>
          <w:rFonts w:ascii="Times New Roman" w:hAnsi="Times New Roman"/>
          <w:sz w:val="24"/>
          <w:szCs w:val="24"/>
          <w:rtl/>
          <w:lang w:val="ar-SA"/>
        </w:rPr>
        <w:t xml:space="preserve"> </w:t>
      </w:r>
    </w:p>
  </w:footnote>
  <w:footnote w:id="184">
    <w:p w14:paraId="66D5840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317.</w:t>
      </w:r>
    </w:p>
  </w:footnote>
  <w:footnote w:id="185">
    <w:p w14:paraId="283634F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مبروك العديلي، التسويق الإلكتروني، دار أمجد للنشر والتوزيع، الأردن،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w:t>
      </w:r>
    </w:p>
  </w:footnote>
  <w:footnote w:id="186">
    <w:p w14:paraId="4299D0D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ل </w:t>
      </w:r>
      <w:r>
        <w:rPr>
          <w:rStyle w:val="None"/>
          <w:rFonts w:ascii="Calibri Light" w:hAnsi="Calibri Light"/>
          <w:sz w:val="24"/>
          <w:szCs w:val="24"/>
        </w:rPr>
        <w:t>mordor intelligence</w:t>
      </w:r>
      <w:r>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14" w:history="1">
        <w:r>
          <w:rPr>
            <w:rStyle w:val="Hyperlink2"/>
          </w:rPr>
          <w:t>https://www.mordorintelligence.com/ar/industry-reports/saudi-arabia-ecommerce-market</w:t>
        </w:r>
      </w:hyperlink>
      <w:r>
        <w:rPr>
          <w:rStyle w:val="None"/>
          <w:rFonts w:ascii="Times New Roman" w:hAnsi="Times New Roman"/>
          <w:sz w:val="24"/>
          <w:szCs w:val="24"/>
          <w:rtl/>
          <w:lang w:val="ar-SA"/>
        </w:rPr>
        <w:t xml:space="preserve"> </w:t>
      </w:r>
    </w:p>
  </w:footnote>
  <w:footnote w:id="187">
    <w:p w14:paraId="21ED0F3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سلمى عزت شاهين نبيل شاهين، دور قانون تشجيع الاستثمار في تنمية الابداعات في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23.</w:t>
      </w:r>
    </w:p>
  </w:footnote>
  <w:footnote w:id="188">
    <w:p w14:paraId="1E6E4FC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الرحمان زيرق؛ وجعيرن بشير، حقوق الملكية الفكرية والاستثمار على ضوء القانون </w:t>
      </w:r>
      <w:r>
        <w:rPr>
          <w:rStyle w:val="None"/>
          <w:rFonts w:ascii="Times New Roman" w:hAnsi="Times New Roman"/>
          <w:sz w:val="24"/>
          <w:szCs w:val="24"/>
          <w:rtl/>
          <w:lang w:val="ar-SA"/>
        </w:rPr>
        <w:t xml:space="preserve">22/18 </w:t>
      </w:r>
      <w:r>
        <w:rPr>
          <w:rStyle w:val="None"/>
          <w:rFonts w:ascii="Arial Unicode MS" w:hAnsi="Arial Unicode MS" w:cs="Times New Roman" w:hint="cs"/>
          <w:sz w:val="24"/>
          <w:szCs w:val="24"/>
          <w:rtl/>
          <w:lang w:val="ar-SA"/>
        </w:rPr>
        <w:t>المتعلق بالاستثمار، مجلة الدراسات القانونية والسياسية،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225.</w:t>
      </w:r>
    </w:p>
  </w:footnote>
  <w:footnote w:id="189">
    <w:p w14:paraId="08F877F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فاطيمة ربوح، الاستثمار والملكية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ابن خلدون، الجزائر،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w:t>
      </w:r>
    </w:p>
  </w:footnote>
  <w:footnote w:id="190">
    <w:p w14:paraId="3F1F084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الأولى من اللائحة التنفيذية لنظام الاستثمار الصادر بموجب المرسوم الملكي رقم م</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16/1/1446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191">
    <w:p w14:paraId="248EA6C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غادة عبد الكريم جاد، أثر حماية الملكية الفكرية على الاستثمار دراسة مقارنة، مجلة الدراسات القانونية والاقتصادية،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2391.</w:t>
      </w:r>
    </w:p>
  </w:footnote>
  <w:footnote w:id="192">
    <w:p w14:paraId="0FA0DF3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856.</w:t>
      </w:r>
    </w:p>
  </w:footnote>
  <w:footnote w:id="193">
    <w:p w14:paraId="29A0CA7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1540.</w:t>
      </w:r>
    </w:p>
  </w:footnote>
  <w:footnote w:id="194">
    <w:p w14:paraId="18838CD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صلاح الدين رجب فتح الباب صميدة،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100.</w:t>
      </w:r>
    </w:p>
  </w:footnote>
  <w:footnote w:id="195">
    <w:p w14:paraId="09BE357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نظام حماية حقوق المؤلف مرسوم ملكي رقم م</w:t>
      </w:r>
      <w:r>
        <w:rPr>
          <w:rStyle w:val="None"/>
          <w:rFonts w:ascii="Times New Roman" w:hAnsi="Times New Roman"/>
          <w:sz w:val="24"/>
          <w:szCs w:val="24"/>
          <w:rtl/>
          <w:lang w:val="ar-SA"/>
        </w:rPr>
        <w:t>/41.</w:t>
      </w:r>
    </w:p>
  </w:footnote>
  <w:footnote w:id="196">
    <w:p w14:paraId="61162CF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215.</w:t>
      </w:r>
    </w:p>
  </w:footnote>
  <w:footnote w:id="197">
    <w:p w14:paraId="2AC8AB1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لونيس انقراشن؛ سعيد أمقران حاج، حقوق الملكية الفكرية وحماية المستهلك،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تيزي وزو، الجزائر،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footnote>
  <w:footnote w:id="198">
    <w:p w14:paraId="6F579E1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43.</w:t>
      </w:r>
    </w:p>
  </w:footnote>
  <w:footnote w:id="199">
    <w:p w14:paraId="0F59B0C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مح</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857.</w:t>
      </w:r>
    </w:p>
  </w:footnote>
  <w:footnote w:id="200">
    <w:p w14:paraId="7EE0827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289.</w:t>
      </w:r>
    </w:p>
  </w:footnote>
  <w:footnote w:id="201">
    <w:p w14:paraId="05F9C87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كداوة عبد القادر، البحث الوثائقي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128.</w:t>
      </w:r>
    </w:p>
  </w:footnote>
  <w:footnote w:id="202">
    <w:p w14:paraId="5A8CC17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26.</w:t>
      </w:r>
    </w:p>
  </w:footnote>
  <w:footnote w:id="203">
    <w:p w14:paraId="64E6E79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46.</w:t>
      </w:r>
    </w:p>
  </w:footnote>
  <w:footnote w:id="204">
    <w:p w14:paraId="094E90C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118.</w:t>
      </w:r>
    </w:p>
  </w:footnote>
  <w:footnote w:id="205">
    <w:p w14:paraId="2613DEE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235.</w:t>
      </w:r>
    </w:p>
  </w:footnote>
  <w:footnote w:id="206">
    <w:p w14:paraId="635A425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ربحي مصطفي عليان، المكتبات الإلكترونية والمكتبات الرقمية، دار صفاء للنشر والتوزيع، عمان،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294.</w:t>
      </w:r>
    </w:p>
  </w:footnote>
  <w:footnote w:id="207">
    <w:p w14:paraId="18B0E7D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علي، المكتبة الرقمية الأسس والمفاهيم والتحديات التي تواجه المكتبات الرقمية العربية، مجلة جامعة دمشق، مج</w:t>
      </w:r>
      <w:r>
        <w:rPr>
          <w:rStyle w:val="None"/>
          <w:rFonts w:ascii="Times New Roman" w:hAnsi="Times New Roman"/>
          <w:sz w:val="24"/>
          <w:szCs w:val="24"/>
          <w:rtl/>
          <w:lang w:val="ar-SA"/>
        </w:rPr>
        <w:t>27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647.</w:t>
      </w:r>
    </w:p>
  </w:footnote>
  <w:footnote w:id="208">
    <w:p w14:paraId="55BA045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مي أكرم ياسين، المكتبات الرقمية المفاهيم والتحديات، المجلة العربية للنشر العلمي، ع</w:t>
      </w:r>
      <w:r>
        <w:rPr>
          <w:rStyle w:val="None"/>
          <w:rFonts w:ascii="Times New Roman" w:hAnsi="Times New Roman"/>
          <w:sz w:val="24"/>
          <w:szCs w:val="24"/>
          <w:rtl/>
          <w:lang w:val="ar-SA"/>
        </w:rPr>
        <w:t>84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308.</w:t>
      </w:r>
    </w:p>
  </w:footnote>
  <w:footnote w:id="209">
    <w:p w14:paraId="5C450EB0" w14:textId="77777777" w:rsidR="00454428" w:rsidRDefault="00000000">
      <w:pPr>
        <w:pStyle w:val="FootnoteText"/>
        <w:jc w:val="both"/>
      </w:pPr>
      <w:r>
        <w:rPr>
          <w:rStyle w:val="None"/>
          <w:rFonts w:ascii="Times New Roman" w:hAnsi="Times New Roman"/>
          <w:sz w:val="24"/>
          <w:szCs w:val="24"/>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84.</w:t>
      </w:r>
    </w:p>
  </w:footnote>
  <w:footnote w:id="210">
    <w:p w14:paraId="60515FA9" w14:textId="77777777" w:rsidR="00454428" w:rsidRDefault="00000000">
      <w:pPr>
        <w:pStyle w:val="FootnoteText"/>
        <w:jc w:val="both"/>
      </w:pPr>
      <w:r>
        <w:rPr>
          <w:rStyle w:val="None"/>
          <w:rFonts w:ascii="Times New Roman" w:hAnsi="Times New Roman"/>
          <w:sz w:val="24"/>
          <w:szCs w:val="24"/>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Pr>
          <w:rStyle w:val="None"/>
          <w:rFonts w:ascii="Times New Roman" w:hAnsi="Times New Roman"/>
          <w:sz w:val="24"/>
          <w:szCs w:val="24"/>
          <w:rtl/>
          <w:lang w:val="ar-SA"/>
        </w:rPr>
        <w:t>47-70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20.</w:t>
      </w:r>
    </w:p>
  </w:footnote>
  <w:footnote w:id="211">
    <w:p w14:paraId="2CCFBB8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2"/>
          <w:szCs w:val="22"/>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لمى بنت عبد الرزاق بن حميد المحمدي، حماية الملكية الفكرية في مواقع التواصل الاجتماعي، المجلة الدولية لنشر البحوث والدراسات،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الإصدار </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336.</w:t>
      </w:r>
    </w:p>
  </w:footnote>
  <w:footnote w:id="212">
    <w:p w14:paraId="385ACBF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Pr>
          <w:rStyle w:val="None"/>
          <w:rFonts w:ascii="Times New Roman" w:hAnsi="Times New Roman"/>
          <w:sz w:val="24"/>
          <w:szCs w:val="24"/>
          <w:rtl/>
          <w:lang w:val="ar-SA"/>
        </w:rPr>
        <w:t xml:space="preserve">22-23 </w:t>
      </w:r>
      <w:r>
        <w:rPr>
          <w:rStyle w:val="None"/>
          <w:rFonts w:ascii="Arial Unicode MS" w:hAnsi="Arial Unicode MS" w:cs="Times New Roman" w:hint="cs"/>
          <w:sz w:val="24"/>
          <w:szCs w:val="24"/>
          <w:rtl/>
          <w:lang w:val="ar-SA"/>
        </w:rPr>
        <w:t xml:space="preserve">ابريل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14.</w:t>
      </w:r>
    </w:p>
  </w:footnote>
  <w:footnote w:id="213">
    <w:p w14:paraId="0E4EAD7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لمين دباغين سطيف، الجزائر،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30.</w:t>
      </w:r>
    </w:p>
  </w:footnote>
  <w:footnote w:id="214">
    <w:p w14:paraId="7B61DB6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رمضان قنفود، المسائل القانونية المتعلقة بالبريد الإلكتروني، مجلة دراسات وأبحاث،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290-315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290.</w:t>
      </w:r>
    </w:p>
  </w:footnote>
  <w:footnote w:id="215">
    <w:p w14:paraId="742A5C6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172-228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199.</w:t>
      </w:r>
    </w:p>
  </w:footnote>
  <w:footnote w:id="216">
    <w:p w14:paraId="1827A36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آمال عبد الجبار حسوني، التعاقد عبر البريد الإلكتروني وإثباته، مجلة الحقوق،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277-294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278.</w:t>
      </w:r>
    </w:p>
  </w:footnote>
  <w:footnote w:id="217">
    <w:p w14:paraId="43B5558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118.</w:t>
      </w:r>
    </w:p>
  </w:footnote>
  <w:footnote w:id="218">
    <w:p w14:paraId="1E9E059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انظر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حقوق المؤلف مرسوم ملكي رقم م</w:t>
      </w:r>
      <w:r>
        <w:rPr>
          <w:rStyle w:val="None"/>
          <w:rFonts w:ascii="Times New Roman" w:hAnsi="Times New Roman"/>
          <w:sz w:val="24"/>
          <w:szCs w:val="24"/>
          <w:rtl/>
          <w:lang w:val="ar-SA"/>
        </w:rPr>
        <w:t>/41.</w:t>
      </w:r>
    </w:p>
  </w:footnote>
  <w:footnote w:id="219">
    <w:p w14:paraId="2F492F8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5 </w:t>
      </w:r>
      <w:r>
        <w:rPr>
          <w:rStyle w:val="None"/>
          <w:rFonts w:ascii="Arial Unicode MS" w:hAnsi="Arial Unicode MS" w:cs="Times New Roman" w:hint="cs"/>
          <w:sz w:val="24"/>
          <w:szCs w:val="24"/>
          <w:rtl/>
          <w:lang w:val="ar-SA"/>
        </w:rPr>
        <w:t>من نظام الإثبات رقم م</w:t>
      </w:r>
      <w:r>
        <w:rPr>
          <w:rStyle w:val="None"/>
          <w:rFonts w:ascii="Times New Roman" w:hAnsi="Times New Roman"/>
          <w:sz w:val="24"/>
          <w:szCs w:val="24"/>
          <w:rtl/>
          <w:lang w:val="ar-SA"/>
        </w:rPr>
        <w:t>/43.</w:t>
      </w:r>
    </w:p>
  </w:footnote>
  <w:footnote w:id="220">
    <w:p w14:paraId="25B0EDF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 xml:space="preserve">) </w:t>
      </w:r>
      <w:r>
        <w:rPr>
          <w:rStyle w:val="None"/>
          <w:rFonts w:ascii="Arial Unicode MS" w:hAnsi="Arial Unicode MS" w:cs="Times New Roman" w:hint="cs"/>
          <w:sz w:val="24"/>
          <w:szCs w:val="24"/>
          <w:rtl/>
          <w:lang w:val="ar-SA"/>
        </w:rPr>
        <w:t xml:space="preserve">فاطمة لواعر، الملكية الفكرية في البيئة الرقمية، مجلة الحوكمة والقانون الاقتصادي،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w:t>
      </w:r>
    </w:p>
  </w:footnote>
  <w:footnote w:id="221">
    <w:p w14:paraId="0FA5DEB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حازم أحمد شوقي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195.</w:t>
      </w:r>
    </w:p>
  </w:footnote>
  <w:footnote w:id="222">
    <w:p w14:paraId="695EF9D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حازم أحمد شوفي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194.</w:t>
      </w:r>
    </w:p>
  </w:footnote>
  <w:footnote w:id="223">
    <w:p w14:paraId="7BA3664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الخامسة من معاهدة الويبو بشأن حق المؤلف جنيف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w:t>
      </w:r>
      <w:r>
        <w:rPr>
          <w:rStyle w:val="None"/>
          <w:rFonts w:ascii="Times New Roman" w:hAnsi="Times New Roman"/>
          <w:sz w:val="24"/>
          <w:szCs w:val="24"/>
          <w:rtl/>
          <w:lang w:val="ar-SA"/>
        </w:rPr>
        <w:t>1996.</w:t>
      </w:r>
    </w:p>
  </w:footnote>
  <w:footnote w:id="224">
    <w:p w14:paraId="46977BF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الثانية فقرة خامسة من اتفاقية برن لحماية المصنفات الأدبية والفنية عام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عام </w:t>
      </w:r>
      <w:r>
        <w:rPr>
          <w:rStyle w:val="None"/>
          <w:rFonts w:ascii="Times New Roman" w:hAnsi="Times New Roman"/>
          <w:sz w:val="24"/>
          <w:szCs w:val="24"/>
          <w:rtl/>
          <w:lang w:val="ar-SA"/>
        </w:rPr>
        <w:t>1979.</w:t>
      </w:r>
    </w:p>
  </w:footnote>
  <w:footnote w:id="225">
    <w:p w14:paraId="3C7BD28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288.</w:t>
      </w:r>
    </w:p>
  </w:footnote>
  <w:footnote w:id="226">
    <w:p w14:paraId="754955E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نادية حدادو؛ وراضية بعوالي، النظام القانوني لقواعد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أمحمد بوقرة، الجزائر،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w:t>
      </w:r>
    </w:p>
  </w:footnote>
  <w:footnote w:id="227">
    <w:p w14:paraId="19720B6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العاشرة من اللائحة التنفيذية لنظام حقوق المؤلف الصادرة بقرار رقم 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والمعدل برقم </w:t>
      </w:r>
      <w:r>
        <w:rPr>
          <w:rStyle w:val="None"/>
          <w:rFonts w:ascii="Times New Roman" w:hAnsi="Times New Roman"/>
          <w:sz w:val="24"/>
          <w:szCs w:val="24"/>
          <w:rtl/>
          <w:lang w:val="ar-SA"/>
        </w:rPr>
        <w:t>3/31/2022.</w:t>
      </w:r>
    </w:p>
  </w:footnote>
  <w:footnote w:id="228">
    <w:p w14:paraId="472BA7E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Pr>
          <w:rStyle w:val="None"/>
          <w:rFonts w:ascii="Times New Roman" w:hAnsi="Times New Roman"/>
          <w:sz w:val="24"/>
          <w:szCs w:val="24"/>
          <w:rtl/>
          <w:lang w:val="ar-SA"/>
        </w:rPr>
        <w:t>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100.</w:t>
      </w:r>
    </w:p>
  </w:footnote>
  <w:footnote w:id="229">
    <w:p w14:paraId="70D5726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زواتين، الذكاء الاصطناعي وحقوق الملكية الفكرية أي علاقة ترابطية؟، مجلة حقوق الإنسان والحريات العامة،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139.</w:t>
      </w:r>
    </w:p>
  </w:footnote>
  <w:footnote w:id="230">
    <w:p w14:paraId="4792D4A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أمينة يوسف عثمان البلغزي، الحماية القانونية للمصنفات الرقمية، مجلة الفرطاس،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190.</w:t>
      </w:r>
    </w:p>
  </w:footnote>
  <w:footnote w:id="231">
    <w:p w14:paraId="66F5C30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صونية حقاص، حماية الملكية الفكرية الأدبية والفنية في البيئة الرقمية في ظل التشريع الجزائري،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منتوري قسنطينة، الجزائر، </w:t>
      </w:r>
      <w:r>
        <w:rPr>
          <w:rStyle w:val="None"/>
          <w:rFonts w:ascii="Times New Roman" w:hAnsi="Times New Roman"/>
          <w:sz w:val="24"/>
          <w:szCs w:val="24"/>
          <w:rtl/>
          <w:lang w:val="ar-SA"/>
        </w:rPr>
        <w:t>(2012)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60.</w:t>
      </w:r>
    </w:p>
  </w:footnote>
  <w:footnote w:id="232">
    <w:p w14:paraId="7D4860C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حكيمة عطا وشاح؛ خالدة عبد الله، حقوق الملكية الفكرية وتأثيرها على أخلاقيات البحث العلمي في البيئة الرقمية، مجلة آداب المستنصرية، ع </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524.</w:t>
      </w:r>
    </w:p>
  </w:footnote>
  <w:footnote w:id="233">
    <w:p w14:paraId="5CB6703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نادية زواني، الاعتداء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w:t>
      </w:r>
    </w:p>
  </w:footnote>
  <w:footnote w:id="234">
    <w:p w14:paraId="5DFBBC6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496.</w:t>
      </w:r>
    </w:p>
  </w:footnote>
  <w:footnote w:id="235">
    <w:p w14:paraId="1D78A89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حليمة بودن، القرصنة والملكية الفكرية، مجلة القانون المغربي، ع</w:t>
      </w:r>
      <w:r>
        <w:rPr>
          <w:rStyle w:val="None"/>
          <w:rFonts w:ascii="Times New Roman" w:hAnsi="Times New Roman"/>
          <w:sz w:val="24"/>
          <w:szCs w:val="24"/>
          <w:rtl/>
          <w:lang w:val="ar-SA"/>
        </w:rPr>
        <w:t>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78.</w:t>
      </w:r>
    </w:p>
  </w:footnote>
  <w:footnote w:id="236">
    <w:p w14:paraId="38E99B6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عمر يوسف عبد الله، الإطار القانوني والمؤسساتي لمكافحة التقليد والقرصنة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وهران، الجزائر،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w:t>
      </w:r>
    </w:p>
  </w:footnote>
  <w:footnote w:id="237">
    <w:p w14:paraId="74FA93E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إيهاب خليفة، مجتمع ما بعد المعلومات تأثير الثورة الصناعية الرابعة على الأمن القومي، العربي للنشر والتوزيع، القاهرة،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136.</w:t>
      </w:r>
    </w:p>
  </w:footnote>
  <w:footnote w:id="238">
    <w:p w14:paraId="4C080F0E"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Calibri Light" w:hAnsi="Calibri Light"/>
          <w:sz w:val="24"/>
          <w:szCs w:val="24"/>
        </w:rPr>
        <w:t xml:space="preserve"> Hassan, M. U. (2025). The Rise of Digital Piracy: Implications for Intellectual Property Rights, Economic Losses, and Global Legal Challenges. QIT Press - </w:t>
      </w:r>
      <w:r>
        <w:rPr>
          <w:rStyle w:val="None"/>
          <w:rFonts w:ascii="Calibri Light" w:hAnsi="Calibri Light"/>
          <w:i/>
          <w:iCs/>
          <w:sz w:val="24"/>
          <w:szCs w:val="24"/>
        </w:rPr>
        <w:t xml:space="preserve">International Journal of Intellectual Property Rights Law (QITP-IJIPR), 5(2), </w:t>
      </w:r>
      <w:r>
        <w:rPr>
          <w:rStyle w:val="None"/>
          <w:rFonts w:ascii="Calibri Light" w:hAnsi="Calibri Light"/>
          <w:sz w:val="24"/>
          <w:szCs w:val="24"/>
        </w:rPr>
        <w:t>P. 2.</w:t>
      </w:r>
    </w:p>
  </w:footnote>
  <w:footnote w:id="239">
    <w:p w14:paraId="6C3670B6"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Calibri Light" w:hAnsi="Calibri Light"/>
          <w:sz w:val="24"/>
          <w:szCs w:val="24"/>
        </w:rPr>
        <w:t xml:space="preserve"> Rubio Alfageme, B. M. (2025). Intellectual property challenges in the 21st century: A study of digital piracy in the European Union. </w:t>
      </w:r>
      <w:r>
        <w:rPr>
          <w:rStyle w:val="None"/>
          <w:rFonts w:ascii="Calibri Light" w:hAnsi="Calibri Light"/>
          <w:i/>
          <w:iCs/>
          <w:sz w:val="24"/>
          <w:szCs w:val="24"/>
        </w:rPr>
        <w:t>Intangible Capital</w:t>
      </w:r>
      <w:r>
        <w:rPr>
          <w:rStyle w:val="None"/>
          <w:rFonts w:ascii="Calibri Light" w:hAnsi="Calibri Light"/>
          <w:sz w:val="24"/>
          <w:szCs w:val="24"/>
        </w:rPr>
        <w:t>, </w:t>
      </w:r>
      <w:r>
        <w:rPr>
          <w:rStyle w:val="None"/>
          <w:rFonts w:ascii="Calibri Light" w:hAnsi="Calibri Light"/>
          <w:i/>
          <w:iCs/>
          <w:sz w:val="24"/>
          <w:szCs w:val="24"/>
        </w:rPr>
        <w:t>21</w:t>
      </w:r>
      <w:r>
        <w:rPr>
          <w:rStyle w:val="None"/>
          <w:rFonts w:ascii="Calibri Light" w:hAnsi="Calibri Light"/>
          <w:sz w:val="24"/>
          <w:szCs w:val="24"/>
        </w:rPr>
        <w:t>(2), P. 342.</w:t>
      </w:r>
    </w:p>
  </w:footnote>
  <w:footnote w:id="240">
    <w:p w14:paraId="7F8EF425"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Times New Roman" w:hAnsi="Times New Roman"/>
          <w:sz w:val="24"/>
          <w:szCs w:val="24"/>
          <w:rtl/>
          <w:lang w:val="ar-SA"/>
        </w:rPr>
        <w:t xml:space="preserve"> </w:t>
      </w:r>
      <w:r>
        <w:rPr>
          <w:rStyle w:val="None"/>
          <w:rFonts w:ascii="Calibri Light" w:hAnsi="Calibri Light"/>
          <w:sz w:val="24"/>
          <w:szCs w:val="24"/>
        </w:rPr>
        <w:t>TERTEREANU, P., GÎNGU, A. I., &amp; ȚÎȚU, A. M. (2021). Counterfeiting and Infringements Upon Intellectual Property Rights. </w:t>
      </w:r>
      <w:r>
        <w:rPr>
          <w:rStyle w:val="None"/>
          <w:rFonts w:ascii="Calibri Light" w:hAnsi="Calibri Light"/>
          <w:i/>
          <w:iCs/>
          <w:sz w:val="24"/>
          <w:szCs w:val="24"/>
        </w:rPr>
        <w:t>Review of Management and Economic Engineering</w:t>
      </w:r>
      <w:r>
        <w:rPr>
          <w:rStyle w:val="None"/>
          <w:rFonts w:ascii="Calibri Light" w:hAnsi="Calibri Light"/>
          <w:sz w:val="24"/>
          <w:szCs w:val="24"/>
        </w:rPr>
        <w:t>, </w:t>
      </w:r>
      <w:r>
        <w:rPr>
          <w:rStyle w:val="None"/>
          <w:rFonts w:ascii="Calibri Light" w:hAnsi="Calibri Light"/>
          <w:i/>
          <w:iCs/>
          <w:sz w:val="24"/>
          <w:szCs w:val="24"/>
        </w:rPr>
        <w:t>20</w:t>
      </w:r>
      <w:r>
        <w:rPr>
          <w:rStyle w:val="None"/>
          <w:rFonts w:ascii="Calibri Light" w:hAnsi="Calibri Light"/>
          <w:sz w:val="24"/>
          <w:szCs w:val="24"/>
        </w:rPr>
        <w:t>(2), P. 94.</w:t>
      </w:r>
    </w:p>
  </w:footnote>
  <w:footnote w:id="241">
    <w:p w14:paraId="2A391D37"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Calibri Light" w:hAnsi="Calibri Light"/>
          <w:sz w:val="24"/>
          <w:szCs w:val="24"/>
        </w:rPr>
        <w:t xml:space="preserve"> Sadhana, G. S. (2025). Protecting creative rights: Addressing digital piracy and copyright issues in Indian media. </w:t>
      </w:r>
      <w:r>
        <w:rPr>
          <w:rStyle w:val="None"/>
          <w:rFonts w:ascii="Calibri Light" w:hAnsi="Calibri Light"/>
          <w:i/>
          <w:iCs/>
          <w:sz w:val="24"/>
          <w:szCs w:val="24"/>
        </w:rPr>
        <w:t>International Journal of Law, Justice and Jurisprudence.</w:t>
      </w:r>
      <w:r>
        <w:rPr>
          <w:rStyle w:val="None"/>
          <w:rFonts w:ascii="Calibri Light" w:hAnsi="Calibri Light"/>
          <w:sz w:val="24"/>
          <w:szCs w:val="24"/>
        </w:rPr>
        <w:t xml:space="preserve"> 5(1), P. 182.</w:t>
      </w:r>
    </w:p>
  </w:footnote>
  <w:footnote w:id="242">
    <w:p w14:paraId="6C227E80"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Calibri Light" w:hAnsi="Calibri Light"/>
          <w:sz w:val="24"/>
          <w:szCs w:val="24"/>
        </w:rPr>
        <w:t xml:space="preserve"> Limbong, A. H. (2025). ESPN's Broadcast Rights Protection in Intellectual Property Law Over World Cup Broadcast Piracy. </w:t>
      </w:r>
      <w:r>
        <w:rPr>
          <w:rStyle w:val="None"/>
          <w:rFonts w:ascii="Calibri Light" w:hAnsi="Calibri Light"/>
          <w:i/>
          <w:iCs/>
          <w:sz w:val="24"/>
          <w:szCs w:val="24"/>
        </w:rPr>
        <w:t>Journal of Law, Politic and Humanities</w:t>
      </w:r>
      <w:r>
        <w:rPr>
          <w:rStyle w:val="None"/>
          <w:rFonts w:ascii="Calibri Light" w:hAnsi="Calibri Light"/>
          <w:sz w:val="24"/>
          <w:szCs w:val="24"/>
        </w:rPr>
        <w:t>, </w:t>
      </w:r>
      <w:r>
        <w:rPr>
          <w:rStyle w:val="None"/>
          <w:rFonts w:ascii="Calibri Light" w:hAnsi="Calibri Light"/>
          <w:i/>
          <w:iCs/>
          <w:sz w:val="24"/>
          <w:szCs w:val="24"/>
        </w:rPr>
        <w:t>5</w:t>
      </w:r>
      <w:r>
        <w:rPr>
          <w:rStyle w:val="None"/>
          <w:rFonts w:ascii="Calibri Light" w:hAnsi="Calibri Light"/>
          <w:sz w:val="24"/>
          <w:szCs w:val="24"/>
        </w:rPr>
        <w:t>(4), P. 3114.</w:t>
      </w:r>
    </w:p>
  </w:footnote>
  <w:footnote w:id="243">
    <w:p w14:paraId="025BE532"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Calibri Light" w:hAnsi="Calibri Light"/>
          <w:sz w:val="24"/>
          <w:szCs w:val="24"/>
        </w:rPr>
        <w:t xml:space="preserve"> Cooper, J. M. (2022). Intellectual property piracy in the time of the metaverse. </w:t>
      </w:r>
      <w:r>
        <w:rPr>
          <w:rStyle w:val="None"/>
          <w:rFonts w:ascii="Calibri Light" w:hAnsi="Calibri Light"/>
          <w:i/>
          <w:iCs/>
          <w:sz w:val="24"/>
          <w:szCs w:val="24"/>
        </w:rPr>
        <w:t>IDEA</w:t>
      </w:r>
      <w:r>
        <w:rPr>
          <w:rStyle w:val="None"/>
          <w:rFonts w:ascii="Calibri Light" w:hAnsi="Calibri Light"/>
          <w:sz w:val="24"/>
          <w:szCs w:val="24"/>
        </w:rPr>
        <w:t>, </w:t>
      </w:r>
      <w:r>
        <w:rPr>
          <w:rStyle w:val="None"/>
          <w:rFonts w:ascii="Calibri Light" w:hAnsi="Calibri Light"/>
          <w:i/>
          <w:iCs/>
          <w:sz w:val="24"/>
          <w:szCs w:val="24"/>
        </w:rPr>
        <w:t>63</w:t>
      </w:r>
      <w:r>
        <w:rPr>
          <w:rStyle w:val="None"/>
          <w:rFonts w:ascii="Calibri Light" w:hAnsi="Calibri Light"/>
          <w:sz w:val="24"/>
          <w:szCs w:val="24"/>
        </w:rPr>
        <w:t xml:space="preserve">. Available at: </w:t>
      </w:r>
      <w:hyperlink r:id="rId15" w:history="1">
        <w:r>
          <w:rPr>
            <w:rStyle w:val="Hyperlink3"/>
          </w:rPr>
          <w:t>https://scholarlycommons.law.cwsl.edu/fs/422</w:t>
        </w:r>
      </w:hyperlink>
      <w:r>
        <w:rPr>
          <w:rStyle w:val="None"/>
          <w:rFonts w:ascii="Calibri Light" w:hAnsi="Calibri Light"/>
          <w:sz w:val="24"/>
          <w:szCs w:val="24"/>
        </w:rPr>
        <w:t>. P. 507.</w:t>
      </w:r>
    </w:p>
  </w:footnote>
  <w:footnote w:id="244">
    <w:p w14:paraId="1A7469D6" w14:textId="77777777" w:rsidR="00454428" w:rsidRDefault="00000000">
      <w:pPr>
        <w:pStyle w:val="FootnoteText"/>
        <w:bidi w:val="0"/>
        <w:jc w:val="both"/>
      </w:pPr>
      <w:r>
        <w:rPr>
          <w:rStyle w:val="None"/>
          <w:rFonts w:ascii="Calibri Light" w:hAnsi="Calibri Light"/>
          <w:sz w:val="24"/>
          <w:szCs w:val="24"/>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Calibri Light" w:hAnsi="Calibri Light"/>
          <w:sz w:val="24"/>
          <w:szCs w:val="24"/>
          <w:vertAlign w:val="superscript"/>
        </w:rPr>
        <w:t>)</w:t>
      </w:r>
      <w:r>
        <w:rPr>
          <w:rStyle w:val="None"/>
          <w:rFonts w:ascii="Times New Roman" w:hAnsi="Times New Roman"/>
          <w:sz w:val="24"/>
          <w:szCs w:val="24"/>
          <w:rtl/>
          <w:lang w:val="ar-SA"/>
        </w:rPr>
        <w:t xml:space="preserve"> </w:t>
      </w:r>
      <w:r>
        <w:rPr>
          <w:rStyle w:val="None"/>
          <w:rFonts w:ascii="Calibri Light" w:hAnsi="Calibri Light"/>
          <w:sz w:val="24"/>
          <w:szCs w:val="24"/>
        </w:rPr>
        <w:t>Ajakaye, O., &amp; Lawal, A. (2025). Digital Justice and IP Protection: A Transatlantic Approach to Regulating NFTs, Blockchain and Copyright Infringement. </w:t>
      </w:r>
      <w:r>
        <w:rPr>
          <w:rStyle w:val="None"/>
          <w:rFonts w:ascii="Calibri Light" w:hAnsi="Calibri Light"/>
          <w:i/>
          <w:iCs/>
          <w:sz w:val="24"/>
          <w:szCs w:val="24"/>
        </w:rPr>
        <w:t>Engineering and Technology Journal</w:t>
      </w:r>
      <w:r>
        <w:rPr>
          <w:rStyle w:val="None"/>
          <w:rFonts w:ascii="Calibri Light" w:hAnsi="Calibri Light"/>
          <w:sz w:val="24"/>
          <w:szCs w:val="24"/>
        </w:rPr>
        <w:t>, </w:t>
      </w:r>
      <w:r>
        <w:rPr>
          <w:rStyle w:val="None"/>
          <w:rFonts w:ascii="Calibri Light" w:hAnsi="Calibri Light"/>
          <w:i/>
          <w:iCs/>
          <w:sz w:val="24"/>
          <w:szCs w:val="24"/>
        </w:rPr>
        <w:t>10</w:t>
      </w:r>
      <w:r>
        <w:rPr>
          <w:rStyle w:val="None"/>
          <w:rFonts w:ascii="Calibri Light" w:hAnsi="Calibri Light"/>
          <w:sz w:val="24"/>
          <w:szCs w:val="24"/>
        </w:rPr>
        <w:t>(9). P. p. 6932-6933.</w:t>
      </w:r>
    </w:p>
  </w:footnote>
  <w:footnote w:id="245">
    <w:p w14:paraId="7F0CF2D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30.</w:t>
      </w:r>
    </w:p>
  </w:footnote>
  <w:footnote w:id="246">
    <w:p w14:paraId="2ECCE02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226.</w:t>
      </w:r>
    </w:p>
  </w:footnote>
  <w:footnote w:id="247">
    <w:p w14:paraId="04BFD49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243.</w:t>
      </w:r>
    </w:p>
  </w:footnote>
  <w:footnote w:id="248">
    <w:p w14:paraId="4E4A927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مصطفي بن أحمد الحكيم؛ وخالد صلاح حنفي، كتاب المؤتمر الدولي المحكم الاتجاهات العالمية المعاصرة في العلوم الإنسانية والاجتماعية، </w:t>
      </w:r>
      <w:r>
        <w:rPr>
          <w:rStyle w:val="None"/>
          <w:rFonts w:ascii="Times New Roman" w:hAnsi="Times New Roman"/>
          <w:sz w:val="24"/>
          <w:szCs w:val="24"/>
          <w:rtl/>
          <w:lang w:val="ar-SA"/>
        </w:rPr>
        <w:t xml:space="preserve">6-7 </w:t>
      </w:r>
      <w:r>
        <w:rPr>
          <w:rStyle w:val="None"/>
          <w:rFonts w:ascii="Arial Unicode MS" w:hAnsi="Arial Unicode MS" w:cs="Times New Roman" w:hint="cs"/>
          <w:sz w:val="24"/>
          <w:szCs w:val="24"/>
          <w:rtl/>
          <w:lang w:val="ar-SA"/>
        </w:rPr>
        <w:t xml:space="preserve">نوفمبر تركيا،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328.</w:t>
      </w:r>
    </w:p>
  </w:footnote>
  <w:footnote w:id="249">
    <w:p w14:paraId="1DE0FC1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فاطمة لواعر، الملكية الفكرية في البيئة الرقمية، مرجع سابق، ص</w:t>
      </w:r>
      <w:r>
        <w:rPr>
          <w:rStyle w:val="None"/>
          <w:rFonts w:ascii="Times New Roman" w:hAnsi="Times New Roman"/>
          <w:sz w:val="24"/>
          <w:szCs w:val="24"/>
          <w:rtl/>
          <w:lang w:val="ar-SA"/>
        </w:rPr>
        <w:t>16-17.</w:t>
      </w:r>
    </w:p>
  </w:footnote>
  <w:footnote w:id="250">
    <w:p w14:paraId="5B343F5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يوسف بن نافلة، النشر الإلكتروني وأهميته في تحقيق البحوث العلمية والتعليمية، مجلة أدبيات،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71.</w:t>
      </w:r>
    </w:p>
  </w:footnote>
  <w:footnote w:id="251">
    <w:p w14:paraId="7E6FF5C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314.</w:t>
      </w:r>
    </w:p>
  </w:footnote>
  <w:footnote w:id="252">
    <w:p w14:paraId="2833C99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نافع المدادحة، النشر الإلكتروني وحماية المعلومات، دار صفاء للنشر والتوزيع، عمان،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34.</w:t>
      </w:r>
    </w:p>
  </w:footnote>
  <w:footnote w:id="253">
    <w:p w14:paraId="65C8EBC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دليلة خينش، صعوبات النشر الإلكتروني الجامعي المنصة الجزائرية للمجلات العلمية انموذجًا، مجلة دفاتر المخبر،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173.</w:t>
      </w:r>
    </w:p>
  </w:footnote>
  <w:footnote w:id="254">
    <w:p w14:paraId="680A609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ربحي مصطفي عليان، المكتبات الإلكترونية والمكتبات الرقمية، مرجع سابق، ص</w:t>
      </w:r>
      <w:r>
        <w:rPr>
          <w:rStyle w:val="None"/>
          <w:rFonts w:ascii="Times New Roman" w:hAnsi="Times New Roman"/>
          <w:sz w:val="24"/>
          <w:szCs w:val="24"/>
          <w:rtl/>
          <w:lang w:val="ar-SA"/>
        </w:rPr>
        <w:t>40.</w:t>
      </w:r>
    </w:p>
  </w:footnote>
  <w:footnote w:id="255">
    <w:p w14:paraId="7129B57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عباس ناجي حسن، الوسائط المتعددة في الاعلام الإلكتروني، مرجع سابق، ص</w:t>
      </w:r>
      <w:r>
        <w:rPr>
          <w:rStyle w:val="None"/>
          <w:rFonts w:ascii="Times New Roman" w:hAnsi="Times New Roman"/>
          <w:sz w:val="24"/>
          <w:szCs w:val="24"/>
          <w:rtl/>
          <w:lang w:val="ar-SA"/>
        </w:rPr>
        <w:t>131.</w:t>
      </w:r>
    </w:p>
  </w:footnote>
  <w:footnote w:id="256">
    <w:p w14:paraId="682359D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مليكة شبيشب؛ وميمونة بن عروسي، واقع النشر الإلكتروني لدى الأساتذة الجامعيين،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65.</w:t>
      </w:r>
    </w:p>
  </w:footnote>
  <w:footnote w:id="257">
    <w:p w14:paraId="2F397A9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لؤي الزغبي، الوسائط المتعددة، المشاع المبدع للنشر، سوريا،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w:t>
      </w:r>
    </w:p>
  </w:footnote>
  <w:footnote w:id="258">
    <w:p w14:paraId="4B21FB7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غنام، حقوق الملكية الفكرية المفهوم والأهداف، المعرفة، مج</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577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371.</w:t>
      </w:r>
    </w:p>
  </w:footnote>
  <w:footnote w:id="259">
    <w:p w14:paraId="71B96FB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سلمان محمود، الحماية الدولية لحقوق الملكية الفكرية الإلكترونية، مجلة كلية دجلة الجامعة،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426.</w:t>
      </w:r>
    </w:p>
  </w:footnote>
  <w:footnote w:id="260">
    <w:p w14:paraId="72002EC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تأثير الملكية الفكرية عبر الإنترنت على التطورات السياسية والاقتصادية العالمية، المنعقد في أغسطس، مصر،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w:t>
      </w:r>
    </w:p>
  </w:footnote>
  <w:footnote w:id="261">
    <w:p w14:paraId="0C104E7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2014</w:t>
      </w:r>
      <w:r>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w:t>
      </w:r>
    </w:p>
  </w:footnote>
  <w:footnote w:id="262">
    <w:p w14:paraId="689EAC3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 2010)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1180.</w:t>
      </w:r>
    </w:p>
  </w:footnote>
  <w:footnote w:id="263">
    <w:p w14:paraId="2A412E9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أماني فوزي أحمد طه، الآثار الاقتصادية للتعدي على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footnote>
  <w:footnote w:id="264">
    <w:p w14:paraId="21A53FA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هلال إبراهيم هلال الخطيب، القيود التي تحكم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Pr>
          <w:rStyle w:val="None"/>
          <w:rFonts w:ascii="Times New Roman" w:hAnsi="Times New Roman"/>
          <w:sz w:val="24"/>
          <w:szCs w:val="24"/>
          <w:rtl/>
          <w:lang w:val="ar-SA"/>
        </w:rPr>
        <w:t>(2004)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footnote>
  <w:footnote w:id="265">
    <w:p w14:paraId="5B88D47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الكاهنة ارزيل، تأثر المستهلك بحماية حقوق الملكية الفكرية، مجلة الحقوق والحريات،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611.</w:t>
      </w:r>
    </w:p>
  </w:footnote>
  <w:footnote w:id="266">
    <w:p w14:paraId="2B4BECC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العايبي؛ هيبة كنيوة؛ عواطف دودي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62.</w:t>
      </w:r>
    </w:p>
  </w:footnote>
  <w:footnote w:id="267">
    <w:p w14:paraId="1AC6E7A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بن علي بن عبد الله، دور حماية الملكية الفكرية في التنمية الصناعية، التعاون الصناعي في الخليج العربي، مج</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w:t>
      </w:r>
    </w:p>
  </w:footnote>
  <w:footnote w:id="268">
    <w:p w14:paraId="5BB0EFD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الزبير بلهوشات؛ 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428.</w:t>
      </w:r>
    </w:p>
  </w:footnote>
  <w:footnote w:id="269">
    <w:p w14:paraId="2DED071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نادية زواني، الإعتداء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56.</w:t>
      </w:r>
    </w:p>
  </w:footnote>
  <w:footnote w:id="270">
    <w:p w14:paraId="7935888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120.</w:t>
      </w:r>
    </w:p>
  </w:footnote>
  <w:footnote w:id="271">
    <w:p w14:paraId="15C332A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132.</w:t>
      </w:r>
    </w:p>
  </w:footnote>
  <w:footnote w:id="272">
    <w:p w14:paraId="7C7A1BE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846.</w:t>
      </w:r>
    </w:p>
  </w:footnote>
  <w:footnote w:id="273">
    <w:p w14:paraId="738E8AA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1537.</w:t>
      </w:r>
    </w:p>
  </w:footnote>
  <w:footnote w:id="274">
    <w:p w14:paraId="3E6AC313" w14:textId="77777777" w:rsidR="00454428" w:rsidRDefault="00000000">
      <w:pPr>
        <w:pStyle w:val="FootnoteText"/>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من اتفاقية الويبو بشأن حق المؤلف عام </w:t>
      </w:r>
      <w:r>
        <w:rPr>
          <w:rStyle w:val="None"/>
          <w:rFonts w:ascii="Times New Roman" w:hAnsi="Times New Roman"/>
          <w:sz w:val="24"/>
          <w:szCs w:val="24"/>
          <w:rtl/>
          <w:lang w:val="ar-SA"/>
        </w:rPr>
        <w:t>1996.</w:t>
      </w:r>
    </w:p>
  </w:footnote>
  <w:footnote w:id="275">
    <w:p w14:paraId="20CA7A9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380.</w:t>
      </w:r>
    </w:p>
  </w:footnote>
  <w:footnote w:id="276">
    <w:p w14:paraId="12CE69D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w:t>
      </w:r>
    </w:p>
  </w:footnote>
  <w:footnote w:id="277">
    <w:p w14:paraId="13BE6B2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خديجة حسان، حماية حق المؤلف رقميًا في إطار المعاهدات الدولية ذات الصلة، 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1044.</w:t>
      </w:r>
    </w:p>
  </w:footnote>
  <w:footnote w:id="278">
    <w:p w14:paraId="0B21135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شنوف معمر، دور الهيئات الدولية لحماية المليكة الفكرية، 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188.</w:t>
      </w:r>
    </w:p>
  </w:footnote>
  <w:footnote w:id="279">
    <w:p w14:paraId="0EF0444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380.</w:t>
      </w:r>
    </w:p>
  </w:footnote>
  <w:footnote w:id="280">
    <w:p w14:paraId="327836C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محمد الطيب حمدان، واقع حماية الملكية الفكرية في الاتفاقيات الدولية، مجلة الحقوق والحريات، </w:t>
      </w:r>
      <w:r>
        <w:rPr>
          <w:rStyle w:val="None"/>
          <w:rFonts w:ascii="Times New Roman" w:hAnsi="Times New Roman"/>
          <w:sz w:val="24"/>
          <w:szCs w:val="24"/>
          <w:rtl/>
          <w:lang w:val="ar-SA"/>
        </w:rPr>
        <w:t>10(1)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55-34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45-46.</w:t>
      </w:r>
    </w:p>
  </w:footnote>
  <w:footnote w:id="281">
    <w:p w14:paraId="48DB3C9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خديجة حسان، حماية حق المؤلف رقميًا في إطار المعاهدات الدولية ذات الصلة، مرجع سابق، ص </w:t>
      </w:r>
      <w:r>
        <w:rPr>
          <w:rStyle w:val="None"/>
          <w:rFonts w:ascii="Times New Roman" w:hAnsi="Times New Roman"/>
          <w:sz w:val="24"/>
          <w:szCs w:val="24"/>
          <w:rtl/>
          <w:lang w:val="ar-SA"/>
        </w:rPr>
        <w:t>1038.</w:t>
      </w:r>
    </w:p>
  </w:footnote>
  <w:footnote w:id="282">
    <w:p w14:paraId="1DB0A98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مؤيد زيدان، حقوق الملكية الفكرية، المشاع المبدع للنشر، سوريا، ص</w:t>
      </w:r>
      <w:r>
        <w:rPr>
          <w:rStyle w:val="None"/>
          <w:rFonts w:ascii="Times New Roman" w:hAnsi="Times New Roman"/>
          <w:sz w:val="24"/>
          <w:szCs w:val="24"/>
          <w:rtl/>
          <w:lang w:val="ar-SA"/>
        </w:rPr>
        <w:t>60.</w:t>
      </w:r>
    </w:p>
  </w:footnote>
  <w:footnote w:id="283">
    <w:p w14:paraId="1D6461C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خديجة حسان، حماية حق المؤلف رقميًا في إطار المعاهدات الدولية ذات الصلة، مجلة الفكر القانوني والسياسي،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1039.</w:t>
      </w:r>
    </w:p>
  </w:footnote>
  <w:footnote w:id="284">
    <w:p w14:paraId="2F070E6B" w14:textId="77777777" w:rsidR="00454428" w:rsidRDefault="00000000">
      <w:pPr>
        <w:pStyle w:val="FootnoteText"/>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ميسان، الجزائر،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76.</w:t>
      </w:r>
    </w:p>
  </w:footnote>
  <w:footnote w:id="285">
    <w:p w14:paraId="3CC0E88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سامية خوخي، حقوق المؤلفين الأجانب،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18.</w:t>
      </w:r>
    </w:p>
  </w:footnote>
  <w:footnote w:id="286">
    <w:p w14:paraId="4FA54BB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155.</w:t>
      </w:r>
    </w:p>
  </w:footnote>
  <w:footnote w:id="287">
    <w:p w14:paraId="1356D96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 نسيمة فتحي،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الجزائر، </w:t>
      </w:r>
      <w:r>
        <w:rPr>
          <w:rStyle w:val="None"/>
          <w:rFonts w:ascii="Times New Roman" w:hAnsi="Times New Roman"/>
          <w:sz w:val="24"/>
          <w:szCs w:val="24"/>
          <w:rtl/>
          <w:lang w:val="ar-SA"/>
        </w:rPr>
        <w:t>(2012)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36.</w:t>
      </w:r>
    </w:p>
  </w:footnote>
  <w:footnote w:id="288">
    <w:p w14:paraId="05DE9B5C" w14:textId="77777777" w:rsidR="00454428" w:rsidRDefault="00000000">
      <w:pPr>
        <w:pStyle w:val="FootnoteText"/>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الخامسة من اتفاقية برن عام </w:t>
      </w:r>
      <w:r>
        <w:rPr>
          <w:rStyle w:val="None"/>
          <w:rFonts w:ascii="Times New Roman" w:hAnsi="Times New Roman"/>
          <w:sz w:val="24"/>
          <w:szCs w:val="24"/>
          <w:rtl/>
          <w:lang w:val="ar-SA"/>
        </w:rPr>
        <w:t xml:space="preserve">1986 </w:t>
      </w:r>
      <w:r>
        <w:rPr>
          <w:rStyle w:val="None"/>
          <w:rFonts w:ascii="Arial Unicode MS" w:hAnsi="Arial Unicode MS" w:cs="Times New Roman" w:hint="cs"/>
          <w:sz w:val="24"/>
          <w:szCs w:val="24"/>
          <w:rtl/>
          <w:lang w:val="ar-SA"/>
        </w:rPr>
        <w:t>وتعديلاتها</w:t>
      </w:r>
      <w:r>
        <w:rPr>
          <w:rStyle w:val="None"/>
          <w:rFonts w:ascii="Times New Roman" w:hAnsi="Times New Roman"/>
          <w:sz w:val="24"/>
          <w:szCs w:val="24"/>
          <w:rtl/>
          <w:lang w:val="ar-SA"/>
        </w:rPr>
        <w:t>.</w:t>
      </w:r>
    </w:p>
  </w:footnote>
  <w:footnote w:id="289">
    <w:p w14:paraId="47FADD9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محمد بن حدو،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الحمدي ابن باديس، الجزائر،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49.</w:t>
      </w:r>
    </w:p>
  </w:footnote>
  <w:footnote w:id="290">
    <w:p w14:paraId="7E1369B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نسيمة فتحي، الحماية الدولية لحقوق الملكية الفكرية، مرجع سابق، ص</w:t>
      </w:r>
      <w:r>
        <w:rPr>
          <w:rStyle w:val="None"/>
          <w:rFonts w:ascii="Times New Roman" w:hAnsi="Times New Roman"/>
          <w:sz w:val="24"/>
          <w:szCs w:val="24"/>
          <w:rtl/>
          <w:lang w:val="ar-SA"/>
        </w:rPr>
        <w:t>37.</w:t>
      </w:r>
    </w:p>
  </w:footnote>
  <w:footnote w:id="291">
    <w:p w14:paraId="49CB10A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62.</w:t>
      </w:r>
    </w:p>
  </w:footnote>
  <w:footnote w:id="292">
    <w:p w14:paraId="0E4AD70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أبو بكر محمود الهوش، نحو حقوق الملكية الفكرية في العصر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الثالث عشر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أكتوبر</w:t>
      </w:r>
      <w:r>
        <w:rPr>
          <w:rStyle w:val="None"/>
          <w:rFonts w:ascii="Times New Roman" w:hAnsi="Times New Roman"/>
          <w:sz w:val="24"/>
          <w:szCs w:val="24"/>
          <w:rtl/>
          <w:lang w:val="ar-SA"/>
        </w:rPr>
        <w:t>-2002)</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341.</w:t>
      </w:r>
    </w:p>
  </w:footnote>
  <w:footnote w:id="293">
    <w:p w14:paraId="6827BA6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73.</w:t>
      </w:r>
    </w:p>
  </w:footnote>
  <w:footnote w:id="294">
    <w:p w14:paraId="5727B8B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وصفية تطبيقية على برامج الحاسوب والوسائط المتعددة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233.</w:t>
      </w:r>
    </w:p>
  </w:footnote>
  <w:footnote w:id="295">
    <w:p w14:paraId="29E7465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 </w:t>
      </w:r>
      <w:r>
        <w:rPr>
          <w:rStyle w:val="None"/>
          <w:rFonts w:ascii="Times New Roman" w:hAnsi="Times New Roman"/>
          <w:sz w:val="24"/>
          <w:szCs w:val="24"/>
          <w:rtl/>
          <w:lang w:val="ar-SA"/>
        </w:rPr>
        <w:t>234.</w:t>
      </w:r>
    </w:p>
  </w:footnote>
  <w:footnote w:id="296">
    <w:p w14:paraId="2883227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صبرينة بلخير، الحماية الدولية لحقوق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الجزائر،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57.</w:t>
      </w:r>
    </w:p>
  </w:footnote>
  <w:footnote w:id="297">
    <w:p w14:paraId="49CF2B4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مرجع سابق، ص </w:t>
      </w:r>
      <w:r>
        <w:rPr>
          <w:rStyle w:val="None"/>
          <w:rFonts w:ascii="Times New Roman" w:hAnsi="Times New Roman"/>
          <w:sz w:val="24"/>
          <w:szCs w:val="24"/>
          <w:rtl/>
          <w:lang w:val="ar-SA"/>
        </w:rPr>
        <w:t>380.</w:t>
      </w:r>
    </w:p>
  </w:footnote>
  <w:footnote w:id="298">
    <w:p w14:paraId="2BBBB45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Pr>
          <w:rStyle w:val="None"/>
          <w:rFonts w:ascii="Times New Roman" w:hAnsi="Times New Roman"/>
          <w:sz w:val="24"/>
          <w:szCs w:val="24"/>
          <w:rtl/>
          <w:lang w:val="ar-SA"/>
        </w:rPr>
        <w:t>(636)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36-34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34.</w:t>
      </w:r>
    </w:p>
  </w:footnote>
  <w:footnote w:id="299">
    <w:p w14:paraId="5B01F88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وصفية تطبيقية على برامج الحاسوب والوسائط المتعددة، 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233.</w:t>
      </w:r>
    </w:p>
  </w:footnote>
  <w:footnote w:id="300">
    <w:p w14:paraId="75A8DA4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عبد جامعة الرحمان ميرة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بجاية، الجزائر،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7.</w:t>
      </w:r>
    </w:p>
  </w:footnote>
  <w:footnote w:id="301">
    <w:p w14:paraId="69CA408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94.</w:t>
      </w:r>
    </w:p>
  </w:footnote>
  <w:footnote w:id="302">
    <w:p w14:paraId="0F19CB5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 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footnote>
  <w:footnote w:id="303">
    <w:p w14:paraId="6B99A13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 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footnote>
  <w:footnote w:id="304">
    <w:p w14:paraId="7FCA9D0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مرجع سابق، ص </w:t>
      </w:r>
      <w:r>
        <w:rPr>
          <w:rStyle w:val="None"/>
          <w:rFonts w:ascii="Times New Roman" w:hAnsi="Times New Roman"/>
          <w:sz w:val="24"/>
          <w:szCs w:val="24"/>
          <w:rtl/>
          <w:lang w:val="ar-SA"/>
        </w:rPr>
        <w:t>393.</w:t>
      </w:r>
    </w:p>
  </w:footnote>
  <w:footnote w:id="305">
    <w:p w14:paraId="1AF83FD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مرجع سابق، ص </w:t>
      </w:r>
      <w:r>
        <w:rPr>
          <w:rStyle w:val="None"/>
          <w:rFonts w:ascii="Times New Roman" w:hAnsi="Times New Roman"/>
          <w:sz w:val="24"/>
          <w:szCs w:val="24"/>
          <w:rtl/>
          <w:lang w:val="ar-SA"/>
        </w:rPr>
        <w:t>11.</w:t>
      </w:r>
    </w:p>
  </w:footnote>
  <w:footnote w:id="306">
    <w:p w14:paraId="40B4CFAD" w14:textId="77777777" w:rsidR="00454428" w:rsidRDefault="00000000">
      <w:pPr>
        <w:pStyle w:val="FootnoteText"/>
      </w:pP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منى علي زهير؛ وعزوزي قويدر، معاهدة الويبو لحق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بالجلفة، الجزائر،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w:t>
      </w:r>
    </w:p>
  </w:footnote>
  <w:footnote w:id="307">
    <w:p w14:paraId="738FF3C4" w14:textId="77777777" w:rsidR="00454428" w:rsidRDefault="00000000">
      <w:pPr>
        <w:pStyle w:val="FootnoteText"/>
        <w:jc w:val="both"/>
      </w:pP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قطر،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64.</w:t>
      </w:r>
    </w:p>
  </w:footnote>
  <w:footnote w:id="308">
    <w:p w14:paraId="748790D3" w14:textId="77777777" w:rsidR="00454428" w:rsidRDefault="00000000">
      <w:pPr>
        <w:pStyle w:val="FootnoteText"/>
        <w:jc w:val="both"/>
      </w:pP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بن حدو محمد،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الحميد بن باديس، الجزائر،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67.</w:t>
      </w:r>
    </w:p>
  </w:footnote>
  <w:footnote w:id="309">
    <w:p w14:paraId="0FCBDAC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مجلة الحقوق والعلوم الإنسانية،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964.</w:t>
      </w:r>
    </w:p>
  </w:footnote>
  <w:footnote w:id="310">
    <w:p w14:paraId="1A94BBF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 الموقع الرسمي للمنصة الوطنية التابعة لحومة المملكة العربية السعودية، تم دخول الموقع يوم </w:t>
      </w:r>
      <w:r>
        <w:rPr>
          <w:rStyle w:val="None"/>
          <w:rFonts w:ascii="Times New Roman" w:hAnsi="Times New Roman"/>
          <w:sz w:val="24"/>
          <w:szCs w:val="24"/>
          <w:rtl/>
          <w:lang w:val="ar-SA"/>
        </w:rPr>
        <w:t>29/7/2025</w:t>
      </w:r>
      <w:r>
        <w:rPr>
          <w:rStyle w:val="None"/>
          <w:rFonts w:ascii="Arial Unicode MS" w:hAnsi="Arial Unicode MS" w:cs="Times New Roman" w:hint="cs"/>
          <w:sz w:val="24"/>
          <w:szCs w:val="24"/>
          <w:rtl/>
          <w:lang w:val="ar-SA"/>
        </w:rPr>
        <w:t xml:space="preserve">، </w:t>
      </w:r>
      <w:hyperlink r:id="rId16" w:history="1">
        <w:r>
          <w:rPr>
            <w:rStyle w:val="Hyperlink0"/>
            <w:rFonts w:eastAsia="Arial Unicode MS"/>
          </w:rPr>
          <w:t>https://eparticipation.my.gov.sa/e-consultations/consultations/legal/legal-consultation-25811</w:t>
        </w:r>
      </w:hyperlink>
      <w:r>
        <w:rPr>
          <w:rStyle w:val="None"/>
          <w:rFonts w:ascii="Times New Roman" w:hAnsi="Times New Roman"/>
          <w:sz w:val="24"/>
          <w:szCs w:val="24"/>
          <w:rtl/>
          <w:lang w:val="ar-SA"/>
        </w:rPr>
        <w:t xml:space="preserve"> </w:t>
      </w:r>
    </w:p>
  </w:footnote>
  <w:footnote w:id="311">
    <w:p w14:paraId="56FBCAF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2000.</w:t>
      </w:r>
    </w:p>
  </w:footnote>
  <w:footnote w:id="312">
    <w:p w14:paraId="14A7716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المرجع السابق، ص</w:t>
      </w:r>
      <w:r>
        <w:rPr>
          <w:rStyle w:val="None"/>
          <w:rFonts w:ascii="Times New Roman" w:hAnsi="Times New Roman"/>
          <w:sz w:val="24"/>
          <w:szCs w:val="24"/>
          <w:rtl/>
          <w:lang w:val="ar-SA"/>
        </w:rPr>
        <w:t>2001.</w:t>
      </w:r>
    </w:p>
  </w:footnote>
  <w:footnote w:id="313">
    <w:p w14:paraId="76B745C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421.</w:t>
      </w:r>
    </w:p>
  </w:footnote>
  <w:footnote w:id="314">
    <w:p w14:paraId="6FFDB63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51.</w:t>
      </w:r>
    </w:p>
  </w:footnote>
  <w:footnote w:id="315">
    <w:p w14:paraId="7343653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510.</w:t>
      </w:r>
    </w:p>
  </w:footnote>
  <w:footnote w:id="316">
    <w:p w14:paraId="7B8EF31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b/>
          <w:bCs/>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Pr>
          <w:rStyle w:val="None"/>
          <w:rFonts w:ascii="Times New Roman" w:hAnsi="Times New Roman"/>
          <w:sz w:val="24"/>
          <w:szCs w:val="24"/>
          <w:rtl/>
          <w:lang w:val="ar-SA"/>
        </w:rPr>
        <w:t>19/7/2025</w:t>
      </w:r>
      <w:r>
        <w:rPr>
          <w:rStyle w:val="None"/>
          <w:rFonts w:ascii="Arial Unicode MS" w:hAnsi="Arial Unicode MS" w:cs="Times New Roman" w:hint="cs"/>
          <w:sz w:val="24"/>
          <w:szCs w:val="24"/>
          <w:rtl/>
          <w:lang w:val="ar-SA"/>
        </w:rPr>
        <w:t xml:space="preserve">، </w:t>
      </w:r>
      <w:hyperlink r:id="rId17" w:history="1">
        <w:r>
          <w:rPr>
            <w:rStyle w:val="Hyperlink0"/>
            <w:rFonts w:eastAsia="Arial Unicode MS"/>
          </w:rPr>
          <w:t>https://www.saip.gov.sa/pct</w:t>
        </w:r>
      </w:hyperlink>
      <w:r>
        <w:rPr>
          <w:rStyle w:val="None"/>
          <w:rFonts w:ascii="Times New Roman" w:hAnsi="Times New Roman"/>
          <w:sz w:val="24"/>
          <w:szCs w:val="24"/>
          <w:rtl/>
          <w:lang w:val="ar-SA"/>
        </w:rPr>
        <w:t xml:space="preserve"> </w:t>
      </w:r>
    </w:p>
  </w:footnote>
  <w:footnote w:id="317">
    <w:p w14:paraId="3610291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 xml:space="preserve">) </w:t>
      </w:r>
      <w:r>
        <w:rPr>
          <w:rStyle w:val="None"/>
          <w:rFonts w:ascii="Arial Unicode MS" w:hAnsi="Arial Unicode MS" w:cs="Times New Roman" w:hint="cs"/>
          <w:sz w:val="24"/>
          <w:szCs w:val="24"/>
          <w:rtl/>
          <w:lang w:val="ar-SA"/>
        </w:rPr>
        <w:t>ثامر علي النويران، الجرائم الإلكترونية وطرق الحد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تجربة الأردن، جامعة محمد بن سعود الإسلامي، </w:t>
      </w:r>
      <w:r>
        <w:rPr>
          <w:rStyle w:val="None"/>
          <w:rFonts w:ascii="Times New Roman" w:hAnsi="Times New Roman"/>
          <w:sz w:val="24"/>
          <w:szCs w:val="24"/>
          <w:rtl/>
          <w:lang w:val="ar-SA"/>
        </w:rPr>
        <w:t>174-183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174.</w:t>
      </w:r>
    </w:p>
  </w:footnote>
  <w:footnote w:id="318">
    <w:p w14:paraId="25056E0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248.</w:t>
      </w:r>
    </w:p>
  </w:footnote>
  <w:footnote w:id="319">
    <w:p w14:paraId="5C5B33D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168.</w:t>
      </w:r>
    </w:p>
  </w:footnote>
  <w:footnote w:id="320">
    <w:p w14:paraId="31DFF65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Pr>
          <w:rStyle w:val="None"/>
          <w:rFonts w:ascii="Times New Roman" w:hAnsi="Times New Roman"/>
          <w:sz w:val="24"/>
          <w:szCs w:val="24"/>
          <w:rtl/>
          <w:lang w:val="ar-SA"/>
        </w:rPr>
        <w:t>43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227.</w:t>
      </w:r>
    </w:p>
  </w:footnote>
  <w:footnote w:id="321">
    <w:p w14:paraId="77FAA63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334.</w:t>
      </w:r>
    </w:p>
  </w:footnote>
  <w:footnote w:id="322">
    <w:p w14:paraId="65C7B62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137.</w:t>
      </w:r>
    </w:p>
  </w:footnote>
  <w:footnote w:id="323">
    <w:p w14:paraId="39A3706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منى غازي حسان إبراهيم، فاعلية السياسية الجنائية في مواجهة الجرائم المعلوماتية، مجلة الشريعة والقانون بالقاهرة،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2664.</w:t>
      </w:r>
    </w:p>
  </w:footnote>
  <w:footnote w:id="324">
    <w:p w14:paraId="4E1BD36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طارق خالد فايق عيسى، دور التشريعات الدولية في مكافحة الجريمة الرقمية وحماية البيانات الشخصية، مرجع سابق، ص</w:t>
      </w:r>
      <w:r>
        <w:rPr>
          <w:rStyle w:val="None"/>
          <w:rFonts w:ascii="Times New Roman" w:hAnsi="Times New Roman"/>
          <w:sz w:val="24"/>
          <w:szCs w:val="24"/>
          <w:rtl/>
          <w:lang w:val="ar-SA"/>
        </w:rPr>
        <w:t>230.</w:t>
      </w:r>
    </w:p>
  </w:footnote>
  <w:footnote w:id="325">
    <w:p w14:paraId="1C8A8BF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53.</w:t>
      </w:r>
    </w:p>
  </w:footnote>
  <w:footnote w:id="326">
    <w:p w14:paraId="0A2818E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سليمان عبد الواحد عبدا لله أحمد محمد، التعاون الأمني لمواجهة الجريمة المنظمة، جامعة المنوفية،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w:t>
      </w:r>
    </w:p>
  </w:footnote>
  <w:footnote w:id="327">
    <w:p w14:paraId="3F50737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عبد المعبود أحمد، الجريمة الإلكترونية وآلية مكافحتها في ظل القانون الدولي، جامعة المنوفية،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44.</w:t>
      </w:r>
    </w:p>
  </w:footnote>
  <w:footnote w:id="328">
    <w:p w14:paraId="0C6B823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إرزيل الكاهنة، تأثر المستهلك بحماية حقوق الملكية الفكرية، مجلة الحقوق والحريات،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618-605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606.</w:t>
      </w:r>
    </w:p>
  </w:footnote>
  <w:footnote w:id="329">
    <w:p w14:paraId="1370335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1207.</w:t>
      </w:r>
    </w:p>
  </w:footnote>
  <w:footnote w:id="330">
    <w:p w14:paraId="526EF1B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 (</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142.</w:t>
      </w:r>
    </w:p>
  </w:footnote>
  <w:footnote w:id="331">
    <w:p w14:paraId="053ADFA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1367-1429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 ص </w:t>
      </w:r>
      <w:r>
        <w:rPr>
          <w:rStyle w:val="None"/>
          <w:rFonts w:ascii="Times New Roman" w:hAnsi="Times New Roman"/>
          <w:sz w:val="24"/>
          <w:szCs w:val="24"/>
          <w:rtl/>
          <w:lang w:val="ar-SA"/>
        </w:rPr>
        <w:t>1369.</w:t>
      </w:r>
    </w:p>
  </w:footnote>
  <w:footnote w:id="332">
    <w:p w14:paraId="3EA2E70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مجلة الاجتهاد للدراسات القانونية والاقتصادية،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21.</w:t>
      </w:r>
    </w:p>
  </w:footnote>
  <w:footnote w:id="333">
    <w:p w14:paraId="0A85DDD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1594.</w:t>
      </w:r>
    </w:p>
  </w:footnote>
  <w:footnote w:id="334">
    <w:p w14:paraId="4C9B98C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نظام حماية حقوق المؤلف مرسوم ملكي رقم م</w:t>
      </w:r>
      <w:r>
        <w:rPr>
          <w:rStyle w:val="None"/>
          <w:rFonts w:ascii="Times New Roman" w:hAnsi="Times New Roman"/>
          <w:sz w:val="24"/>
          <w:szCs w:val="24"/>
          <w:rtl/>
          <w:lang w:val="ar-SA"/>
        </w:rPr>
        <w:t>/41.</w:t>
      </w:r>
    </w:p>
  </w:footnote>
  <w:footnote w:id="335">
    <w:p w14:paraId="0841F6A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نظام حماية حقوق المؤلف مرسوم ملكي رقم م</w:t>
      </w:r>
      <w:r>
        <w:rPr>
          <w:rStyle w:val="None"/>
          <w:rFonts w:ascii="Times New Roman" w:hAnsi="Times New Roman"/>
          <w:sz w:val="24"/>
          <w:szCs w:val="24"/>
          <w:rtl/>
          <w:lang w:val="ar-SA"/>
        </w:rPr>
        <w:t>/41.</w:t>
      </w:r>
    </w:p>
  </w:footnote>
  <w:footnote w:id="336">
    <w:p w14:paraId="65A0E42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147.</w:t>
      </w:r>
    </w:p>
  </w:footnote>
  <w:footnote w:id="337">
    <w:p w14:paraId="685E54F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/27.</w:t>
      </w:r>
    </w:p>
  </w:footnote>
  <w:footnote w:id="338">
    <w:p w14:paraId="05EE273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17.</w:t>
      </w:r>
    </w:p>
  </w:footnote>
  <w:footnote w:id="339">
    <w:p w14:paraId="1C62B47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وائل محمد رفعت إبراهيم علي، الحماية القانونية للتصميمات التخطيطية للدوائر المتكاملة، مجلة العلوم الاقتصادية والإدارية والقانونية،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86.</w:t>
      </w:r>
    </w:p>
  </w:footnote>
  <w:footnote w:id="340">
    <w:p w14:paraId="11B1B9A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بشاير سعيد عبد الله الوالي، التنظيم القانوني للأسماء التجارية المشهورة في القانون الإماراتي والقوانين المقارنة،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الشارقة، الإمارات، ص</w:t>
      </w:r>
      <w:r>
        <w:rPr>
          <w:rStyle w:val="None"/>
          <w:rFonts w:ascii="Times New Roman" w:hAnsi="Times New Roman"/>
          <w:sz w:val="24"/>
          <w:szCs w:val="24"/>
          <w:rtl/>
          <w:lang w:val="ar-SA"/>
        </w:rPr>
        <w:t>17.</w:t>
      </w:r>
    </w:p>
  </w:footnote>
  <w:footnote w:id="341">
    <w:p w14:paraId="6A2D257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72.</w:t>
      </w:r>
    </w:p>
  </w:footnote>
  <w:footnote w:id="342">
    <w:p w14:paraId="6104587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 المادة الأولى والثانية من نظام الأسماء التجارية الصادر بالمرسوم الملكي رقم م</w:t>
      </w:r>
      <w:r>
        <w:rPr>
          <w:rStyle w:val="None"/>
          <w:rFonts w:ascii="Times New Roman" w:hAnsi="Times New Roman"/>
          <w:sz w:val="24"/>
          <w:szCs w:val="24"/>
          <w:rtl/>
          <w:lang w:val="ar-SA"/>
        </w:rPr>
        <w:t>/83.</w:t>
      </w:r>
    </w:p>
  </w:footnote>
  <w:footnote w:id="343">
    <w:p w14:paraId="7EC1E90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المادة السادسة والسابعة من نظام من نظام الأسماء التجارية الصادر بالمرسوم الملكي رقم م</w:t>
      </w:r>
      <w:r>
        <w:rPr>
          <w:rStyle w:val="None"/>
          <w:rFonts w:ascii="Times New Roman" w:hAnsi="Times New Roman"/>
          <w:sz w:val="24"/>
          <w:szCs w:val="24"/>
          <w:rtl/>
          <w:lang w:val="ar-SA"/>
        </w:rPr>
        <w:t>/83.</w:t>
      </w:r>
    </w:p>
  </w:footnote>
  <w:footnote w:id="344">
    <w:p w14:paraId="7016772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شهد عبد الرحمن الصبحي، مدى وعي طلبة الدراسات العليا بنظام مكافحة الجرائم المعلوماتية في ظل التحول الرقمي ضمن رؤية المملكة </w:t>
      </w:r>
      <w:r>
        <w:rPr>
          <w:rStyle w:val="None"/>
          <w:rFonts w:ascii="Times New Roman" w:hAnsi="Times New Roman"/>
          <w:sz w:val="24"/>
          <w:szCs w:val="24"/>
          <w:rtl/>
          <w:lang w:val="ar-SA"/>
        </w:rPr>
        <w:t xml:space="preserve">2030 </w:t>
      </w:r>
      <w:r>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Pr>
          <w:rStyle w:val="None"/>
          <w:rFonts w:ascii="Times New Roman" w:hAnsi="Times New Roman"/>
          <w:sz w:val="24"/>
          <w:szCs w:val="24"/>
          <w:rtl/>
          <w:lang w:val="ar-SA"/>
        </w:rPr>
        <w:t>40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777.</w:t>
      </w:r>
    </w:p>
  </w:footnote>
  <w:footnote w:id="345">
    <w:p w14:paraId="28E7094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387.</w:t>
      </w:r>
    </w:p>
  </w:footnote>
  <w:footnote w:id="346">
    <w:p w14:paraId="425C0CD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ماي قالمة، الجزائر،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w:t>
      </w:r>
    </w:p>
  </w:footnote>
  <w:footnote w:id="347">
    <w:p w14:paraId="6064527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محمود أحمد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footnote>
  <w:footnote w:id="348">
    <w:p w14:paraId="03BD77D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54.</w:t>
      </w:r>
    </w:p>
  </w:footnote>
  <w:footnote w:id="349">
    <w:p w14:paraId="16AAC18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Pr>
          <w:rStyle w:val="None"/>
          <w:rFonts w:ascii="Times New Roman" w:hAnsi="Times New Roman"/>
          <w:sz w:val="24"/>
          <w:szCs w:val="24"/>
          <w:rtl/>
          <w:lang w:val="ar-SA"/>
        </w:rPr>
        <w:t>41</w:t>
      </w:r>
      <w:r>
        <w:rPr>
          <w:rStyle w:val="None"/>
          <w:rFonts w:ascii="Arial Unicode MS" w:hAnsi="Arial Unicode MS" w:cs="Times New Roman" w:hint="cs"/>
          <w:sz w:val="24"/>
          <w:szCs w:val="24"/>
          <w:rtl/>
          <w:lang w:val="ar-SA"/>
        </w:rPr>
        <w:t xml:space="preserve">، الإصدار الثاني،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1643.</w:t>
      </w:r>
    </w:p>
  </w:footnote>
  <w:footnote w:id="350">
    <w:p w14:paraId="2FCE424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عماد بن محمد يوسف جان، مقدمة في الملكية الفكرية وتطورها في المملكة العربية السعودية، مجلة البحوث الإسلامية، ع</w:t>
      </w:r>
      <w:r>
        <w:rPr>
          <w:rStyle w:val="None"/>
          <w:rFonts w:ascii="Times New Roman" w:hAnsi="Times New Roman"/>
          <w:sz w:val="24"/>
          <w:szCs w:val="24"/>
          <w:rtl/>
          <w:lang w:val="ar-SA"/>
        </w:rPr>
        <w:t>94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151.</w:t>
      </w:r>
    </w:p>
  </w:footnote>
  <w:footnote w:id="351">
    <w:p w14:paraId="16D0DA5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Toole, A., Miller, R. &amp; Rada, N. (2025). Intellectual property and the U.S. economy: Third edition. U.S. Patent and Trademark Office. </w:t>
      </w:r>
      <w:hyperlink r:id="rId18" w:history="1">
        <w:r>
          <w:rPr>
            <w:rStyle w:val="Hyperlink4"/>
            <w:rFonts w:eastAsia="Arial Unicode MS"/>
          </w:rPr>
          <w:t>https://www.uspto.gov/sites/default/files/documents/uspto-ip-us-economy-third-edition.pdf</w:t>
        </w:r>
      </w:hyperlink>
      <w:r>
        <w:rPr>
          <w:rStyle w:val="None"/>
          <w:rFonts w:ascii="Times New Roman" w:hAnsi="Times New Roman"/>
        </w:rPr>
        <w:t xml:space="preserve"> P. 1.</w:t>
      </w:r>
    </w:p>
  </w:footnote>
  <w:footnote w:id="352">
    <w:p w14:paraId="6555C2F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Georgetown Law. (2025). Intellectual Property Law. Retrieved from  </w:t>
      </w:r>
      <w:hyperlink r:id="rId19" w:history="1">
        <w:r>
          <w:rPr>
            <w:rStyle w:val="Hyperlink4"/>
            <w:rFonts w:eastAsia="Arial Unicode MS"/>
          </w:rPr>
          <w:t>https://www.law.georgetown.edu/your-life-career/career-exploration-professional-development/for-jd-students/explore-legal-careers/practice-areas/intellectual-property-law/\</w:t>
        </w:r>
      </w:hyperlink>
    </w:p>
  </w:footnote>
  <w:footnote w:id="353">
    <w:p w14:paraId="2625DC9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Sell, S. (2004). Intellectual property and public policy in historical perspective: Contestation and settlement. </w:t>
      </w:r>
      <w:r>
        <w:rPr>
          <w:rStyle w:val="None"/>
          <w:rFonts w:ascii="Times New Roman" w:hAnsi="Times New Roman"/>
          <w:i/>
          <w:iCs/>
          <w:color w:val="222222"/>
          <w:u w:color="222222"/>
          <w:shd w:val="clear" w:color="auto" w:fill="FFFFFF"/>
        </w:rPr>
        <w:t>Loy. LAL Rev.</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38</w:t>
      </w:r>
      <w:r>
        <w:rPr>
          <w:rStyle w:val="None"/>
          <w:rFonts w:ascii="Times New Roman" w:hAnsi="Times New Roman"/>
          <w:color w:val="222222"/>
          <w:u w:color="222222"/>
          <w:shd w:val="clear" w:color="auto" w:fill="FFFFFF"/>
        </w:rPr>
        <w:t>, 267. P. 60.</w:t>
      </w:r>
    </w:p>
  </w:footnote>
  <w:footnote w:id="354">
    <w:p w14:paraId="158B882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Joyce, C. (2020). Intellectual Property: United States Law. University of Houston Law Center Institute for Intellectual Property &amp; Information Law. P. 2.</w:t>
      </w:r>
    </w:p>
  </w:footnote>
  <w:footnote w:id="355">
    <w:p w14:paraId="24F34C7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Crestpoint University. (2025). History and Sources of Intellectual Property Law. Law shelf educational media. Retrieved from </w:t>
      </w:r>
      <w:hyperlink r:id="rId20" w:history="1">
        <w:r>
          <w:rPr>
            <w:rStyle w:val="Hyperlink4"/>
            <w:rFonts w:eastAsia="Arial Unicode MS"/>
          </w:rPr>
          <w:t>https://www.lawshelf.com/coursewarecontentview/history-and-sources-of-intellectual-property-law</w:t>
        </w:r>
      </w:hyperlink>
    </w:p>
  </w:footnote>
  <w:footnote w:id="356">
    <w:p w14:paraId="24C8195D"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IPLAC. (2025). </w:t>
      </w:r>
      <w:r>
        <w:rPr>
          <w:rStyle w:val="None"/>
          <w:rFonts w:ascii="Times New Roman" w:hAnsi="Times New Roman"/>
          <w:i/>
          <w:iCs/>
        </w:rPr>
        <w:t>Intellectual Property Timeline</w:t>
      </w:r>
      <w:r>
        <w:rPr>
          <w:rStyle w:val="None"/>
          <w:rFonts w:ascii="Times New Roman" w:hAnsi="Times New Roman"/>
        </w:rPr>
        <w:t xml:space="preserve">. Retrieved from </w:t>
      </w:r>
      <w:hyperlink r:id="rId21" w:history="1">
        <w:r>
          <w:rPr>
            <w:rStyle w:val="Hyperlink4"/>
            <w:rFonts w:eastAsia="Arial Unicode MS"/>
          </w:rPr>
          <w:t>https://iplac.org/about/history/intellectual-property-timeline/</w:t>
        </w:r>
      </w:hyperlink>
    </w:p>
  </w:footnote>
  <w:footnote w:id="357">
    <w:p w14:paraId="2B81D2DD"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The Federalist Society. (2025). The Forgotten History of the Intellectual Property Clause. Retrieved from </w:t>
      </w:r>
      <w:hyperlink r:id="rId22" w:history="1">
        <w:r>
          <w:rPr>
            <w:rStyle w:val="Hyperlink4"/>
            <w:rFonts w:eastAsia="Arial Unicode MS"/>
          </w:rPr>
          <w:t>https://fedsoc.org/commentary/fedsoc-blog/the-forgotten-history-of-the-intellectual-property-clause</w:t>
        </w:r>
      </w:hyperlink>
    </w:p>
  </w:footnote>
  <w:footnote w:id="358">
    <w:p w14:paraId="2E83261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Peng, M. W., Ahlstrom, D., Carraher, S. M., &amp; Shi, W. S. (2017). History and the debate over intellectual property. </w:t>
      </w:r>
      <w:r>
        <w:rPr>
          <w:rStyle w:val="None"/>
          <w:rFonts w:ascii="Times New Roman" w:hAnsi="Times New Roman"/>
          <w:i/>
          <w:iCs/>
          <w:color w:val="222222"/>
          <w:u w:color="222222"/>
          <w:shd w:val="clear" w:color="auto" w:fill="FFFFFF"/>
        </w:rPr>
        <w:t>Management and Organization Review</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13</w:t>
      </w:r>
      <w:r>
        <w:rPr>
          <w:rStyle w:val="None"/>
          <w:rFonts w:ascii="Times New Roman" w:hAnsi="Times New Roman"/>
          <w:color w:val="222222"/>
          <w:u w:color="222222"/>
          <w:shd w:val="clear" w:color="auto" w:fill="FFFFFF"/>
        </w:rPr>
        <w:t>(1), 15-38. P. 20.</w:t>
      </w:r>
    </w:p>
  </w:footnote>
  <w:footnote w:id="359">
    <w:p w14:paraId="785987A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IPO. (2025). Intellectual Property Rights in the USA. Intellectual Property Office. </w:t>
      </w:r>
      <w:hyperlink r:id="rId23" w:history="1">
        <w:r>
          <w:rPr>
            <w:rStyle w:val="Hyperlink4"/>
            <w:rFonts w:eastAsia="Arial Unicode MS"/>
          </w:rPr>
          <w:t>https://assets.publishing.service.gov.uk/media/5a80bf68e5274a2e87dbb972/IP_rights_in_USA.pdf</w:t>
        </w:r>
      </w:hyperlink>
      <w:r>
        <w:rPr>
          <w:rStyle w:val="None"/>
          <w:rFonts w:ascii="Times New Roman" w:hAnsi="Times New Roman"/>
        </w:rPr>
        <w:t xml:space="preserve">  P. 4</w:t>
      </w:r>
    </w:p>
  </w:footnote>
  <w:footnote w:id="360">
    <w:p w14:paraId="1DB664E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Mbah, G. O. (2024). US Intellectual Property Law and Its Impact on Business: Recent Developments and Trends. International Journal of Science and Research Archive, 13, 3279-3280.</w:t>
      </w:r>
    </w:p>
  </w:footnote>
  <w:footnote w:id="361">
    <w:p w14:paraId="79495A76" w14:textId="77777777" w:rsidR="00454428" w:rsidRDefault="00000000">
      <w:pPr>
        <w:pStyle w:val="FootnoteText"/>
        <w:bidi w:val="0"/>
        <w:jc w:val="both"/>
      </w:pPr>
      <w:r>
        <w:rPr>
          <w:rStyle w:val="None"/>
          <w:rFonts w:ascii="Times New Roman" w:hAnsi="Times New Roman"/>
          <w:i/>
          <w:iCs/>
          <w:color w:val="222222"/>
          <w:u w:color="222222"/>
          <w:shd w:val="clear" w:color="auto" w:fill="FFFFFF"/>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i/>
          <w:iCs/>
          <w:color w:val="222222"/>
          <w:u w:color="222222"/>
          <w:shd w:val="clear" w:color="auto" w:fill="FFFFFF"/>
        </w:rPr>
        <w:t>) Yager, L. (2004). Intellectual Property: US Efforts Have Contributed to Strengthened Laws Overseas, But Challenges Remain: Testimony Before the Committee on Government Reform, House of Representatives. US Government Accountability Office. P. 7.</w:t>
      </w:r>
    </w:p>
  </w:footnote>
  <w:footnote w:id="362">
    <w:p w14:paraId="0E2066B1" w14:textId="77777777" w:rsidR="00454428" w:rsidRDefault="00000000">
      <w:pPr>
        <w:pStyle w:val="FootnoteText"/>
        <w:bidi w:val="0"/>
        <w:jc w:val="both"/>
      </w:pPr>
      <w:r>
        <w:rPr>
          <w:rStyle w:val="None"/>
          <w:rFonts w:ascii="Times New Roman" w:hAnsi="Times New Roman"/>
          <w:i/>
          <w:iCs/>
          <w:color w:val="222222"/>
          <w:u w:color="222222"/>
          <w:shd w:val="clear" w:color="auto" w:fill="FFFFFF"/>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i/>
          <w:iCs/>
          <w:color w:val="222222"/>
          <w:u w:color="222222"/>
          <w:shd w:val="clear" w:color="auto" w:fill="FFFFFF"/>
        </w:rPr>
        <w:t xml:space="preserve">) Congress. Gov. (2025). Intellectual Property Law: A Brief Introduction. Retrieved from </w:t>
      </w:r>
      <w:hyperlink r:id="rId24" w:history="1">
        <w:r>
          <w:rPr>
            <w:rStyle w:val="Hyperlink5"/>
            <w:rFonts w:eastAsia="Arial Unicode MS"/>
          </w:rPr>
          <w:t>https://www.congress.gov/crs-product/IF10986</w:t>
        </w:r>
      </w:hyperlink>
    </w:p>
  </w:footnote>
  <w:footnote w:id="363">
    <w:p w14:paraId="0C105784" w14:textId="77777777" w:rsidR="00454428" w:rsidRDefault="00000000">
      <w:pPr>
        <w:pStyle w:val="FootnoteText"/>
        <w:bidi w:val="0"/>
        <w:jc w:val="both"/>
      </w:pPr>
      <w:r>
        <w:rPr>
          <w:rStyle w:val="Hyperlink5"/>
          <w:rFonts w:eastAsia="Arial Unicode MS"/>
        </w:rPr>
        <w:t>(</w:t>
      </w:r>
      <w:r>
        <w:rPr>
          <w:rStyle w:val="None"/>
          <w:rFonts w:ascii="Times New Roman" w:eastAsia="Times New Roman" w:hAnsi="Times New Roman" w:cs="Times New Roman"/>
          <w:sz w:val="24"/>
          <w:szCs w:val="24"/>
          <w:vertAlign w:val="superscript"/>
          <w:rtl/>
          <w:lang w:val="ar-SA"/>
        </w:rPr>
        <w:footnoteRef/>
      </w:r>
      <w:r>
        <w:rPr>
          <w:rStyle w:val="Hyperlink5"/>
          <w:rFonts w:eastAsia="Arial Unicode MS"/>
        </w:rPr>
        <w:t xml:space="preserve">) HG. (2025). What Is Intellectual Property Law? Retrieved from </w:t>
      </w:r>
      <w:hyperlink r:id="rId25" w:history="1">
        <w:r>
          <w:rPr>
            <w:rStyle w:val="Hyperlink5"/>
            <w:rFonts w:eastAsia="Arial Unicode MS"/>
          </w:rPr>
          <w:t>https://www.hg.org/intell.html</w:t>
        </w:r>
      </w:hyperlink>
    </w:p>
  </w:footnote>
  <w:footnote w:id="364">
    <w:p w14:paraId="69FA13CE"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Center for Strategic &amp; International Studies. (2025). </w:t>
      </w:r>
      <w:r>
        <w:rPr>
          <w:rStyle w:val="None"/>
          <w:rFonts w:ascii="Times New Roman" w:hAnsi="Times New Roman"/>
          <w:i/>
          <w:iCs/>
        </w:rPr>
        <w:t>Intellectual Property Rights and the Future of U.S. Technological Leadership</w:t>
      </w:r>
      <w:r>
        <w:rPr>
          <w:rStyle w:val="None"/>
          <w:rFonts w:ascii="Times New Roman" w:hAnsi="Times New Roman"/>
        </w:rPr>
        <w:t xml:space="preserve">. Retrieved from </w:t>
      </w:r>
      <w:hyperlink r:id="rId26" w:history="1">
        <w:r>
          <w:rPr>
            <w:rStyle w:val="Hyperlink4"/>
            <w:rFonts w:eastAsia="Arial Unicode MS"/>
          </w:rPr>
          <w:t>https://www.csis.org/analysis/intellectual-property-rights-and-future-us-technological-leadership</w:t>
        </w:r>
      </w:hyperlink>
    </w:p>
  </w:footnote>
  <w:footnote w:id="365">
    <w:p w14:paraId="39D6B02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U.S. Copyright Office. (2025). United States Intellectual Property Organization Act of 1996 (S. 1961). Retrieved from </w:t>
      </w:r>
      <w:hyperlink r:id="rId27" w:history="1">
        <w:r>
          <w:rPr>
            <w:rStyle w:val="Hyperlink4"/>
            <w:rFonts w:eastAsia="Arial Unicode MS"/>
          </w:rPr>
          <w:t>https://www.copyright.gov/docs/ipo.html</w:t>
        </w:r>
      </w:hyperlink>
    </w:p>
  </w:footnote>
  <w:footnote w:id="366">
    <w:p w14:paraId="7C30E511"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U.S. Department Of state. (2025). </w:t>
      </w:r>
      <w:r>
        <w:rPr>
          <w:rStyle w:val="None"/>
          <w:rFonts w:ascii="Times New Roman" w:hAnsi="Times New Roman"/>
          <w:i/>
          <w:iCs/>
        </w:rPr>
        <w:t>Intellectual Property Enforcement</w:t>
      </w:r>
      <w:r>
        <w:rPr>
          <w:rStyle w:val="None"/>
          <w:rFonts w:ascii="Times New Roman" w:hAnsi="Times New Roman"/>
        </w:rPr>
        <w:t xml:space="preserve">. Retrieved from </w:t>
      </w:r>
      <w:hyperlink r:id="rId28" w:history="1">
        <w:r>
          <w:rPr>
            <w:rStyle w:val="Hyperlink4"/>
            <w:rFonts w:eastAsia="Arial Unicode MS"/>
          </w:rPr>
          <w:t>https://www.state.gov/intellectual-property-enforcement</w:t>
        </w:r>
      </w:hyperlink>
    </w:p>
  </w:footnote>
  <w:footnote w:id="367">
    <w:p w14:paraId="7AD0A4A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Michael Dudzik (2022).  “Inventors and the French business environment (1791–1798)”, e-Phaïstos, Revue d’histoire des techniques / Journal of the history of technology, P. 4. </w:t>
      </w:r>
    </w:p>
  </w:footnote>
  <w:footnote w:id="368">
    <w:p w14:paraId="31496EA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IPOI. (2025). </w:t>
      </w:r>
      <w:r>
        <w:rPr>
          <w:rStyle w:val="None"/>
          <w:rFonts w:ascii="Times New Roman" w:hAnsi="Times New Roman"/>
          <w:i/>
          <w:iCs/>
        </w:rPr>
        <w:t>What is intellectual property?</w:t>
      </w:r>
      <w:r>
        <w:rPr>
          <w:rStyle w:val="None"/>
          <w:rFonts w:ascii="Times New Roman" w:hAnsi="Times New Roman"/>
        </w:rPr>
        <w:t xml:space="preserve"> Intellectual Property Office of Ireland, Government Offices, Hebron Road, Kilkenny, Ireland. Retrieved from </w:t>
      </w:r>
      <w:hyperlink r:id="rId29" w:history="1">
        <w:r>
          <w:rPr>
            <w:rStyle w:val="Hyperlink4"/>
            <w:rFonts w:eastAsia="Arial Unicode MS"/>
          </w:rPr>
          <w:t>https://www.ipoi.gov.ie/en/commercialise-your-ip/using-ip-to-grow-your-business/what-is-intellectual-property-/</w:t>
        </w:r>
      </w:hyperlink>
    </w:p>
  </w:footnote>
  <w:footnote w:id="369">
    <w:p w14:paraId="69273B0F"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Project MUSE. (2025). A Politics of Intellectual Property. Creating a Patent System in Revolutionary France. </w:t>
      </w:r>
      <w:hyperlink r:id="rId30" w:history="1">
        <w:r>
          <w:rPr>
            <w:rStyle w:val="Hyperlink4"/>
            <w:rFonts w:eastAsia="Arial Unicode MS"/>
          </w:rPr>
          <w:t>https://muse.jhu.edu/pub/1/article/777601</w:t>
        </w:r>
      </w:hyperlink>
    </w:p>
  </w:footnote>
  <w:footnote w:id="370">
    <w:p w14:paraId="21119D58"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Galvez-Behar, G. (2019). The patent system during the French industrial revolution: Institutional change and economic effects. </w:t>
      </w:r>
      <w:r>
        <w:rPr>
          <w:rStyle w:val="Hyperlink5"/>
          <w:rFonts w:eastAsia="Arial Unicode MS"/>
        </w:rPr>
        <w:t>Jahrbuch für Wirtschaftsgeschichte/Economic History Yearbook</w:t>
      </w:r>
      <w:r>
        <w:rPr>
          <w:rStyle w:val="None"/>
          <w:rFonts w:ascii="Times New Roman" w:hAnsi="Times New Roman"/>
          <w:color w:val="222222"/>
          <w:u w:color="222222"/>
          <w:shd w:val="clear" w:color="auto" w:fill="FFFFFF"/>
        </w:rPr>
        <w:t>, </w:t>
      </w:r>
      <w:r>
        <w:rPr>
          <w:rStyle w:val="Hyperlink5"/>
          <w:rFonts w:eastAsia="Arial Unicode MS"/>
        </w:rPr>
        <w:t>60</w:t>
      </w:r>
      <w:r>
        <w:rPr>
          <w:rStyle w:val="None"/>
          <w:rFonts w:ascii="Times New Roman" w:hAnsi="Times New Roman"/>
          <w:color w:val="222222"/>
          <w:u w:color="222222"/>
          <w:shd w:val="clear" w:color="auto" w:fill="FFFFFF"/>
        </w:rPr>
        <w:t xml:space="preserve">(1), P. 3. </w:t>
      </w:r>
    </w:p>
  </w:footnote>
  <w:footnote w:id="371">
    <w:p w14:paraId="3BCE0C37"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Sunwater Capital. (2025). Adoption of Intellectual Property Laws across the globe: Timeline. Retrieved from </w:t>
      </w:r>
      <w:hyperlink r:id="rId31" w:history="1">
        <w:r>
          <w:rPr>
            <w:rStyle w:val="Hyperlink4"/>
            <w:rFonts w:eastAsia="Arial Unicode MS"/>
          </w:rPr>
          <w:t>https://sunwater.org/adoption-of-intellectual-property-laws-across-the-globe-timeline/</w:t>
        </w:r>
      </w:hyperlink>
    </w:p>
  </w:footnote>
  <w:footnote w:id="372">
    <w:p w14:paraId="6AB76C4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Chang, H. J. (2001). Intellectual Property Rights and Economic Development: historical lessons and emerging issues. Third World Network, Malaysia. PP. 9-10</w:t>
      </w:r>
    </w:p>
  </w:footnote>
  <w:footnote w:id="373">
    <w:p w14:paraId="19C0BE07" w14:textId="77777777" w:rsidR="00454428" w:rsidRDefault="00000000">
      <w:pPr>
        <w:pStyle w:val="FootnoteText"/>
        <w:bidi w:val="0"/>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AIPPI International. (2025). A Century of Excellence: The French Legacy in Global Intellectual Property. Retrieved from </w:t>
      </w:r>
      <w:hyperlink r:id="rId32" w:history="1">
        <w:r>
          <w:rPr>
            <w:rStyle w:val="Hyperlink4"/>
            <w:rFonts w:eastAsia="Arial Unicode MS"/>
          </w:rPr>
          <w:t>https://www.aippi.org/news/a-century-of-excellence-the-french-legacy-in-global-intellectual-property/</w:t>
        </w:r>
      </w:hyperlink>
    </w:p>
  </w:footnote>
  <w:footnote w:id="374">
    <w:p w14:paraId="1246BFCE"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Liemer, S. P. (2011). On the origins of Le Droit moral: how non-economic rights came to be protected in French IP law. </w:t>
      </w:r>
      <w:r>
        <w:rPr>
          <w:rStyle w:val="Hyperlink5"/>
          <w:rFonts w:eastAsia="Arial Unicode MS"/>
        </w:rPr>
        <w:t>J. Intell. Prop. L.</w:t>
      </w:r>
      <w:r>
        <w:rPr>
          <w:rStyle w:val="None"/>
          <w:rFonts w:ascii="Times New Roman" w:hAnsi="Times New Roman"/>
          <w:color w:val="222222"/>
          <w:u w:color="222222"/>
          <w:shd w:val="clear" w:color="auto" w:fill="FFFFFF"/>
        </w:rPr>
        <w:t>, </w:t>
      </w:r>
      <w:r>
        <w:rPr>
          <w:rStyle w:val="Hyperlink5"/>
          <w:rFonts w:eastAsia="Arial Unicode MS"/>
        </w:rPr>
        <w:t>19</w:t>
      </w:r>
      <w:r>
        <w:rPr>
          <w:rStyle w:val="None"/>
          <w:rFonts w:ascii="Times New Roman" w:hAnsi="Times New Roman"/>
          <w:color w:val="222222"/>
          <w:u w:color="222222"/>
          <w:shd w:val="clear" w:color="auto" w:fill="FFFFFF"/>
        </w:rPr>
        <w:t>:65, PP. 69-70.</w:t>
      </w:r>
    </w:p>
  </w:footnote>
  <w:footnote w:id="375">
    <w:p w14:paraId="3F38EA3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Lemercier,</w:t>
      </w:r>
      <w:r>
        <w:rPr>
          <w:rStyle w:val="None"/>
          <w:rFonts w:ascii="Times New Roman" w:hAnsi="Times New Roman"/>
          <w:sz w:val="24"/>
          <w:szCs w:val="24"/>
          <w:rtl/>
          <w:lang w:val="ar-SA"/>
        </w:rPr>
        <w:t xml:space="preserve"> </w:t>
      </w:r>
      <w:r>
        <w:rPr>
          <w:rStyle w:val="None"/>
          <w:rFonts w:ascii="Times New Roman" w:hAnsi="Times New Roman"/>
        </w:rPr>
        <w:t xml:space="preserve">L., Blanchet, T. &amp; Dundon, C. (2021). </w:t>
      </w:r>
      <w:r>
        <w:rPr>
          <w:rStyle w:val="None"/>
          <w:rFonts w:ascii="Times New Roman" w:hAnsi="Times New Roman"/>
          <w:i/>
          <w:iCs/>
        </w:rPr>
        <w:t>Private Acquisitions: Intellectual Property Issues (France)</w:t>
      </w:r>
      <w:r>
        <w:rPr>
          <w:rStyle w:val="None"/>
          <w:rFonts w:ascii="Times New Roman" w:hAnsi="Times New Roman"/>
        </w:rPr>
        <w:t>. Practical Law. Thomson Reuters. PP. 1-2.</w:t>
      </w:r>
    </w:p>
  </w:footnote>
  <w:footnote w:id="376">
    <w:p w14:paraId="057E62E1"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Laurence R. Hefter </w:t>
      </w:r>
      <w:r>
        <w:rPr>
          <w:rStyle w:val="None"/>
          <w:rFonts w:ascii="Times New Roman" w:hAnsi="Times New Roman"/>
          <w:sz w:val="24"/>
          <w:szCs w:val="24"/>
          <w:rtl/>
          <w:lang w:val="ar-SA"/>
        </w:rPr>
        <w:t>&amp;</w:t>
      </w:r>
      <w:r>
        <w:rPr>
          <w:rStyle w:val="None"/>
          <w:rFonts w:ascii="Times New Roman" w:hAnsi="Times New Roman"/>
        </w:rPr>
        <w:t xml:space="preserve"> Robert D. Litowitz. (2025). PROTECTING INTELLECTUAL PROPERTY. Retrieved from </w:t>
      </w:r>
      <w:hyperlink r:id="rId33" w:history="1">
        <w:r>
          <w:rPr>
            <w:rStyle w:val="Hyperlink0"/>
            <w:rFonts w:eastAsia="Arial Unicode MS"/>
          </w:rPr>
          <w:t>https://usinfo.org/trade/bg9515e.htm</w:t>
        </w:r>
      </w:hyperlink>
    </w:p>
  </w:footnote>
  <w:footnote w:id="377">
    <w:p w14:paraId="5CA400DE"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National University. (2025). INTELLECTUAL PROPERTY OBJECTS PROTECTION IN FRANCE. Retrieved from </w:t>
      </w:r>
      <w:hyperlink r:id="rId34" w:history="1">
        <w:r>
          <w:rPr>
            <w:rStyle w:val="Hyperlink4"/>
            <w:rFonts w:eastAsia="Arial Unicode MS"/>
          </w:rPr>
          <w:t>https://reposit.nupp.edu.ua/bitstream/PoltNTU/12441/1/75%20%D0%A2.1-441-442.pdf</w:t>
        </w:r>
      </w:hyperlink>
    </w:p>
  </w:footnote>
  <w:footnote w:id="378">
    <w:p w14:paraId="1AC22828"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Licensing Executives Society. (2025). IP-Related Aspects Of The French Law On Modernization Of The Economy. Retrieved from </w:t>
      </w:r>
      <w:hyperlink r:id="rId35" w:history="1">
        <w:r>
          <w:rPr>
            <w:rStyle w:val="Hyperlink4"/>
            <w:rFonts w:eastAsia="Arial Unicode MS"/>
          </w:rPr>
          <w:t>https://lesi.org/ip-related-aspects-of-the-french-law-on-modernization-of-the-economy/</w:t>
        </w:r>
      </w:hyperlink>
    </w:p>
  </w:footnote>
  <w:footnote w:id="379">
    <w:p w14:paraId="258B4267"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Dreyfus. (2025). </w:t>
      </w:r>
      <w:r>
        <w:rPr>
          <w:rStyle w:val="None"/>
          <w:rFonts w:ascii="Times New Roman" w:hAnsi="Times New Roman"/>
          <w:i/>
          <w:iCs/>
        </w:rPr>
        <w:t>The French Intellectual Property Legal Framework: A Comprehensive Overview</w:t>
      </w:r>
      <w:r>
        <w:rPr>
          <w:rStyle w:val="None"/>
          <w:rFonts w:ascii="Times New Roman" w:hAnsi="Times New Roman"/>
        </w:rPr>
        <w:t xml:space="preserve">. Retrieved from </w:t>
      </w:r>
      <w:hyperlink r:id="rId36" w:history="1">
        <w:r>
          <w:rPr>
            <w:rStyle w:val="Hyperlink4"/>
            <w:rFonts w:eastAsia="Arial Unicode MS"/>
          </w:rPr>
          <w:t>https://www.dreyfus.fr/en/2024/10/21/frances-ip-legislation-mastering-trademarks-in-a-global-playground/</w:t>
        </w:r>
      </w:hyperlink>
    </w:p>
  </w:footnote>
  <w:footnote w:id="380">
    <w:p w14:paraId="6A7F21E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حسين منصور، النظرية العامة للالتزام،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الجامعة الجديدة، </w:t>
      </w:r>
      <w:r>
        <w:rPr>
          <w:rStyle w:val="None"/>
          <w:rFonts w:ascii="Times New Roman" w:hAnsi="Times New Roman"/>
          <w:sz w:val="24"/>
          <w:szCs w:val="24"/>
          <w:rtl/>
          <w:lang w:val="ar-SA"/>
        </w:rPr>
        <w:t>(2005)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371.</w:t>
      </w:r>
    </w:p>
  </w:footnote>
  <w:footnote w:id="381">
    <w:p w14:paraId="2A44E63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b/>
          <w:bCs/>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373.</w:t>
      </w:r>
    </w:p>
  </w:footnote>
  <w:footnote w:id="382">
    <w:p w14:paraId="3040045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52.</w:t>
      </w:r>
    </w:p>
  </w:footnote>
  <w:footnote w:id="383">
    <w:p w14:paraId="22F3B1A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حسين منصور، مرجع سابق، ص</w:t>
      </w:r>
      <w:r>
        <w:rPr>
          <w:rStyle w:val="None"/>
          <w:rFonts w:ascii="Times New Roman" w:hAnsi="Times New Roman"/>
          <w:sz w:val="24"/>
          <w:szCs w:val="24"/>
          <w:rtl/>
          <w:lang w:val="ar-SA"/>
        </w:rPr>
        <w:t>382.</w:t>
      </w:r>
    </w:p>
  </w:footnote>
  <w:footnote w:id="384">
    <w:p w14:paraId="79F3666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386.</w:t>
      </w:r>
    </w:p>
  </w:footnote>
  <w:footnote w:id="385">
    <w:p w14:paraId="09AB63B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سعيد سعد عبد السلام، مصادر الالتزام المدني،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247.</w:t>
      </w:r>
    </w:p>
  </w:footnote>
  <w:footnote w:id="386">
    <w:p w14:paraId="0F1E350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شيماء أمين أحمد سوقية؛ وحسن فلاح الحاج موسى السفاريني؛ وأمجد عبد الفتاح أحمد حسن، مرجع سابق، ص</w:t>
      </w:r>
      <w:r>
        <w:rPr>
          <w:rStyle w:val="None"/>
          <w:rFonts w:ascii="Times New Roman" w:hAnsi="Times New Roman"/>
          <w:sz w:val="24"/>
          <w:szCs w:val="24"/>
          <w:rtl/>
          <w:lang w:val="ar-SA"/>
        </w:rPr>
        <w:t>53.</w:t>
      </w:r>
    </w:p>
  </w:footnote>
  <w:footnote w:id="387">
    <w:p w14:paraId="14E558E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سمير عبد السيد تناغو، مصادر الإلتزام،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الوفاء القانونية،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169.</w:t>
      </w:r>
    </w:p>
  </w:footnote>
  <w:footnote w:id="388">
    <w:p w14:paraId="3D90B6C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سعيد سعد عبد السلام، مرجع سابق، ص</w:t>
      </w:r>
      <w:r>
        <w:rPr>
          <w:rStyle w:val="None"/>
          <w:rFonts w:ascii="Times New Roman" w:hAnsi="Times New Roman"/>
          <w:sz w:val="24"/>
          <w:szCs w:val="24"/>
          <w:rtl/>
          <w:lang w:val="ar-SA"/>
        </w:rPr>
        <w:t>251.</w:t>
      </w:r>
    </w:p>
  </w:footnote>
  <w:footnote w:id="389">
    <w:p w14:paraId="73C13C8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شيماء أمين أحمد سوقية؛ وحسن فلاح الحاج موسى السفاريني؛ وأمجد عبد الفتاح أحمد حسن، مرجع سابق، ص</w:t>
      </w:r>
      <w:r>
        <w:rPr>
          <w:rStyle w:val="None"/>
          <w:rFonts w:ascii="Times New Roman" w:hAnsi="Times New Roman"/>
          <w:sz w:val="24"/>
          <w:szCs w:val="24"/>
          <w:rtl/>
          <w:lang w:val="ar-SA"/>
        </w:rPr>
        <w:t>54.</w:t>
      </w:r>
    </w:p>
  </w:footnote>
  <w:footnote w:id="390">
    <w:p w14:paraId="573CA68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سعيد سعد عبد السلام، مرجع سابق، ص</w:t>
      </w:r>
      <w:r>
        <w:rPr>
          <w:rStyle w:val="None"/>
          <w:rFonts w:ascii="Times New Roman" w:hAnsi="Times New Roman"/>
          <w:sz w:val="24"/>
          <w:szCs w:val="24"/>
          <w:rtl/>
          <w:lang w:val="ar-SA"/>
        </w:rPr>
        <w:t>255.</w:t>
      </w:r>
    </w:p>
  </w:footnote>
  <w:footnote w:id="391">
    <w:p w14:paraId="4CCDFAB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57.</w:t>
      </w:r>
    </w:p>
  </w:footnote>
  <w:footnote w:id="392">
    <w:p w14:paraId="151703C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إيمان نصر ذكي السيد، التعويض المستحق للمؤلف عن الاعتداء على مصنفه الإلكتروني، المجلة القانونية الاقتصادية، ع</w:t>
      </w:r>
      <w:r>
        <w:rPr>
          <w:rStyle w:val="None"/>
          <w:rFonts w:ascii="Times New Roman" w:hAnsi="Times New Roman"/>
          <w:sz w:val="24"/>
          <w:szCs w:val="24"/>
          <w:rtl/>
          <w:lang w:val="ar-SA"/>
        </w:rPr>
        <w:t>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123.</w:t>
      </w:r>
    </w:p>
  </w:footnote>
  <w:footnote w:id="393">
    <w:p w14:paraId="2EF810C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جاسم محمد سعيد النقبي، دعوى التعويض عن القرارات الإدارية غير المشروعة، بحث نشر بجامعة الشارقة،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w:t>
      </w:r>
    </w:p>
  </w:footnote>
  <w:footnote w:id="394">
    <w:p w14:paraId="7DA974D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نضال عطا بدوي الدويك، التعويض عن الأضرار المادية المستقبلية الناجمة عن الإصابات الجسدية، رسالة ماجستير غير منشورة، جامعة الشرق الأوسط، الأردن،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w:t>
      </w:r>
    </w:p>
  </w:footnote>
  <w:footnote w:id="395">
    <w:p w14:paraId="68F368C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إيمان نصر ذكي السيد، التعويض المستحق للمؤلف عن الاعتداء على مصنفه الإلكتروني، مرجع سابق، ص</w:t>
      </w:r>
      <w:r>
        <w:rPr>
          <w:rStyle w:val="None"/>
          <w:rFonts w:ascii="Times New Roman" w:hAnsi="Times New Roman"/>
          <w:sz w:val="24"/>
          <w:szCs w:val="24"/>
          <w:rtl/>
          <w:lang w:val="ar-SA"/>
        </w:rPr>
        <w:t>135.</w:t>
      </w:r>
    </w:p>
  </w:footnote>
  <w:footnote w:id="396">
    <w:p w14:paraId="5D07F8C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المرجع السابق، ص</w:t>
      </w:r>
      <w:r>
        <w:rPr>
          <w:rStyle w:val="None"/>
          <w:rFonts w:ascii="Times New Roman" w:hAnsi="Times New Roman"/>
          <w:sz w:val="24"/>
          <w:szCs w:val="24"/>
          <w:rtl/>
          <w:lang w:val="ar-SA"/>
        </w:rPr>
        <w:t>282.</w:t>
      </w:r>
    </w:p>
  </w:footnote>
  <w:footnote w:id="397">
    <w:p w14:paraId="15DEE91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(119) </w:t>
      </w:r>
      <w:r>
        <w:rPr>
          <w:rStyle w:val="None"/>
          <w:rFonts w:ascii="Arial Unicode MS" w:hAnsi="Arial Unicode MS" w:cs="Times New Roman" w:hint="cs"/>
          <w:sz w:val="24"/>
          <w:szCs w:val="24"/>
          <w:rtl/>
          <w:lang w:val="ar-SA"/>
        </w:rPr>
        <w:t xml:space="preserve">من نظام المعاملات المدنية، مرسوم 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/191)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29/11/1444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398">
    <w:p w14:paraId="23A1F80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399">
    <w:p w14:paraId="17B5972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(45) </w:t>
      </w:r>
      <w:r>
        <w:rPr>
          <w:rStyle w:val="None"/>
          <w:rFonts w:ascii="Arial Unicode MS" w:hAnsi="Arial Unicode MS" w:cs="Times New Roman" w:hint="cs"/>
          <w:sz w:val="24"/>
          <w:szCs w:val="24"/>
          <w:rtl/>
          <w:lang w:val="ar-SA"/>
        </w:rPr>
        <w:t>من اتفاقية الجوانب المتصلة بالتجارة من حقوق الملكية الفكرية والمعرفة باسم تريبس</w:t>
      </w:r>
      <w:r>
        <w:rPr>
          <w:rStyle w:val="None"/>
          <w:rFonts w:ascii="Times New Roman" w:hAnsi="Times New Roman"/>
          <w:sz w:val="24"/>
          <w:szCs w:val="24"/>
          <w:rtl/>
          <w:lang w:val="ar-SA"/>
        </w:rPr>
        <w:t>.</w:t>
      </w:r>
    </w:p>
  </w:footnote>
  <w:footnote w:id="400">
    <w:p w14:paraId="2C74DF9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مها بنت مخلد العتيبي، الابتكار في حقوق الملكية الأدبية والفنية، رسالة ماجستير غير منشورة،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505.</w:t>
      </w:r>
    </w:p>
  </w:footnote>
  <w:footnote w:id="401">
    <w:p w14:paraId="1AB208E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ومبروك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1281.</w:t>
      </w:r>
    </w:p>
  </w:footnote>
  <w:footnote w:id="402">
    <w:p w14:paraId="3B0B90F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نجم عبود نجم، إدارة اللاملموسات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إدارة ما لا يقاس،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278.</w:t>
      </w:r>
    </w:p>
  </w:footnote>
  <w:footnote w:id="403">
    <w:p w14:paraId="45C4CC1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نظام حماية 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04">
    <w:p w14:paraId="29D653F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(29)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05">
    <w:p w14:paraId="1E5FFAC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footnote>
  <w:footnote w:id="406">
    <w:p w14:paraId="632397A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عبد اللاه عبد الحميد عبد الرحيم المراغي، المسؤولية الجنائية لمقدمي خدمات الإنترنت، مجلة حقوق حلوان للدراسات القانونية والاقتصادية، مج</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108.</w:t>
      </w:r>
    </w:p>
  </w:footnote>
  <w:footnote w:id="407">
    <w:p w14:paraId="677DBDD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42.</w:t>
      </w:r>
    </w:p>
  </w:footnote>
  <w:footnote w:id="408">
    <w:p w14:paraId="5DE857E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بن عزة محمد حمزة، المسئولية القانونية لمتعاملي الإنترنت دراسة 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جيلالي ليابس، الجزائر،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136.</w:t>
      </w:r>
    </w:p>
  </w:footnote>
  <w:footnote w:id="409">
    <w:p w14:paraId="3580928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الأولى من نظام الاتصالات وتقنية المعلومات الصادر بالمرسوم الملكي رقم م</w:t>
      </w:r>
      <w:r>
        <w:rPr>
          <w:rStyle w:val="None"/>
          <w:rFonts w:ascii="Times New Roman" w:hAnsi="Times New Roman"/>
          <w:sz w:val="24"/>
          <w:szCs w:val="24"/>
          <w:rtl/>
          <w:lang w:val="ar-SA"/>
        </w:rPr>
        <w:t xml:space="preserve">/106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10">
    <w:p w14:paraId="20832B6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166.</w:t>
      </w:r>
    </w:p>
  </w:footnote>
  <w:footnote w:id="411">
    <w:p w14:paraId="6325C64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صابرين حناش، المسؤولية الجنائية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أولحاج، الجزائر،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38.</w:t>
      </w:r>
    </w:p>
  </w:footnote>
  <w:footnote w:id="412">
    <w:p w14:paraId="3B341E7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ميسر طارق يوسف جرار، المسؤولية المدنية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72. / </w:t>
      </w:r>
      <w:r>
        <w:rPr>
          <w:rStyle w:val="None"/>
          <w:rFonts w:ascii="Arial Unicode MS" w:hAnsi="Arial Unicode MS" w:cs="Times New Roman" w:hint="cs"/>
          <w:sz w:val="24"/>
          <w:szCs w:val="24"/>
          <w:rtl/>
          <w:lang w:val="ar-SA"/>
        </w:rPr>
        <w:t>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 ص</w:t>
      </w:r>
      <w:r>
        <w:rPr>
          <w:rStyle w:val="None"/>
          <w:rFonts w:ascii="Times New Roman" w:hAnsi="Times New Roman"/>
          <w:sz w:val="24"/>
          <w:szCs w:val="24"/>
          <w:rtl/>
          <w:lang w:val="ar-SA"/>
        </w:rPr>
        <w:t>482.</w:t>
      </w:r>
    </w:p>
  </w:footnote>
  <w:footnote w:id="413">
    <w:p w14:paraId="59813CB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خضراوي الهادي؛ ايمان بو ناصر، الإطار القانوني للمسؤولية المدنية لمزودي الخدمة المعلوماتية دراسة مقارنة، مجلة البحوث القانونية والسياسية، ع</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401.</w:t>
      </w:r>
    </w:p>
  </w:footnote>
  <w:footnote w:id="414">
    <w:p w14:paraId="4E039DB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34.</w:t>
      </w:r>
    </w:p>
  </w:footnote>
  <w:footnote w:id="415">
    <w:p w14:paraId="7BC534E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الموقع الرسمي للهيئة السعودية للملكية الفكرية، تم الدخول على الموقع بتاريخ </w:t>
      </w:r>
      <w:r>
        <w:rPr>
          <w:rStyle w:val="None"/>
          <w:rFonts w:ascii="Times New Roman" w:hAnsi="Times New Roman"/>
          <w:sz w:val="24"/>
          <w:szCs w:val="24"/>
          <w:rtl/>
          <w:lang w:val="ar-SA"/>
        </w:rPr>
        <w:t xml:space="preserve">18/8/2025 </w:t>
      </w:r>
      <w:r>
        <w:rPr>
          <w:rStyle w:val="None"/>
          <w:rFonts w:ascii="Arial Unicode MS" w:hAnsi="Arial Unicode MS" w:cs="Times New Roman" w:hint="cs"/>
          <w:sz w:val="24"/>
          <w:szCs w:val="24"/>
          <w:rtl/>
          <w:lang w:val="ar-SA"/>
        </w:rPr>
        <w:t>من خلال الرابط التالي</w:t>
      </w:r>
      <w:r>
        <w:rPr>
          <w:rStyle w:val="None"/>
          <w:rFonts w:ascii="Times New Roman" w:hAnsi="Times New Roman"/>
          <w:sz w:val="24"/>
          <w:szCs w:val="24"/>
          <w:rtl/>
          <w:lang w:val="ar-SA"/>
        </w:rPr>
        <w:t xml:space="preserve">: </w:t>
      </w:r>
      <w:hyperlink r:id="rId37" w:history="1">
        <w:r>
          <w:rPr>
            <w:rStyle w:val="Hyperlink0"/>
            <w:rFonts w:eastAsia="Arial Unicode MS"/>
          </w:rPr>
          <w:t>https://www.saip.gov.sa/about/brief</w:t>
        </w:r>
        <w:r>
          <w:rPr>
            <w:rStyle w:val="Link"/>
            <w:rFonts w:ascii="Times New Roman" w:hAnsi="Times New Roman"/>
            <w:sz w:val="24"/>
            <w:szCs w:val="24"/>
            <w:rtl/>
            <w:lang w:val="ar-SA"/>
          </w:rPr>
          <w:t>/</w:t>
        </w:r>
      </w:hyperlink>
      <w:r>
        <w:rPr>
          <w:rStyle w:val="None"/>
          <w:rFonts w:ascii="Times New Roman" w:hAnsi="Times New Roman"/>
          <w:sz w:val="24"/>
          <w:szCs w:val="24"/>
          <w:rtl/>
          <w:lang w:val="ar-SA"/>
        </w:rPr>
        <w:t xml:space="preserve"> </w:t>
      </w:r>
    </w:p>
  </w:footnote>
  <w:footnote w:id="416">
    <w:p w14:paraId="578BD5E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مها بنت مخلد العتيبي، الابتكار في حقوق الملكية الأدبية والفنية، رسالة ماجستير غير منشورة، مرجع سابق، ص</w:t>
      </w:r>
      <w:r>
        <w:rPr>
          <w:rStyle w:val="None"/>
          <w:rFonts w:ascii="Times New Roman" w:hAnsi="Times New Roman"/>
          <w:sz w:val="24"/>
          <w:szCs w:val="24"/>
          <w:rtl/>
          <w:lang w:val="ar-SA"/>
        </w:rPr>
        <w:t>512.</w:t>
      </w:r>
    </w:p>
  </w:footnote>
  <w:footnote w:id="417">
    <w:p w14:paraId="2A99606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(26)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18">
    <w:p w14:paraId="5914EBD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صلاح الدين رجب فتح الباب،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99.</w:t>
      </w:r>
    </w:p>
  </w:footnote>
  <w:footnote w:id="419">
    <w:p w14:paraId="12A8AAC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(8/1)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20">
    <w:p w14:paraId="6BACE1BE"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Kharchenko, O., Kronda, O., Kryvosheyina, I., &amp; Zerov, K. (2021). Protection of intellectual property rights on the Internet: New challenges. </w:t>
      </w:r>
      <w:r>
        <w:rPr>
          <w:rStyle w:val="Hyperlink5"/>
          <w:rFonts w:eastAsia="Arial Unicode MS"/>
        </w:rPr>
        <w:t>Amazonia Investiga</w:t>
      </w:r>
      <w:r>
        <w:rPr>
          <w:rStyle w:val="None"/>
          <w:rFonts w:ascii="Times New Roman" w:hAnsi="Times New Roman"/>
          <w:color w:val="222222"/>
          <w:u w:color="222222"/>
          <w:shd w:val="clear" w:color="auto" w:fill="FFFFFF"/>
        </w:rPr>
        <w:t>, </w:t>
      </w:r>
      <w:r>
        <w:rPr>
          <w:rStyle w:val="Hyperlink5"/>
          <w:rFonts w:eastAsia="Arial Unicode MS"/>
        </w:rPr>
        <w:t>10</w:t>
      </w:r>
      <w:r>
        <w:rPr>
          <w:rStyle w:val="None"/>
          <w:rFonts w:ascii="Times New Roman" w:hAnsi="Times New Roman"/>
          <w:color w:val="222222"/>
          <w:u w:color="222222"/>
          <w:shd w:val="clear" w:color="auto" w:fill="FFFFFF"/>
        </w:rPr>
        <w:t>(41), 224-236. P. 225.</w:t>
      </w:r>
    </w:p>
  </w:footnote>
  <w:footnote w:id="421">
    <w:p w14:paraId="625D387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Thuy, L. T. B. (2020). PROTECTION OF COPYRIGHT IN THE DIGITAL ENVIRONMENT IN VIET NAM. WIPO-WTO Colloquium Papers, 2020, Special Edition. P. 223</w:t>
      </w:r>
    </w:p>
  </w:footnote>
  <w:footnote w:id="422">
    <w:p w14:paraId="2D4C5CF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Atanasova, I. (2019). Copyright infringement in digital environment. </w:t>
      </w:r>
      <w:r>
        <w:rPr>
          <w:rStyle w:val="None"/>
          <w:rFonts w:ascii="Times New Roman" w:hAnsi="Times New Roman"/>
          <w:i/>
          <w:iCs/>
          <w:color w:val="222222"/>
          <w:u w:color="222222"/>
          <w:shd w:val="clear" w:color="auto" w:fill="FFFFFF"/>
        </w:rPr>
        <w:t>Economics &amp; Law</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1</w:t>
      </w:r>
      <w:r>
        <w:rPr>
          <w:rStyle w:val="None"/>
          <w:rFonts w:ascii="Times New Roman" w:hAnsi="Times New Roman"/>
          <w:color w:val="222222"/>
          <w:u w:color="222222"/>
          <w:shd w:val="clear" w:color="auto" w:fill="FFFFFF"/>
        </w:rPr>
        <w:t>(1), 13-22.</w:t>
      </w:r>
      <w:r>
        <w:rPr>
          <w:rStyle w:val="None"/>
          <w:rFonts w:ascii="Times New Roman" w:hAnsi="Times New Roman"/>
          <w:color w:val="222222"/>
          <w:sz w:val="24"/>
          <w:szCs w:val="24"/>
          <w:u w:color="222222"/>
          <w:shd w:val="clear" w:color="auto" w:fill="FFFFFF"/>
          <w:rtl/>
          <w:lang w:val="ar-SA"/>
        </w:rPr>
        <w:t xml:space="preserve"> </w:t>
      </w:r>
      <w:r>
        <w:rPr>
          <w:rStyle w:val="None"/>
          <w:rFonts w:ascii="Times New Roman" w:hAnsi="Times New Roman"/>
          <w:color w:val="222222"/>
          <w:u w:color="222222"/>
          <w:shd w:val="clear" w:color="auto" w:fill="FFFFFF"/>
        </w:rPr>
        <w:t xml:space="preserve"> P. 17.</w:t>
      </w:r>
    </w:p>
  </w:footnote>
  <w:footnote w:id="423">
    <w:p w14:paraId="65963B0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Nicolas Bronzo. Remedies for Intellectual property rights infringement in France and Europe: have we gone too far? Second Property Remedies Discussion Forum Aix-en-Provence, Russel L. Weaver; François Lichere, Jun 2014, Aix-en -Provence, France.</w:t>
      </w:r>
      <w:r>
        <w:rPr>
          <w:rStyle w:val="None"/>
          <w:rFonts w:ascii="Times New Roman" w:hAnsi="Times New Roman"/>
          <w:sz w:val="24"/>
          <w:szCs w:val="24"/>
          <w:rtl/>
          <w:lang w:val="ar-SA"/>
        </w:rPr>
        <w:t xml:space="preserve"> </w:t>
      </w:r>
      <w:r>
        <w:rPr>
          <w:rStyle w:val="None"/>
          <w:rFonts w:ascii="Times New Roman" w:hAnsi="Times New Roman"/>
        </w:rPr>
        <w:t xml:space="preserve"> P. 4.</w:t>
      </w:r>
    </w:p>
  </w:footnote>
  <w:footnote w:id="424">
    <w:p w14:paraId="4F626AB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Danis, 2022. </w:t>
      </w:r>
      <w:r>
        <w:rPr>
          <w:rStyle w:val="None"/>
          <w:rFonts w:ascii="Times New Roman" w:hAnsi="Times New Roman"/>
          <w:i/>
          <w:iCs/>
        </w:rPr>
        <w:t>Trade secrets better protected by French law and by the courts</w:t>
      </w:r>
      <w:r>
        <w:rPr>
          <w:rStyle w:val="None"/>
          <w:rFonts w:ascii="Times New Roman" w:hAnsi="Times New Roman"/>
        </w:rPr>
        <w:t xml:space="preserve">. </w:t>
      </w:r>
      <w:hyperlink r:id="rId38" w:history="1">
        <w:r>
          <w:rPr>
            <w:rStyle w:val="Hyperlink4"/>
            <w:rFonts w:eastAsia="Arial Unicode MS"/>
          </w:rPr>
          <w:t>https://www.august-debouzy.com/en/blog/1258-trade-secrets-better-protected-by-french-law-and-by-the-courts</w:t>
        </w:r>
      </w:hyperlink>
    </w:p>
  </w:footnote>
  <w:footnote w:id="425">
    <w:p w14:paraId="0DA47753"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legifrance.gouv. (2025). </w:t>
      </w:r>
      <w:r>
        <w:rPr>
          <w:rStyle w:val="None"/>
          <w:rFonts w:ascii="Times New Roman" w:hAnsi="Times New Roman"/>
          <w:i/>
          <w:iCs/>
        </w:rPr>
        <w:t>Code de la propriété intellectuelle</w:t>
      </w:r>
      <w:r>
        <w:rPr>
          <w:rStyle w:val="None"/>
          <w:rFonts w:ascii="Times New Roman" w:hAnsi="Times New Roman"/>
        </w:rPr>
        <w:t xml:space="preserve">. Retrieved from </w:t>
      </w:r>
      <w:hyperlink r:id="rId39" w:history="1">
        <w:r>
          <w:rPr>
            <w:rStyle w:val="Hyperlink4"/>
            <w:rFonts w:eastAsia="Arial Unicode MS"/>
          </w:rPr>
          <w:t>https://www.legifrance.gouv.fr/codes/article_lc/LEGIARTI000006278958</w:t>
        </w:r>
      </w:hyperlink>
    </w:p>
  </w:footnote>
  <w:footnote w:id="426">
    <w:p w14:paraId="79826F4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Justice.Pappers. (2025). Article L331-1-3 du Code de la propriété intellectuelle. Retrieved from </w:t>
      </w:r>
      <w:hyperlink r:id="rId40" w:history="1">
        <w:r>
          <w:rPr>
            <w:rStyle w:val="Hyperlink4"/>
            <w:rFonts w:eastAsia="Arial Unicode MS"/>
          </w:rPr>
          <w:t>https://justice.pappers.fr/loi/LEGITEXT000006069414/article/LEGIARTI000028716676?utm_source</w:t>
        </w:r>
      </w:hyperlink>
    </w:p>
  </w:footnote>
  <w:footnote w:id="427">
    <w:p w14:paraId="1BF33B74"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Dalloz.fr. (2025). Code de la propriété intellectuelle. Retrieved from </w:t>
      </w:r>
      <w:hyperlink r:id="rId41" w:history="1">
        <w:r>
          <w:rPr>
            <w:rStyle w:val="Hyperlink4"/>
            <w:rFonts w:eastAsia="Arial Unicode MS"/>
          </w:rPr>
          <w:t>https://www.dalloz.fr/documentation/Document?id=CODE_CPPI_ARTI_L331-1-3&amp;scrll=CPPI008882&amp;FromId=CODES_SECS_CPPI_TALPHA</w:t>
        </w:r>
      </w:hyperlink>
    </w:p>
  </w:footnote>
  <w:footnote w:id="428">
    <w:p w14:paraId="5D3C8A0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testu-avocat. (2025). La méthode de calcul des dommages et intérêts au titre de la contrefaçon de droits d’auteur. Retrieved from </w:t>
      </w:r>
      <w:hyperlink r:id="rId42" w:history="1">
        <w:r>
          <w:rPr>
            <w:rStyle w:val="Hyperlink4"/>
            <w:rFonts w:eastAsia="Arial Unicode MS"/>
          </w:rPr>
          <w:t>https://www.testu-avocat.fr/droit-auteur-avocat-bordeaux/les-sanctions-de-l-atteinte-aux-droits-d-auteur</w:t>
        </w:r>
      </w:hyperlink>
    </w:p>
  </w:footnote>
  <w:footnote w:id="429">
    <w:p w14:paraId="768769C1"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Legifrance. (2025). Code de la propriété intellectuelle. Retrieved from </w:t>
      </w:r>
      <w:hyperlink r:id="rId43" w:history="1">
        <w:r>
          <w:rPr>
            <w:rStyle w:val="Hyperlink4"/>
            <w:rFonts w:eastAsia="Arial Unicode MS"/>
          </w:rPr>
          <w:t>https://www.legifrance.gouv.fr/codes/article_lc/LEGIARTI000032655082</w:t>
        </w:r>
      </w:hyperlink>
    </w:p>
  </w:footnote>
  <w:footnote w:id="430">
    <w:p w14:paraId="43F11B0E"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Legifrance. (2025). Article L716-14. Retrieved from </w:t>
      </w:r>
      <w:hyperlink r:id="rId44" w:history="1">
        <w:r>
          <w:rPr>
            <w:rStyle w:val="Hyperlink4"/>
            <w:rFonts w:eastAsia="Arial Unicode MS"/>
          </w:rPr>
          <w:t>https://www.legifrance.gouv.fr/codes/article_lc/LEGIARTI000028716663/2016-06-05</w:t>
        </w:r>
      </w:hyperlink>
    </w:p>
  </w:footnote>
  <w:footnote w:id="431">
    <w:p w14:paraId="13A7D15D"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United States Code, 2023. </w:t>
      </w:r>
      <w:r>
        <w:rPr>
          <w:rStyle w:val="None"/>
          <w:rFonts w:ascii="Times New Roman" w:hAnsi="Times New Roman"/>
          <w:i/>
          <w:iCs/>
        </w:rPr>
        <w:t>504. Remedies for infringement: Damages and profits</w:t>
      </w:r>
      <w:r>
        <w:rPr>
          <w:rStyle w:val="None"/>
          <w:rFonts w:ascii="Times New Roman" w:hAnsi="Times New Roman"/>
        </w:rPr>
        <w:t xml:space="preserve">. Retrieved from </w:t>
      </w:r>
      <w:hyperlink r:id="rId45" w:history="1">
        <w:r>
          <w:rPr>
            <w:rStyle w:val="Hyperlink4"/>
            <w:rFonts w:eastAsia="Arial Unicode MS"/>
          </w:rPr>
          <w:t>https://www.govinfo.gov/content/pkg/USCODE-2023-title17/html/USCODE-2023-title17-chap5-sec504.htm?utm_source</w:t>
        </w:r>
      </w:hyperlink>
    </w:p>
  </w:footnote>
  <w:footnote w:id="432">
    <w:p w14:paraId="28179821"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LII. (2025). </w:t>
      </w:r>
      <w:r>
        <w:rPr>
          <w:rStyle w:val="None"/>
          <w:rFonts w:ascii="Times New Roman" w:hAnsi="Times New Roman"/>
          <w:i/>
          <w:iCs/>
        </w:rPr>
        <w:t>17 U.S. Code § 504 - Remedies for infringement: Damages and profits</w:t>
      </w:r>
      <w:r>
        <w:rPr>
          <w:rStyle w:val="None"/>
          <w:rFonts w:ascii="Times New Roman" w:hAnsi="Times New Roman"/>
        </w:rPr>
        <w:t xml:space="preserve">. Retrieved from </w:t>
      </w:r>
      <w:hyperlink r:id="rId46" w:history="1">
        <w:r>
          <w:rPr>
            <w:rStyle w:val="Hyperlink4"/>
            <w:rFonts w:eastAsia="Arial Unicode MS"/>
          </w:rPr>
          <w:t>https://www.law.cornell.edu/uscode/text/17/504?utm_source</w:t>
        </w:r>
      </w:hyperlink>
    </w:p>
  </w:footnote>
  <w:footnote w:id="433">
    <w:p w14:paraId="2C33FE6F"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Copyright Alliance. (2025). </w:t>
      </w:r>
      <w:r>
        <w:rPr>
          <w:rStyle w:val="None"/>
          <w:rFonts w:ascii="Times New Roman" w:hAnsi="Times New Roman"/>
          <w:i/>
          <w:iCs/>
        </w:rPr>
        <w:t>Copyright Statutory Damages.</w:t>
      </w:r>
      <w:r>
        <w:rPr>
          <w:rStyle w:val="None"/>
          <w:rFonts w:ascii="Times New Roman" w:hAnsi="Times New Roman"/>
        </w:rPr>
        <w:t xml:space="preserve"> Retrieved from </w:t>
      </w:r>
      <w:hyperlink r:id="rId47" w:history="1">
        <w:r>
          <w:rPr>
            <w:rStyle w:val="Hyperlink4"/>
            <w:rFonts w:eastAsia="Arial Unicode MS"/>
          </w:rPr>
          <w:t>https://copyrightalliance.org/education/copyright-law-explained/copyright-infringement/copyright-statutory-damages/?utm_source</w:t>
        </w:r>
      </w:hyperlink>
    </w:p>
  </w:footnote>
  <w:footnote w:id="434">
    <w:p w14:paraId="61B4B6FF"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The George Mason Law Review. (2023). The Future of Criminal Enforcement of Copyright: The Promise of Civil Enforcement. Retrieved from </w:t>
      </w:r>
      <w:hyperlink r:id="rId48" w:history="1">
        <w:r>
          <w:rPr>
            <w:rStyle w:val="Hyperlink4"/>
            <w:rFonts w:eastAsia="Arial Unicode MS"/>
          </w:rPr>
          <w:t>https://lawreview.gmu.edu/print__issues/the-future-of-criminal-enforcement-of-copyright-the-promise-of-civil-enforcement/?utm_source</w:t>
        </w:r>
      </w:hyperlink>
      <w:r>
        <w:rPr>
          <w:rStyle w:val="None"/>
          <w:rFonts w:ascii="Times New Roman" w:hAnsi="Times New Roman"/>
        </w:rPr>
        <w:t xml:space="preserve"> </w:t>
      </w:r>
    </w:p>
  </w:footnote>
  <w:footnote w:id="435">
    <w:p w14:paraId="6CDD4A3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Wired. (2025). </w:t>
      </w:r>
      <w:r>
        <w:rPr>
          <w:rStyle w:val="None"/>
          <w:rFonts w:ascii="Times New Roman" w:hAnsi="Times New Roman"/>
          <w:i/>
          <w:iCs/>
        </w:rPr>
        <w:t>Industry 1, Academics 0: Clinton Signs Copyright Bill</w:t>
      </w:r>
      <w:r>
        <w:rPr>
          <w:rStyle w:val="None"/>
          <w:rFonts w:ascii="Times New Roman" w:hAnsi="Times New Roman"/>
        </w:rPr>
        <w:t xml:space="preserve">. Retrieved from </w:t>
      </w:r>
      <w:hyperlink r:id="rId49" w:history="1">
        <w:r>
          <w:rPr>
            <w:rStyle w:val="Hyperlink4"/>
            <w:rFonts w:eastAsia="Arial Unicode MS"/>
          </w:rPr>
          <w:t>https://www.wired.com/1997/12/industry-1-academics-0-clinton-signs-copyright-bill/?utm_source</w:t>
        </w:r>
      </w:hyperlink>
    </w:p>
  </w:footnote>
  <w:footnote w:id="436">
    <w:p w14:paraId="0074602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Lawjournalnewsletter. (2025). No Electronic Theft Act Is A Partial Success. Retrieved from </w:t>
      </w:r>
      <w:hyperlink r:id="rId50" w:history="1">
        <w:r>
          <w:rPr>
            <w:rStyle w:val="Hyperlink4"/>
            <w:rFonts w:eastAsia="Arial Unicode MS"/>
          </w:rPr>
          <w:t>https://www.lawjournalnewsletters.com/2003/08/22/no-electronic-theft-act-is-a-partial-success/?utm_source=</w:t>
        </w:r>
      </w:hyperlink>
    </w:p>
  </w:footnote>
  <w:footnote w:id="437">
    <w:p w14:paraId="0B99283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Irrational (2025). The No Electronic Theft ("NET") ActSummary of Changes to the Criminal Copyright and Trademark Laws. Retrieved from </w:t>
      </w:r>
      <w:hyperlink r:id="rId51" w:history="1">
        <w:r>
          <w:rPr>
            <w:rStyle w:val="Hyperlink0"/>
            <w:rFonts w:eastAsia="Arial Unicode MS"/>
          </w:rPr>
          <w:t>https://www.irational.org/APD/CCIPS/netsum.htm?utm_source</w:t>
        </w:r>
      </w:hyperlink>
    </w:p>
  </w:footnote>
  <w:footnote w:id="438">
    <w:p w14:paraId="0DA85F03"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52" w:history="1">
        <w:r>
          <w:rPr>
            <w:rStyle w:val="Hyperlink4"/>
            <w:rFonts w:eastAsia="Arial Unicode MS"/>
          </w:rPr>
          <w:t>https://cyber.harvard.edu/property00/alternatives/dmca.html?utm_source</w:t>
        </w:r>
      </w:hyperlink>
    </w:p>
  </w:footnote>
  <w:footnote w:id="439">
    <w:p w14:paraId="0F51A85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Samuelson, P., &amp; Wheatland, T. (2009). Statutory damages in copyright law: A remedy in need of reform. </w:t>
      </w:r>
      <w:r>
        <w:rPr>
          <w:rStyle w:val="Hyperlink5"/>
          <w:rFonts w:eastAsia="Arial Unicode MS"/>
        </w:rPr>
        <w:t>Wm. &amp; Mary L. Rev.</w:t>
      </w:r>
      <w:r>
        <w:rPr>
          <w:rStyle w:val="None"/>
          <w:rFonts w:ascii="Times New Roman" w:hAnsi="Times New Roman"/>
          <w:color w:val="222222"/>
          <w:u w:color="222222"/>
          <w:shd w:val="clear" w:color="auto" w:fill="FFFFFF"/>
        </w:rPr>
        <w:t>, </w:t>
      </w:r>
      <w:r>
        <w:rPr>
          <w:rStyle w:val="Hyperlink5"/>
          <w:rFonts w:eastAsia="Arial Unicode MS"/>
        </w:rPr>
        <w:t>51</w:t>
      </w:r>
      <w:r>
        <w:rPr>
          <w:rStyle w:val="None"/>
          <w:rFonts w:ascii="Times New Roman" w:hAnsi="Times New Roman"/>
          <w:color w:val="222222"/>
          <w:u w:color="222222"/>
          <w:shd w:val="clear" w:color="auto" w:fill="FFFFFF"/>
        </w:rPr>
        <w:t>, 439. P. 1.</w:t>
      </w:r>
    </w:p>
  </w:footnote>
  <w:footnote w:id="440">
    <w:p w14:paraId="4AB3837B"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Communications of the ACM. (2025). </w:t>
      </w:r>
      <w:r>
        <w:rPr>
          <w:rStyle w:val="None"/>
          <w:rFonts w:ascii="Times New Roman" w:hAnsi="Times New Roman"/>
          <w:i/>
          <w:iCs/>
        </w:rPr>
        <w:t>Statutory Damages As a Threat to Innovation</w:t>
      </w:r>
      <w:r>
        <w:rPr>
          <w:rStyle w:val="None"/>
          <w:rFonts w:ascii="Times New Roman" w:hAnsi="Times New Roman"/>
        </w:rPr>
        <w:t xml:space="preserve">. Retrieved from </w:t>
      </w:r>
      <w:hyperlink r:id="rId53" w:history="1">
        <w:r>
          <w:rPr>
            <w:rStyle w:val="Hyperlink4"/>
            <w:rFonts w:eastAsia="Arial Unicode MS"/>
          </w:rPr>
          <w:t>https://cacm.acm.org/opinion/statutory-damages-as-a-threat-to-innovation/?utm_source</w:t>
        </w:r>
      </w:hyperlink>
      <w:r>
        <w:rPr>
          <w:rStyle w:val="None"/>
          <w:rFonts w:ascii="Times New Roman" w:hAnsi="Times New Roman"/>
        </w:rPr>
        <w:t xml:space="preserve"> </w:t>
      </w:r>
    </w:p>
  </w:footnote>
  <w:footnote w:id="441">
    <w:p w14:paraId="63C7E98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Gov, U. S. (1998). The Digital Millennium Copyright Act of 1998—US Copyright Office Summary. </w:t>
      </w:r>
      <w:r>
        <w:rPr>
          <w:rStyle w:val="Hyperlink5"/>
          <w:rFonts w:eastAsia="Arial Unicode MS"/>
        </w:rPr>
        <w:t>Dec</w:t>
      </w:r>
      <w:r>
        <w:rPr>
          <w:rStyle w:val="None"/>
          <w:rFonts w:ascii="Times New Roman" w:hAnsi="Times New Roman"/>
          <w:color w:val="222222"/>
          <w:u w:color="222222"/>
          <w:shd w:val="clear" w:color="auto" w:fill="FFFFFF"/>
        </w:rPr>
        <w:t>, </w:t>
      </w:r>
      <w:r>
        <w:rPr>
          <w:rStyle w:val="Hyperlink5"/>
          <w:rFonts w:eastAsia="Arial Unicode MS"/>
        </w:rPr>
        <w:t>1</w:t>
      </w:r>
      <w:r>
        <w:rPr>
          <w:rStyle w:val="None"/>
          <w:rFonts w:ascii="Times New Roman" w:hAnsi="Times New Roman"/>
          <w:color w:val="222222"/>
          <w:u w:color="222222"/>
          <w:shd w:val="clear" w:color="auto" w:fill="FFFFFF"/>
        </w:rPr>
        <w:t>, 1-18. P. 7.</w:t>
      </w:r>
    </w:p>
  </w:footnote>
  <w:footnote w:id="442">
    <w:p w14:paraId="0756A82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القادر سرحاني، الضوابط القانونية للجزاء الجنائي في ضوء مستجدات التشريع الجزائري، مجلة معالم للدراسات القانونية والسياسية، مح</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117.</w:t>
      </w:r>
    </w:p>
  </w:footnote>
  <w:footnote w:id="443">
    <w:p w14:paraId="227CA36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فتحي سرور، الوسيط في قانون العقوبات القسم العام،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للنشر والتوزيع، ط</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913.</w:t>
      </w:r>
    </w:p>
  </w:footnote>
  <w:footnote w:id="444">
    <w:p w14:paraId="2296513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أحسن بوسقيعة، الوجيز في القانون الجزائي العام، الجزائر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هومه للطباعة والنشر والتوزيع، ط</w:t>
      </w:r>
      <w:r>
        <w:rPr>
          <w:rStyle w:val="None"/>
          <w:rFonts w:ascii="Times New Roman" w:hAnsi="Times New Roman"/>
          <w:sz w:val="24"/>
          <w:szCs w:val="24"/>
          <w:rtl/>
          <w:lang w:val="ar-SA"/>
        </w:rPr>
        <w:t>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289.</w:t>
      </w:r>
    </w:p>
  </w:footnote>
  <w:footnote w:id="445">
    <w:p w14:paraId="7BB72CF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فتحي سرور، الوسيط في قانون العقوبات القسم العام، مرجع سابق، ص</w:t>
      </w:r>
      <w:r>
        <w:rPr>
          <w:rStyle w:val="None"/>
          <w:rFonts w:ascii="Times New Roman" w:hAnsi="Times New Roman"/>
          <w:sz w:val="24"/>
          <w:szCs w:val="24"/>
          <w:rtl/>
          <w:lang w:val="ar-SA"/>
        </w:rPr>
        <w:t>1085.</w:t>
      </w:r>
    </w:p>
  </w:footnote>
  <w:footnote w:id="446">
    <w:p w14:paraId="3D449BC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أحسن بوسقيعة، الوجيز في القانون الجزائي العام، مرجع سابق، ص</w:t>
      </w:r>
      <w:r>
        <w:rPr>
          <w:rStyle w:val="None"/>
          <w:rFonts w:ascii="Times New Roman" w:hAnsi="Times New Roman"/>
          <w:sz w:val="24"/>
          <w:szCs w:val="24"/>
          <w:rtl/>
          <w:lang w:val="ar-SA"/>
        </w:rPr>
        <w:t>290.</w:t>
      </w:r>
    </w:p>
  </w:footnote>
  <w:footnote w:id="447">
    <w:p w14:paraId="0C18126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فتحي سرور، الوسيط في قانون العقوبات القسم العام، مرجع سابق، ص</w:t>
      </w:r>
      <w:r>
        <w:rPr>
          <w:rStyle w:val="None"/>
          <w:rFonts w:ascii="Times New Roman" w:hAnsi="Times New Roman"/>
          <w:sz w:val="24"/>
          <w:szCs w:val="24"/>
          <w:rtl/>
          <w:lang w:val="ar-SA"/>
        </w:rPr>
        <w:t>924.</w:t>
      </w:r>
    </w:p>
  </w:footnote>
  <w:footnote w:id="448">
    <w:p w14:paraId="1286EAB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محمد مصباح القاضي، علم العقاب،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بدون دار نشر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72.</w:t>
      </w:r>
    </w:p>
  </w:footnote>
  <w:footnote w:id="449">
    <w:p w14:paraId="5CE7142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محمود نجيب حسني، شرح قانون العقوبات اللبناني القسم العام، لبنان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منشورات الحلبي الحقوقية،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954.</w:t>
      </w:r>
    </w:p>
  </w:footnote>
  <w:footnote w:id="450">
    <w:p w14:paraId="27FD9D7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فتحي سرور، الوسيط في قانون العقوبات القسم العام، مرجع سابق، ص</w:t>
      </w:r>
      <w:r>
        <w:rPr>
          <w:rStyle w:val="None"/>
          <w:rFonts w:ascii="Times New Roman" w:hAnsi="Times New Roman"/>
          <w:sz w:val="24"/>
          <w:szCs w:val="24"/>
          <w:rtl/>
          <w:lang w:val="ar-SA"/>
        </w:rPr>
        <w:t>925.</w:t>
      </w:r>
    </w:p>
  </w:footnote>
  <w:footnote w:id="451">
    <w:p w14:paraId="478EFB5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محمد مصباح القاضي، علم العقاب، مرجع سابق، ص</w:t>
      </w:r>
      <w:r>
        <w:rPr>
          <w:rStyle w:val="None"/>
          <w:rFonts w:ascii="Times New Roman" w:hAnsi="Times New Roman"/>
          <w:sz w:val="24"/>
          <w:szCs w:val="24"/>
          <w:rtl/>
          <w:lang w:val="ar-SA"/>
        </w:rPr>
        <w:t>71.</w:t>
      </w:r>
    </w:p>
  </w:footnote>
  <w:footnote w:id="452">
    <w:p w14:paraId="534DA81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محمود نجيب حسني، شرح قانون العقوبات اللبناني القسم العام، مرجع سابق، ص</w:t>
      </w:r>
      <w:r>
        <w:rPr>
          <w:rStyle w:val="None"/>
          <w:rFonts w:ascii="Times New Roman" w:hAnsi="Times New Roman"/>
          <w:sz w:val="24"/>
          <w:szCs w:val="24"/>
          <w:rtl/>
          <w:lang w:val="ar-SA"/>
        </w:rPr>
        <w:t>953.</w:t>
      </w:r>
    </w:p>
  </w:footnote>
  <w:footnote w:id="453">
    <w:p w14:paraId="6535CED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العايبي محمد؛ وهيبة كنيوة؛ وعواطف دودي، الملكية الفكرية وحقوق المؤلف في ظل الثورة المعلوماتية والتطور التكنولوجي، مرجع سابق، ص</w:t>
      </w:r>
      <w:r>
        <w:rPr>
          <w:rStyle w:val="None"/>
          <w:rFonts w:ascii="Times New Roman" w:hAnsi="Times New Roman"/>
          <w:sz w:val="24"/>
          <w:szCs w:val="24"/>
          <w:rtl/>
          <w:lang w:val="ar-SA"/>
        </w:rPr>
        <w:t>62.</w:t>
      </w:r>
    </w:p>
  </w:footnote>
  <w:footnote w:id="454">
    <w:p w14:paraId="5C4C3A0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القادر عميمر، الحماية الجنائية للحق في الحياة الخاصة في البيئة الرقمية، مجلة القانون والأعمال،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70.</w:t>
      </w:r>
    </w:p>
  </w:footnote>
  <w:footnote w:id="455">
    <w:p w14:paraId="735B4CC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مرجع سابق، ص</w:t>
      </w:r>
      <w:r>
        <w:rPr>
          <w:rStyle w:val="None"/>
          <w:rFonts w:ascii="Times New Roman" w:hAnsi="Times New Roman"/>
          <w:sz w:val="24"/>
          <w:szCs w:val="24"/>
          <w:rtl/>
          <w:lang w:val="ar-SA"/>
        </w:rPr>
        <w:t>106.</w:t>
      </w:r>
    </w:p>
  </w:footnote>
  <w:footnote w:id="456">
    <w:p w14:paraId="109C47A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w:t>
      </w:r>
    </w:p>
  </w:footnote>
  <w:footnote w:id="457">
    <w:p w14:paraId="5675ACB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المركز الجامعي بريكة، الجزائر،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218.</w:t>
      </w:r>
    </w:p>
  </w:footnote>
  <w:footnote w:id="458">
    <w:p w14:paraId="7B6F69D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2"/>
          <w:szCs w:val="22"/>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الزبير بلهوشات؛ ومحمد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442.</w:t>
      </w:r>
    </w:p>
  </w:footnote>
  <w:footnote w:id="459">
    <w:p w14:paraId="7C3BCE3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1434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60">
    <w:p w14:paraId="1D62287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(42) </w:t>
      </w:r>
      <w:r>
        <w:rPr>
          <w:rStyle w:val="None"/>
          <w:rFonts w:ascii="Arial Unicode MS" w:hAnsi="Arial Unicode MS" w:cs="Times New Roman" w:hint="cs"/>
          <w:sz w:val="24"/>
          <w:szCs w:val="24"/>
          <w:rtl/>
          <w:lang w:val="ar-SA"/>
        </w:rPr>
        <w:t xml:space="preserve">من 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61">
    <w:p w14:paraId="59B6F7A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 xml:space="preserve">من 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462">
    <w:p w14:paraId="5B48AC9F"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Hubanov, O., Hubanova, T., Kotliarevska, H., Vikhliaiev, M., Donenko, V., &amp; Lepekh, Y. (2021). International legal regulation of copyright and related rights protection in the digital environment. </w:t>
      </w:r>
      <w:r>
        <w:rPr>
          <w:rStyle w:val="Hyperlink5"/>
          <w:rFonts w:eastAsia="Arial Unicode MS"/>
        </w:rPr>
        <w:t>Studies of Applied Economics</w:t>
      </w:r>
      <w:r>
        <w:rPr>
          <w:rStyle w:val="None"/>
          <w:rFonts w:ascii="Times New Roman" w:hAnsi="Times New Roman"/>
          <w:color w:val="222222"/>
          <w:u w:color="222222"/>
          <w:shd w:val="clear" w:color="auto" w:fill="FFFFFF"/>
        </w:rPr>
        <w:t>, </w:t>
      </w:r>
      <w:r>
        <w:rPr>
          <w:rStyle w:val="Hyperlink5"/>
          <w:rFonts w:eastAsia="Arial Unicode MS"/>
        </w:rPr>
        <w:t>39</w:t>
      </w:r>
      <w:r>
        <w:rPr>
          <w:rStyle w:val="None"/>
          <w:rFonts w:ascii="Times New Roman" w:hAnsi="Times New Roman"/>
          <w:color w:val="222222"/>
          <w:u w:color="222222"/>
          <w:shd w:val="clear" w:color="auto" w:fill="FFFFFF"/>
        </w:rPr>
        <w:t>(7), P. 3.</w:t>
      </w:r>
    </w:p>
  </w:footnote>
  <w:footnote w:id="463">
    <w:p w14:paraId="0E13248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Nicola Lucchi, Intellectual Property Rights in Digital Media: A Comparative Analysis of Legal Protection, Technological Measures, and New Business Models under EU and U.S. Law, 53 Buff. L. Rev. 1111 (2005). P. 1113.</w:t>
      </w:r>
    </w:p>
  </w:footnote>
  <w:footnote w:id="464">
    <w:p w14:paraId="0F6C536A"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al Dajeh, B</w:t>
      </w:r>
      <w:r>
        <w:rPr>
          <w:rStyle w:val="None"/>
          <w:rFonts w:ascii="Times New Roman" w:hAnsi="Times New Roman"/>
          <w:sz w:val="24"/>
          <w:szCs w:val="24"/>
          <w:rtl/>
          <w:lang w:val="ar-SA"/>
        </w:rPr>
        <w:t>.</w:t>
      </w:r>
      <w:r>
        <w:rPr>
          <w:rStyle w:val="None"/>
          <w:rFonts w:ascii="Times New Roman" w:hAnsi="Times New Roman"/>
        </w:rPr>
        <w:t>, Aloun, D</w:t>
      </w:r>
      <w:r>
        <w:rPr>
          <w:rStyle w:val="None"/>
          <w:rFonts w:ascii="Times New Roman" w:hAnsi="Times New Roman"/>
          <w:sz w:val="24"/>
          <w:szCs w:val="24"/>
          <w:rtl/>
          <w:lang w:val="ar-SA"/>
        </w:rPr>
        <w:t>.</w:t>
      </w:r>
      <w:r>
        <w:rPr>
          <w:rStyle w:val="None"/>
          <w:rFonts w:ascii="Times New Roman" w:hAnsi="Times New Roman"/>
        </w:rPr>
        <w:t xml:space="preserve"> &amp; Manaseer, S. (2024). Protecting digital intellectual property. Zarqa University (Jordan).</w:t>
      </w:r>
    </w:p>
  </w:footnote>
  <w:footnote w:id="465">
    <w:p w14:paraId="49C8C83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b/>
          <w:bCs/>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z w:val="24"/>
          <w:szCs w:val="24"/>
          <w:rtl/>
          <w:lang w:val="ar-SA"/>
        </w:rPr>
        <w:t xml:space="preserve"> </w:t>
      </w:r>
      <w:r>
        <w:rPr>
          <w:rStyle w:val="None"/>
          <w:rFonts w:ascii="Times New Roman" w:hAnsi="Times New Roman"/>
        </w:rPr>
        <w:t xml:space="preserve">WTO. (2025). What are intellectual property rights? </w:t>
      </w:r>
      <w:r>
        <w:rPr>
          <w:rStyle w:val="None"/>
          <w:rFonts w:ascii="Times New Roman" w:hAnsi="Times New Roman"/>
          <w:color w:val="2E3136"/>
          <w:u w:color="2E3136"/>
          <w:shd w:val="clear" w:color="auto" w:fill="FFFFFF"/>
        </w:rPr>
        <w:t xml:space="preserve">World Trade Organization. Retrieved from </w:t>
      </w:r>
      <w:hyperlink r:id="rId54" w:history="1">
        <w:r>
          <w:rPr>
            <w:rStyle w:val="Hyperlink6"/>
            <w:rFonts w:eastAsia="Arial Unicode MS"/>
          </w:rPr>
          <w:t>https://www.wto.org/English/tratop_e/trips_e/intel1_e.htm</w:t>
        </w:r>
      </w:hyperlink>
    </w:p>
  </w:footnote>
  <w:footnote w:id="466">
    <w:p w14:paraId="36B60DD2"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Bronzo, Nicolas. "Remedies for Intellectual property rights infringement in France and Europe: have we gone too far?" In </w:t>
      </w:r>
      <w:r>
        <w:rPr>
          <w:rStyle w:val="Hyperlink5"/>
          <w:rFonts w:eastAsia="Arial Unicode MS"/>
        </w:rPr>
        <w:t>Second Property Remedies Discussion Forum Aix-en-Provence</w:t>
      </w:r>
      <w:r>
        <w:rPr>
          <w:rStyle w:val="None"/>
          <w:rFonts w:ascii="Times New Roman" w:hAnsi="Times New Roman"/>
          <w:color w:val="222222"/>
          <w:u w:color="222222"/>
          <w:shd w:val="clear" w:color="auto" w:fill="FFFFFF"/>
        </w:rPr>
        <w:t>. 2014. P. 1.</w:t>
      </w:r>
    </w:p>
  </w:footnote>
  <w:footnote w:id="467">
    <w:p w14:paraId="013D065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Boshkov, T. (2020). Intellectual property in digital environment.</w:t>
      </w:r>
      <w:r>
        <w:rPr>
          <w:rStyle w:val="None"/>
          <w:rFonts w:ascii="Times New Roman" w:hAnsi="Times New Roman"/>
          <w:sz w:val="24"/>
          <w:szCs w:val="24"/>
          <w:rtl/>
          <w:lang w:val="ar-SA"/>
        </w:rPr>
        <w:t xml:space="preserve"> </w:t>
      </w:r>
      <w:r>
        <w:rPr>
          <w:rStyle w:val="None"/>
          <w:rFonts w:ascii="Times New Roman" w:hAnsi="Times New Roman"/>
        </w:rPr>
        <w:t xml:space="preserve">Paper presented at </w:t>
      </w:r>
      <w:r>
        <w:rPr>
          <w:rStyle w:val="None"/>
          <w:rFonts w:ascii="Times New Roman" w:hAnsi="Times New Roman"/>
          <w:i/>
          <w:iCs/>
        </w:rPr>
        <w:t>Third International Scientific Conference CHALLENGES OF TOURISM AND BUSINESS LOGISTICS IN THE 21ST CENTURY »ISCTBL 2020</w:t>
      </w:r>
      <w:r>
        <w:rPr>
          <w:rStyle w:val="None"/>
          <w:rFonts w:ascii="Times New Roman" w:hAnsi="Times New Roman"/>
        </w:rPr>
        <w:t>« P. 96.</w:t>
      </w:r>
    </w:p>
  </w:footnote>
  <w:footnote w:id="468">
    <w:p w14:paraId="1D28CAF0"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hd w:val="clear" w:color="auto" w:fill="FFFFFF"/>
        </w:rPr>
        <w:t>Tumalavičius, V., Prykhodkina, N., Vovk, M., Mytych, S., &amp; Kustovska, O. (2024). Legal impacts of digitization on intellectual property.Amazonia Investiga,13(74), P. 21</w:t>
      </w:r>
      <w:r>
        <w:rPr>
          <w:rStyle w:val="None"/>
          <w:rFonts w:ascii="Times New Roman" w:hAnsi="Times New Roman"/>
          <w:sz w:val="24"/>
          <w:szCs w:val="24"/>
          <w:shd w:val="clear" w:color="auto" w:fill="FFFFFF"/>
          <w:rtl/>
          <w:lang w:val="ar-SA"/>
        </w:rPr>
        <w:t>8</w:t>
      </w:r>
      <w:r>
        <w:rPr>
          <w:rStyle w:val="None"/>
          <w:rFonts w:ascii="Times New Roman" w:hAnsi="Times New Roman"/>
          <w:shd w:val="clear" w:color="auto" w:fill="FFFFFF"/>
        </w:rPr>
        <w:t>.</w:t>
      </w:r>
    </w:p>
  </w:footnote>
  <w:footnote w:id="469">
    <w:p w14:paraId="40FE2DC8"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CIO Hub. (2025). A Brief History: How Intellectual Property Protection Evolved Over Time. Retrieved from </w:t>
      </w:r>
      <w:hyperlink r:id="rId55" w:history="1">
        <w:r>
          <w:rPr>
            <w:rStyle w:val="Hyperlink4"/>
            <w:rFonts w:eastAsia="Arial Unicode MS"/>
          </w:rPr>
          <w:t>https://ciohub.org/post/2023/06/a-brief-history-how-intellectual-property-protection-evolved-over-time/?utm_source</w:t>
        </w:r>
      </w:hyperlink>
    </w:p>
  </w:footnote>
  <w:footnote w:id="470">
    <w:p w14:paraId="722F39C4"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Peng, M. W., Ahlstrom, D., Carraher, S. M., &amp; Shi, W. S. (2017). History and the debate over intellectual property. </w:t>
      </w:r>
      <w:r>
        <w:rPr>
          <w:rStyle w:val="Hyperlink5"/>
          <w:rFonts w:eastAsia="Arial Unicode MS"/>
        </w:rPr>
        <w:t>Management and Organization Review</w:t>
      </w:r>
      <w:r>
        <w:rPr>
          <w:rStyle w:val="None"/>
          <w:rFonts w:ascii="Times New Roman" w:hAnsi="Times New Roman"/>
          <w:color w:val="222222"/>
          <w:u w:color="222222"/>
          <w:shd w:val="clear" w:color="auto" w:fill="FFFFFF"/>
        </w:rPr>
        <w:t>, </w:t>
      </w:r>
      <w:r>
        <w:rPr>
          <w:rStyle w:val="Hyperlink5"/>
          <w:rFonts w:eastAsia="Arial Unicode MS"/>
        </w:rPr>
        <w:t>13</w:t>
      </w:r>
      <w:r>
        <w:rPr>
          <w:rStyle w:val="None"/>
          <w:rFonts w:ascii="Times New Roman" w:hAnsi="Times New Roman"/>
          <w:color w:val="222222"/>
          <w:u w:color="222222"/>
          <w:shd w:val="clear" w:color="auto" w:fill="FFFFFF"/>
        </w:rPr>
        <w:t>(1), 15-38. P. 20.</w:t>
      </w:r>
    </w:p>
  </w:footnote>
  <w:footnote w:id="471">
    <w:p w14:paraId="18C8103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Fisher, W.W. (2025, July 26). intellectual-property law. Encyclopedia Britannica. </w:t>
      </w:r>
      <w:hyperlink r:id="rId56" w:history="1">
        <w:r>
          <w:rPr>
            <w:rStyle w:val="Hyperlink4"/>
            <w:rFonts w:eastAsia="Arial Unicode MS"/>
          </w:rPr>
          <w:t>https://www.britannica.com/topic/intellectual-property-law</w:t>
        </w:r>
      </w:hyperlink>
    </w:p>
  </w:footnote>
  <w:footnote w:id="472">
    <w:p w14:paraId="4E22B2C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ALA. (2025). Digital Millennium Copyright Act. Retrieved from </w:t>
      </w:r>
      <w:hyperlink r:id="rId57" w:history="1">
        <w:r>
          <w:rPr>
            <w:rStyle w:val="Hyperlink4"/>
            <w:rFonts w:eastAsia="Arial Unicode MS"/>
          </w:rPr>
          <w:t>https://www.ala.org/advocacy/copyright/dmca?utm_source</w:t>
        </w:r>
      </w:hyperlink>
    </w:p>
  </w:footnote>
  <w:footnote w:id="473">
    <w:p w14:paraId="24311087"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Qiwei, L., Zhang, S., Pratt, S. P., Kasper, A. T., Gilbert, E., &amp; Schoenebeck, S. (2025, April). A Law of One's Own: The Inefficacy of the DMCA for Non-Consensual Intimate Media. In </w:t>
      </w:r>
      <w:r>
        <w:rPr>
          <w:rStyle w:val="Hyperlink5"/>
          <w:rFonts w:eastAsia="Arial Unicode MS"/>
        </w:rPr>
        <w:t>Proceedings of the 2025 CHI Conference on Human Factors in Computing Systems</w:t>
      </w:r>
      <w:r>
        <w:rPr>
          <w:rStyle w:val="None"/>
          <w:rFonts w:ascii="Times New Roman" w:hAnsi="Times New Roman"/>
          <w:color w:val="222222"/>
          <w:u w:color="222222"/>
          <w:shd w:val="clear" w:color="auto" w:fill="FFFFFF"/>
        </w:rPr>
        <w:t> (pp. 1-17). P. 1.</w:t>
      </w:r>
    </w:p>
  </w:footnote>
  <w:footnote w:id="474">
    <w:p w14:paraId="0953C02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Wired. (2025). Hacker Lexicon: What Is the Digital Millennium Copyright Act? Retrieved from </w:t>
      </w:r>
      <w:hyperlink r:id="rId58" w:history="1">
        <w:r>
          <w:rPr>
            <w:rStyle w:val="Hyperlink4"/>
            <w:rFonts w:eastAsia="Arial Unicode MS"/>
          </w:rPr>
          <w:t>https://www.wired.com/2016/06/hacker-lexicon-digital-millennium-copyright-act/?utm_source</w:t>
        </w:r>
      </w:hyperlink>
    </w:p>
  </w:footnote>
  <w:footnote w:id="475">
    <w:p w14:paraId="6D000324"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Di Palma, J. (2013). The digital millenium copyright act and the clash between authors and innovators: the need for a legislative amendment to the safe harbor provisions. </w:t>
      </w:r>
      <w:r>
        <w:rPr>
          <w:rStyle w:val="Hyperlink5"/>
          <w:rFonts w:eastAsia="Arial Unicode MS"/>
        </w:rPr>
        <w:t>Loy. LAL Rev.</w:t>
      </w:r>
      <w:r>
        <w:rPr>
          <w:rStyle w:val="None"/>
          <w:rFonts w:ascii="Times New Roman" w:hAnsi="Times New Roman"/>
          <w:color w:val="222222"/>
          <w:u w:color="222222"/>
          <w:shd w:val="clear" w:color="auto" w:fill="FFFFFF"/>
        </w:rPr>
        <w:t>, </w:t>
      </w:r>
      <w:r>
        <w:rPr>
          <w:rStyle w:val="Hyperlink5"/>
          <w:rFonts w:eastAsia="Arial Unicode MS"/>
        </w:rPr>
        <w:t>47</w:t>
      </w:r>
      <w:r>
        <w:rPr>
          <w:rStyle w:val="None"/>
          <w:rFonts w:ascii="Times New Roman" w:hAnsi="Times New Roman"/>
          <w:color w:val="222222"/>
          <w:u w:color="222222"/>
          <w:shd w:val="clear" w:color="auto" w:fill="FFFFFF"/>
        </w:rPr>
        <w:t>, P. 797.</w:t>
      </w:r>
    </w:p>
  </w:footnote>
  <w:footnote w:id="476">
    <w:p w14:paraId="34856DE5"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Atanasova, I. (2019). Copyright infringement in digital environment. </w:t>
      </w:r>
      <w:r>
        <w:rPr>
          <w:rStyle w:val="None"/>
          <w:rFonts w:ascii="Times New Roman" w:hAnsi="Times New Roman"/>
          <w:i/>
          <w:iCs/>
          <w:color w:val="222222"/>
          <w:u w:color="222222"/>
          <w:shd w:val="clear" w:color="auto" w:fill="FFFFFF"/>
        </w:rPr>
        <w:t>Economics &amp; Law</w:t>
      </w:r>
      <w:r>
        <w:rPr>
          <w:rStyle w:val="None"/>
          <w:rFonts w:ascii="Times New Roman" w:hAnsi="Times New Roman"/>
          <w:color w:val="222222"/>
          <w:u w:color="222222"/>
          <w:shd w:val="clear" w:color="auto" w:fill="FFFFFF"/>
        </w:rPr>
        <w:t>, </w:t>
      </w:r>
      <w:r>
        <w:rPr>
          <w:rStyle w:val="None"/>
          <w:rFonts w:ascii="Times New Roman" w:hAnsi="Times New Roman"/>
          <w:i/>
          <w:iCs/>
          <w:color w:val="222222"/>
          <w:u w:color="222222"/>
          <w:shd w:val="clear" w:color="auto" w:fill="FFFFFF"/>
        </w:rPr>
        <w:t>1</w:t>
      </w:r>
      <w:r>
        <w:rPr>
          <w:rStyle w:val="None"/>
          <w:rFonts w:ascii="Times New Roman" w:hAnsi="Times New Roman"/>
          <w:color w:val="222222"/>
          <w:u w:color="222222"/>
          <w:shd w:val="clear" w:color="auto" w:fill="FFFFFF"/>
        </w:rPr>
        <w:t>(1), 13-22. P. 1</w:t>
      </w:r>
      <w:r>
        <w:rPr>
          <w:rStyle w:val="None"/>
          <w:rFonts w:ascii="Times New Roman" w:hAnsi="Times New Roman"/>
          <w:color w:val="222222"/>
          <w:sz w:val="24"/>
          <w:szCs w:val="24"/>
          <w:u w:color="222222"/>
          <w:shd w:val="clear" w:color="auto" w:fill="FFFFFF"/>
          <w:rtl/>
          <w:lang w:val="ar-SA"/>
        </w:rPr>
        <w:t>4</w:t>
      </w:r>
      <w:r>
        <w:rPr>
          <w:rStyle w:val="None"/>
          <w:rFonts w:ascii="Times New Roman" w:hAnsi="Times New Roman"/>
          <w:color w:val="222222"/>
          <w:u w:color="222222"/>
          <w:shd w:val="clear" w:color="auto" w:fill="FFFFFF"/>
        </w:rPr>
        <w:t>.</w:t>
      </w:r>
    </w:p>
  </w:footnote>
  <w:footnote w:id="477">
    <w:p w14:paraId="7DD5C0BB"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congress.gov. (2025). Intellectual Property Rights (IPR) and U.S. Trade Policy. Retrieved from </w:t>
      </w:r>
      <w:hyperlink r:id="rId59" w:history="1">
        <w:r>
          <w:rPr>
            <w:rStyle w:val="Hyperlink4"/>
            <w:rFonts w:eastAsia="Arial Unicode MS"/>
          </w:rPr>
          <w:t>https://www.congress.gov/crs-product/IF10033</w:t>
        </w:r>
      </w:hyperlink>
    </w:p>
  </w:footnote>
  <w:footnote w:id="478">
    <w:p w14:paraId="0C4FBE4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Ortega, S. (2023). The Digital Millennium Copyright Act-In Need of a Major Software Update. </w:t>
      </w:r>
      <w:r>
        <w:rPr>
          <w:rStyle w:val="Hyperlink5"/>
          <w:rFonts w:eastAsia="Arial Unicode MS"/>
        </w:rPr>
        <w:t>Mich. Bus. &amp; Entrepreneurial L. Rev.</w:t>
      </w:r>
      <w:r>
        <w:rPr>
          <w:rStyle w:val="None"/>
          <w:rFonts w:ascii="Times New Roman" w:hAnsi="Times New Roman"/>
          <w:color w:val="222222"/>
          <w:u w:color="222222"/>
          <w:shd w:val="clear" w:color="auto" w:fill="FFFFFF"/>
        </w:rPr>
        <w:t>, </w:t>
      </w:r>
      <w:r>
        <w:rPr>
          <w:rStyle w:val="Hyperlink5"/>
          <w:rFonts w:eastAsia="Arial Unicode MS"/>
        </w:rPr>
        <w:t>12</w:t>
      </w:r>
      <w:r>
        <w:rPr>
          <w:rStyle w:val="None"/>
          <w:rFonts w:ascii="Times New Roman" w:hAnsi="Times New Roman"/>
          <w:color w:val="222222"/>
          <w:u w:color="222222"/>
          <w:shd w:val="clear" w:color="auto" w:fill="FFFFFF"/>
        </w:rPr>
        <w:t>, P. 80.</w:t>
      </w:r>
    </w:p>
  </w:footnote>
  <w:footnote w:id="479">
    <w:p w14:paraId="6A432BF7"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copyright.gov. (2025). The Digital Millennium Copyright Act. Retrieved from </w:t>
      </w:r>
      <w:hyperlink r:id="rId60" w:history="1">
        <w:r>
          <w:rPr>
            <w:rStyle w:val="Hyperlink4"/>
            <w:rFonts w:eastAsia="Arial Unicode MS"/>
          </w:rPr>
          <w:t>https://www.copyright.gov/dmca/</w:t>
        </w:r>
      </w:hyperlink>
    </w:p>
  </w:footnote>
  <w:footnote w:id="480">
    <w:p w14:paraId="2DFA86D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Bureau of Justice Assistance. (2025). Intellectual Property Enforcement Program. Retrieved from  </w:t>
      </w:r>
      <w:hyperlink r:id="rId61" w:history="1">
        <w:r>
          <w:rPr>
            <w:rStyle w:val="Hyperlink4"/>
            <w:rFonts w:eastAsia="Arial Unicode MS"/>
          </w:rPr>
          <w:t>https://bja.ojp.gov/program/intellectual-property-enforcement-program/overview?utm_</w:t>
        </w:r>
      </w:hyperlink>
      <w:r>
        <w:rPr>
          <w:rStyle w:val="None"/>
          <w:rFonts w:ascii="Times New Roman" w:hAnsi="Times New Roman"/>
        </w:rPr>
        <w:t xml:space="preserve"> </w:t>
      </w:r>
    </w:p>
  </w:footnote>
  <w:footnote w:id="481">
    <w:p w14:paraId="7F138CFD"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USPTO. (2025). </w:t>
      </w:r>
      <w:r>
        <w:rPr>
          <w:rStyle w:val="None"/>
          <w:rFonts w:ascii="Times New Roman" w:hAnsi="Times New Roman"/>
          <w:i/>
          <w:iCs/>
        </w:rPr>
        <w:t>Enforcement initiatives</w:t>
      </w:r>
      <w:r>
        <w:rPr>
          <w:rStyle w:val="None"/>
          <w:rFonts w:ascii="Times New Roman" w:hAnsi="Times New Roman"/>
        </w:rPr>
        <w:t xml:space="preserve">. United States Patent and Trademark Office. Retrieved from </w:t>
      </w:r>
      <w:hyperlink r:id="rId62" w:history="1">
        <w:r>
          <w:rPr>
            <w:rStyle w:val="Hyperlink4"/>
            <w:rFonts w:eastAsia="Arial Unicode MS"/>
          </w:rPr>
          <w:t>https://www.uspto.gov/ip-policy/enforcement-policy/enforcement-initiatives?utm_</w:t>
        </w:r>
      </w:hyperlink>
      <w:r>
        <w:rPr>
          <w:rStyle w:val="None"/>
          <w:rFonts w:ascii="Times New Roman" w:hAnsi="Times New Roman"/>
        </w:rPr>
        <w:t xml:space="preserve"> </w:t>
      </w:r>
    </w:p>
  </w:footnote>
  <w:footnote w:id="482">
    <w:p w14:paraId="2C14D087"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Benvenuti, S., Macmillan, F., E &amp; Zolea, S. (2024). </w:t>
      </w:r>
      <w:r>
        <w:rPr>
          <w:rStyle w:val="None"/>
          <w:rFonts w:ascii="Times New Roman" w:hAnsi="Times New Roman"/>
          <w:i/>
          <w:iCs/>
        </w:rPr>
        <w:t>INTELLECTUAL PROPERTY IN THE DIGITAL AGE</w:t>
      </w:r>
      <w:r>
        <w:rPr>
          <w:rStyle w:val="None"/>
          <w:rFonts w:ascii="Times New Roman" w:hAnsi="Times New Roman"/>
        </w:rPr>
        <w:t>.Roma TrE-Press, Roma, settembre. PP. 7-8.</w:t>
      </w:r>
    </w:p>
  </w:footnote>
  <w:footnote w:id="483">
    <w:p w14:paraId="3590A63B"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NCL. (2025). Copyright laws and Digital Rights Management – National Consumers League. Retrieved from </w:t>
      </w:r>
      <w:hyperlink r:id="rId63" w:history="1">
        <w:r>
          <w:rPr>
            <w:rStyle w:val="Hyperlink4"/>
            <w:rFonts w:eastAsia="Arial Unicode MS"/>
          </w:rPr>
          <w:t>https://nclnet.org/drm/</w:t>
        </w:r>
      </w:hyperlink>
    </w:p>
  </w:footnote>
  <w:footnote w:id="484">
    <w:p w14:paraId="09460173" w14:textId="77777777" w:rsidR="00454428" w:rsidRDefault="00000000">
      <w:pPr>
        <w:pStyle w:val="FootnoteText"/>
        <w:bidi w:val="0"/>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United States District Court Judgment February 2, 2000, </w:t>
      </w:r>
      <w:hyperlink r:id="rId64" w:history="1">
        <w:r>
          <w:rPr>
            <w:rStyle w:val="Hyperlink0"/>
            <w:rFonts w:eastAsia="Arial Unicode MS"/>
          </w:rPr>
          <w:t>https://www.law.uh.edu/faculty/cjoyce/copyright/release10/universal.html</w:t>
        </w:r>
      </w:hyperlink>
      <w:r>
        <w:rPr>
          <w:rStyle w:val="None"/>
          <w:rFonts w:ascii="Times New Roman" w:hAnsi="Times New Roman"/>
        </w:rPr>
        <w:t xml:space="preserve"> .</w:t>
      </w:r>
    </w:p>
  </w:footnote>
  <w:footnote w:id="485">
    <w:p w14:paraId="5DB24E5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color w:val="222222"/>
          <w:u w:color="222222"/>
          <w:shd w:val="clear" w:color="auto" w:fill="FFFFFF"/>
        </w:rPr>
        <w:t>Salman Mahmood, M. (2023, June). Penal and International Protection of Electronic Intellectual Property Rights. Paper presented at </w:t>
      </w:r>
      <w:r>
        <w:rPr>
          <w:rStyle w:val="None"/>
          <w:rFonts w:ascii="Times New Roman" w:hAnsi="Times New Roman"/>
          <w:i/>
          <w:iCs/>
        </w:rPr>
        <w:t>1st International Conference on Legal Sciences: (Intellectual property -Contemporary Problems and Legal Solutions, ICLS’23),</w:t>
      </w:r>
      <w:r>
        <w:rPr>
          <w:rStyle w:val="None"/>
          <w:rFonts w:ascii="Times New Roman" w:hAnsi="Times New Roman"/>
        </w:rPr>
        <w:t xml:space="preserve"> Fallujah, Iraq</w:t>
      </w:r>
      <w:r>
        <w:rPr>
          <w:rStyle w:val="None"/>
          <w:rFonts w:ascii="Times New Roman" w:hAnsi="Times New Roman"/>
          <w:color w:val="222222"/>
          <w:u w:color="222222"/>
          <w:shd w:val="clear" w:color="auto" w:fill="FFFFFF"/>
        </w:rPr>
        <w:t>. P. 8.</w:t>
      </w:r>
    </w:p>
  </w:footnote>
  <w:footnote w:id="486">
    <w:p w14:paraId="1C74A7AB"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BENHAMOU, Yaniv. Compensation of Prejudice for Infringements of Intellectual Property Rights in France, under the Directive 2004/48/EC and Its Transposition Law: New Notions? International Review of Intellectual Property and Competition Law (IIC), 2009, no. 2, PP. 125-126.</w:t>
      </w:r>
    </w:p>
  </w:footnote>
  <w:footnote w:id="487">
    <w:p w14:paraId="4250FDD9"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WIPO. (2025). Intellectual Property Code (consolidated version of March 2, 2006), France. Retrieved from </w:t>
      </w:r>
      <w:hyperlink r:id="rId65" w:history="1">
        <w:r>
          <w:rPr>
            <w:rStyle w:val="Hyperlink4"/>
            <w:rFonts w:eastAsia="Arial Unicode MS"/>
          </w:rPr>
          <w:t>https://www.wipo.int/wipolex/en/legislation/details/14446</w:t>
        </w:r>
      </w:hyperlink>
    </w:p>
  </w:footnote>
  <w:footnote w:id="488">
    <w:p w14:paraId="3827468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french-business-law. (2025). French Intellectual Property Code. Retrieved from </w:t>
      </w:r>
      <w:hyperlink r:id="rId66" w:history="1">
        <w:r>
          <w:rPr>
            <w:rStyle w:val="Hyperlink4"/>
            <w:rFonts w:eastAsia="Arial Unicode MS"/>
          </w:rPr>
          <w:t>https://french-business-law.com/french-legislation/legitext000006069414-french-intellectual-property-code/page/3/</w:t>
        </w:r>
      </w:hyperlink>
    </w:p>
  </w:footnote>
  <w:footnote w:id="489">
    <w:p w14:paraId="55CA4518"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OECD </w:t>
      </w:r>
      <w:r>
        <w:rPr>
          <w:rStyle w:val="None"/>
          <w:rFonts w:ascii="Times New Roman" w:hAnsi="Times New Roman"/>
          <w:sz w:val="24"/>
          <w:szCs w:val="24"/>
          <w:rtl/>
          <w:lang w:val="ar-SA"/>
        </w:rPr>
        <w:t>)</w:t>
      </w:r>
      <w:r>
        <w:rPr>
          <w:rStyle w:val="None"/>
          <w:rFonts w:ascii="Times New Roman" w:hAnsi="Times New Roman"/>
        </w:rPr>
        <w:t>2025</w:t>
      </w:r>
      <w:r>
        <w:rPr>
          <w:rStyle w:val="None"/>
          <w:rFonts w:ascii="Times New Roman" w:hAnsi="Times New Roman"/>
          <w:sz w:val="24"/>
          <w:szCs w:val="24"/>
          <w:rtl/>
          <w:lang w:val="ar-SA"/>
        </w:rPr>
        <w:t>(</w:t>
      </w:r>
      <w:r>
        <w:rPr>
          <w:rStyle w:val="None"/>
          <w:rFonts w:ascii="Times New Roman" w:hAnsi="Times New Roman"/>
        </w:rPr>
        <w:t xml:space="preserve">. Law for a Digital Republic. Retrieved from </w:t>
      </w:r>
      <w:hyperlink r:id="rId67" w:history="1">
        <w:r>
          <w:rPr>
            <w:rStyle w:val="Hyperlink0"/>
            <w:rFonts w:eastAsia="Arial Unicode MS"/>
          </w:rPr>
          <w:t>https://www.oecd.org/en/publications/access-to-public-research-data-toolkit_a12e8998-en/law-for-a-digital-republic_b99868b0-en.html</w:t>
        </w:r>
      </w:hyperlink>
    </w:p>
  </w:footnote>
  <w:footnote w:id="490">
    <w:p w14:paraId="4BC99A8F" w14:textId="77777777" w:rsidR="00454428" w:rsidRDefault="00000000">
      <w:pPr>
        <w:pStyle w:val="FootnoteText"/>
        <w:bidi w:val="0"/>
        <w:jc w:val="both"/>
        <w:rPr>
          <w:rStyle w:val="None"/>
          <w:rFonts w:ascii="Times New Roman" w:eastAsia="Times New Roman" w:hAnsi="Times New Roman" w:cs="Times New Roman"/>
        </w:rPr>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sz w:val="24"/>
          <w:szCs w:val="24"/>
          <w:rtl/>
          <w:lang w:val="ar-SA"/>
        </w:rPr>
        <w:t xml:space="preserve"> </w:t>
      </w:r>
      <w:r>
        <w:rPr>
          <w:rStyle w:val="None"/>
          <w:rFonts w:ascii="Times New Roman" w:hAnsi="Times New Roman"/>
        </w:rPr>
        <w:t xml:space="preserve">RPC. (2018). Cross-Border Copyright Guide 2018. </w:t>
      </w:r>
      <w:hyperlink r:id="rId68" w:history="1">
        <w:r>
          <w:rPr>
            <w:rStyle w:val="Hyperlink0"/>
            <w:rFonts w:eastAsia="Arial Unicode MS"/>
          </w:rPr>
          <w:t>https://www.rpclegal.com/-/media/rpc/files/perspectives/ip/france.pdf</w:t>
        </w:r>
      </w:hyperlink>
    </w:p>
    <w:p w14:paraId="103B4EEC" w14:textId="77777777" w:rsidR="00454428" w:rsidRDefault="00000000">
      <w:pPr>
        <w:pStyle w:val="FootnoteText"/>
        <w:bidi w:val="0"/>
        <w:jc w:val="both"/>
      </w:pPr>
      <w:r>
        <w:rPr>
          <w:rStyle w:val="None"/>
          <w:rFonts w:ascii="Times New Roman" w:hAnsi="Times New Roman"/>
        </w:rPr>
        <w:t xml:space="preserve"> P. 1</w:t>
      </w:r>
    </w:p>
  </w:footnote>
  <w:footnote w:id="491">
    <w:p w14:paraId="4E4F6796"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hd w:val="clear" w:color="auto" w:fill="FFFFFF"/>
        </w:rPr>
        <w:t>Tumalavičius, V., Prykhodkina, N., Vovk, M., Mytych, S., &amp; Kustovska, O. (2024). Legal impacts of digitization on intellectual property. Amazonia Investiga,13(74), P. 220.</w:t>
      </w:r>
    </w:p>
  </w:footnote>
  <w:footnote w:id="492">
    <w:p w14:paraId="5745B3A4"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hd w:val="clear" w:color="auto" w:fill="FFFFFF"/>
        </w:rPr>
        <w:t>WIPO. (2024). THE PROSECUTION OF INTELLECTUAL PROPERTY CRIME: REPORT ON RESULTS OF SURVEY.  World Intellectual Property Organization. P. 3</w:t>
      </w:r>
    </w:p>
  </w:footnote>
  <w:footnote w:id="493">
    <w:p w14:paraId="280985BA" w14:textId="77777777" w:rsidR="00454428" w:rsidRDefault="00000000">
      <w:pPr>
        <w:pStyle w:val="FootnoteText"/>
        <w:bidi w:val="0"/>
        <w:jc w:val="both"/>
      </w:pPr>
      <w:r>
        <w:rPr>
          <w:rStyle w:val="None"/>
          <w:rFonts w:ascii="Times New Roman" w:hAnsi="Times New Roman"/>
          <w:shd w:val="clear" w:color="auto" w:fill="FFFFFF"/>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hd w:val="clear" w:color="auto" w:fill="FFFFFF"/>
        </w:rPr>
        <w:t>) legifrance. (2025). Code de la propriété intellectuelle. Retrieved from</w:t>
      </w:r>
      <w:r>
        <w:rPr>
          <w:rStyle w:val="None"/>
          <w:rFonts w:ascii="Times New Roman" w:hAnsi="Times New Roman"/>
        </w:rPr>
        <w:t xml:space="preserve"> </w:t>
      </w:r>
      <w:hyperlink r:id="rId69" w:history="1">
        <w:r>
          <w:rPr>
            <w:rStyle w:val="Hyperlink4"/>
            <w:rFonts w:eastAsia="Arial Unicode MS"/>
          </w:rPr>
          <w:t>https://www.legifrance.gouv.fr/codes/article_lc/LEGIARTI000006278891/</w:t>
        </w:r>
      </w:hyperlink>
    </w:p>
  </w:footnote>
  <w:footnote w:id="494">
    <w:p w14:paraId="105C00AC" w14:textId="77777777" w:rsidR="00454428" w:rsidRDefault="00000000">
      <w:pPr>
        <w:pStyle w:val="FootnoteText"/>
        <w:bidi w:val="0"/>
        <w:jc w:val="both"/>
      </w:pPr>
      <w:r>
        <w:rPr>
          <w:rStyle w:val="None"/>
          <w:rFonts w:ascii="Times New Roman" w:hAnsi="Times New Roman"/>
          <w:vertAlign w:val="superscript"/>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Pr>
        <w:t>)</w:t>
      </w:r>
      <w:r>
        <w:rPr>
          <w:rStyle w:val="None"/>
          <w:rFonts w:ascii="Times New Roman" w:hAnsi="Times New Roman"/>
        </w:rPr>
        <w:t xml:space="preserve"> </w:t>
      </w:r>
      <w:r>
        <w:rPr>
          <w:rStyle w:val="None"/>
          <w:rFonts w:ascii="Times New Roman" w:hAnsi="Times New Roman"/>
          <w:shd w:val="clear" w:color="auto" w:fill="FFFFFF"/>
        </w:rPr>
        <w:t xml:space="preserve">SACD </w:t>
      </w:r>
      <w:r>
        <w:rPr>
          <w:rStyle w:val="None"/>
          <w:rFonts w:ascii="Times New Roman" w:hAnsi="Times New Roman"/>
          <w:sz w:val="24"/>
          <w:szCs w:val="24"/>
          <w:shd w:val="clear" w:color="auto" w:fill="FFFFFF"/>
          <w:rtl/>
          <w:lang w:val="ar-SA"/>
        </w:rPr>
        <w:t>)</w:t>
      </w:r>
      <w:r>
        <w:rPr>
          <w:rStyle w:val="None"/>
          <w:rFonts w:ascii="Times New Roman" w:hAnsi="Times New Roman"/>
          <w:shd w:val="clear" w:color="auto" w:fill="FFFFFF"/>
        </w:rPr>
        <w:t>2021</w:t>
      </w:r>
      <w:r>
        <w:rPr>
          <w:rStyle w:val="None"/>
          <w:rFonts w:ascii="Times New Roman" w:hAnsi="Times New Roman"/>
          <w:sz w:val="24"/>
          <w:szCs w:val="24"/>
          <w:shd w:val="clear" w:color="auto" w:fill="FFFFFF"/>
          <w:rtl/>
          <w:lang w:val="ar-SA"/>
        </w:rPr>
        <w:t>. (</w:t>
      </w:r>
      <w:r>
        <w:rPr>
          <w:rStyle w:val="None"/>
          <w:rFonts w:ascii="Times New Roman" w:hAnsi="Times New Roman"/>
          <w:shd w:val="clear" w:color="auto" w:fill="FFFFFF"/>
        </w:rPr>
        <w:t>Authors' rights and their work</w:t>
      </w:r>
      <w:r>
        <w:rPr>
          <w:rStyle w:val="None"/>
          <w:rFonts w:ascii="Times New Roman" w:hAnsi="Times New Roman"/>
          <w:sz w:val="24"/>
          <w:szCs w:val="24"/>
          <w:shd w:val="clear" w:color="auto" w:fill="FFFFFF"/>
          <w:rtl/>
          <w:lang w:val="ar-SA"/>
        </w:rPr>
        <w:t xml:space="preserve">. </w:t>
      </w:r>
      <w:r>
        <w:rPr>
          <w:rStyle w:val="None"/>
          <w:rFonts w:ascii="Times New Roman" w:hAnsi="Times New Roman"/>
          <w:shd w:val="clear" w:color="auto" w:fill="FFFFFF"/>
        </w:rPr>
        <w:t>Retrieved from</w:t>
      </w:r>
      <w:r>
        <w:rPr>
          <w:rStyle w:val="None"/>
          <w:rFonts w:ascii="Times New Roman" w:hAnsi="Times New Roman"/>
        </w:rPr>
        <w:t xml:space="preserve"> </w:t>
      </w:r>
      <w:hyperlink r:id="rId70" w:history="1">
        <w:r>
          <w:rPr>
            <w:rStyle w:val="Hyperlink0"/>
            <w:rFonts w:eastAsia="Arial Unicode MS"/>
          </w:rPr>
          <w:t>https://www.sacd.fr/en/authors-rights-and-their-work</w:t>
        </w:r>
      </w:hyperlink>
    </w:p>
  </w:footnote>
  <w:footnote w:id="495">
    <w:p w14:paraId="349280A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footnote>
  <w:footnote w:id="496">
    <w:p w14:paraId="735D788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1533.</w:t>
      </w:r>
    </w:p>
  </w:footnote>
  <w:footnote w:id="497">
    <w:p w14:paraId="63E5BD4A"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Times New Roman" w:hAnsi="Times New Roman"/>
          <w:rtl/>
          <w:lang w:val="ar-SA"/>
        </w:rPr>
        <w:t xml:space="preserve"> </w:t>
      </w:r>
      <w:r>
        <w:rPr>
          <w:rStyle w:val="None"/>
          <w:rFonts w:ascii="Arial Unicode MS" w:hAnsi="Arial Unicode MS" w:cs="Times New Roman" w:hint="cs"/>
          <w:sz w:val="24"/>
          <w:szCs w:val="24"/>
          <w:rtl/>
          <w:lang w:val="ar-SA"/>
        </w:rPr>
        <w:t>المادة الثانية من 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29/5/1425.</w:t>
      </w:r>
    </w:p>
  </w:footnote>
  <w:footnote w:id="498">
    <w:p w14:paraId="7F9BAF73"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 </w:t>
      </w:r>
      <w:r>
        <w:rPr>
          <w:rStyle w:val="None"/>
          <w:rFonts w:ascii="Arial Unicode MS" w:hAnsi="Arial Unicode MS" w:cs="Times New Roman" w:hint="cs"/>
          <w:rtl/>
          <w:lang w:val="ar-SA"/>
        </w:rPr>
        <w:t>من نظام براءات الاختراع والتصميمات التخطيطية للدارات المتكاملة والأصناف النباتية والنماذج الصناعية</w:t>
      </w:r>
      <w:r>
        <w:rPr>
          <w:rStyle w:val="None"/>
          <w:rFonts w:ascii="Times New Roman" w:hAnsi="Times New Roman"/>
          <w:rtl/>
          <w:lang w:val="ar-SA"/>
        </w:rPr>
        <w:t>.</w:t>
      </w:r>
    </w:p>
  </w:footnote>
  <w:footnote w:id="499">
    <w:p w14:paraId="12A6BA6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عيطة،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40.</w:t>
      </w:r>
    </w:p>
  </w:footnote>
  <w:footnote w:id="500">
    <w:p w14:paraId="2148C86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34.</w:t>
      </w:r>
    </w:p>
  </w:footnote>
  <w:footnote w:id="501">
    <w:p w14:paraId="003D9F0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محمد سامي عبد الصادق، الوجيز في حقوق الملكية الفكرية، بدون دار نشر، القاهرة، </w:t>
      </w:r>
      <w:r>
        <w:rPr>
          <w:rStyle w:val="None"/>
          <w:rFonts w:ascii="Times New Roman" w:hAnsi="Times New Roman"/>
          <w:sz w:val="24"/>
          <w:szCs w:val="24"/>
          <w:rtl/>
          <w:lang w:val="ar-SA"/>
        </w:rPr>
        <w:t>2007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20.</w:t>
      </w:r>
    </w:p>
  </w:footnote>
  <w:footnote w:id="502">
    <w:p w14:paraId="570A36B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(23) </w:t>
      </w:r>
      <w:r>
        <w:rPr>
          <w:rStyle w:val="None"/>
          <w:rFonts w:ascii="Arial Unicode MS" w:hAnsi="Arial Unicode MS" w:cs="Times New Roman" w:hint="cs"/>
          <w:sz w:val="24"/>
          <w:szCs w:val="24"/>
          <w:rtl/>
          <w:lang w:val="ar-SA"/>
        </w:rPr>
        <w:t>من نظام براءات الاختراع والتصميمات التخطيطية للدارات المتكاملة والأصناف النباتية والنماذج الصناعية</w:t>
      </w:r>
      <w:r>
        <w:rPr>
          <w:rStyle w:val="None"/>
          <w:rFonts w:ascii="Times New Roman" w:hAnsi="Times New Roman"/>
          <w:sz w:val="24"/>
          <w:szCs w:val="24"/>
          <w:rtl/>
          <w:lang w:val="ar-SA"/>
        </w:rPr>
        <w:t>.</w:t>
      </w:r>
    </w:p>
  </w:footnote>
  <w:footnote w:id="503">
    <w:p w14:paraId="3DE2EC2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88.</w:t>
      </w:r>
    </w:p>
  </w:footnote>
  <w:footnote w:id="504">
    <w:p w14:paraId="458A167E"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30.</w:t>
      </w:r>
    </w:p>
  </w:footnote>
  <w:footnote w:id="505">
    <w:p w14:paraId="5D8DAB7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1536.</w:t>
      </w:r>
    </w:p>
  </w:footnote>
  <w:footnote w:id="506">
    <w:p w14:paraId="1EF74627"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عيطة،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44.</w:t>
      </w:r>
    </w:p>
  </w:footnote>
  <w:footnote w:id="507">
    <w:p w14:paraId="0F4B04D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1537.</w:t>
      </w:r>
    </w:p>
  </w:footnote>
  <w:footnote w:id="508">
    <w:p w14:paraId="4C044D58"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33.</w:t>
      </w:r>
    </w:p>
  </w:footnote>
  <w:footnote w:id="509">
    <w:p w14:paraId="5C180222"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Pr>
          <w:rStyle w:val="None"/>
          <w:rFonts w:ascii="Times New Roman" w:hAnsi="Times New Roman"/>
          <w:rtl/>
          <w:lang w:val="ar-SA"/>
        </w:rPr>
        <w:t>17</w:t>
      </w:r>
      <w:r>
        <w:rPr>
          <w:rStyle w:val="None"/>
          <w:rFonts w:ascii="Arial Unicode MS" w:hAnsi="Arial Unicode MS" w:cs="Times New Roman" w:hint="cs"/>
          <w:rtl/>
          <w:lang w:val="ar-SA"/>
        </w:rPr>
        <w:t>، ع</w:t>
      </w:r>
      <w:r>
        <w:rPr>
          <w:rStyle w:val="None"/>
          <w:rFonts w:ascii="Times New Roman" w:hAnsi="Times New Roman"/>
          <w:rtl/>
          <w:lang w:val="ar-SA"/>
        </w:rPr>
        <w:t>3</w:t>
      </w:r>
      <w:r>
        <w:rPr>
          <w:rStyle w:val="None"/>
          <w:rFonts w:ascii="Arial Unicode MS" w:hAnsi="Arial Unicode MS" w:cs="Times New Roman" w:hint="cs"/>
          <w:rtl/>
          <w:lang w:val="ar-SA"/>
        </w:rPr>
        <w:t xml:space="preserve">، </w:t>
      </w:r>
      <w:r>
        <w:rPr>
          <w:rStyle w:val="None"/>
          <w:rFonts w:ascii="Times New Roman" w:hAnsi="Times New Roman"/>
          <w:rtl/>
          <w:lang w:val="ar-SA"/>
        </w:rPr>
        <w:t>231-251</w:t>
      </w:r>
      <w:r>
        <w:rPr>
          <w:rStyle w:val="None"/>
          <w:rFonts w:ascii="Arial Unicode MS" w:hAnsi="Arial Unicode MS" w:cs="Times New Roman" w:hint="cs"/>
          <w:rtl/>
          <w:lang w:val="ar-SA"/>
        </w:rPr>
        <w:t xml:space="preserve">، </w:t>
      </w:r>
      <w:r>
        <w:rPr>
          <w:rStyle w:val="None"/>
          <w:rFonts w:ascii="Times New Roman" w:hAnsi="Times New Roman"/>
          <w:rtl/>
          <w:lang w:val="ar-SA"/>
        </w:rPr>
        <w:t>(2024)</w:t>
      </w:r>
      <w:r>
        <w:rPr>
          <w:rStyle w:val="None"/>
          <w:rFonts w:ascii="Arial Unicode MS" w:hAnsi="Arial Unicode MS" w:cs="Times New Roman" w:hint="cs"/>
          <w:rtl/>
          <w:lang w:val="ar-SA"/>
        </w:rPr>
        <w:t>، ص</w:t>
      </w:r>
      <w:r>
        <w:rPr>
          <w:rStyle w:val="None"/>
          <w:rFonts w:ascii="Times New Roman" w:hAnsi="Times New Roman"/>
          <w:rtl/>
          <w:lang w:val="ar-SA"/>
        </w:rPr>
        <w:t>241.</w:t>
      </w:r>
    </w:p>
  </w:footnote>
  <w:footnote w:id="510">
    <w:p w14:paraId="2016B20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عيطة،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48.</w:t>
      </w:r>
    </w:p>
  </w:footnote>
  <w:footnote w:id="511">
    <w:p w14:paraId="21B8DB63"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54.</w:t>
      </w:r>
    </w:p>
  </w:footnote>
  <w:footnote w:id="512">
    <w:p w14:paraId="4BC52FD1"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w:t>
      </w:r>
      <w:r>
        <w:rPr>
          <w:rStyle w:val="None"/>
          <w:rFonts w:ascii="Times New Roman" w:hAnsi="Times New Roman"/>
          <w:rtl/>
          <w:lang w:val="ar-SA"/>
        </w:rPr>
        <w:t>13</w:t>
      </w:r>
      <w:r>
        <w:rPr>
          <w:rStyle w:val="None"/>
          <w:rFonts w:ascii="Arial Unicode MS" w:hAnsi="Arial Unicode MS" w:cs="Times New Roman" w:hint="cs"/>
          <w:rtl/>
          <w:lang w:val="ar-SA"/>
        </w:rPr>
        <w:t>، ع</w:t>
      </w:r>
      <w:r>
        <w:rPr>
          <w:rStyle w:val="None"/>
          <w:rFonts w:ascii="Times New Roman" w:hAnsi="Times New Roman"/>
          <w:rtl/>
          <w:lang w:val="ar-SA"/>
        </w:rPr>
        <w:t>6</w:t>
      </w:r>
      <w:r>
        <w:rPr>
          <w:rStyle w:val="None"/>
          <w:rFonts w:ascii="Arial Unicode MS" w:hAnsi="Arial Unicode MS" w:cs="Times New Roman" w:hint="cs"/>
          <w:rtl/>
          <w:lang w:val="ar-SA"/>
        </w:rPr>
        <w:t xml:space="preserve">، </w:t>
      </w:r>
      <w:r>
        <w:rPr>
          <w:rStyle w:val="None"/>
          <w:rFonts w:ascii="Times New Roman" w:hAnsi="Times New Roman"/>
          <w:rtl/>
          <w:lang w:val="ar-SA"/>
        </w:rPr>
        <w:t>1529-1560</w:t>
      </w:r>
      <w:r>
        <w:rPr>
          <w:rStyle w:val="None"/>
          <w:rFonts w:ascii="Arial Unicode MS" w:hAnsi="Arial Unicode MS" w:cs="Times New Roman" w:hint="cs"/>
          <w:rtl/>
          <w:lang w:val="ar-SA"/>
        </w:rPr>
        <w:t xml:space="preserve">، </w:t>
      </w:r>
      <w:r>
        <w:rPr>
          <w:rStyle w:val="None"/>
          <w:rFonts w:ascii="Times New Roman" w:hAnsi="Times New Roman"/>
          <w:rtl/>
          <w:lang w:val="ar-SA"/>
        </w:rPr>
        <w:t>(2022)</w:t>
      </w:r>
      <w:r>
        <w:rPr>
          <w:rStyle w:val="None"/>
          <w:rFonts w:ascii="Arial Unicode MS" w:hAnsi="Arial Unicode MS" w:cs="Times New Roman" w:hint="cs"/>
          <w:rtl/>
          <w:lang w:val="ar-SA"/>
        </w:rPr>
        <w:t>، ص</w:t>
      </w:r>
      <w:r>
        <w:rPr>
          <w:rStyle w:val="None"/>
          <w:rFonts w:ascii="Times New Roman" w:hAnsi="Times New Roman"/>
          <w:rtl/>
          <w:lang w:val="ar-SA"/>
        </w:rPr>
        <w:t>1540.</w:t>
      </w:r>
    </w:p>
  </w:footnote>
  <w:footnote w:id="513">
    <w:p w14:paraId="66C8505F"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56.</w:t>
      </w:r>
    </w:p>
  </w:footnote>
  <w:footnote w:id="514">
    <w:p w14:paraId="2DC0387C"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w:t>
      </w:r>
      <w:r>
        <w:rPr>
          <w:rStyle w:val="None"/>
          <w:rFonts w:ascii="Times New Roman" w:hAnsi="Times New Roman"/>
          <w:rtl/>
          <w:lang w:val="ar-SA"/>
        </w:rPr>
        <w:t>13</w:t>
      </w:r>
      <w:r>
        <w:rPr>
          <w:rStyle w:val="None"/>
          <w:rFonts w:ascii="Arial Unicode MS" w:hAnsi="Arial Unicode MS" w:cs="Times New Roman" w:hint="cs"/>
          <w:rtl/>
          <w:lang w:val="ar-SA"/>
        </w:rPr>
        <w:t>، ع</w:t>
      </w:r>
      <w:r>
        <w:rPr>
          <w:rStyle w:val="None"/>
          <w:rFonts w:ascii="Times New Roman" w:hAnsi="Times New Roman"/>
          <w:rtl/>
          <w:lang w:val="ar-SA"/>
        </w:rPr>
        <w:t>6</w:t>
      </w:r>
      <w:r>
        <w:rPr>
          <w:rStyle w:val="None"/>
          <w:rFonts w:ascii="Arial Unicode MS" w:hAnsi="Arial Unicode MS" w:cs="Times New Roman" w:hint="cs"/>
          <w:rtl/>
          <w:lang w:val="ar-SA"/>
        </w:rPr>
        <w:t xml:space="preserve">، </w:t>
      </w:r>
      <w:r>
        <w:rPr>
          <w:rStyle w:val="None"/>
          <w:rFonts w:ascii="Times New Roman" w:hAnsi="Times New Roman"/>
          <w:rtl/>
          <w:lang w:val="ar-SA"/>
        </w:rPr>
        <w:t>1529-1560</w:t>
      </w:r>
      <w:r>
        <w:rPr>
          <w:rStyle w:val="None"/>
          <w:rFonts w:ascii="Arial Unicode MS" w:hAnsi="Arial Unicode MS" w:cs="Times New Roman" w:hint="cs"/>
          <w:rtl/>
          <w:lang w:val="ar-SA"/>
        </w:rPr>
        <w:t xml:space="preserve">، </w:t>
      </w:r>
      <w:r>
        <w:rPr>
          <w:rStyle w:val="None"/>
          <w:rFonts w:ascii="Times New Roman" w:hAnsi="Times New Roman"/>
          <w:rtl/>
          <w:lang w:val="ar-SA"/>
        </w:rPr>
        <w:t>(2022)</w:t>
      </w:r>
      <w:r>
        <w:rPr>
          <w:rStyle w:val="None"/>
          <w:rFonts w:ascii="Arial Unicode MS" w:hAnsi="Arial Unicode MS" w:cs="Times New Roman" w:hint="cs"/>
          <w:rtl/>
          <w:lang w:val="ar-SA"/>
        </w:rPr>
        <w:t>، ص</w:t>
      </w:r>
      <w:r>
        <w:rPr>
          <w:rStyle w:val="None"/>
          <w:rFonts w:ascii="Times New Roman" w:hAnsi="Times New Roman"/>
          <w:rtl/>
          <w:lang w:val="ar-SA"/>
        </w:rPr>
        <w:t>1539.</w:t>
      </w:r>
    </w:p>
  </w:footnote>
  <w:footnote w:id="515">
    <w:p w14:paraId="4243BD1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عبد الله إبراهيم محمود أبو عيطة،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54.</w:t>
      </w:r>
    </w:p>
  </w:footnote>
  <w:footnote w:id="516">
    <w:p w14:paraId="3BB9351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80.</w:t>
      </w:r>
    </w:p>
  </w:footnote>
  <w:footnote w:id="517">
    <w:p w14:paraId="4B361C6D"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Times New Roman" w:hAnsi="Times New Roman"/>
          <w:rtl/>
          <w:lang w:val="ar-SA"/>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518">
    <w:p w14:paraId="75ED6B78"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40.</w:t>
      </w:r>
    </w:p>
  </w:footnote>
  <w:footnote w:id="519">
    <w:p w14:paraId="3040CDA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109.</w:t>
      </w:r>
    </w:p>
  </w:footnote>
  <w:footnote w:id="520">
    <w:p w14:paraId="411F8C6A"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هبة الله ربحي الدويكات، الترخيص الإجباري في الاختراعات المتعلقة بالأدوية، رسالة ماجستير، جامعة الزرقاء، </w:t>
      </w:r>
      <w:r>
        <w:rPr>
          <w:rStyle w:val="None"/>
          <w:rFonts w:ascii="Times New Roman" w:hAnsi="Times New Roman"/>
          <w:rtl/>
          <w:lang w:val="ar-SA"/>
        </w:rPr>
        <w:t>1-116</w:t>
      </w:r>
      <w:r>
        <w:rPr>
          <w:rStyle w:val="None"/>
          <w:rFonts w:ascii="Arial Unicode MS" w:hAnsi="Arial Unicode MS" w:cs="Times New Roman" w:hint="cs"/>
          <w:rtl/>
          <w:lang w:val="ar-SA"/>
        </w:rPr>
        <w:t xml:space="preserve">، </w:t>
      </w:r>
      <w:r>
        <w:rPr>
          <w:rStyle w:val="None"/>
          <w:rFonts w:ascii="Times New Roman" w:hAnsi="Times New Roman"/>
          <w:rtl/>
          <w:lang w:val="ar-SA"/>
        </w:rPr>
        <w:t>(2020)</w:t>
      </w:r>
      <w:r>
        <w:rPr>
          <w:rStyle w:val="None"/>
          <w:rFonts w:ascii="Arial Unicode MS" w:hAnsi="Arial Unicode MS" w:cs="Times New Roman" w:hint="cs"/>
          <w:rtl/>
          <w:lang w:val="ar-SA"/>
        </w:rPr>
        <w:t>، ص</w:t>
      </w:r>
      <w:r>
        <w:rPr>
          <w:rStyle w:val="None"/>
          <w:rFonts w:ascii="Times New Roman" w:hAnsi="Times New Roman"/>
          <w:rtl/>
          <w:lang w:val="ar-SA"/>
        </w:rPr>
        <w:t>40.</w:t>
      </w:r>
    </w:p>
  </w:footnote>
  <w:footnote w:id="521">
    <w:p w14:paraId="725A902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82.</w:t>
      </w:r>
    </w:p>
  </w:footnote>
  <w:footnote w:id="522">
    <w:p w14:paraId="175A0E1A"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rtl/>
          <w:lang w:val="ar-SA"/>
        </w:rPr>
        <w:t>(2018)</w:t>
      </w:r>
      <w:r>
        <w:rPr>
          <w:rStyle w:val="None"/>
          <w:rFonts w:ascii="Arial Unicode MS" w:hAnsi="Arial Unicode MS" w:cs="Times New Roman" w:hint="cs"/>
          <w:rtl/>
          <w:lang w:val="ar-SA"/>
        </w:rPr>
        <w:t>، ص</w:t>
      </w:r>
      <w:r>
        <w:rPr>
          <w:rStyle w:val="None"/>
          <w:rFonts w:ascii="Times New Roman" w:hAnsi="Times New Roman"/>
          <w:rtl/>
          <w:lang w:val="ar-SA"/>
        </w:rPr>
        <w:t>67.</w:t>
      </w:r>
    </w:p>
  </w:footnote>
  <w:footnote w:id="523">
    <w:p w14:paraId="74DBC9B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112.</w:t>
      </w:r>
    </w:p>
  </w:footnote>
  <w:footnote w:id="524">
    <w:p w14:paraId="2ED7771C"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Times New Roman" w:hAnsi="Times New Roman"/>
          <w:rtl/>
          <w:lang w:val="ar-SA"/>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أ</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تنظيم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525">
    <w:p w14:paraId="1B013508"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w:t>
      </w:r>
      <w:r>
        <w:rPr>
          <w:rStyle w:val="None"/>
          <w:rFonts w:ascii="Times New Roman" w:hAnsi="Times New Roman"/>
          <w:rtl/>
          <w:lang w:val="ar-SA"/>
        </w:rPr>
        <w:t>13</w:t>
      </w:r>
      <w:r>
        <w:rPr>
          <w:rStyle w:val="None"/>
          <w:rFonts w:ascii="Arial Unicode MS" w:hAnsi="Arial Unicode MS" w:cs="Times New Roman" w:hint="cs"/>
          <w:rtl/>
          <w:lang w:val="ar-SA"/>
        </w:rPr>
        <w:t>، ع</w:t>
      </w:r>
      <w:r>
        <w:rPr>
          <w:rStyle w:val="None"/>
          <w:rFonts w:ascii="Times New Roman" w:hAnsi="Times New Roman"/>
          <w:rtl/>
          <w:lang w:val="ar-SA"/>
        </w:rPr>
        <w:t>6</w:t>
      </w:r>
      <w:r>
        <w:rPr>
          <w:rStyle w:val="None"/>
          <w:rFonts w:ascii="Arial Unicode MS" w:hAnsi="Arial Unicode MS" w:cs="Times New Roman" w:hint="cs"/>
          <w:rtl/>
          <w:lang w:val="ar-SA"/>
        </w:rPr>
        <w:t xml:space="preserve">، </w:t>
      </w:r>
      <w:r>
        <w:rPr>
          <w:rStyle w:val="None"/>
          <w:rFonts w:ascii="Times New Roman" w:hAnsi="Times New Roman"/>
          <w:rtl/>
          <w:lang w:val="ar-SA"/>
        </w:rPr>
        <w:t>1529-1560</w:t>
      </w:r>
      <w:r>
        <w:rPr>
          <w:rStyle w:val="None"/>
          <w:rFonts w:ascii="Arial Unicode MS" w:hAnsi="Arial Unicode MS" w:cs="Times New Roman" w:hint="cs"/>
          <w:rtl/>
          <w:lang w:val="ar-SA"/>
        </w:rPr>
        <w:t xml:space="preserve">، </w:t>
      </w:r>
      <w:r>
        <w:rPr>
          <w:rStyle w:val="None"/>
          <w:rFonts w:ascii="Times New Roman" w:hAnsi="Times New Roman"/>
          <w:rtl/>
          <w:lang w:val="ar-SA"/>
        </w:rPr>
        <w:t>(2022)</w:t>
      </w:r>
      <w:r>
        <w:rPr>
          <w:rStyle w:val="None"/>
          <w:rFonts w:ascii="Arial Unicode MS" w:hAnsi="Arial Unicode MS" w:cs="Times New Roman" w:hint="cs"/>
          <w:rtl/>
          <w:lang w:val="ar-SA"/>
        </w:rPr>
        <w:t>، ص</w:t>
      </w:r>
      <w:r>
        <w:rPr>
          <w:rStyle w:val="None"/>
          <w:rFonts w:ascii="Times New Roman" w:hAnsi="Times New Roman"/>
          <w:rtl/>
          <w:lang w:val="ar-SA"/>
        </w:rPr>
        <w:t>1545.</w:t>
      </w:r>
    </w:p>
  </w:footnote>
  <w:footnote w:id="526">
    <w:p w14:paraId="185C2ECD" w14:textId="77777777" w:rsidR="00454428" w:rsidRDefault="00000000">
      <w:pPr>
        <w:pStyle w:val="FootnoteText"/>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24 </w:t>
      </w:r>
      <w:r>
        <w:rPr>
          <w:rStyle w:val="None"/>
          <w:rFonts w:ascii="Arial Unicode MS" w:hAnsi="Arial Unicode MS" w:cs="Times New Roman" w:hint="cs"/>
          <w:rtl/>
          <w:lang w:val="ar-SA"/>
        </w:rPr>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rtl/>
          <w:lang w:val="ar-SA"/>
        </w:rPr>
        <w:t xml:space="preserve">/27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29 / 5 / 1425.</w:t>
      </w:r>
    </w:p>
  </w:footnote>
  <w:footnote w:id="527">
    <w:p w14:paraId="237C3F79" w14:textId="77777777" w:rsidR="00454428" w:rsidRDefault="00000000">
      <w:pPr>
        <w:pStyle w:val="Body"/>
        <w:spacing w:after="0" w:line="240" w:lineRule="auto"/>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تنظيم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528">
    <w:p w14:paraId="709BC5F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88.</w:t>
      </w:r>
    </w:p>
  </w:footnote>
  <w:footnote w:id="529">
    <w:p w14:paraId="23079497"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rtl/>
          <w:lang w:val="ar-SA"/>
        </w:rPr>
        <w:t>(2018)</w:t>
      </w:r>
      <w:r>
        <w:rPr>
          <w:rStyle w:val="None"/>
          <w:rFonts w:ascii="Arial Unicode MS" w:hAnsi="Arial Unicode MS" w:cs="Times New Roman" w:hint="cs"/>
          <w:rtl/>
          <w:lang w:val="ar-SA"/>
        </w:rPr>
        <w:t>، ص</w:t>
      </w:r>
      <w:r>
        <w:rPr>
          <w:rStyle w:val="None"/>
          <w:rFonts w:ascii="Times New Roman" w:hAnsi="Times New Roman"/>
          <w:rtl/>
          <w:lang w:val="ar-SA"/>
        </w:rPr>
        <w:t>56.</w:t>
      </w:r>
    </w:p>
  </w:footnote>
  <w:footnote w:id="530">
    <w:p w14:paraId="74DC2D4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116.</w:t>
      </w:r>
    </w:p>
  </w:footnote>
  <w:footnote w:id="531">
    <w:p w14:paraId="3DC32257"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Times New Roman" w:hAnsi="Times New Roman"/>
          <w:rtl/>
          <w:lang w:val="ar-SA"/>
        </w:rPr>
        <w:t xml:space="preserve"> </w:t>
      </w:r>
      <w:r>
        <w:rPr>
          <w:rStyle w:val="None"/>
          <w:rFonts w:ascii="Arial Unicode MS" w:hAnsi="Arial Unicode MS" w:cs="Times New Roman" w:hint="cs"/>
          <w:sz w:val="24"/>
          <w:szCs w:val="24"/>
          <w:rtl/>
          <w:lang w:val="ar-SA"/>
        </w:rPr>
        <w:t xml:space="preserve">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تنظيم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footnote>
  <w:footnote w:id="532">
    <w:p w14:paraId="02093A00"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(12) </w:t>
      </w:r>
      <w:r>
        <w:rPr>
          <w:rStyle w:val="None"/>
          <w:rFonts w:ascii="Arial Unicode MS" w:hAnsi="Arial Unicode MS" w:cs="Times New Roman" w:hint="cs"/>
          <w:rtl/>
          <w:lang w:val="ar-SA"/>
        </w:rPr>
        <w:t xml:space="preserve">من معاهدة الويبو بشأن حق المؤلف كما اعتمدها في جنيف في </w:t>
      </w:r>
      <w:r>
        <w:rPr>
          <w:rStyle w:val="None"/>
          <w:rFonts w:ascii="Times New Roman" w:hAnsi="Times New Roman"/>
          <w:rtl/>
          <w:lang w:val="ar-SA"/>
        </w:rPr>
        <w:t xml:space="preserve">20 </w:t>
      </w:r>
      <w:r>
        <w:rPr>
          <w:rStyle w:val="None"/>
          <w:rFonts w:ascii="Arial Unicode MS" w:hAnsi="Arial Unicode MS" w:cs="Times New Roman" w:hint="cs"/>
          <w:rtl/>
          <w:lang w:val="ar-SA"/>
        </w:rPr>
        <w:t>ديسمبر</w:t>
      </w:r>
      <w:r>
        <w:rPr>
          <w:rStyle w:val="None"/>
          <w:rFonts w:ascii="Times New Roman" w:hAnsi="Times New Roman"/>
          <w:rtl/>
          <w:lang w:val="ar-SA"/>
        </w:rPr>
        <w:t xml:space="preserve">/ </w:t>
      </w:r>
      <w:r>
        <w:rPr>
          <w:rStyle w:val="None"/>
          <w:rFonts w:ascii="Arial Unicode MS" w:hAnsi="Arial Unicode MS" w:cs="Times New Roman" w:hint="cs"/>
          <w:rtl/>
          <w:lang w:val="ar-SA"/>
        </w:rPr>
        <w:t xml:space="preserve">كانون الأول </w:t>
      </w:r>
      <w:r>
        <w:rPr>
          <w:rStyle w:val="None"/>
          <w:rFonts w:ascii="Times New Roman" w:hAnsi="Times New Roman"/>
          <w:rtl/>
          <w:lang w:val="ar-SA"/>
        </w:rPr>
        <w:t>1996.</w:t>
      </w:r>
    </w:p>
  </w:footnote>
  <w:footnote w:id="533">
    <w:p w14:paraId="3702D609"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زياد ماجد العبد الجبار، حجية الدليل الرقمي في الإثبات</w:t>
      </w:r>
      <w:r>
        <w:rPr>
          <w:rStyle w:val="None"/>
          <w:rFonts w:ascii="Times New Roman" w:hAnsi="Times New Roman"/>
          <w:rtl/>
          <w:lang w:val="ar-SA"/>
        </w:rPr>
        <w:t xml:space="preserve">: </w:t>
      </w:r>
      <w:r>
        <w:rPr>
          <w:rStyle w:val="None"/>
          <w:rFonts w:ascii="Arial Unicode MS" w:hAnsi="Arial Unicode MS" w:cs="Times New Roman" w:hint="cs"/>
          <w:rtl/>
          <w:lang w:val="ar-SA"/>
        </w:rPr>
        <w:t>دراسة في النظام الإثبات السعودي، مجلة العلوم الاقتصادية والإدارية والقانونية، مج</w:t>
      </w:r>
      <w:r>
        <w:rPr>
          <w:rStyle w:val="None"/>
          <w:rFonts w:ascii="Times New Roman" w:hAnsi="Times New Roman"/>
          <w:rtl/>
          <w:lang w:val="ar-SA"/>
        </w:rPr>
        <w:t>6</w:t>
      </w:r>
      <w:r>
        <w:rPr>
          <w:rStyle w:val="None"/>
          <w:rFonts w:ascii="Arial Unicode MS" w:hAnsi="Arial Unicode MS" w:cs="Times New Roman" w:hint="cs"/>
          <w:rtl/>
          <w:lang w:val="ar-SA"/>
        </w:rPr>
        <w:t>، ع</w:t>
      </w:r>
      <w:r>
        <w:rPr>
          <w:rStyle w:val="None"/>
          <w:rFonts w:ascii="Times New Roman" w:hAnsi="Times New Roman"/>
          <w:rtl/>
          <w:lang w:val="ar-SA"/>
        </w:rPr>
        <w:t>26</w:t>
      </w:r>
      <w:r>
        <w:rPr>
          <w:rStyle w:val="None"/>
          <w:rFonts w:ascii="Arial Unicode MS" w:hAnsi="Arial Unicode MS" w:cs="Times New Roman" w:hint="cs"/>
          <w:rtl/>
          <w:lang w:val="ar-SA"/>
        </w:rPr>
        <w:t xml:space="preserve">، </w:t>
      </w:r>
      <w:r>
        <w:rPr>
          <w:rStyle w:val="None"/>
          <w:rFonts w:ascii="Times New Roman" w:hAnsi="Times New Roman"/>
          <w:rtl/>
          <w:lang w:val="ar-SA"/>
        </w:rPr>
        <w:t>132-144</w:t>
      </w:r>
      <w:r>
        <w:rPr>
          <w:rStyle w:val="None"/>
          <w:rFonts w:ascii="Arial Unicode MS" w:hAnsi="Arial Unicode MS" w:cs="Times New Roman" w:hint="cs"/>
          <w:rtl/>
          <w:lang w:val="ar-SA"/>
        </w:rPr>
        <w:t xml:space="preserve">، </w:t>
      </w:r>
      <w:r>
        <w:rPr>
          <w:rStyle w:val="None"/>
          <w:rFonts w:ascii="Times New Roman" w:hAnsi="Times New Roman"/>
          <w:rtl/>
          <w:lang w:val="ar-SA"/>
        </w:rPr>
        <w:t>(2022)</w:t>
      </w:r>
      <w:r>
        <w:rPr>
          <w:rStyle w:val="None"/>
          <w:rFonts w:ascii="Arial Unicode MS" w:hAnsi="Arial Unicode MS" w:cs="Times New Roman" w:hint="cs"/>
          <w:rtl/>
          <w:lang w:val="ar-SA"/>
        </w:rPr>
        <w:t>، ص</w:t>
      </w:r>
      <w:r>
        <w:rPr>
          <w:rStyle w:val="None"/>
          <w:rFonts w:ascii="Times New Roman" w:hAnsi="Times New Roman"/>
          <w:rtl/>
          <w:lang w:val="ar-SA"/>
        </w:rPr>
        <w:t>133.</w:t>
      </w:r>
    </w:p>
  </w:footnote>
  <w:footnote w:id="534">
    <w:p w14:paraId="02D9EE6B"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مبارك بن محمد الخالدي، الإثبات بالدليل الرقمي وتطبيقاته القضائية</w:t>
      </w:r>
      <w:r>
        <w:rPr>
          <w:rStyle w:val="None"/>
          <w:rFonts w:ascii="Times New Roman" w:hAnsi="Times New Roman"/>
          <w:rtl/>
          <w:lang w:val="ar-SA"/>
        </w:rPr>
        <w:t xml:space="preserve">: </w:t>
      </w:r>
      <w:r>
        <w:rPr>
          <w:rStyle w:val="None"/>
          <w:rFonts w:ascii="Arial Unicode MS" w:hAnsi="Arial Unicode MS" w:cs="Times New Roman" w:hint="cs"/>
          <w:rtl/>
          <w:lang w:val="ar-SA"/>
        </w:rPr>
        <w:t>دراسة فقهية مقارنة بنظام الإثبات السعودي، مجلة قضاء، جامعة الإمام محمد بن سعود الإسلامي، ع</w:t>
      </w:r>
      <w:r>
        <w:rPr>
          <w:rStyle w:val="None"/>
          <w:rFonts w:ascii="Times New Roman" w:hAnsi="Times New Roman"/>
          <w:rtl/>
          <w:lang w:val="ar-SA"/>
        </w:rPr>
        <w:t>34</w:t>
      </w:r>
      <w:r>
        <w:rPr>
          <w:rStyle w:val="None"/>
          <w:rFonts w:ascii="Arial Unicode MS" w:hAnsi="Arial Unicode MS" w:cs="Times New Roman" w:hint="cs"/>
          <w:rtl/>
          <w:lang w:val="ar-SA"/>
        </w:rPr>
        <w:t xml:space="preserve">، </w:t>
      </w:r>
      <w:r>
        <w:rPr>
          <w:rStyle w:val="None"/>
          <w:rFonts w:ascii="Times New Roman" w:hAnsi="Times New Roman"/>
          <w:rtl/>
          <w:lang w:val="ar-SA"/>
        </w:rPr>
        <w:t>329-416</w:t>
      </w:r>
      <w:r>
        <w:rPr>
          <w:rStyle w:val="None"/>
          <w:rFonts w:ascii="Arial Unicode MS" w:hAnsi="Arial Unicode MS" w:cs="Times New Roman" w:hint="cs"/>
          <w:rtl/>
          <w:lang w:val="ar-SA"/>
        </w:rPr>
        <w:t xml:space="preserve">، </w:t>
      </w:r>
      <w:r>
        <w:rPr>
          <w:rStyle w:val="None"/>
          <w:rFonts w:ascii="Times New Roman" w:hAnsi="Times New Roman"/>
          <w:rtl/>
          <w:lang w:val="ar-SA"/>
        </w:rPr>
        <w:t>(2024)</w:t>
      </w:r>
      <w:r>
        <w:rPr>
          <w:rStyle w:val="None"/>
          <w:rFonts w:ascii="Arial Unicode MS" w:hAnsi="Arial Unicode MS" w:cs="Times New Roman" w:hint="cs"/>
          <w:rtl/>
          <w:lang w:val="ar-SA"/>
        </w:rPr>
        <w:t>، ص</w:t>
      </w:r>
      <w:r>
        <w:rPr>
          <w:rStyle w:val="None"/>
          <w:rFonts w:ascii="Times New Roman" w:hAnsi="Times New Roman"/>
          <w:rtl/>
          <w:lang w:val="ar-SA"/>
        </w:rPr>
        <w:t>370.</w:t>
      </w:r>
    </w:p>
  </w:footnote>
  <w:footnote w:id="535">
    <w:p w14:paraId="7D9C2C80"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زياد ماجد العبد الجبار، حجية الدليل الرقمي في الإثبات</w:t>
      </w:r>
      <w:r>
        <w:rPr>
          <w:rStyle w:val="None"/>
          <w:rFonts w:ascii="Times New Roman" w:hAnsi="Times New Roman"/>
          <w:rtl/>
          <w:lang w:val="ar-SA"/>
        </w:rPr>
        <w:t xml:space="preserve">: </w:t>
      </w:r>
      <w:r>
        <w:rPr>
          <w:rStyle w:val="None"/>
          <w:rFonts w:ascii="Arial Unicode MS" w:hAnsi="Arial Unicode MS" w:cs="Times New Roman" w:hint="cs"/>
          <w:rtl/>
          <w:lang w:val="ar-SA"/>
        </w:rPr>
        <w:t>دراسة في النظام الإثبات السعودي، مجلة العلوم الاقتصادية والإدارية والقانونية، مج</w:t>
      </w:r>
      <w:r>
        <w:rPr>
          <w:rStyle w:val="None"/>
          <w:rFonts w:ascii="Times New Roman" w:hAnsi="Times New Roman"/>
          <w:rtl/>
          <w:lang w:val="ar-SA"/>
        </w:rPr>
        <w:t>6</w:t>
      </w:r>
      <w:r>
        <w:rPr>
          <w:rStyle w:val="None"/>
          <w:rFonts w:ascii="Arial Unicode MS" w:hAnsi="Arial Unicode MS" w:cs="Times New Roman" w:hint="cs"/>
          <w:rtl/>
          <w:lang w:val="ar-SA"/>
        </w:rPr>
        <w:t>، ع</w:t>
      </w:r>
      <w:r>
        <w:rPr>
          <w:rStyle w:val="None"/>
          <w:rFonts w:ascii="Times New Roman" w:hAnsi="Times New Roman"/>
          <w:rtl/>
          <w:lang w:val="ar-SA"/>
        </w:rPr>
        <w:t>26</w:t>
      </w:r>
      <w:r>
        <w:rPr>
          <w:rStyle w:val="None"/>
          <w:rFonts w:ascii="Arial Unicode MS" w:hAnsi="Arial Unicode MS" w:cs="Times New Roman" w:hint="cs"/>
          <w:rtl/>
          <w:lang w:val="ar-SA"/>
        </w:rPr>
        <w:t xml:space="preserve">، </w:t>
      </w:r>
      <w:r>
        <w:rPr>
          <w:rStyle w:val="None"/>
          <w:rFonts w:ascii="Times New Roman" w:hAnsi="Times New Roman"/>
          <w:rtl/>
          <w:lang w:val="ar-SA"/>
        </w:rPr>
        <w:t>132-144</w:t>
      </w:r>
      <w:r>
        <w:rPr>
          <w:rStyle w:val="None"/>
          <w:rFonts w:ascii="Arial Unicode MS" w:hAnsi="Arial Unicode MS" w:cs="Times New Roman" w:hint="cs"/>
          <w:rtl/>
          <w:lang w:val="ar-SA"/>
        </w:rPr>
        <w:t xml:space="preserve">، </w:t>
      </w:r>
      <w:r>
        <w:rPr>
          <w:rStyle w:val="None"/>
          <w:rFonts w:ascii="Times New Roman" w:hAnsi="Times New Roman"/>
          <w:rtl/>
          <w:lang w:val="ar-SA"/>
        </w:rPr>
        <w:t>(2022)</w:t>
      </w:r>
      <w:r>
        <w:rPr>
          <w:rStyle w:val="None"/>
          <w:rFonts w:ascii="Arial Unicode MS" w:hAnsi="Arial Unicode MS" w:cs="Times New Roman" w:hint="cs"/>
          <w:rtl/>
          <w:lang w:val="ar-SA"/>
        </w:rPr>
        <w:t>، ص</w:t>
      </w:r>
      <w:r>
        <w:rPr>
          <w:rStyle w:val="None"/>
          <w:rFonts w:ascii="Times New Roman" w:hAnsi="Times New Roman"/>
          <w:rtl/>
          <w:lang w:val="ar-SA"/>
        </w:rPr>
        <w:t>135.</w:t>
      </w:r>
    </w:p>
  </w:footnote>
  <w:footnote w:id="536">
    <w:p w14:paraId="6B641C17" w14:textId="77777777" w:rsidR="00454428" w:rsidRDefault="00000000">
      <w:pPr>
        <w:pStyle w:val="FootnoteText"/>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53 </w:t>
      </w:r>
      <w:r>
        <w:rPr>
          <w:rStyle w:val="None"/>
          <w:rFonts w:ascii="Arial Unicode MS" w:hAnsi="Arial Unicode MS" w:cs="Times New Roman" w:hint="cs"/>
          <w:rtl/>
          <w:lang w:val="ar-SA"/>
        </w:rPr>
        <w:t xml:space="preserve">من نظام الإثبات السعودي مرسوم ملكي رقم </w:t>
      </w:r>
      <w:r>
        <w:rPr>
          <w:rStyle w:val="None"/>
          <w:rFonts w:ascii="Times New Roman" w:hAnsi="Times New Roman"/>
          <w:rtl/>
          <w:lang w:val="ar-SA"/>
        </w:rPr>
        <w:t>(</w:t>
      </w:r>
      <w:r>
        <w:rPr>
          <w:rStyle w:val="None"/>
          <w:rFonts w:ascii="Arial Unicode MS" w:hAnsi="Arial Unicode MS" w:cs="Times New Roman" w:hint="cs"/>
          <w:rtl/>
          <w:lang w:val="ar-SA"/>
        </w:rPr>
        <w:t>م</w:t>
      </w:r>
      <w:r>
        <w:rPr>
          <w:rStyle w:val="None"/>
          <w:rFonts w:ascii="Times New Roman" w:hAnsi="Times New Roman"/>
          <w:rtl/>
          <w:lang w:val="ar-SA"/>
        </w:rPr>
        <w:t xml:space="preserve">/43)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26/5/1443</w:t>
      </w:r>
      <w:r>
        <w:rPr>
          <w:rStyle w:val="None"/>
          <w:rFonts w:ascii="Arial Unicode MS" w:hAnsi="Arial Unicode MS" w:cs="Times New Roman" w:hint="cs"/>
          <w:rtl/>
          <w:lang w:val="ar-SA"/>
        </w:rPr>
        <w:t>هـ</w:t>
      </w:r>
      <w:r>
        <w:rPr>
          <w:rStyle w:val="None"/>
          <w:rFonts w:ascii="Times New Roman" w:hAnsi="Times New Roman"/>
          <w:rtl/>
          <w:lang w:val="ar-SA"/>
        </w:rPr>
        <w:t>.</w:t>
      </w:r>
    </w:p>
  </w:footnote>
  <w:footnote w:id="537">
    <w:p w14:paraId="7A969D35"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(54) </w:t>
      </w:r>
      <w:r>
        <w:rPr>
          <w:rStyle w:val="None"/>
          <w:rFonts w:ascii="Arial Unicode MS" w:hAnsi="Arial Unicode MS" w:cs="Times New Roman" w:hint="cs"/>
          <w:rtl/>
          <w:lang w:val="ar-SA"/>
        </w:rPr>
        <w:t xml:space="preserve">من نظام الإثبات السعودي مرسوم ملكي رقم </w:t>
      </w:r>
      <w:r>
        <w:rPr>
          <w:rStyle w:val="None"/>
          <w:rFonts w:ascii="Times New Roman" w:hAnsi="Times New Roman"/>
          <w:rtl/>
          <w:lang w:val="ar-SA"/>
        </w:rPr>
        <w:t>(</w:t>
      </w:r>
      <w:r>
        <w:rPr>
          <w:rStyle w:val="None"/>
          <w:rFonts w:ascii="Arial Unicode MS" w:hAnsi="Arial Unicode MS" w:cs="Times New Roman" w:hint="cs"/>
          <w:rtl/>
          <w:lang w:val="ar-SA"/>
        </w:rPr>
        <w:t>م</w:t>
      </w:r>
      <w:r>
        <w:rPr>
          <w:rStyle w:val="None"/>
          <w:rFonts w:ascii="Times New Roman" w:hAnsi="Times New Roman"/>
          <w:rtl/>
          <w:lang w:val="ar-SA"/>
        </w:rPr>
        <w:t xml:space="preserve">/43)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26/5/1443</w:t>
      </w:r>
      <w:r>
        <w:rPr>
          <w:rStyle w:val="None"/>
          <w:rFonts w:ascii="Arial Unicode MS" w:hAnsi="Arial Unicode MS" w:cs="Times New Roman" w:hint="cs"/>
          <w:rtl/>
          <w:lang w:val="ar-SA"/>
        </w:rPr>
        <w:t>هـ</w:t>
      </w:r>
      <w:r>
        <w:rPr>
          <w:rStyle w:val="None"/>
          <w:rFonts w:ascii="Times New Roman" w:hAnsi="Times New Roman"/>
          <w:rtl/>
          <w:lang w:val="ar-SA"/>
        </w:rPr>
        <w:t>.</w:t>
      </w:r>
    </w:p>
  </w:footnote>
  <w:footnote w:id="538">
    <w:p w14:paraId="7F19E805"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أنظر</w:t>
      </w:r>
      <w:r>
        <w:rPr>
          <w:rStyle w:val="None"/>
          <w:rFonts w:ascii="Times New Roman" w:hAnsi="Times New Roman"/>
          <w:rtl/>
          <w:lang w:val="ar-SA"/>
        </w:rPr>
        <w:t xml:space="preserve">: </w:t>
      </w:r>
      <w:r>
        <w:rPr>
          <w:rStyle w:val="None"/>
          <w:rFonts w:ascii="Arial Unicode MS" w:hAnsi="Arial Unicode MS" w:cs="Times New Roman" w:hint="cs"/>
          <w:rtl/>
          <w:lang w:val="ar-SA"/>
        </w:rPr>
        <w:t>عبد الهادي بن موفق العنزي، أحكام الدليل الرقمي وفق نظام الإثبات السعودي، مجلة كلية الشريعة والقانون، ج</w:t>
      </w:r>
      <w:r>
        <w:rPr>
          <w:rStyle w:val="None"/>
          <w:rFonts w:ascii="Times New Roman" w:hAnsi="Times New Roman"/>
          <w:rtl/>
          <w:lang w:val="ar-SA"/>
        </w:rPr>
        <w:t>3</w:t>
      </w:r>
      <w:r>
        <w:rPr>
          <w:rStyle w:val="None"/>
          <w:rFonts w:ascii="Arial Unicode MS" w:hAnsi="Arial Unicode MS" w:cs="Times New Roman" w:hint="cs"/>
          <w:rtl/>
          <w:lang w:val="ar-SA"/>
        </w:rPr>
        <w:t>، ع</w:t>
      </w:r>
      <w:r>
        <w:rPr>
          <w:rStyle w:val="None"/>
          <w:rFonts w:ascii="Times New Roman" w:hAnsi="Times New Roman"/>
          <w:rtl/>
          <w:lang w:val="ar-SA"/>
        </w:rPr>
        <w:t>38</w:t>
      </w:r>
      <w:r>
        <w:rPr>
          <w:rStyle w:val="None"/>
          <w:rFonts w:ascii="Arial Unicode MS" w:hAnsi="Arial Unicode MS" w:cs="Times New Roman" w:hint="cs"/>
          <w:rtl/>
          <w:lang w:val="ar-SA"/>
        </w:rPr>
        <w:t xml:space="preserve">، </w:t>
      </w:r>
      <w:r>
        <w:rPr>
          <w:rStyle w:val="None"/>
          <w:rFonts w:ascii="Times New Roman" w:hAnsi="Times New Roman"/>
          <w:rtl/>
          <w:lang w:val="ar-SA"/>
        </w:rPr>
        <w:t>2024</w:t>
      </w:r>
      <w:r>
        <w:rPr>
          <w:rStyle w:val="None"/>
          <w:rFonts w:ascii="Arial Unicode MS" w:hAnsi="Arial Unicode MS" w:cs="Times New Roman" w:hint="cs"/>
          <w:rtl/>
          <w:lang w:val="ar-SA"/>
        </w:rPr>
        <w:t>، ص</w:t>
      </w:r>
      <w:r>
        <w:rPr>
          <w:rStyle w:val="None"/>
          <w:rFonts w:ascii="Times New Roman" w:hAnsi="Times New Roman"/>
          <w:rtl/>
          <w:lang w:val="ar-SA"/>
        </w:rPr>
        <w:t>695.</w:t>
      </w:r>
    </w:p>
  </w:footnote>
  <w:footnote w:id="539">
    <w:p w14:paraId="1FE70C11" w14:textId="77777777" w:rsidR="00454428" w:rsidRDefault="00000000">
      <w:pPr>
        <w:pStyle w:val="FootnoteText"/>
      </w:pPr>
      <w:r>
        <w:rPr>
          <w:rStyle w:val="None"/>
          <w:rFonts w:ascii="Times New Roman" w:eastAsia="Times New Roman" w:hAnsi="Times New Roman" w:cs="Times New Roman"/>
          <w:sz w:val="24"/>
          <w:szCs w:val="24"/>
          <w:vertAlign w:val="superscript"/>
          <w:rtl/>
          <w:lang w:val="ar-SA"/>
        </w:rPr>
        <w:footnoteRef/>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56 </w:t>
      </w:r>
      <w:r>
        <w:rPr>
          <w:rStyle w:val="None"/>
          <w:rFonts w:ascii="Arial Unicode MS" w:hAnsi="Arial Unicode MS" w:cs="Times New Roman" w:hint="cs"/>
          <w:rtl/>
          <w:lang w:val="ar-SA"/>
        </w:rPr>
        <w:t xml:space="preserve">من نظام الإثبات السعودي مرسوم ملكي رقم </w:t>
      </w:r>
      <w:r>
        <w:rPr>
          <w:rStyle w:val="None"/>
          <w:rFonts w:ascii="Times New Roman" w:hAnsi="Times New Roman"/>
          <w:rtl/>
          <w:lang w:val="ar-SA"/>
        </w:rPr>
        <w:t>(</w:t>
      </w:r>
      <w:r>
        <w:rPr>
          <w:rStyle w:val="None"/>
          <w:rFonts w:ascii="Arial Unicode MS" w:hAnsi="Arial Unicode MS" w:cs="Times New Roman" w:hint="cs"/>
          <w:rtl/>
          <w:lang w:val="ar-SA"/>
        </w:rPr>
        <w:t>م</w:t>
      </w:r>
      <w:r>
        <w:rPr>
          <w:rStyle w:val="None"/>
          <w:rFonts w:ascii="Times New Roman" w:hAnsi="Times New Roman"/>
          <w:rtl/>
          <w:lang w:val="ar-SA"/>
        </w:rPr>
        <w:t xml:space="preserve">/43)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26/5/1443</w:t>
      </w:r>
      <w:r>
        <w:rPr>
          <w:rStyle w:val="None"/>
          <w:rFonts w:ascii="Arial Unicode MS" w:hAnsi="Arial Unicode MS" w:cs="Times New Roman" w:hint="cs"/>
          <w:rtl/>
          <w:lang w:val="ar-SA"/>
        </w:rPr>
        <w:t>هـ</w:t>
      </w:r>
      <w:r>
        <w:rPr>
          <w:rStyle w:val="None"/>
          <w:rFonts w:ascii="Times New Roman" w:hAnsi="Times New Roman"/>
          <w:rtl/>
          <w:lang w:val="ar-SA"/>
        </w:rPr>
        <w:t>.</w:t>
      </w:r>
    </w:p>
  </w:footnote>
  <w:footnote w:id="540">
    <w:p w14:paraId="7DC6B293"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سعد بن علي بن تركي، الدليل الرقمي وأثره في الإثبات</w:t>
      </w:r>
      <w:r>
        <w:rPr>
          <w:rStyle w:val="None"/>
          <w:rFonts w:ascii="Times New Roman" w:hAnsi="Times New Roman"/>
          <w:rtl/>
          <w:lang w:val="ar-SA"/>
        </w:rPr>
        <w:t xml:space="preserve">: </w:t>
      </w:r>
      <w:r>
        <w:rPr>
          <w:rStyle w:val="None"/>
          <w:rFonts w:ascii="Arial Unicode MS" w:hAnsi="Arial Unicode MS" w:cs="Times New Roman" w:hint="cs"/>
          <w:rtl/>
          <w:lang w:val="ar-SA"/>
        </w:rPr>
        <w:t>دراسة فقهية تطبيقية مقارنة بالنظام السعودي، مجلة العلوم الشرعية، جامعة القصيم، مج</w:t>
      </w:r>
      <w:r>
        <w:rPr>
          <w:rStyle w:val="None"/>
          <w:rFonts w:ascii="Times New Roman" w:hAnsi="Times New Roman"/>
          <w:rtl/>
          <w:lang w:val="ar-SA"/>
        </w:rPr>
        <w:t>17</w:t>
      </w:r>
      <w:r>
        <w:rPr>
          <w:rStyle w:val="None"/>
          <w:rFonts w:ascii="Arial Unicode MS" w:hAnsi="Arial Unicode MS" w:cs="Times New Roman" w:hint="cs"/>
          <w:rtl/>
          <w:lang w:val="ar-SA"/>
        </w:rPr>
        <w:t>، ع</w:t>
      </w:r>
      <w:r>
        <w:rPr>
          <w:rStyle w:val="None"/>
          <w:rFonts w:ascii="Times New Roman" w:hAnsi="Times New Roman"/>
          <w:rtl/>
          <w:lang w:val="ar-SA"/>
        </w:rPr>
        <w:t>3</w:t>
      </w:r>
      <w:r>
        <w:rPr>
          <w:rStyle w:val="None"/>
          <w:rFonts w:ascii="Arial Unicode MS" w:hAnsi="Arial Unicode MS" w:cs="Times New Roman" w:hint="cs"/>
          <w:rtl/>
          <w:lang w:val="ar-SA"/>
        </w:rPr>
        <w:t xml:space="preserve">، </w:t>
      </w:r>
      <w:r>
        <w:rPr>
          <w:rStyle w:val="None"/>
          <w:rFonts w:ascii="Times New Roman" w:hAnsi="Times New Roman"/>
          <w:rtl/>
          <w:lang w:val="ar-SA"/>
        </w:rPr>
        <w:t>2384-2436</w:t>
      </w:r>
      <w:r>
        <w:rPr>
          <w:rStyle w:val="None"/>
          <w:rFonts w:ascii="Arial Unicode MS" w:hAnsi="Arial Unicode MS" w:cs="Times New Roman" w:hint="cs"/>
          <w:rtl/>
          <w:lang w:val="ar-SA"/>
        </w:rPr>
        <w:t xml:space="preserve">، </w:t>
      </w:r>
      <w:r>
        <w:rPr>
          <w:rStyle w:val="None"/>
          <w:rFonts w:ascii="Times New Roman" w:hAnsi="Times New Roman"/>
          <w:rtl/>
          <w:lang w:val="ar-SA"/>
        </w:rPr>
        <w:t>(2024)</w:t>
      </w:r>
      <w:r>
        <w:rPr>
          <w:rStyle w:val="None"/>
          <w:rFonts w:ascii="Arial Unicode MS" w:hAnsi="Arial Unicode MS" w:cs="Times New Roman" w:hint="cs"/>
          <w:rtl/>
          <w:lang w:val="ar-SA"/>
        </w:rPr>
        <w:t>، ص</w:t>
      </w:r>
      <w:r>
        <w:rPr>
          <w:rStyle w:val="None"/>
          <w:rFonts w:ascii="Times New Roman" w:hAnsi="Times New Roman"/>
          <w:rtl/>
          <w:lang w:val="ar-SA"/>
        </w:rPr>
        <w:t>2408.</w:t>
      </w:r>
    </w:p>
  </w:footnote>
  <w:footnote w:id="541">
    <w:p w14:paraId="4ABDBFC4"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(9) </w:t>
      </w:r>
      <w:r>
        <w:rPr>
          <w:rStyle w:val="None"/>
          <w:rFonts w:ascii="Arial Unicode MS" w:hAnsi="Arial Unicode MS" w:cs="Times New Roman" w:hint="cs"/>
          <w:rtl/>
          <w:lang w:val="ar-SA"/>
        </w:rPr>
        <w:t>من نظام التعاملات الإلكترونية مرسوم ملكي رقم م</w:t>
      </w:r>
      <w:r>
        <w:rPr>
          <w:rStyle w:val="None"/>
          <w:rFonts w:ascii="Times New Roman" w:hAnsi="Times New Roman"/>
          <w:rtl/>
          <w:lang w:val="ar-SA"/>
        </w:rPr>
        <w:t xml:space="preserve">/18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8/3/1428</w:t>
      </w:r>
      <w:r>
        <w:rPr>
          <w:rStyle w:val="None"/>
          <w:rFonts w:ascii="Arial Unicode MS" w:hAnsi="Arial Unicode MS" w:cs="Times New Roman" w:hint="cs"/>
          <w:rtl/>
          <w:lang w:val="ar-SA"/>
        </w:rPr>
        <w:t>هـ</w:t>
      </w:r>
      <w:r>
        <w:rPr>
          <w:rStyle w:val="None"/>
          <w:rFonts w:ascii="Times New Roman" w:hAnsi="Times New Roman"/>
          <w:rtl/>
          <w:lang w:val="ar-SA"/>
        </w:rPr>
        <w:t>.</w:t>
      </w:r>
    </w:p>
  </w:footnote>
  <w:footnote w:id="542">
    <w:p w14:paraId="6C72A089"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(8) </w:t>
      </w:r>
      <w:r>
        <w:rPr>
          <w:rStyle w:val="None"/>
          <w:rFonts w:ascii="Arial Unicode MS" w:hAnsi="Arial Unicode MS" w:cs="Times New Roman" w:hint="cs"/>
          <w:rtl/>
          <w:lang w:val="ar-SA"/>
        </w:rPr>
        <w:t xml:space="preserve">من نظام التعاملات الإلكترونية مرسوم ملكي رقم </w:t>
      </w:r>
      <w:r>
        <w:rPr>
          <w:rStyle w:val="None"/>
          <w:rFonts w:ascii="Times New Roman" w:hAnsi="Times New Roman"/>
          <w:rtl/>
          <w:lang w:val="ar-SA"/>
        </w:rPr>
        <w:t xml:space="preserve">//18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8/3/1428</w:t>
      </w:r>
      <w:r>
        <w:rPr>
          <w:rStyle w:val="None"/>
          <w:rFonts w:ascii="Arial Unicode MS" w:hAnsi="Arial Unicode MS" w:cs="Times New Roman" w:hint="cs"/>
          <w:rtl/>
          <w:lang w:val="ar-SA"/>
        </w:rPr>
        <w:t>هـ</w:t>
      </w:r>
      <w:r>
        <w:rPr>
          <w:rStyle w:val="None"/>
          <w:rFonts w:ascii="Times New Roman" w:hAnsi="Times New Roman"/>
          <w:rtl/>
          <w:lang w:val="ar-SA"/>
        </w:rPr>
        <w:t>.</w:t>
      </w:r>
    </w:p>
  </w:footnote>
  <w:footnote w:id="543">
    <w:p w14:paraId="04859BEA"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أكثم محمد القرعان، إثبات الجريمة الإلكترونية بالدليل الرقمي، رسالة ماجستير، </w:t>
      </w:r>
      <w:r>
        <w:rPr>
          <w:rStyle w:val="None"/>
          <w:rFonts w:ascii="Times New Roman" w:hAnsi="Times New Roman"/>
          <w:rtl/>
          <w:lang w:val="ar-SA"/>
        </w:rPr>
        <w:t>1-83</w:t>
      </w:r>
      <w:r>
        <w:rPr>
          <w:rStyle w:val="None"/>
          <w:rFonts w:ascii="Arial Unicode MS" w:hAnsi="Arial Unicode MS" w:cs="Times New Roman" w:hint="cs"/>
          <w:rtl/>
          <w:lang w:val="ar-SA"/>
        </w:rPr>
        <w:t xml:space="preserve">، </w:t>
      </w:r>
      <w:r>
        <w:rPr>
          <w:rStyle w:val="None"/>
          <w:rFonts w:ascii="Times New Roman" w:hAnsi="Times New Roman"/>
          <w:rtl/>
          <w:lang w:val="ar-SA"/>
        </w:rPr>
        <w:t>(2023)</w:t>
      </w:r>
      <w:r>
        <w:rPr>
          <w:rStyle w:val="None"/>
          <w:rFonts w:ascii="Arial Unicode MS" w:hAnsi="Arial Unicode MS" w:cs="Times New Roman" w:hint="cs"/>
          <w:rtl/>
          <w:lang w:val="ar-SA"/>
        </w:rPr>
        <w:t>، ص</w:t>
      </w:r>
      <w:r>
        <w:rPr>
          <w:rStyle w:val="None"/>
          <w:rFonts w:ascii="Times New Roman" w:hAnsi="Times New Roman"/>
          <w:rtl/>
          <w:lang w:val="ar-SA"/>
        </w:rPr>
        <w:t>71.</w:t>
      </w:r>
    </w:p>
  </w:footnote>
  <w:footnote w:id="544">
    <w:p w14:paraId="14BB01F4"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رضوان حسان إسخيطة، التحقيق الجنائي الرقمي في ضوء قوانين حماية البيانات الشخصية، مجلة الندوة للدراسات القانونية، ع</w:t>
      </w:r>
      <w:r>
        <w:rPr>
          <w:rStyle w:val="None"/>
          <w:rFonts w:ascii="Times New Roman" w:hAnsi="Times New Roman"/>
          <w:rtl/>
          <w:lang w:val="ar-SA"/>
        </w:rPr>
        <w:t>26</w:t>
      </w:r>
      <w:r>
        <w:rPr>
          <w:rStyle w:val="None"/>
          <w:rFonts w:ascii="Arial Unicode MS" w:hAnsi="Arial Unicode MS" w:cs="Times New Roman" w:hint="cs"/>
          <w:rtl/>
          <w:lang w:val="ar-SA"/>
        </w:rPr>
        <w:t xml:space="preserve">، </w:t>
      </w:r>
      <w:r>
        <w:rPr>
          <w:rStyle w:val="None"/>
          <w:rFonts w:ascii="Times New Roman" w:hAnsi="Times New Roman"/>
          <w:rtl/>
          <w:lang w:val="ar-SA"/>
        </w:rPr>
        <w:t>3-17</w:t>
      </w:r>
      <w:r>
        <w:rPr>
          <w:rStyle w:val="None"/>
          <w:rFonts w:ascii="Arial Unicode MS" w:hAnsi="Arial Unicode MS" w:cs="Times New Roman" w:hint="cs"/>
          <w:rtl/>
          <w:lang w:val="ar-SA"/>
        </w:rPr>
        <w:t xml:space="preserve">، </w:t>
      </w:r>
      <w:r>
        <w:rPr>
          <w:rStyle w:val="None"/>
          <w:rFonts w:ascii="Times New Roman" w:hAnsi="Times New Roman"/>
          <w:rtl/>
          <w:lang w:val="ar-SA"/>
        </w:rPr>
        <w:t>(2019)</w:t>
      </w:r>
      <w:r>
        <w:rPr>
          <w:rStyle w:val="None"/>
          <w:rFonts w:ascii="Arial Unicode MS" w:hAnsi="Arial Unicode MS" w:cs="Times New Roman" w:hint="cs"/>
          <w:rtl/>
          <w:lang w:val="ar-SA"/>
        </w:rPr>
        <w:t>، ص</w:t>
      </w:r>
      <w:r>
        <w:rPr>
          <w:rStyle w:val="None"/>
          <w:rFonts w:ascii="Times New Roman" w:hAnsi="Times New Roman"/>
          <w:rtl/>
          <w:lang w:val="ar-SA"/>
        </w:rPr>
        <w:t>4.</w:t>
      </w:r>
    </w:p>
  </w:footnote>
  <w:footnote w:id="545">
    <w:p w14:paraId="6546ABFB"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حنان محمد الحسيني، التحقيق الجنائي الرقمي، مجلة جامعة الملك سعود، مج</w:t>
      </w:r>
      <w:r>
        <w:rPr>
          <w:rStyle w:val="None"/>
          <w:rFonts w:ascii="Times New Roman" w:hAnsi="Times New Roman"/>
          <w:rtl/>
          <w:lang w:val="ar-SA"/>
        </w:rPr>
        <w:t>33</w:t>
      </w:r>
      <w:r>
        <w:rPr>
          <w:rStyle w:val="None"/>
          <w:rFonts w:ascii="Arial Unicode MS" w:hAnsi="Arial Unicode MS" w:cs="Times New Roman" w:hint="cs"/>
          <w:rtl/>
          <w:lang w:val="ar-SA"/>
        </w:rPr>
        <w:t>، ع</w:t>
      </w:r>
      <w:r>
        <w:rPr>
          <w:rStyle w:val="None"/>
          <w:rFonts w:ascii="Times New Roman" w:hAnsi="Times New Roman"/>
          <w:rtl/>
          <w:lang w:val="ar-SA"/>
        </w:rPr>
        <w:t>2</w:t>
      </w:r>
      <w:r>
        <w:rPr>
          <w:rStyle w:val="None"/>
          <w:rFonts w:ascii="Arial Unicode MS" w:hAnsi="Arial Unicode MS" w:cs="Times New Roman" w:hint="cs"/>
          <w:rtl/>
          <w:lang w:val="ar-SA"/>
        </w:rPr>
        <w:t xml:space="preserve">، </w:t>
      </w:r>
      <w:r>
        <w:rPr>
          <w:rStyle w:val="None"/>
          <w:rFonts w:ascii="Times New Roman" w:hAnsi="Times New Roman"/>
          <w:rtl/>
          <w:lang w:val="ar-SA"/>
        </w:rPr>
        <w:t>129-150</w:t>
      </w:r>
      <w:r>
        <w:rPr>
          <w:rStyle w:val="None"/>
          <w:rFonts w:ascii="Arial Unicode MS" w:hAnsi="Arial Unicode MS" w:cs="Times New Roman" w:hint="cs"/>
          <w:rtl/>
          <w:lang w:val="ar-SA"/>
        </w:rPr>
        <w:t xml:space="preserve">، </w:t>
      </w:r>
      <w:r>
        <w:rPr>
          <w:rStyle w:val="None"/>
          <w:rFonts w:ascii="Times New Roman" w:hAnsi="Times New Roman"/>
          <w:rtl/>
          <w:lang w:val="ar-SA"/>
        </w:rPr>
        <w:t>(2021)</w:t>
      </w:r>
      <w:r>
        <w:rPr>
          <w:rStyle w:val="None"/>
          <w:rFonts w:ascii="Arial Unicode MS" w:hAnsi="Arial Unicode MS" w:cs="Times New Roman" w:hint="cs"/>
          <w:rtl/>
          <w:lang w:val="ar-SA"/>
        </w:rPr>
        <w:t>، ص</w:t>
      </w:r>
      <w:r>
        <w:rPr>
          <w:rStyle w:val="None"/>
          <w:rFonts w:ascii="Times New Roman" w:hAnsi="Times New Roman"/>
          <w:rtl/>
          <w:lang w:val="ar-SA"/>
        </w:rPr>
        <w:t>134.</w:t>
      </w:r>
    </w:p>
  </w:footnote>
  <w:footnote w:id="546">
    <w:p w14:paraId="63409AD1"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(24) </w:t>
      </w:r>
      <w:r>
        <w:rPr>
          <w:rStyle w:val="None"/>
          <w:rFonts w:ascii="Arial Unicode MS" w:hAnsi="Arial Unicode MS" w:cs="Times New Roman" w:hint="cs"/>
          <w:rtl/>
          <w:lang w:val="ar-SA"/>
        </w:rPr>
        <w:t xml:space="preserve">من نظام حماية حقوق المؤلف </w:t>
      </w:r>
      <w:r>
        <w:rPr>
          <w:rStyle w:val="None"/>
          <w:rFonts w:ascii="Times New Roman" w:hAnsi="Times New Roman"/>
          <w:rtl/>
          <w:lang w:val="ar-SA"/>
        </w:rPr>
        <w:t>1424</w:t>
      </w:r>
      <w:r>
        <w:rPr>
          <w:rStyle w:val="None"/>
          <w:rFonts w:ascii="Arial Unicode MS" w:hAnsi="Arial Unicode MS" w:cs="Times New Roman" w:hint="cs"/>
          <w:rtl/>
          <w:lang w:val="ar-SA"/>
        </w:rPr>
        <w:t>هـ، مرسوم ملكي رقم م</w:t>
      </w:r>
      <w:r>
        <w:rPr>
          <w:rStyle w:val="None"/>
          <w:rFonts w:ascii="Times New Roman" w:hAnsi="Times New Roman"/>
          <w:rtl/>
          <w:lang w:val="ar-SA"/>
        </w:rPr>
        <w:t xml:space="preserve">/41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2/7/1424.</w:t>
      </w:r>
    </w:p>
  </w:footnote>
  <w:footnote w:id="547">
    <w:p w14:paraId="40802D93"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حنان محمد الحسيني، التحقيق الجنائي الرقمي، مجلة جامعة الملك سعود، مج</w:t>
      </w:r>
      <w:r>
        <w:rPr>
          <w:rStyle w:val="None"/>
          <w:rFonts w:ascii="Times New Roman" w:hAnsi="Times New Roman"/>
          <w:rtl/>
          <w:lang w:val="ar-SA"/>
        </w:rPr>
        <w:t>33</w:t>
      </w:r>
      <w:r>
        <w:rPr>
          <w:rStyle w:val="None"/>
          <w:rFonts w:ascii="Arial Unicode MS" w:hAnsi="Arial Unicode MS" w:cs="Times New Roman" w:hint="cs"/>
          <w:rtl/>
          <w:lang w:val="ar-SA"/>
        </w:rPr>
        <w:t>، ع</w:t>
      </w:r>
      <w:r>
        <w:rPr>
          <w:rStyle w:val="None"/>
          <w:rFonts w:ascii="Times New Roman" w:hAnsi="Times New Roman"/>
          <w:rtl/>
          <w:lang w:val="ar-SA"/>
        </w:rPr>
        <w:t>2</w:t>
      </w:r>
      <w:r>
        <w:rPr>
          <w:rStyle w:val="None"/>
          <w:rFonts w:ascii="Arial Unicode MS" w:hAnsi="Arial Unicode MS" w:cs="Times New Roman" w:hint="cs"/>
          <w:rtl/>
          <w:lang w:val="ar-SA"/>
        </w:rPr>
        <w:t xml:space="preserve">، </w:t>
      </w:r>
      <w:r>
        <w:rPr>
          <w:rStyle w:val="None"/>
          <w:rFonts w:ascii="Times New Roman" w:hAnsi="Times New Roman"/>
          <w:rtl/>
          <w:lang w:val="ar-SA"/>
        </w:rPr>
        <w:t>129-150</w:t>
      </w:r>
      <w:r>
        <w:rPr>
          <w:rStyle w:val="None"/>
          <w:rFonts w:ascii="Arial Unicode MS" w:hAnsi="Arial Unicode MS" w:cs="Times New Roman" w:hint="cs"/>
          <w:rtl/>
          <w:lang w:val="ar-SA"/>
        </w:rPr>
        <w:t xml:space="preserve">، </w:t>
      </w:r>
      <w:r>
        <w:rPr>
          <w:rStyle w:val="None"/>
          <w:rFonts w:ascii="Times New Roman" w:hAnsi="Times New Roman"/>
          <w:rtl/>
          <w:lang w:val="ar-SA"/>
        </w:rPr>
        <w:t>(2021)</w:t>
      </w:r>
      <w:r>
        <w:rPr>
          <w:rStyle w:val="None"/>
          <w:rFonts w:ascii="Arial Unicode MS" w:hAnsi="Arial Unicode MS" w:cs="Times New Roman" w:hint="cs"/>
          <w:rtl/>
          <w:lang w:val="ar-SA"/>
        </w:rPr>
        <w:t>، ص</w:t>
      </w:r>
      <w:r>
        <w:rPr>
          <w:rStyle w:val="None"/>
          <w:rFonts w:ascii="Times New Roman" w:hAnsi="Times New Roman"/>
          <w:rtl/>
          <w:lang w:val="ar-SA"/>
        </w:rPr>
        <w:t>133.</w:t>
      </w:r>
    </w:p>
  </w:footnote>
  <w:footnote w:id="548">
    <w:p w14:paraId="10613E97"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(24) </w:t>
      </w:r>
      <w:r>
        <w:rPr>
          <w:rStyle w:val="None"/>
          <w:rFonts w:ascii="Arial Unicode MS" w:hAnsi="Arial Unicode MS" w:cs="Times New Roman" w:hint="cs"/>
          <w:rtl/>
          <w:lang w:val="ar-SA"/>
        </w:rPr>
        <w:t xml:space="preserve">من اللائحة التنفيذية لنظام حماية حقوق المؤلف المعدلة بقرار مجلس إدارة الهيئة السعودية للملكية الفكرية رقم </w:t>
      </w:r>
      <w:r>
        <w:rPr>
          <w:rStyle w:val="None"/>
          <w:rFonts w:ascii="Times New Roman" w:hAnsi="Times New Roman"/>
          <w:rtl/>
          <w:lang w:val="ar-SA"/>
        </w:rPr>
        <w:t xml:space="preserve">(03/21/2022)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17/11/1443</w:t>
      </w:r>
      <w:r>
        <w:rPr>
          <w:rStyle w:val="None"/>
          <w:rFonts w:ascii="Arial Unicode MS" w:hAnsi="Arial Unicode MS" w:cs="Times New Roman" w:hint="cs"/>
          <w:rtl/>
          <w:lang w:val="ar-SA"/>
        </w:rPr>
        <w:t xml:space="preserve">هـ، الموافق </w:t>
      </w:r>
      <w:r>
        <w:rPr>
          <w:rStyle w:val="None"/>
          <w:rFonts w:ascii="Times New Roman" w:hAnsi="Times New Roman"/>
          <w:rtl/>
          <w:lang w:val="ar-SA"/>
        </w:rPr>
        <w:t>16/6/2022</w:t>
      </w:r>
      <w:r>
        <w:rPr>
          <w:rStyle w:val="None"/>
          <w:rFonts w:ascii="Arial Unicode MS" w:hAnsi="Arial Unicode MS" w:cs="Times New Roman" w:hint="cs"/>
          <w:rtl/>
          <w:lang w:val="ar-SA"/>
        </w:rPr>
        <w:t>م</w:t>
      </w:r>
      <w:r>
        <w:rPr>
          <w:rStyle w:val="None"/>
          <w:rFonts w:ascii="Times New Roman" w:hAnsi="Times New Roman"/>
          <w:rtl/>
          <w:lang w:val="ar-SA"/>
        </w:rPr>
        <w:t>.</w:t>
      </w:r>
    </w:p>
  </w:footnote>
  <w:footnote w:id="549">
    <w:p w14:paraId="7DAAE6B1"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عادل حماد عثمان، ضبط الأدلة في مجال الجريمة المعلوماتية، رابطة الأدب الحديث، ج</w:t>
      </w:r>
      <w:r>
        <w:rPr>
          <w:rStyle w:val="None"/>
          <w:rFonts w:ascii="Times New Roman" w:hAnsi="Times New Roman"/>
          <w:rtl/>
          <w:lang w:val="ar-SA"/>
        </w:rPr>
        <w:t>113</w:t>
      </w:r>
      <w:r>
        <w:rPr>
          <w:rStyle w:val="None"/>
          <w:rFonts w:ascii="Arial Unicode MS" w:hAnsi="Arial Unicode MS" w:cs="Times New Roman" w:hint="cs"/>
          <w:rtl/>
          <w:lang w:val="ar-SA"/>
        </w:rPr>
        <w:t xml:space="preserve">، </w:t>
      </w:r>
      <w:r>
        <w:rPr>
          <w:rStyle w:val="None"/>
          <w:rFonts w:ascii="Times New Roman" w:hAnsi="Times New Roman"/>
          <w:rtl/>
          <w:lang w:val="ar-SA"/>
        </w:rPr>
        <w:t>179-247</w:t>
      </w:r>
      <w:r>
        <w:rPr>
          <w:rStyle w:val="None"/>
          <w:rFonts w:ascii="Arial Unicode MS" w:hAnsi="Arial Unicode MS" w:cs="Times New Roman" w:hint="cs"/>
          <w:rtl/>
          <w:lang w:val="ar-SA"/>
        </w:rPr>
        <w:t>، ص</w:t>
      </w:r>
      <w:r>
        <w:rPr>
          <w:rStyle w:val="None"/>
          <w:rFonts w:ascii="Times New Roman" w:hAnsi="Times New Roman"/>
          <w:rtl/>
          <w:lang w:val="ar-SA"/>
        </w:rPr>
        <w:t>213.</w:t>
      </w:r>
    </w:p>
  </w:footnote>
  <w:footnote w:id="550">
    <w:p w14:paraId="20610B37"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rtl/>
          <w:lang w:val="ar-SA"/>
        </w:rPr>
        <w:t>61</w:t>
      </w:r>
      <w:r>
        <w:rPr>
          <w:rStyle w:val="None"/>
          <w:rFonts w:ascii="Arial Unicode MS" w:hAnsi="Arial Unicode MS" w:cs="Times New Roman" w:hint="cs"/>
          <w:rtl/>
          <w:lang w:val="ar-SA"/>
        </w:rPr>
        <w:t>، ع</w:t>
      </w:r>
      <w:r>
        <w:rPr>
          <w:rStyle w:val="None"/>
          <w:rFonts w:ascii="Times New Roman" w:hAnsi="Times New Roman"/>
          <w:rtl/>
          <w:lang w:val="ar-SA"/>
        </w:rPr>
        <w:t>3</w:t>
      </w:r>
      <w:r>
        <w:rPr>
          <w:rStyle w:val="None"/>
          <w:rFonts w:ascii="Arial Unicode MS" w:hAnsi="Arial Unicode MS" w:cs="Times New Roman" w:hint="cs"/>
          <w:rtl/>
          <w:lang w:val="ar-SA"/>
        </w:rPr>
        <w:t xml:space="preserve">، </w:t>
      </w:r>
      <w:r>
        <w:rPr>
          <w:rStyle w:val="None"/>
          <w:rFonts w:ascii="Times New Roman" w:hAnsi="Times New Roman"/>
          <w:rtl/>
          <w:lang w:val="ar-SA"/>
        </w:rPr>
        <w:t>87-127</w:t>
      </w:r>
      <w:r>
        <w:rPr>
          <w:rStyle w:val="None"/>
          <w:rFonts w:ascii="Arial Unicode MS" w:hAnsi="Arial Unicode MS" w:cs="Times New Roman" w:hint="cs"/>
          <w:rtl/>
          <w:lang w:val="ar-SA"/>
        </w:rPr>
        <w:t xml:space="preserve">، </w:t>
      </w:r>
      <w:r>
        <w:rPr>
          <w:rStyle w:val="None"/>
          <w:rFonts w:ascii="Times New Roman" w:hAnsi="Times New Roman"/>
          <w:rtl/>
          <w:lang w:val="ar-SA"/>
        </w:rPr>
        <w:t>(2018)</w:t>
      </w:r>
      <w:r>
        <w:rPr>
          <w:rStyle w:val="None"/>
          <w:rFonts w:ascii="Arial Unicode MS" w:hAnsi="Arial Unicode MS" w:cs="Times New Roman" w:hint="cs"/>
          <w:rtl/>
          <w:lang w:val="ar-SA"/>
        </w:rPr>
        <w:t>، ص</w:t>
      </w:r>
      <w:r>
        <w:rPr>
          <w:rStyle w:val="None"/>
          <w:rFonts w:ascii="Times New Roman" w:hAnsi="Times New Roman"/>
          <w:rtl/>
          <w:lang w:val="ar-SA"/>
        </w:rPr>
        <w:t>117.</w:t>
      </w:r>
    </w:p>
  </w:footnote>
  <w:footnote w:id="551">
    <w:p w14:paraId="45F7FAA5"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(18) </w:t>
      </w:r>
      <w:r>
        <w:rPr>
          <w:rStyle w:val="None"/>
          <w:rFonts w:ascii="Arial Unicode MS" w:hAnsi="Arial Unicode MS" w:cs="Times New Roman" w:hint="cs"/>
          <w:rtl/>
          <w:lang w:val="ar-SA"/>
        </w:rPr>
        <w:t xml:space="preserve">من اللائحة التنفيذية لنظام حماية حقوق المؤلف المعدلة بقرار مجلس إدارة الهيئة السعودية للملكية الفكرية رقم </w:t>
      </w:r>
      <w:r>
        <w:rPr>
          <w:rStyle w:val="None"/>
          <w:rFonts w:ascii="Times New Roman" w:hAnsi="Times New Roman"/>
          <w:rtl/>
          <w:lang w:val="ar-SA"/>
        </w:rPr>
        <w:t xml:space="preserve">(03/21/2022)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17/11/1443</w:t>
      </w:r>
      <w:r>
        <w:rPr>
          <w:rStyle w:val="None"/>
          <w:rFonts w:ascii="Arial Unicode MS" w:hAnsi="Arial Unicode MS" w:cs="Times New Roman" w:hint="cs"/>
          <w:rtl/>
          <w:lang w:val="ar-SA"/>
        </w:rPr>
        <w:t xml:space="preserve">هـ، الموافق </w:t>
      </w:r>
      <w:r>
        <w:rPr>
          <w:rStyle w:val="None"/>
          <w:rFonts w:ascii="Times New Roman" w:hAnsi="Times New Roman"/>
          <w:rtl/>
          <w:lang w:val="ar-SA"/>
        </w:rPr>
        <w:t>16/6/2022</w:t>
      </w:r>
      <w:r>
        <w:rPr>
          <w:rStyle w:val="None"/>
          <w:rFonts w:ascii="Arial Unicode MS" w:hAnsi="Arial Unicode MS" w:cs="Times New Roman" w:hint="cs"/>
          <w:rtl/>
          <w:lang w:val="ar-SA"/>
        </w:rPr>
        <w:t>م</w:t>
      </w:r>
      <w:r>
        <w:rPr>
          <w:rStyle w:val="None"/>
          <w:rFonts w:ascii="Times New Roman" w:hAnsi="Times New Roman"/>
          <w:rtl/>
          <w:lang w:val="ar-SA"/>
        </w:rPr>
        <w:t>.</w:t>
      </w:r>
    </w:p>
  </w:footnote>
  <w:footnote w:id="552">
    <w:p w14:paraId="55577896"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rtl/>
          <w:lang w:val="ar-SA"/>
        </w:rPr>
        <w:t>61</w:t>
      </w:r>
      <w:r>
        <w:rPr>
          <w:rStyle w:val="None"/>
          <w:rFonts w:ascii="Arial Unicode MS" w:hAnsi="Arial Unicode MS" w:cs="Times New Roman" w:hint="cs"/>
          <w:rtl/>
          <w:lang w:val="ar-SA"/>
        </w:rPr>
        <w:t>، ع</w:t>
      </w:r>
      <w:r>
        <w:rPr>
          <w:rStyle w:val="None"/>
          <w:rFonts w:ascii="Times New Roman" w:hAnsi="Times New Roman"/>
          <w:rtl/>
          <w:lang w:val="ar-SA"/>
        </w:rPr>
        <w:t>3</w:t>
      </w:r>
      <w:r>
        <w:rPr>
          <w:rStyle w:val="None"/>
          <w:rFonts w:ascii="Arial Unicode MS" w:hAnsi="Arial Unicode MS" w:cs="Times New Roman" w:hint="cs"/>
          <w:rtl/>
          <w:lang w:val="ar-SA"/>
        </w:rPr>
        <w:t xml:space="preserve">، </w:t>
      </w:r>
      <w:r>
        <w:rPr>
          <w:rStyle w:val="None"/>
          <w:rFonts w:ascii="Times New Roman" w:hAnsi="Times New Roman"/>
          <w:rtl/>
          <w:lang w:val="ar-SA"/>
        </w:rPr>
        <w:t>87-127</w:t>
      </w:r>
      <w:r>
        <w:rPr>
          <w:rStyle w:val="None"/>
          <w:rFonts w:ascii="Arial Unicode MS" w:hAnsi="Arial Unicode MS" w:cs="Times New Roman" w:hint="cs"/>
          <w:rtl/>
          <w:lang w:val="ar-SA"/>
        </w:rPr>
        <w:t xml:space="preserve">، </w:t>
      </w:r>
      <w:r>
        <w:rPr>
          <w:rStyle w:val="None"/>
          <w:rFonts w:ascii="Times New Roman" w:hAnsi="Times New Roman"/>
          <w:rtl/>
          <w:lang w:val="ar-SA"/>
        </w:rPr>
        <w:t>(2018)</w:t>
      </w:r>
      <w:r>
        <w:rPr>
          <w:rStyle w:val="None"/>
          <w:rFonts w:ascii="Arial Unicode MS" w:hAnsi="Arial Unicode MS" w:cs="Times New Roman" w:hint="cs"/>
          <w:rtl/>
          <w:lang w:val="ar-SA"/>
        </w:rPr>
        <w:t>، ص</w:t>
      </w:r>
      <w:r>
        <w:rPr>
          <w:rStyle w:val="None"/>
          <w:rFonts w:ascii="Times New Roman" w:hAnsi="Times New Roman"/>
          <w:rtl/>
          <w:lang w:val="ar-SA"/>
        </w:rPr>
        <w:t>97.</w:t>
      </w:r>
    </w:p>
  </w:footnote>
  <w:footnote w:id="553">
    <w:p w14:paraId="17B9FADF"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(19) </w:t>
      </w:r>
      <w:r>
        <w:rPr>
          <w:rStyle w:val="None"/>
          <w:rFonts w:ascii="Arial Unicode MS" w:hAnsi="Arial Unicode MS" w:cs="Times New Roman" w:hint="cs"/>
          <w:rtl/>
          <w:lang w:val="ar-SA"/>
        </w:rPr>
        <w:t xml:space="preserve">من اللائحة التنفيذية لنظام حماية حقوق المؤلف المعدلة بقرار مجلس إدارة الهيئة السعودية للملكية الفكرية رقم </w:t>
      </w:r>
      <w:r>
        <w:rPr>
          <w:rStyle w:val="None"/>
          <w:rFonts w:ascii="Times New Roman" w:hAnsi="Times New Roman"/>
          <w:rtl/>
          <w:lang w:val="ar-SA"/>
        </w:rPr>
        <w:t xml:space="preserve">(03/21/2022)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17/11/1443</w:t>
      </w:r>
      <w:r>
        <w:rPr>
          <w:rStyle w:val="None"/>
          <w:rFonts w:ascii="Arial Unicode MS" w:hAnsi="Arial Unicode MS" w:cs="Times New Roman" w:hint="cs"/>
          <w:rtl/>
          <w:lang w:val="ar-SA"/>
        </w:rPr>
        <w:t xml:space="preserve">هـ، الموافق </w:t>
      </w:r>
      <w:r>
        <w:rPr>
          <w:rStyle w:val="None"/>
          <w:rFonts w:ascii="Times New Roman" w:hAnsi="Times New Roman"/>
          <w:rtl/>
          <w:lang w:val="ar-SA"/>
        </w:rPr>
        <w:t>16/6/2022</w:t>
      </w:r>
      <w:r>
        <w:rPr>
          <w:rStyle w:val="None"/>
          <w:rFonts w:ascii="Arial Unicode MS" w:hAnsi="Arial Unicode MS" w:cs="Times New Roman" w:hint="cs"/>
          <w:rtl/>
          <w:lang w:val="ar-SA"/>
        </w:rPr>
        <w:t>م</w:t>
      </w:r>
      <w:r>
        <w:rPr>
          <w:rStyle w:val="None"/>
          <w:rFonts w:ascii="Times New Roman" w:hAnsi="Times New Roman"/>
          <w:rtl/>
          <w:lang w:val="ar-SA"/>
        </w:rPr>
        <w:t>.</w:t>
      </w:r>
    </w:p>
  </w:footnote>
  <w:footnote w:id="554">
    <w:p w14:paraId="54D9F176"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rtl/>
          <w:lang w:val="ar-SA"/>
        </w:rPr>
        <w:t>4</w:t>
      </w:r>
      <w:r>
        <w:rPr>
          <w:rStyle w:val="None"/>
          <w:rFonts w:ascii="Arial Unicode MS" w:hAnsi="Arial Unicode MS" w:cs="Times New Roman" w:hint="cs"/>
          <w:rtl/>
          <w:lang w:val="ar-SA"/>
        </w:rPr>
        <w:t xml:space="preserve">، </w:t>
      </w:r>
      <w:r>
        <w:rPr>
          <w:rStyle w:val="None"/>
          <w:rFonts w:ascii="Times New Roman" w:hAnsi="Times New Roman"/>
          <w:rtl/>
          <w:lang w:val="ar-SA"/>
        </w:rPr>
        <w:t>5-85</w:t>
      </w:r>
      <w:r>
        <w:rPr>
          <w:rStyle w:val="None"/>
          <w:rFonts w:ascii="Arial Unicode MS" w:hAnsi="Arial Unicode MS" w:cs="Times New Roman" w:hint="cs"/>
          <w:rtl/>
          <w:lang w:val="ar-SA"/>
        </w:rPr>
        <w:t xml:space="preserve">، </w:t>
      </w:r>
      <w:r>
        <w:rPr>
          <w:rStyle w:val="None"/>
          <w:rFonts w:ascii="Times New Roman" w:hAnsi="Times New Roman"/>
          <w:rtl/>
          <w:lang w:val="ar-SA"/>
        </w:rPr>
        <w:t>(2021)</w:t>
      </w:r>
      <w:r>
        <w:rPr>
          <w:rStyle w:val="None"/>
          <w:rFonts w:ascii="Arial Unicode MS" w:hAnsi="Arial Unicode MS" w:cs="Times New Roman" w:hint="cs"/>
          <w:rtl/>
          <w:lang w:val="ar-SA"/>
        </w:rPr>
        <w:t>، ص</w:t>
      </w:r>
      <w:r>
        <w:rPr>
          <w:rStyle w:val="None"/>
          <w:rFonts w:ascii="Times New Roman" w:hAnsi="Times New Roman"/>
          <w:rtl/>
          <w:lang w:val="ar-SA"/>
        </w:rPr>
        <w:t>33.</w:t>
      </w:r>
    </w:p>
  </w:footnote>
  <w:footnote w:id="555">
    <w:p w14:paraId="48111B67"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(20) </w:t>
      </w:r>
      <w:r>
        <w:rPr>
          <w:rStyle w:val="None"/>
          <w:rFonts w:ascii="Arial Unicode MS" w:hAnsi="Arial Unicode MS" w:cs="Times New Roman" w:hint="cs"/>
          <w:rtl/>
          <w:lang w:val="ar-SA"/>
        </w:rPr>
        <w:t xml:space="preserve">من اللائحة التنفيذية لنظام حماية حقوق المؤلف المعدلة بقرار مجلس إدارة الهيئة السعودية للملكية الفكرية رقم </w:t>
      </w:r>
      <w:r>
        <w:rPr>
          <w:rStyle w:val="None"/>
          <w:rFonts w:ascii="Times New Roman" w:hAnsi="Times New Roman"/>
          <w:rtl/>
          <w:lang w:val="ar-SA"/>
        </w:rPr>
        <w:t xml:space="preserve">(03/21/2022)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17/11/1443</w:t>
      </w:r>
      <w:r>
        <w:rPr>
          <w:rStyle w:val="None"/>
          <w:rFonts w:ascii="Arial Unicode MS" w:hAnsi="Arial Unicode MS" w:cs="Times New Roman" w:hint="cs"/>
          <w:rtl/>
          <w:lang w:val="ar-SA"/>
        </w:rPr>
        <w:t xml:space="preserve">هـ، الموافق </w:t>
      </w:r>
      <w:r>
        <w:rPr>
          <w:rStyle w:val="None"/>
          <w:rFonts w:ascii="Times New Roman" w:hAnsi="Times New Roman"/>
          <w:rtl/>
          <w:lang w:val="ar-SA"/>
        </w:rPr>
        <w:t>16/6/2022</w:t>
      </w:r>
      <w:r>
        <w:rPr>
          <w:rStyle w:val="None"/>
          <w:rFonts w:ascii="Arial Unicode MS" w:hAnsi="Arial Unicode MS" w:cs="Times New Roman" w:hint="cs"/>
          <w:rtl/>
          <w:lang w:val="ar-SA"/>
        </w:rPr>
        <w:t>م</w:t>
      </w:r>
      <w:r>
        <w:rPr>
          <w:rStyle w:val="None"/>
          <w:rFonts w:ascii="Times New Roman" w:hAnsi="Times New Roman"/>
          <w:rtl/>
          <w:lang w:val="ar-SA"/>
        </w:rPr>
        <w:t>.</w:t>
      </w:r>
    </w:p>
  </w:footnote>
  <w:footnote w:id="556">
    <w:p w14:paraId="53550899"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rtl/>
          <w:lang w:val="ar-SA"/>
        </w:rPr>
        <w:t>4</w:t>
      </w:r>
      <w:r>
        <w:rPr>
          <w:rStyle w:val="None"/>
          <w:rFonts w:ascii="Arial Unicode MS" w:hAnsi="Arial Unicode MS" w:cs="Times New Roman" w:hint="cs"/>
          <w:rtl/>
          <w:lang w:val="ar-SA"/>
        </w:rPr>
        <w:t xml:space="preserve">، </w:t>
      </w:r>
      <w:r>
        <w:rPr>
          <w:rStyle w:val="None"/>
          <w:rFonts w:ascii="Times New Roman" w:hAnsi="Times New Roman"/>
          <w:rtl/>
          <w:lang w:val="ar-SA"/>
        </w:rPr>
        <w:t>5-85</w:t>
      </w:r>
      <w:r>
        <w:rPr>
          <w:rStyle w:val="None"/>
          <w:rFonts w:ascii="Arial Unicode MS" w:hAnsi="Arial Unicode MS" w:cs="Times New Roman" w:hint="cs"/>
          <w:rtl/>
          <w:lang w:val="ar-SA"/>
        </w:rPr>
        <w:t xml:space="preserve">، </w:t>
      </w:r>
      <w:r>
        <w:rPr>
          <w:rStyle w:val="None"/>
          <w:rFonts w:ascii="Times New Roman" w:hAnsi="Times New Roman"/>
          <w:rtl/>
          <w:lang w:val="ar-SA"/>
        </w:rPr>
        <w:t>(2021)</w:t>
      </w:r>
      <w:r>
        <w:rPr>
          <w:rStyle w:val="None"/>
          <w:rFonts w:ascii="Arial Unicode MS" w:hAnsi="Arial Unicode MS" w:cs="Times New Roman" w:hint="cs"/>
          <w:rtl/>
          <w:lang w:val="ar-SA"/>
        </w:rPr>
        <w:t>، ص</w:t>
      </w:r>
      <w:r>
        <w:rPr>
          <w:rStyle w:val="None"/>
          <w:rFonts w:ascii="Times New Roman" w:hAnsi="Times New Roman"/>
          <w:rtl/>
          <w:lang w:val="ar-SA"/>
        </w:rPr>
        <w:t>30.</w:t>
      </w:r>
    </w:p>
  </w:footnote>
  <w:footnote w:id="557">
    <w:p w14:paraId="0037A8AF" w14:textId="77777777" w:rsidR="00454428" w:rsidRDefault="00000000">
      <w:pPr>
        <w:pStyle w:val="FootnoteText"/>
        <w:jc w:val="both"/>
      </w:pPr>
      <w:r>
        <w:rPr>
          <w:rStyle w:val="None"/>
          <w:rFonts w:ascii="Times New Roman" w:hAnsi="Times New Roman"/>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vertAlign w:val="superscript"/>
          <w:rtl/>
          <w:lang w:val="ar-SA"/>
        </w:rPr>
        <w:t>)</w:t>
      </w:r>
      <w:r>
        <w:rPr>
          <w:rStyle w:val="None"/>
          <w:rFonts w:ascii="Arial Unicode MS" w:hAnsi="Arial Unicode MS" w:cs="Times New Roman" w:hint="cs"/>
          <w:rtl/>
          <w:lang w:val="ar-SA"/>
        </w:rPr>
        <w:t xml:space="preserve"> المادة </w:t>
      </w:r>
      <w:r>
        <w:rPr>
          <w:rStyle w:val="None"/>
          <w:rFonts w:ascii="Times New Roman" w:hAnsi="Times New Roman"/>
          <w:rtl/>
          <w:lang w:val="ar-SA"/>
        </w:rPr>
        <w:t xml:space="preserve">(27) </w:t>
      </w:r>
      <w:r>
        <w:rPr>
          <w:rStyle w:val="None"/>
          <w:rFonts w:ascii="Arial Unicode MS" w:hAnsi="Arial Unicode MS" w:cs="Times New Roman" w:hint="cs"/>
          <w:rtl/>
          <w:lang w:val="ar-SA"/>
        </w:rPr>
        <w:t xml:space="preserve">من اللائحة التنفيذية لنظام حماية حقوق المؤلف المعدلة بقرار مجلس إدارة الهيئة السعودية للملكية الفكرية رقم </w:t>
      </w:r>
      <w:r>
        <w:rPr>
          <w:rStyle w:val="None"/>
          <w:rFonts w:ascii="Times New Roman" w:hAnsi="Times New Roman"/>
          <w:rtl/>
          <w:lang w:val="ar-SA"/>
        </w:rPr>
        <w:t xml:space="preserve">(03/21/2022) </w:t>
      </w:r>
      <w:r>
        <w:rPr>
          <w:rStyle w:val="None"/>
          <w:rFonts w:ascii="Arial Unicode MS" w:hAnsi="Arial Unicode MS" w:cs="Times New Roman" w:hint="cs"/>
          <w:rtl/>
          <w:lang w:val="ar-SA"/>
        </w:rPr>
        <w:t xml:space="preserve">وتاريخ </w:t>
      </w:r>
      <w:r>
        <w:rPr>
          <w:rStyle w:val="None"/>
          <w:rFonts w:ascii="Times New Roman" w:hAnsi="Times New Roman"/>
          <w:rtl/>
          <w:lang w:val="ar-SA"/>
        </w:rPr>
        <w:t>17/11/1443</w:t>
      </w:r>
      <w:r>
        <w:rPr>
          <w:rStyle w:val="None"/>
          <w:rFonts w:ascii="Arial Unicode MS" w:hAnsi="Arial Unicode MS" w:cs="Times New Roman" w:hint="cs"/>
          <w:rtl/>
          <w:lang w:val="ar-SA"/>
        </w:rPr>
        <w:t xml:space="preserve">هـ، الموافق </w:t>
      </w:r>
      <w:r>
        <w:rPr>
          <w:rStyle w:val="None"/>
          <w:rFonts w:ascii="Times New Roman" w:hAnsi="Times New Roman"/>
          <w:rtl/>
          <w:lang w:val="ar-SA"/>
        </w:rPr>
        <w:t>16/6/2022</w:t>
      </w:r>
      <w:r>
        <w:rPr>
          <w:rStyle w:val="None"/>
          <w:rFonts w:ascii="Arial Unicode MS" w:hAnsi="Arial Unicode MS" w:cs="Times New Roman" w:hint="cs"/>
          <w:rtl/>
          <w:lang w:val="ar-SA"/>
        </w:rPr>
        <w:t>م</w:t>
      </w:r>
      <w:r>
        <w:rPr>
          <w:rStyle w:val="None"/>
          <w:rFonts w:ascii="Times New Roman" w:hAnsi="Times New Roman"/>
          <w:rtl/>
          <w:lang w:val="ar-SA"/>
        </w:rPr>
        <w:t>.</w:t>
      </w:r>
    </w:p>
  </w:footnote>
  <w:footnote w:id="558">
    <w:p w14:paraId="724EDF8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كوثر مازوني؛ ومبروك لمشونشي، نطاق الملكية الفكرية في البيئة الرقمية، مجلة العلوم الإنسانية،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1283.</w:t>
      </w:r>
    </w:p>
  </w:footnote>
  <w:footnote w:id="559">
    <w:p w14:paraId="56E2CA8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علي علي 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668.</w:t>
      </w:r>
    </w:p>
  </w:footnote>
  <w:footnote w:id="560">
    <w:p w14:paraId="557FE4C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 xml:space="preserve">ابن فارس، </w:t>
      </w:r>
      <w:r>
        <w:rPr>
          <w:rStyle w:val="None"/>
          <w:rFonts w:ascii="Arial Unicode MS" w:hAnsi="Arial Unicode MS" w:cs="Times New Roman" w:hint="cs"/>
          <w:sz w:val="24"/>
          <w:szCs w:val="24"/>
          <w:shd w:val="clear" w:color="auto" w:fill="FFFFFF"/>
          <w:rtl/>
          <w:lang w:val="ar-SA"/>
        </w:rPr>
        <w:t>معجم مقاييس اللغة، تحقيق وضبط</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عبد السلام محمد هارون، مصر</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Pr>
          <w:rStyle w:val="None"/>
          <w:rFonts w:ascii="Times New Roman" w:hAnsi="Times New Roman"/>
          <w:sz w:val="24"/>
          <w:szCs w:val="24"/>
          <w:shd w:val="clear" w:color="auto" w:fill="FFFFFF"/>
          <w:rtl/>
          <w:lang w:val="ar-SA"/>
        </w:rPr>
        <w:t>2</w:t>
      </w:r>
      <w:r>
        <w:rPr>
          <w:rStyle w:val="None"/>
          <w:rFonts w:ascii="Arial Unicode MS" w:hAnsi="Arial Unicode MS" w:cs="Times New Roman" w:hint="cs"/>
          <w:sz w:val="24"/>
          <w:szCs w:val="24"/>
          <w:shd w:val="clear" w:color="auto" w:fill="FFFFFF"/>
          <w:rtl/>
          <w:lang w:val="ar-SA"/>
        </w:rPr>
        <w:t xml:space="preserve">، </w:t>
      </w:r>
      <w:r>
        <w:rPr>
          <w:rStyle w:val="None"/>
          <w:rFonts w:ascii="Times New Roman" w:hAnsi="Times New Roman"/>
          <w:sz w:val="24"/>
          <w:szCs w:val="24"/>
          <w:shd w:val="clear" w:color="auto" w:fill="FFFFFF"/>
          <w:rtl/>
          <w:lang w:val="ar-SA"/>
        </w:rPr>
        <w:t>1972</w:t>
      </w:r>
      <w:r>
        <w:rPr>
          <w:rStyle w:val="None"/>
          <w:rFonts w:ascii="Arial Unicode MS" w:hAnsi="Arial Unicode MS" w:cs="Times New Roman" w:hint="cs"/>
          <w:sz w:val="24"/>
          <w:szCs w:val="24"/>
          <w:shd w:val="clear" w:color="auto" w:fill="FFFFFF"/>
          <w:rtl/>
          <w:lang w:val="ar-SA"/>
        </w:rPr>
        <w:t xml:space="preserve">م، </w:t>
      </w:r>
      <w:r>
        <w:rPr>
          <w:rStyle w:val="None"/>
          <w:rFonts w:ascii="Times New Roman" w:hAnsi="Times New Roman"/>
          <w:sz w:val="24"/>
          <w:szCs w:val="24"/>
          <w:shd w:val="clear" w:color="auto" w:fill="FFFFFF"/>
          <w:rtl/>
          <w:lang w:val="ar-SA"/>
        </w:rPr>
        <w:t>2/ 427.</w:t>
      </w:r>
    </w:p>
  </w:footnote>
  <w:footnote w:id="561">
    <w:p w14:paraId="267849F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ابن منظور، لسان العرب، بيروت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صادر،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1414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1/ 425.</w:t>
      </w:r>
    </w:p>
  </w:footnote>
  <w:footnote w:id="562">
    <w:p w14:paraId="6FBA278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Times New Roman" w:hAnsi="Times New Roman"/>
        </w:rPr>
        <w:t xml:space="preserve"> </w:t>
      </w:r>
      <w:r>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الآداب،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2/ 838.</w:t>
      </w:r>
    </w:p>
  </w:footnote>
  <w:footnote w:id="563">
    <w:p w14:paraId="538B329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60.</w:t>
      </w:r>
    </w:p>
  </w:footnote>
  <w:footnote w:id="564">
    <w:p w14:paraId="1E21C9A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17.</w:t>
      </w:r>
    </w:p>
  </w:footnote>
  <w:footnote w:id="565">
    <w:p w14:paraId="114258A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علي علي 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637.</w:t>
      </w:r>
    </w:p>
  </w:footnote>
  <w:footnote w:id="566">
    <w:p w14:paraId="3950972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323.</w:t>
      </w:r>
    </w:p>
  </w:footnote>
  <w:footnote w:id="567">
    <w:p w14:paraId="63C27BE4"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w:t>
      </w:r>
    </w:p>
  </w:footnote>
  <w:footnote w:id="568">
    <w:p w14:paraId="3717CEC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18.</w:t>
      </w:r>
    </w:p>
  </w:footnote>
  <w:footnote w:id="569">
    <w:p w14:paraId="276509F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عماد علي سلامه الكساسبه، أثر الرقابة الإلكترونية في جودة الخدمات الداخلية في المصارف الإسلامية العاملة في الأردن، مرجع سابق، ص</w:t>
      </w:r>
      <w:r>
        <w:rPr>
          <w:rStyle w:val="None"/>
          <w:rFonts w:ascii="Times New Roman" w:hAnsi="Times New Roman"/>
          <w:sz w:val="24"/>
          <w:szCs w:val="24"/>
          <w:rtl/>
          <w:lang w:val="ar-SA"/>
        </w:rPr>
        <w:t>22.</w:t>
      </w:r>
    </w:p>
  </w:footnote>
  <w:footnote w:id="570">
    <w:p w14:paraId="6A3C998E"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علي علي 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664.</w:t>
      </w:r>
    </w:p>
  </w:footnote>
  <w:footnote w:id="571">
    <w:p w14:paraId="31DBBF5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اثير ذياب عباس الزهيري، دور الوسائل الرقمية في الكشف والإثبات الجنائي، مجلة الفارابي للعلوم الإنسانية،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393.</w:t>
      </w:r>
    </w:p>
  </w:footnote>
  <w:footnote w:id="572">
    <w:p w14:paraId="564855E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63.</w:t>
      </w:r>
    </w:p>
  </w:footnote>
  <w:footnote w:id="573">
    <w:p w14:paraId="30137A7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معاهدة الويبو بشأن حق المؤلف لسنة </w:t>
      </w:r>
      <w:r>
        <w:rPr>
          <w:rStyle w:val="None"/>
          <w:rFonts w:ascii="Times New Roman" w:hAnsi="Times New Roman"/>
          <w:sz w:val="24"/>
          <w:szCs w:val="24"/>
          <w:rtl/>
          <w:lang w:val="ar-SA"/>
        </w:rPr>
        <w:t xml:space="preserve">(1996). </w:t>
      </w:r>
    </w:p>
  </w:footnote>
  <w:footnote w:id="574">
    <w:p w14:paraId="764D3BD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(25)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10/4/1425</w:t>
      </w:r>
      <w:r>
        <w:rPr>
          <w:rStyle w:val="None"/>
          <w:rFonts w:ascii="Arial Unicode MS" w:hAnsi="Arial Unicode MS" w:cs="Times New Roman" w:hint="cs"/>
          <w:sz w:val="24"/>
          <w:szCs w:val="24"/>
          <w:rtl/>
          <w:lang w:val="ar-SA"/>
        </w:rPr>
        <w:t xml:space="preserve">هـ، والمعدل بقرار معالي وزير الثقافة والأعلم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15/5/1426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(3/21/2022)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75">
    <w:p w14:paraId="0BFE359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علي علي الشريف،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662.</w:t>
      </w:r>
    </w:p>
  </w:footnote>
  <w:footnote w:id="576">
    <w:p w14:paraId="325AFDC8"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فاتن سعيد مبارك، حماية أمن المعلومات في شبكة المكتبات بجامعة أم القرى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المكتبات العربية في مطلع الألفية الثالثة، الشارقة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الاتحاد العربي للمكتبات والمعلومات وجامعة الشارقة،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560.</w:t>
      </w:r>
    </w:p>
  </w:footnote>
  <w:footnote w:id="577">
    <w:p w14:paraId="67C6BB4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وثيقة الضوابط الأساسية للأمن السيبراني، الهيئة الوطنية للأمن السيبراني،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22.</w:t>
      </w:r>
    </w:p>
  </w:footnote>
  <w:footnote w:id="578">
    <w:p w14:paraId="4E0B2932"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اتفاقية الجوانب المتصلة بالتجارة من حقوق الملكية الفكرية والمعروفة باسم تريبس</w:t>
      </w:r>
      <w:r>
        <w:rPr>
          <w:rStyle w:val="None"/>
          <w:rFonts w:ascii="Times New Roman" w:hAnsi="Times New Roman"/>
          <w:sz w:val="24"/>
          <w:szCs w:val="24"/>
          <w:rtl/>
          <w:lang w:val="ar-SA"/>
        </w:rPr>
        <w:t>.</w:t>
      </w:r>
    </w:p>
  </w:footnote>
  <w:footnote w:id="579">
    <w:p w14:paraId="1D3848E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وثيقة الاستراتيجية الوطنية للأمن السيبراني، الهيئة الوطنية للأمن السيبراني،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13.</w:t>
      </w:r>
    </w:p>
  </w:footnote>
  <w:footnote w:id="580">
    <w:p w14:paraId="13522C7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من تنظيم الهيئة الوطنية للأمن السيبراني، الصادر بالأمر الملكي رقم </w:t>
      </w:r>
      <w:r>
        <w:rPr>
          <w:rStyle w:val="None"/>
          <w:rFonts w:ascii="Times New Roman" w:hAnsi="Times New Roman"/>
          <w:sz w:val="24"/>
          <w:szCs w:val="24"/>
          <w:rtl/>
          <w:lang w:val="ar-SA"/>
        </w:rPr>
        <w:t xml:space="preserve">6801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11/2/1439</w:t>
      </w:r>
      <w:r>
        <w:rPr>
          <w:rStyle w:val="None"/>
          <w:rFonts w:ascii="Arial Unicode MS" w:hAnsi="Arial Unicode MS" w:cs="Times New Roman" w:hint="cs"/>
          <w:sz w:val="24"/>
          <w:szCs w:val="24"/>
          <w:rtl/>
          <w:lang w:val="ar-SA"/>
        </w:rPr>
        <w:t xml:space="preserve">هـ المعدل بالأمر الملكي رقم </w:t>
      </w:r>
      <w:r>
        <w:rPr>
          <w:rStyle w:val="None"/>
          <w:rFonts w:ascii="Times New Roman" w:hAnsi="Times New Roman"/>
          <w:sz w:val="24"/>
          <w:szCs w:val="24"/>
          <w:rtl/>
          <w:lang w:val="ar-SA"/>
        </w:rPr>
        <w:t xml:space="preserve">7053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2/2/1443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81">
    <w:p w14:paraId="5280F446"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تنظيم الهيئة الوطنية للأمن السيبراني، الصادر بالأمر الملكي رقم </w:t>
      </w:r>
      <w:r>
        <w:rPr>
          <w:rStyle w:val="None"/>
          <w:rFonts w:ascii="Times New Roman" w:hAnsi="Times New Roman"/>
          <w:sz w:val="24"/>
          <w:szCs w:val="24"/>
          <w:rtl/>
          <w:lang w:val="ar-SA"/>
        </w:rPr>
        <w:t xml:space="preserve">6801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11/2/1439</w:t>
      </w:r>
      <w:r>
        <w:rPr>
          <w:rStyle w:val="None"/>
          <w:rFonts w:ascii="Arial Unicode MS" w:hAnsi="Arial Unicode MS" w:cs="Times New Roman" w:hint="cs"/>
          <w:sz w:val="24"/>
          <w:szCs w:val="24"/>
          <w:rtl/>
          <w:lang w:val="ar-SA"/>
        </w:rPr>
        <w:t xml:space="preserve">هـ المعدل بالأمر الملكي رقم </w:t>
      </w:r>
      <w:r>
        <w:rPr>
          <w:rStyle w:val="None"/>
          <w:rFonts w:ascii="Times New Roman" w:hAnsi="Times New Roman"/>
          <w:sz w:val="24"/>
          <w:szCs w:val="24"/>
          <w:rtl/>
          <w:lang w:val="ar-SA"/>
        </w:rPr>
        <w:t xml:space="preserve">7053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2/2/1443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82">
    <w:p w14:paraId="382804DC"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29.</w:t>
      </w:r>
    </w:p>
  </w:footnote>
  <w:footnote w:id="583">
    <w:p w14:paraId="724F472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أحمد محمد علي علي 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687.</w:t>
      </w:r>
    </w:p>
  </w:footnote>
  <w:footnote w:id="584">
    <w:p w14:paraId="666AB90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30.</w:t>
      </w:r>
    </w:p>
  </w:footnote>
  <w:footnote w:id="585">
    <w:p w14:paraId="274A25F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8.</w:t>
      </w:r>
    </w:p>
  </w:footnote>
  <w:footnote w:id="586">
    <w:p w14:paraId="629FC421"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من نظام التعاملات الإلكترونية، مرسوم ملكي رقم م</w:t>
      </w:r>
      <w:r>
        <w:rPr>
          <w:rStyle w:val="None"/>
          <w:rFonts w:ascii="Times New Roman" w:hAnsi="Times New Roman"/>
          <w:sz w:val="24"/>
          <w:szCs w:val="24"/>
          <w:rtl/>
          <w:lang w:val="ar-SA"/>
        </w:rPr>
        <w:t xml:space="preserve">/18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8/3/1428</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87">
    <w:p w14:paraId="26341DCD"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252.</w:t>
      </w:r>
    </w:p>
  </w:footnote>
  <w:footnote w:id="588">
    <w:p w14:paraId="386805F5"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29.</w:t>
      </w:r>
    </w:p>
  </w:footnote>
  <w:footnote w:id="589">
    <w:p w14:paraId="09B9629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251.</w:t>
      </w:r>
    </w:p>
  </w:footnote>
  <w:footnote w:id="590">
    <w:p w14:paraId="28082BD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252.</w:t>
      </w:r>
    </w:p>
  </w:footnote>
  <w:footnote w:id="591">
    <w:p w14:paraId="5C86FA5F"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(15)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10/4/1425</w:t>
      </w:r>
      <w:r>
        <w:rPr>
          <w:rStyle w:val="None"/>
          <w:rFonts w:ascii="Arial Unicode MS" w:hAnsi="Arial Unicode MS" w:cs="Times New Roman" w:hint="cs"/>
          <w:sz w:val="24"/>
          <w:szCs w:val="24"/>
          <w:rtl/>
          <w:lang w:val="ar-SA"/>
        </w:rPr>
        <w:t xml:space="preserve">هـ، والمعدل بقرار معالي وزير الثقافة والأعلم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15/5/1426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(3/21/2022)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92">
    <w:p w14:paraId="414006D9"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(16)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10/4/1425</w:t>
      </w:r>
      <w:r>
        <w:rPr>
          <w:rStyle w:val="None"/>
          <w:rFonts w:ascii="Arial Unicode MS" w:hAnsi="Arial Unicode MS" w:cs="Times New Roman" w:hint="cs"/>
          <w:sz w:val="24"/>
          <w:szCs w:val="24"/>
          <w:rtl/>
          <w:lang w:val="ar-SA"/>
        </w:rPr>
        <w:t xml:space="preserve">هـ، والمعدل بقرار معالي وزير الثقافة والأعلم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15/5/1426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(3/21/2022)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93">
    <w:p w14:paraId="505381B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31.</w:t>
      </w:r>
    </w:p>
  </w:footnote>
  <w:footnote w:id="594">
    <w:p w14:paraId="2EA4C70A"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من 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10/4/1425</w:t>
      </w:r>
      <w:r>
        <w:rPr>
          <w:rStyle w:val="None"/>
          <w:rFonts w:ascii="Arial Unicode MS" w:hAnsi="Arial Unicode MS" w:cs="Times New Roman" w:hint="cs"/>
          <w:sz w:val="24"/>
          <w:szCs w:val="24"/>
          <w:rtl/>
          <w:lang w:val="ar-SA"/>
        </w:rPr>
        <w:t xml:space="preserve">هـ، والمعدل بقرار معالي وزير الثقافة والأعلم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15/5/1426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(3/21/2022)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footnote>
  <w:footnote w:id="595">
    <w:p w14:paraId="027497E3"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 xml:space="preserve">من 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footnote>
  <w:footnote w:id="596">
    <w:p w14:paraId="4DF39D5B"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من اتفاقية معاهدة الويبو بشأن حق المؤلف لسنة </w:t>
      </w:r>
      <w:r>
        <w:rPr>
          <w:rStyle w:val="None"/>
          <w:rFonts w:ascii="Times New Roman" w:hAnsi="Times New Roman"/>
          <w:sz w:val="24"/>
          <w:szCs w:val="24"/>
          <w:rtl/>
          <w:lang w:val="ar-SA"/>
        </w:rPr>
        <w:t>(1996).</w:t>
      </w:r>
    </w:p>
  </w:footnote>
  <w:footnote w:id="597">
    <w:p w14:paraId="15E88740" w14:textId="77777777" w:rsidR="00454428" w:rsidRDefault="00000000">
      <w:pPr>
        <w:pStyle w:val="FootnoteText"/>
        <w:jc w:val="both"/>
      </w:pP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rtl/>
          <w:lang w:val="ar-SA"/>
        </w:rPr>
        <w:footnoteRef/>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من معاهدة الويبو بشأن الأداء والتسجيل الصوتي </w:t>
      </w:r>
      <w:r>
        <w:rPr>
          <w:rStyle w:val="None"/>
          <w:rFonts w:ascii="Times New Roman" w:hAnsi="Times New Roman"/>
          <w:sz w:val="24"/>
          <w:szCs w:val="24"/>
          <w:rtl/>
          <w:lang w:val="ar-SA"/>
        </w:rPr>
        <w:t>(1996).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1997A" w14:textId="77777777" w:rsidR="00454428" w:rsidRDefault="00454428">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6ABA4" w14:textId="77777777" w:rsidR="00454428" w:rsidRDefault="00454428">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AD3A" w14:textId="77777777" w:rsidR="00454428" w:rsidRDefault="00454428">
    <w:pPr>
      <w:pStyle w:val="HeaderFoo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C832" w14:textId="77777777" w:rsidR="00454428" w:rsidRDefault="0045442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CCE"/>
    <w:multiLevelType w:val="hybridMultilevel"/>
    <w:tmpl w:val="88E65394"/>
    <w:numStyleLink w:val="ImportedStyle48"/>
  </w:abstractNum>
  <w:abstractNum w:abstractNumId="1" w15:restartNumberingAfterBreak="0">
    <w:nsid w:val="01361177"/>
    <w:multiLevelType w:val="hybridMultilevel"/>
    <w:tmpl w:val="6E0AE508"/>
    <w:styleLink w:val="ImportedStyle71"/>
    <w:lvl w:ilvl="0" w:tplc="19680F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0B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ACF90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D46BC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32E7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8A4A7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5861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CBB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A7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60680F"/>
    <w:multiLevelType w:val="hybridMultilevel"/>
    <w:tmpl w:val="25DCBB5C"/>
    <w:numStyleLink w:val="ImportedStyle11"/>
  </w:abstractNum>
  <w:abstractNum w:abstractNumId="3" w15:restartNumberingAfterBreak="0">
    <w:nsid w:val="016D6E2E"/>
    <w:multiLevelType w:val="hybridMultilevel"/>
    <w:tmpl w:val="416E95DC"/>
    <w:numStyleLink w:val="ImportedStyle58"/>
  </w:abstractNum>
  <w:abstractNum w:abstractNumId="4" w15:restartNumberingAfterBreak="0">
    <w:nsid w:val="01E9081B"/>
    <w:multiLevelType w:val="hybridMultilevel"/>
    <w:tmpl w:val="ABF2E404"/>
    <w:numStyleLink w:val="ImportedStyle108"/>
  </w:abstractNum>
  <w:abstractNum w:abstractNumId="5" w15:restartNumberingAfterBreak="0">
    <w:nsid w:val="02D311BB"/>
    <w:multiLevelType w:val="hybridMultilevel"/>
    <w:tmpl w:val="B568D658"/>
    <w:numStyleLink w:val="ImportedStyle9"/>
  </w:abstractNum>
  <w:abstractNum w:abstractNumId="6" w15:restartNumberingAfterBreak="0">
    <w:nsid w:val="03557991"/>
    <w:multiLevelType w:val="hybridMultilevel"/>
    <w:tmpl w:val="18306F10"/>
    <w:styleLink w:val="ImportedStyle107"/>
    <w:lvl w:ilvl="0" w:tplc="3A507F7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DE590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28AD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920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306CD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1BCCC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F8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044E0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3BC4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965360"/>
    <w:multiLevelType w:val="hybridMultilevel"/>
    <w:tmpl w:val="24C864AA"/>
    <w:numStyleLink w:val="ImportedStyle84"/>
  </w:abstractNum>
  <w:abstractNum w:abstractNumId="8" w15:restartNumberingAfterBreak="0">
    <w:nsid w:val="048B7629"/>
    <w:multiLevelType w:val="hybridMultilevel"/>
    <w:tmpl w:val="B40E1A96"/>
    <w:numStyleLink w:val="ImportedStyle110"/>
  </w:abstractNum>
  <w:abstractNum w:abstractNumId="9" w15:restartNumberingAfterBreak="0">
    <w:nsid w:val="05135570"/>
    <w:multiLevelType w:val="hybridMultilevel"/>
    <w:tmpl w:val="D01AEABE"/>
    <w:styleLink w:val="ImportedStyle66"/>
    <w:lvl w:ilvl="0" w:tplc="1646FF1C">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D90C4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76294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05C7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245FE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A360AD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C90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7E029A">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05CDA2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5850232"/>
    <w:multiLevelType w:val="hybridMultilevel"/>
    <w:tmpl w:val="EAE63B9C"/>
    <w:styleLink w:val="ImportedStyle113"/>
    <w:lvl w:ilvl="0" w:tplc="299208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4C2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6CA5F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7C6E0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ABD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E6145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F6846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B46B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F6BC70">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8D1653"/>
    <w:multiLevelType w:val="hybridMultilevel"/>
    <w:tmpl w:val="99861332"/>
    <w:numStyleLink w:val="ImportedStyle88"/>
  </w:abstractNum>
  <w:abstractNum w:abstractNumId="12" w15:restartNumberingAfterBreak="0">
    <w:nsid w:val="05AE1EF5"/>
    <w:multiLevelType w:val="hybridMultilevel"/>
    <w:tmpl w:val="57EA2914"/>
    <w:numStyleLink w:val="ImportedStyle81"/>
  </w:abstractNum>
  <w:abstractNum w:abstractNumId="13" w15:restartNumberingAfterBreak="0">
    <w:nsid w:val="05BE734B"/>
    <w:multiLevelType w:val="hybridMultilevel"/>
    <w:tmpl w:val="913C413C"/>
    <w:styleLink w:val="ImportedStyle126"/>
    <w:lvl w:ilvl="0" w:tplc="26A2593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D0A5E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52E5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25C417B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854E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FA69C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5832F4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DE292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09610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5D32DCF"/>
    <w:multiLevelType w:val="hybridMultilevel"/>
    <w:tmpl w:val="23247C82"/>
    <w:numStyleLink w:val="ImportedStyle92"/>
  </w:abstractNum>
  <w:abstractNum w:abstractNumId="15" w15:restartNumberingAfterBreak="0">
    <w:nsid w:val="05F10C29"/>
    <w:multiLevelType w:val="hybridMultilevel"/>
    <w:tmpl w:val="24A06B02"/>
    <w:numStyleLink w:val="ImportedStyle13"/>
  </w:abstractNum>
  <w:abstractNum w:abstractNumId="16" w15:restartNumberingAfterBreak="0">
    <w:nsid w:val="06051F9F"/>
    <w:multiLevelType w:val="hybridMultilevel"/>
    <w:tmpl w:val="E93EA242"/>
    <w:numStyleLink w:val="ImportedStyle112"/>
  </w:abstractNum>
  <w:abstractNum w:abstractNumId="17" w15:restartNumberingAfterBreak="0">
    <w:nsid w:val="063C64FC"/>
    <w:multiLevelType w:val="hybridMultilevel"/>
    <w:tmpl w:val="BE74EEDE"/>
    <w:styleLink w:val="ImportedStyle99"/>
    <w:lvl w:ilvl="0" w:tplc="5E44E3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D4193E">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B82C1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546D6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2A2EF6">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7C58D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EE5CE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65A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AC80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665111C"/>
    <w:multiLevelType w:val="hybridMultilevel"/>
    <w:tmpl w:val="0096CAF2"/>
    <w:styleLink w:val="ImportedStyle76"/>
    <w:lvl w:ilvl="0" w:tplc="1B2CEC78">
      <w:start w:val="1"/>
      <w:numFmt w:val="bullet"/>
      <w:lvlText w:val="-"/>
      <w:lvlJc w:val="left"/>
      <w:pPr>
        <w:ind w:left="70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F1E66F8">
      <w:start w:val="1"/>
      <w:numFmt w:val="bullet"/>
      <w:lvlText w:val="o"/>
      <w:lvlJc w:val="left"/>
      <w:pPr>
        <w:ind w:left="14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584FE3E">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AD35E">
      <w:start w:val="1"/>
      <w:numFmt w:val="bullet"/>
      <w:lvlText w:val="•"/>
      <w:lvlJc w:val="left"/>
      <w:pPr>
        <w:ind w:left="286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C025C2">
      <w:start w:val="1"/>
      <w:numFmt w:val="bullet"/>
      <w:lvlText w:val="o"/>
      <w:lvlJc w:val="left"/>
      <w:pPr>
        <w:ind w:left="358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756E156">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E049BC">
      <w:start w:val="1"/>
      <w:numFmt w:val="bullet"/>
      <w:lvlText w:val="•"/>
      <w:lvlJc w:val="left"/>
      <w:pPr>
        <w:ind w:left="50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BE8078">
      <w:start w:val="1"/>
      <w:numFmt w:val="bullet"/>
      <w:lvlText w:val="o"/>
      <w:lvlJc w:val="left"/>
      <w:pPr>
        <w:ind w:left="574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196F73C">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7643B12"/>
    <w:multiLevelType w:val="hybridMultilevel"/>
    <w:tmpl w:val="1AC8F37A"/>
    <w:numStyleLink w:val="ImportedStyle4"/>
  </w:abstractNum>
  <w:abstractNum w:abstractNumId="20" w15:restartNumberingAfterBreak="0">
    <w:nsid w:val="081303FD"/>
    <w:multiLevelType w:val="hybridMultilevel"/>
    <w:tmpl w:val="416E95DC"/>
    <w:styleLink w:val="ImportedStyle58"/>
    <w:lvl w:ilvl="0" w:tplc="B744456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140E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922AB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8707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9A598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6E9FC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7ACDD4">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C6727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F4073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8F60119"/>
    <w:multiLevelType w:val="hybridMultilevel"/>
    <w:tmpl w:val="3FB69FE2"/>
    <w:numStyleLink w:val="ImportedStyle25"/>
  </w:abstractNum>
  <w:abstractNum w:abstractNumId="22" w15:restartNumberingAfterBreak="0">
    <w:nsid w:val="0A6E414A"/>
    <w:multiLevelType w:val="hybridMultilevel"/>
    <w:tmpl w:val="091002DA"/>
    <w:styleLink w:val="ImportedStyle86"/>
    <w:lvl w:ilvl="0" w:tplc="ABFEA98A">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B8012A">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E23ED0">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EA7EB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E6770C">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6E6D24">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F8C482">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88C31A">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E2D4F8">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A854698"/>
    <w:multiLevelType w:val="hybridMultilevel"/>
    <w:tmpl w:val="DCFC2BA6"/>
    <w:numStyleLink w:val="ImportedStyle122"/>
  </w:abstractNum>
  <w:abstractNum w:abstractNumId="24" w15:restartNumberingAfterBreak="0">
    <w:nsid w:val="0B67146F"/>
    <w:multiLevelType w:val="hybridMultilevel"/>
    <w:tmpl w:val="1AC8F37A"/>
    <w:styleLink w:val="ImportedStyle4"/>
    <w:lvl w:ilvl="0" w:tplc="3F6EC74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0A8699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21CA7F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8A5C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3E88E2A">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5FC42D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A86B9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BAD8E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54EFCE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B671477"/>
    <w:multiLevelType w:val="hybridMultilevel"/>
    <w:tmpl w:val="9CF039C8"/>
    <w:styleLink w:val="ImportedStyle69"/>
    <w:lvl w:ilvl="0" w:tplc="09B48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A6AA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643B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2AA5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709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8AF0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DA56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902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809E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B724B86"/>
    <w:multiLevelType w:val="hybridMultilevel"/>
    <w:tmpl w:val="3D1CB888"/>
    <w:styleLink w:val="ImportedStyle31"/>
    <w:lvl w:ilvl="0" w:tplc="D88648F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64A8C8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CC9FD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147D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736DB0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D5CBB0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DDC01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CEE25D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2A05716">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B93485D"/>
    <w:multiLevelType w:val="hybridMultilevel"/>
    <w:tmpl w:val="B7FCADF0"/>
    <w:styleLink w:val="ImportedStyle123"/>
    <w:lvl w:ilvl="0" w:tplc="520AAAB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34AF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AE9DB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452AF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D81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E84D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0D4BC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5411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4ED9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C9137E7"/>
    <w:multiLevelType w:val="hybridMultilevel"/>
    <w:tmpl w:val="9D9634E6"/>
    <w:styleLink w:val="ImportedStyle87"/>
    <w:lvl w:ilvl="0" w:tplc="E286BD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2A8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308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82E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A0B4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E99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BCA4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044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FC70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E3D6BED"/>
    <w:multiLevelType w:val="hybridMultilevel"/>
    <w:tmpl w:val="B8BA2DE0"/>
    <w:numStyleLink w:val="ImportedStyle37"/>
  </w:abstractNum>
  <w:abstractNum w:abstractNumId="30" w15:restartNumberingAfterBreak="0">
    <w:nsid w:val="0E4D5705"/>
    <w:multiLevelType w:val="hybridMultilevel"/>
    <w:tmpl w:val="A16E8B4A"/>
    <w:numStyleLink w:val="ImportedStyle2"/>
  </w:abstractNum>
  <w:abstractNum w:abstractNumId="31" w15:restartNumberingAfterBreak="0">
    <w:nsid w:val="0E9B7673"/>
    <w:multiLevelType w:val="hybridMultilevel"/>
    <w:tmpl w:val="52C84060"/>
    <w:numStyleLink w:val="ImportedStyle78"/>
  </w:abstractNum>
  <w:abstractNum w:abstractNumId="32" w15:restartNumberingAfterBreak="0">
    <w:nsid w:val="0F49037B"/>
    <w:multiLevelType w:val="hybridMultilevel"/>
    <w:tmpl w:val="690EBB38"/>
    <w:numStyleLink w:val="ImportedStyle138"/>
  </w:abstractNum>
  <w:abstractNum w:abstractNumId="33" w15:restartNumberingAfterBreak="0">
    <w:nsid w:val="0FA31966"/>
    <w:multiLevelType w:val="hybridMultilevel"/>
    <w:tmpl w:val="1638BCE0"/>
    <w:styleLink w:val="ImportedStyle103"/>
    <w:lvl w:ilvl="0" w:tplc="77A8DA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D0A3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740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5AFB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56A9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74DA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EC63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069D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FC6C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0037BD2"/>
    <w:multiLevelType w:val="hybridMultilevel"/>
    <w:tmpl w:val="EB7C7BAC"/>
    <w:styleLink w:val="ImportedStyle17"/>
    <w:lvl w:ilvl="0" w:tplc="1782533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3FC35B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A46F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5093B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DC8794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7E61F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EC720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4084D8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D52981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01A6575"/>
    <w:multiLevelType w:val="hybridMultilevel"/>
    <w:tmpl w:val="23247C82"/>
    <w:styleLink w:val="ImportedStyle92"/>
    <w:lvl w:ilvl="0" w:tplc="12C688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BC028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B69B9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C9CF9B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6AE6B2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D02800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C39488C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502EE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486B34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12610EB"/>
    <w:multiLevelType w:val="hybridMultilevel"/>
    <w:tmpl w:val="5942959A"/>
    <w:styleLink w:val="ImportedStyle136"/>
    <w:lvl w:ilvl="0" w:tplc="DBD89BD0">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C8A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CE4C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96A9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2EA2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C581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7CB0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3653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D8136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1CD2A99"/>
    <w:multiLevelType w:val="hybridMultilevel"/>
    <w:tmpl w:val="EB7C7BAC"/>
    <w:numStyleLink w:val="ImportedStyle17"/>
  </w:abstractNum>
  <w:abstractNum w:abstractNumId="38" w15:restartNumberingAfterBreak="0">
    <w:nsid w:val="11FB6ACE"/>
    <w:multiLevelType w:val="hybridMultilevel"/>
    <w:tmpl w:val="75F221C6"/>
    <w:styleLink w:val="ImportedStyle94"/>
    <w:lvl w:ilvl="0" w:tplc="08948696">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CAD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8F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1431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9A75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60EAB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8D8B5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182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478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29C28D2"/>
    <w:multiLevelType w:val="hybridMultilevel"/>
    <w:tmpl w:val="0ACED8CA"/>
    <w:numStyleLink w:val="ImportedStyle105"/>
  </w:abstractNum>
  <w:abstractNum w:abstractNumId="40" w15:restartNumberingAfterBreak="0">
    <w:nsid w:val="12CF5025"/>
    <w:multiLevelType w:val="hybridMultilevel"/>
    <w:tmpl w:val="B6D47E76"/>
    <w:styleLink w:val="ImportedStyle128"/>
    <w:lvl w:ilvl="0" w:tplc="FF6090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820B3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12C90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4F1683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1DA96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0949046">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BE78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5478A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392B6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37237AC"/>
    <w:multiLevelType w:val="hybridMultilevel"/>
    <w:tmpl w:val="BAACFC30"/>
    <w:numStyleLink w:val="ImportedStyle134"/>
  </w:abstractNum>
  <w:abstractNum w:abstractNumId="42" w15:restartNumberingAfterBreak="0">
    <w:nsid w:val="14083BA2"/>
    <w:multiLevelType w:val="hybridMultilevel"/>
    <w:tmpl w:val="CB762CA6"/>
    <w:styleLink w:val="ImportedStyle132"/>
    <w:lvl w:ilvl="0" w:tplc="57EA42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5424FD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684C0A2">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A418C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FA65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CAB63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79279F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BACD9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B80C9D4">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41A5EC4"/>
    <w:multiLevelType w:val="hybridMultilevel"/>
    <w:tmpl w:val="9A10F9AC"/>
    <w:styleLink w:val="ImportedStyle39"/>
    <w:lvl w:ilvl="0" w:tplc="D97C130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B2E202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6F247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5F07DA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0CEC8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DB8C1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5B249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DE9E5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49E637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44B26F4"/>
    <w:multiLevelType w:val="hybridMultilevel"/>
    <w:tmpl w:val="1F764348"/>
    <w:styleLink w:val="ImportedStyle14"/>
    <w:lvl w:ilvl="0" w:tplc="953A5F9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5AECA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6F64D5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8EE7F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4810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264CB1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AA654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8E2EE5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4ECC3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4FD74BA"/>
    <w:multiLevelType w:val="hybridMultilevel"/>
    <w:tmpl w:val="B96E3522"/>
    <w:styleLink w:val="ImportedStyle118"/>
    <w:lvl w:ilvl="0" w:tplc="A73C3B76">
      <w:start w:val="1"/>
      <w:numFmt w:val="arabicAlpha"/>
      <w:lvlText w:val="%1."/>
      <w:lvlJc w:val="left"/>
      <w:pPr>
        <w:ind w:left="113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005F10">
      <w:start w:val="1"/>
      <w:numFmt w:val="lowerLetter"/>
      <w:lvlText w:val="%2."/>
      <w:lvlJc w:val="left"/>
      <w:pPr>
        <w:ind w:left="185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0DB3C">
      <w:start w:val="1"/>
      <w:numFmt w:val="lowerRoman"/>
      <w:lvlText w:val="%3."/>
      <w:lvlJc w:val="left"/>
      <w:pPr>
        <w:ind w:left="257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6001BEE">
      <w:start w:val="1"/>
      <w:numFmt w:val="decimal"/>
      <w:lvlText w:val="%4."/>
      <w:lvlJc w:val="left"/>
      <w:pPr>
        <w:ind w:left="329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A0FF48">
      <w:start w:val="1"/>
      <w:numFmt w:val="lowerLetter"/>
      <w:lvlText w:val="%5."/>
      <w:lvlJc w:val="left"/>
      <w:pPr>
        <w:ind w:left="401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0B8BA">
      <w:start w:val="1"/>
      <w:numFmt w:val="lowerRoman"/>
      <w:lvlText w:val="%6."/>
      <w:lvlJc w:val="left"/>
      <w:pPr>
        <w:ind w:left="473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B3C84EC">
      <w:start w:val="1"/>
      <w:numFmt w:val="decimal"/>
      <w:lvlText w:val="%7."/>
      <w:lvlJc w:val="left"/>
      <w:pPr>
        <w:ind w:left="545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29D0C">
      <w:start w:val="1"/>
      <w:numFmt w:val="lowerLetter"/>
      <w:lvlText w:val="%8."/>
      <w:lvlJc w:val="left"/>
      <w:pPr>
        <w:ind w:left="617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2CE984">
      <w:start w:val="1"/>
      <w:numFmt w:val="lowerRoman"/>
      <w:lvlText w:val="%9."/>
      <w:lvlJc w:val="left"/>
      <w:pPr>
        <w:ind w:left="689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5075537"/>
    <w:multiLevelType w:val="hybridMultilevel"/>
    <w:tmpl w:val="CC4E7A42"/>
    <w:styleLink w:val="ImportedStyle98"/>
    <w:lvl w:ilvl="0" w:tplc="964A3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0CE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06E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0A7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E2C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63C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8C9D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A62E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CEA0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54354E5"/>
    <w:multiLevelType w:val="hybridMultilevel"/>
    <w:tmpl w:val="3F92585C"/>
    <w:lvl w:ilvl="0" w:tplc="3CE6AD56">
      <w:start w:val="1"/>
      <w:numFmt w:val="decimal"/>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3476F280">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C7D24F4C">
      <w:start w:val="1"/>
      <w:numFmt w:val="lowerRoman"/>
      <w:lvlText w:val="%3."/>
      <w:lvlJc w:val="left"/>
      <w:pPr>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90C694C6">
      <w:start w:val="1"/>
      <w:numFmt w:val="decimal"/>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11147D36">
      <w:start w:val="1"/>
      <w:numFmt w:val="lowerLetter"/>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06FADDCA">
      <w:start w:val="1"/>
      <w:numFmt w:val="lowerRoman"/>
      <w:lvlText w:val="%6."/>
      <w:lvlJc w:val="left"/>
      <w:pPr>
        <w:ind w:left="4295" w:hanging="275"/>
      </w:pPr>
      <w:rPr>
        <w:rFonts w:hAnsi="Arial Unicode MS"/>
        <w:caps w:val="0"/>
        <w:smallCaps w:val="0"/>
        <w:strike w:val="0"/>
        <w:dstrike w:val="0"/>
        <w:outline w:val="0"/>
        <w:emboss w:val="0"/>
        <w:imprint w:val="0"/>
        <w:spacing w:val="0"/>
        <w:w w:val="100"/>
        <w:kern w:val="0"/>
        <w:position w:val="0"/>
        <w:highlight w:val="none"/>
        <w:vertAlign w:val="baseline"/>
      </w:rPr>
    </w:lvl>
    <w:lvl w:ilvl="6" w:tplc="4C886276">
      <w:start w:val="1"/>
      <w:numFmt w:val="decimal"/>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DAF4708C">
      <w:start w:val="1"/>
      <w:numFmt w:val="lowerLetter"/>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27D6B664">
      <w:start w:val="1"/>
      <w:numFmt w:val="lowerRoman"/>
      <w:lvlText w:val="%9."/>
      <w:lvlJc w:val="left"/>
      <w:pPr>
        <w:ind w:left="6455" w:hanging="2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155D5460"/>
    <w:multiLevelType w:val="hybridMultilevel"/>
    <w:tmpl w:val="3946B2BA"/>
    <w:numStyleLink w:val="ImportedStyle139"/>
  </w:abstractNum>
  <w:abstractNum w:abstractNumId="49" w15:restartNumberingAfterBreak="0">
    <w:nsid w:val="15D24C58"/>
    <w:multiLevelType w:val="hybridMultilevel"/>
    <w:tmpl w:val="EB06D1C2"/>
    <w:numStyleLink w:val="ImportedStyle43"/>
  </w:abstractNum>
  <w:abstractNum w:abstractNumId="50" w15:restartNumberingAfterBreak="0">
    <w:nsid w:val="16323237"/>
    <w:multiLevelType w:val="hybridMultilevel"/>
    <w:tmpl w:val="89981E14"/>
    <w:numStyleLink w:val="ImportedStyle49"/>
  </w:abstractNum>
  <w:abstractNum w:abstractNumId="51" w15:restartNumberingAfterBreak="0">
    <w:nsid w:val="16684CF1"/>
    <w:multiLevelType w:val="hybridMultilevel"/>
    <w:tmpl w:val="9A10F9AC"/>
    <w:numStyleLink w:val="ImportedStyle39"/>
  </w:abstractNum>
  <w:abstractNum w:abstractNumId="52" w15:restartNumberingAfterBreak="0">
    <w:nsid w:val="16963245"/>
    <w:multiLevelType w:val="hybridMultilevel"/>
    <w:tmpl w:val="C7FA37D4"/>
    <w:numStyleLink w:val="ImportedStyle53"/>
  </w:abstractNum>
  <w:abstractNum w:abstractNumId="53" w15:restartNumberingAfterBreak="0">
    <w:nsid w:val="16CE0FCD"/>
    <w:multiLevelType w:val="hybridMultilevel"/>
    <w:tmpl w:val="B8BA2DE0"/>
    <w:styleLink w:val="ImportedStyle37"/>
    <w:lvl w:ilvl="0" w:tplc="471ECD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1B29E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306A4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E4B0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707B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78C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4C2E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D622F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2BA6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17B8204E"/>
    <w:multiLevelType w:val="hybridMultilevel"/>
    <w:tmpl w:val="CC4E7A42"/>
    <w:numStyleLink w:val="ImportedStyle98"/>
  </w:abstractNum>
  <w:abstractNum w:abstractNumId="55" w15:restartNumberingAfterBreak="0">
    <w:nsid w:val="184C5E25"/>
    <w:multiLevelType w:val="hybridMultilevel"/>
    <w:tmpl w:val="081A5074"/>
    <w:styleLink w:val="ImportedStyle74"/>
    <w:lvl w:ilvl="0" w:tplc="EF4E1E6C">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54F24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9B6CF4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C450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8C96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F8ED35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660C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C1B2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9A32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18AB7D2C"/>
    <w:multiLevelType w:val="hybridMultilevel"/>
    <w:tmpl w:val="AF48E096"/>
    <w:styleLink w:val="ImportedStyle40"/>
    <w:lvl w:ilvl="0" w:tplc="900473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6852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E431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49AA5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B8D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5CB78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55AD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18DD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B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98007AC"/>
    <w:multiLevelType w:val="hybridMultilevel"/>
    <w:tmpl w:val="0ACED8CA"/>
    <w:styleLink w:val="ImportedStyle105"/>
    <w:lvl w:ilvl="0" w:tplc="56741B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AB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D08F6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1846A1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EA6E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4E2370">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C394AA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6A96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4120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19842585"/>
    <w:multiLevelType w:val="hybridMultilevel"/>
    <w:tmpl w:val="868C50D4"/>
    <w:numStyleLink w:val="ImportedStyle100"/>
  </w:abstractNum>
  <w:abstractNum w:abstractNumId="59" w15:restartNumberingAfterBreak="0">
    <w:nsid w:val="198F395F"/>
    <w:multiLevelType w:val="hybridMultilevel"/>
    <w:tmpl w:val="16227C5C"/>
    <w:numStyleLink w:val="ImportedStyle80"/>
  </w:abstractNum>
  <w:abstractNum w:abstractNumId="60" w15:restartNumberingAfterBreak="0">
    <w:nsid w:val="19CC524C"/>
    <w:multiLevelType w:val="hybridMultilevel"/>
    <w:tmpl w:val="B6602150"/>
    <w:numStyleLink w:val="ImportedStyle8"/>
  </w:abstractNum>
  <w:abstractNum w:abstractNumId="61" w15:restartNumberingAfterBreak="0">
    <w:nsid w:val="19E40616"/>
    <w:multiLevelType w:val="hybridMultilevel"/>
    <w:tmpl w:val="EAE63B9C"/>
    <w:numStyleLink w:val="ImportedStyle113"/>
  </w:abstractNum>
  <w:abstractNum w:abstractNumId="62" w15:restartNumberingAfterBreak="0">
    <w:nsid w:val="19F168E4"/>
    <w:multiLevelType w:val="hybridMultilevel"/>
    <w:tmpl w:val="7408E5A0"/>
    <w:numStyleLink w:val="ImportedStyle44"/>
  </w:abstractNum>
  <w:abstractNum w:abstractNumId="63" w15:restartNumberingAfterBreak="0">
    <w:nsid w:val="1A724924"/>
    <w:multiLevelType w:val="hybridMultilevel"/>
    <w:tmpl w:val="356CD198"/>
    <w:numStyleLink w:val="ImportedStyle41"/>
  </w:abstractNum>
  <w:abstractNum w:abstractNumId="64" w15:restartNumberingAfterBreak="0">
    <w:nsid w:val="1B0F4D35"/>
    <w:multiLevelType w:val="hybridMultilevel"/>
    <w:tmpl w:val="3DFC49B0"/>
    <w:styleLink w:val="ImportedStyle65"/>
    <w:lvl w:ilvl="0" w:tplc="6E9CD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E89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5AB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02CC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4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661C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DCF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3473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68C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1B3E4CDD"/>
    <w:multiLevelType w:val="hybridMultilevel"/>
    <w:tmpl w:val="24A06B02"/>
    <w:styleLink w:val="ImportedStyle13"/>
    <w:lvl w:ilvl="0" w:tplc="AAFAA8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7B8FC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6008F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A65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4EB7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CE9C4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AA3BD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834B3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222500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1B6406C0"/>
    <w:multiLevelType w:val="hybridMultilevel"/>
    <w:tmpl w:val="18306F10"/>
    <w:numStyleLink w:val="ImportedStyle107"/>
  </w:abstractNum>
  <w:abstractNum w:abstractNumId="67" w15:restartNumberingAfterBreak="0">
    <w:nsid w:val="1B7D45C3"/>
    <w:multiLevelType w:val="hybridMultilevel"/>
    <w:tmpl w:val="869A45BE"/>
    <w:numStyleLink w:val="ImportedStyle141"/>
  </w:abstractNum>
  <w:abstractNum w:abstractNumId="68" w15:restartNumberingAfterBreak="0">
    <w:nsid w:val="1BB2237B"/>
    <w:multiLevelType w:val="hybridMultilevel"/>
    <w:tmpl w:val="A19C83F0"/>
    <w:styleLink w:val="ImportedStyle61"/>
    <w:lvl w:ilvl="0" w:tplc="F1EC8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048C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204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1260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CE47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20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F60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4E1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E68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1D5C7A7D"/>
    <w:multiLevelType w:val="hybridMultilevel"/>
    <w:tmpl w:val="9F620ED8"/>
    <w:styleLink w:val="ImportedStyle104"/>
    <w:lvl w:ilvl="0" w:tplc="BF3635E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2472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F4836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8CDE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5CA656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EEAD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7075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4407C1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6648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1DA1653E"/>
    <w:multiLevelType w:val="hybridMultilevel"/>
    <w:tmpl w:val="ABF2E404"/>
    <w:styleLink w:val="ImportedStyle108"/>
    <w:lvl w:ilvl="0" w:tplc="E856D53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BCAB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5D1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6882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96A3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B08F3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2743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EE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16B55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DB4271C"/>
    <w:multiLevelType w:val="hybridMultilevel"/>
    <w:tmpl w:val="0BAE54B8"/>
    <w:styleLink w:val="ImportedStyle127"/>
    <w:lvl w:ilvl="0" w:tplc="A45288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FA54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B4D8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E7C0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670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4C31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4845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767A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0A66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1DC11BE7"/>
    <w:multiLevelType w:val="hybridMultilevel"/>
    <w:tmpl w:val="1638BCE0"/>
    <w:numStyleLink w:val="ImportedStyle103"/>
  </w:abstractNum>
  <w:abstractNum w:abstractNumId="73" w15:restartNumberingAfterBreak="0">
    <w:nsid w:val="1E8A5638"/>
    <w:multiLevelType w:val="hybridMultilevel"/>
    <w:tmpl w:val="DCA2CBF4"/>
    <w:styleLink w:val="ImportedStyle95"/>
    <w:lvl w:ilvl="0" w:tplc="F0C8EFF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2382B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E921AE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4BAA2A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EE145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39CA60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1EBDD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16AD30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4010E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1E97498F"/>
    <w:multiLevelType w:val="hybridMultilevel"/>
    <w:tmpl w:val="690EBB38"/>
    <w:styleLink w:val="ImportedStyle138"/>
    <w:lvl w:ilvl="0" w:tplc="EB1C17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16C5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7E21A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CF3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1A20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36F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38237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1C7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E4D74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1EAD1BD6"/>
    <w:multiLevelType w:val="hybridMultilevel"/>
    <w:tmpl w:val="9CA26F32"/>
    <w:numStyleLink w:val="ImportedStyle124"/>
  </w:abstractNum>
  <w:abstractNum w:abstractNumId="76" w15:restartNumberingAfterBreak="0">
    <w:nsid w:val="1F0A6DAC"/>
    <w:multiLevelType w:val="hybridMultilevel"/>
    <w:tmpl w:val="5C26A3D6"/>
    <w:numStyleLink w:val="ImportedStyle45"/>
  </w:abstractNum>
  <w:abstractNum w:abstractNumId="77" w15:restartNumberingAfterBreak="0">
    <w:nsid w:val="1FAB0BA5"/>
    <w:multiLevelType w:val="hybridMultilevel"/>
    <w:tmpl w:val="D8FA88DE"/>
    <w:styleLink w:val="ImportedStyle54"/>
    <w:lvl w:ilvl="0" w:tplc="31389C5C">
      <w:start w:val="1"/>
      <w:numFmt w:val="decimal"/>
      <w:lvlText w:val="%1."/>
      <w:lvlJc w:val="left"/>
      <w:pPr>
        <w:ind w:left="70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8E3F5A">
      <w:start w:val="1"/>
      <w:numFmt w:val="lowerLetter"/>
      <w:lvlText w:val="%2."/>
      <w:lvlJc w:val="left"/>
      <w:pPr>
        <w:ind w:left="142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8406A0">
      <w:start w:val="1"/>
      <w:numFmt w:val="lowerRoman"/>
      <w:lvlText w:val="%3."/>
      <w:lvlJc w:val="left"/>
      <w:pPr>
        <w:ind w:left="214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96F560">
      <w:start w:val="1"/>
      <w:numFmt w:val="decimal"/>
      <w:lvlText w:val="%4."/>
      <w:lvlJc w:val="left"/>
      <w:pPr>
        <w:ind w:left="286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027B0">
      <w:start w:val="1"/>
      <w:numFmt w:val="lowerLetter"/>
      <w:lvlText w:val="%5."/>
      <w:lvlJc w:val="left"/>
      <w:pPr>
        <w:ind w:left="358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7C97F4">
      <w:start w:val="1"/>
      <w:numFmt w:val="lowerRoman"/>
      <w:lvlText w:val="%6."/>
      <w:lvlJc w:val="left"/>
      <w:pPr>
        <w:ind w:left="430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A84B7A">
      <w:start w:val="1"/>
      <w:numFmt w:val="decimal"/>
      <w:lvlText w:val="%7."/>
      <w:lvlJc w:val="left"/>
      <w:pPr>
        <w:ind w:left="502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F4FC7E">
      <w:start w:val="1"/>
      <w:numFmt w:val="lowerLetter"/>
      <w:lvlText w:val="%8."/>
      <w:lvlJc w:val="left"/>
      <w:pPr>
        <w:ind w:left="57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6E1684">
      <w:start w:val="1"/>
      <w:numFmt w:val="lowerRoman"/>
      <w:lvlText w:val="%9."/>
      <w:lvlJc w:val="left"/>
      <w:pPr>
        <w:ind w:left="646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1FBC3647"/>
    <w:multiLevelType w:val="hybridMultilevel"/>
    <w:tmpl w:val="E93EA242"/>
    <w:styleLink w:val="ImportedStyle112"/>
    <w:lvl w:ilvl="0" w:tplc="6172C01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4A82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63E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5805A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FE04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E76F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805DC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5629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079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206F0557"/>
    <w:multiLevelType w:val="hybridMultilevel"/>
    <w:tmpl w:val="AF48E096"/>
    <w:numStyleLink w:val="ImportedStyle40"/>
  </w:abstractNum>
  <w:abstractNum w:abstractNumId="80" w15:restartNumberingAfterBreak="0">
    <w:nsid w:val="20D66E21"/>
    <w:multiLevelType w:val="hybridMultilevel"/>
    <w:tmpl w:val="488EC068"/>
    <w:styleLink w:val="ImportedStyle133"/>
    <w:lvl w:ilvl="0" w:tplc="0054F9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76043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72E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8CA2C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B26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0E8F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583A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7CEF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8A4A4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21114D26"/>
    <w:multiLevelType w:val="hybridMultilevel"/>
    <w:tmpl w:val="DA50AD7A"/>
    <w:styleLink w:val="ImportedStyle62"/>
    <w:lvl w:ilvl="0" w:tplc="CA468F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482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949A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7621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EAFF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604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6003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30AD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46F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217243DE"/>
    <w:multiLevelType w:val="hybridMultilevel"/>
    <w:tmpl w:val="D4705628"/>
    <w:styleLink w:val="ImportedStyle130"/>
    <w:lvl w:ilvl="0" w:tplc="C5E0E032">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441510">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E2E3A">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B180806">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F6A19A">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02AA8">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150AC6A">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20389E">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2C5B6C">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21FD26EC"/>
    <w:multiLevelType w:val="hybridMultilevel"/>
    <w:tmpl w:val="DCA2CBF4"/>
    <w:numStyleLink w:val="ImportedStyle95"/>
  </w:abstractNum>
  <w:abstractNum w:abstractNumId="84" w15:restartNumberingAfterBreak="0">
    <w:nsid w:val="22123962"/>
    <w:multiLevelType w:val="hybridMultilevel"/>
    <w:tmpl w:val="10CE2F36"/>
    <w:numStyleLink w:val="ImportedStyle97"/>
  </w:abstractNum>
  <w:abstractNum w:abstractNumId="85" w15:restartNumberingAfterBreak="0">
    <w:nsid w:val="2259589C"/>
    <w:multiLevelType w:val="hybridMultilevel"/>
    <w:tmpl w:val="66D213F8"/>
    <w:numStyleLink w:val="ImportedStyle121"/>
  </w:abstractNum>
  <w:abstractNum w:abstractNumId="86" w15:restartNumberingAfterBreak="0">
    <w:nsid w:val="22653139"/>
    <w:multiLevelType w:val="hybridMultilevel"/>
    <w:tmpl w:val="AE0EEDA4"/>
    <w:numStyleLink w:val="ImportedStyle21"/>
  </w:abstractNum>
  <w:abstractNum w:abstractNumId="87" w15:restartNumberingAfterBreak="0">
    <w:nsid w:val="227A4825"/>
    <w:multiLevelType w:val="hybridMultilevel"/>
    <w:tmpl w:val="DAFA38EC"/>
    <w:styleLink w:val="ImportedStyle73"/>
    <w:lvl w:ilvl="0" w:tplc="20CCB18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FEB2B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7460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8DA8F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CC4FC3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88AD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628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AC5AC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B3AF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22D74BF9"/>
    <w:multiLevelType w:val="hybridMultilevel"/>
    <w:tmpl w:val="B40E1A96"/>
    <w:styleLink w:val="ImportedStyle110"/>
    <w:lvl w:ilvl="0" w:tplc="437E87C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B0D1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12280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4FCF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C9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CE22D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728A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05C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7A96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231D5183"/>
    <w:multiLevelType w:val="hybridMultilevel"/>
    <w:tmpl w:val="C79A0480"/>
    <w:styleLink w:val="ImportedStyle18"/>
    <w:lvl w:ilvl="0" w:tplc="F63C10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F825A4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8446DD5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3" w:tplc="97C49ED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37BCA9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5" w:tplc="D9B817D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3DBCE4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2FEA6F6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C7496B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90" w15:restartNumberingAfterBreak="0">
    <w:nsid w:val="239E277F"/>
    <w:multiLevelType w:val="hybridMultilevel"/>
    <w:tmpl w:val="D28250F2"/>
    <w:styleLink w:val="ImportedStyle7"/>
    <w:lvl w:ilvl="0" w:tplc="D7E6197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1941AE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0241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7A44F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24405D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B044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BE2A6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E4D5F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8C25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2400526D"/>
    <w:multiLevelType w:val="hybridMultilevel"/>
    <w:tmpl w:val="F6F26860"/>
    <w:numStyleLink w:val="ImportedStyle96"/>
  </w:abstractNum>
  <w:abstractNum w:abstractNumId="92" w15:restartNumberingAfterBreak="0">
    <w:nsid w:val="244F1E9D"/>
    <w:multiLevelType w:val="hybridMultilevel"/>
    <w:tmpl w:val="D4DEE7F4"/>
    <w:numStyleLink w:val="ImportedStyle90"/>
  </w:abstractNum>
  <w:abstractNum w:abstractNumId="93" w15:restartNumberingAfterBreak="0">
    <w:nsid w:val="248D7C64"/>
    <w:multiLevelType w:val="hybridMultilevel"/>
    <w:tmpl w:val="B9546428"/>
    <w:numStyleLink w:val="ImportedStyle109"/>
  </w:abstractNum>
  <w:abstractNum w:abstractNumId="94" w15:restartNumberingAfterBreak="0">
    <w:nsid w:val="24BA2371"/>
    <w:multiLevelType w:val="hybridMultilevel"/>
    <w:tmpl w:val="DFC407C6"/>
    <w:styleLink w:val="ImportedStyle29"/>
    <w:lvl w:ilvl="0" w:tplc="A386D8E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26BA1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2A32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8A9BF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714A86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80FF0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76273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4A2C0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14F0A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25F85232"/>
    <w:multiLevelType w:val="hybridMultilevel"/>
    <w:tmpl w:val="2174DD90"/>
    <w:styleLink w:val="ImportedStyle35"/>
    <w:lvl w:ilvl="0" w:tplc="9CB0B4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CE21B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350E2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4C8928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596B44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78A8A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686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F4C9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52B59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25FA23F5"/>
    <w:multiLevelType w:val="hybridMultilevel"/>
    <w:tmpl w:val="34AE72B8"/>
    <w:styleLink w:val="ImportedStyle68"/>
    <w:lvl w:ilvl="0" w:tplc="9E20D7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0E2A64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03AC5A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22EEE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F6699D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AAA96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A188E9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990E4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748CE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2673484E"/>
    <w:multiLevelType w:val="hybridMultilevel"/>
    <w:tmpl w:val="75F221C6"/>
    <w:numStyleLink w:val="ImportedStyle94"/>
  </w:abstractNum>
  <w:abstractNum w:abstractNumId="98" w15:restartNumberingAfterBreak="0">
    <w:nsid w:val="26F24ACC"/>
    <w:multiLevelType w:val="hybridMultilevel"/>
    <w:tmpl w:val="B6D47E76"/>
    <w:numStyleLink w:val="ImportedStyle128"/>
  </w:abstractNum>
  <w:abstractNum w:abstractNumId="99" w15:restartNumberingAfterBreak="0">
    <w:nsid w:val="27D42862"/>
    <w:multiLevelType w:val="hybridMultilevel"/>
    <w:tmpl w:val="43CC49A2"/>
    <w:numStyleLink w:val="ImportedStyle82"/>
  </w:abstractNum>
  <w:abstractNum w:abstractNumId="100" w15:restartNumberingAfterBreak="0">
    <w:nsid w:val="2844685D"/>
    <w:multiLevelType w:val="hybridMultilevel"/>
    <w:tmpl w:val="0352AC5C"/>
    <w:styleLink w:val="ImportedStyle23"/>
    <w:lvl w:ilvl="0" w:tplc="BE92659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6E31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FD08B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D848FD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2B0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AA4F4AA">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3CDF9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18D9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DF8D68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285E6651"/>
    <w:multiLevelType w:val="hybridMultilevel"/>
    <w:tmpl w:val="FC888D22"/>
    <w:styleLink w:val="ImportedStyle27"/>
    <w:lvl w:ilvl="0" w:tplc="B3985D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E9EAA18">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92518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E6D7E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CEBE5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7F8599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437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0029A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2CA59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28AB5B90"/>
    <w:multiLevelType w:val="hybridMultilevel"/>
    <w:tmpl w:val="D9D41572"/>
    <w:styleLink w:val="ImportedStyle79"/>
    <w:lvl w:ilvl="0" w:tplc="124419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541F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66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838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AC3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80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479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3895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9C5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295679A5"/>
    <w:multiLevelType w:val="hybridMultilevel"/>
    <w:tmpl w:val="EA963F22"/>
    <w:styleLink w:val="ImportedStyle137"/>
    <w:lvl w:ilvl="0" w:tplc="5658E58A">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A1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4886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212B6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A030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E2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523B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E81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8C8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29F437EF"/>
    <w:multiLevelType w:val="hybridMultilevel"/>
    <w:tmpl w:val="BBF4F20A"/>
    <w:numStyleLink w:val="ImportedStyle1"/>
  </w:abstractNum>
  <w:abstractNum w:abstractNumId="105" w15:restartNumberingAfterBreak="0">
    <w:nsid w:val="2AC51372"/>
    <w:multiLevelType w:val="hybridMultilevel"/>
    <w:tmpl w:val="AD5C285A"/>
    <w:numStyleLink w:val="ImportedStyle32"/>
  </w:abstractNum>
  <w:abstractNum w:abstractNumId="106" w15:restartNumberingAfterBreak="0">
    <w:nsid w:val="2B82470B"/>
    <w:multiLevelType w:val="hybridMultilevel"/>
    <w:tmpl w:val="43CC49A2"/>
    <w:styleLink w:val="ImportedStyle82"/>
    <w:lvl w:ilvl="0" w:tplc="408801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7C1E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9EB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F6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F6B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25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2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C402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9CA7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2BBA312D"/>
    <w:multiLevelType w:val="hybridMultilevel"/>
    <w:tmpl w:val="36920CE0"/>
    <w:numStyleLink w:val="ImportedStyle6"/>
  </w:abstractNum>
  <w:abstractNum w:abstractNumId="108" w15:restartNumberingAfterBreak="0">
    <w:nsid w:val="2C920736"/>
    <w:multiLevelType w:val="hybridMultilevel"/>
    <w:tmpl w:val="A112C0A0"/>
    <w:styleLink w:val="ImportedStyle52"/>
    <w:lvl w:ilvl="0" w:tplc="5A608714">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0B0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ACFC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DA5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5EF1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A6936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02A1C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02A3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AC015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2CA20D2F"/>
    <w:multiLevelType w:val="hybridMultilevel"/>
    <w:tmpl w:val="1AB4CBA4"/>
    <w:numStyleLink w:val="ImportedStyle72"/>
  </w:abstractNum>
  <w:abstractNum w:abstractNumId="110" w15:restartNumberingAfterBreak="0">
    <w:nsid w:val="2CB600DE"/>
    <w:multiLevelType w:val="hybridMultilevel"/>
    <w:tmpl w:val="EF787A78"/>
    <w:styleLink w:val="ImportedStyle117"/>
    <w:lvl w:ilvl="0" w:tplc="C9D465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2B5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16F9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86A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0F5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F201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930BC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1E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448E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2E08201C"/>
    <w:multiLevelType w:val="hybridMultilevel"/>
    <w:tmpl w:val="124AE1AE"/>
    <w:numStyleLink w:val="ImportedStyle36"/>
  </w:abstractNum>
  <w:abstractNum w:abstractNumId="112" w15:restartNumberingAfterBreak="0">
    <w:nsid w:val="2E731BC6"/>
    <w:multiLevelType w:val="hybridMultilevel"/>
    <w:tmpl w:val="3DFC49B0"/>
    <w:numStyleLink w:val="ImportedStyle65"/>
  </w:abstractNum>
  <w:abstractNum w:abstractNumId="113" w15:restartNumberingAfterBreak="0">
    <w:nsid w:val="2E970BC5"/>
    <w:multiLevelType w:val="hybridMultilevel"/>
    <w:tmpl w:val="824863A6"/>
    <w:styleLink w:val="ImportedStyle47"/>
    <w:lvl w:ilvl="0" w:tplc="5F1AC134">
      <w:start w:val="1"/>
      <w:numFmt w:val="bullet"/>
      <w:lvlText w:val="·"/>
      <w:lvlJc w:val="left"/>
      <w:pPr>
        <w:ind w:left="113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56361E">
      <w:start w:val="1"/>
      <w:numFmt w:val="bullet"/>
      <w:lvlText w:val="o"/>
      <w:lvlJc w:val="left"/>
      <w:pPr>
        <w:ind w:left="18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4E9F02">
      <w:start w:val="1"/>
      <w:numFmt w:val="bullet"/>
      <w:lvlText w:val="▪"/>
      <w:lvlJc w:val="left"/>
      <w:pPr>
        <w:ind w:left="25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03024">
      <w:start w:val="1"/>
      <w:numFmt w:val="bullet"/>
      <w:lvlText w:val="·"/>
      <w:lvlJc w:val="left"/>
      <w:pPr>
        <w:ind w:left="32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9A8C80">
      <w:start w:val="1"/>
      <w:numFmt w:val="bullet"/>
      <w:lvlText w:val="o"/>
      <w:lvlJc w:val="left"/>
      <w:pPr>
        <w:ind w:left="401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C89FEE">
      <w:start w:val="1"/>
      <w:numFmt w:val="bullet"/>
      <w:lvlText w:val="▪"/>
      <w:lvlJc w:val="left"/>
      <w:pPr>
        <w:ind w:left="473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5C0008">
      <w:start w:val="1"/>
      <w:numFmt w:val="bullet"/>
      <w:lvlText w:val="·"/>
      <w:lvlJc w:val="left"/>
      <w:pPr>
        <w:ind w:left="545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2AC6D8">
      <w:start w:val="1"/>
      <w:numFmt w:val="bullet"/>
      <w:lvlText w:val="o"/>
      <w:lvlJc w:val="left"/>
      <w:pPr>
        <w:ind w:left="61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2948E">
      <w:start w:val="1"/>
      <w:numFmt w:val="bullet"/>
      <w:lvlText w:val="▪"/>
      <w:lvlJc w:val="left"/>
      <w:pPr>
        <w:ind w:left="689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4" w15:restartNumberingAfterBreak="0">
    <w:nsid w:val="2ECE4BBC"/>
    <w:multiLevelType w:val="hybridMultilevel"/>
    <w:tmpl w:val="57EA2914"/>
    <w:styleLink w:val="ImportedStyle81"/>
    <w:lvl w:ilvl="0" w:tplc="5E24E934">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4A24B8">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D8037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90BD6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322C84">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4AC60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AB800">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A60686">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661ED2">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2F063EFD"/>
    <w:multiLevelType w:val="hybridMultilevel"/>
    <w:tmpl w:val="49AA6148"/>
    <w:styleLink w:val="ImportedStyle51"/>
    <w:lvl w:ilvl="0" w:tplc="A48E5718">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DCE4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4DF1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E96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A99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D098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430F7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F265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52F4E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2F9A5E5B"/>
    <w:multiLevelType w:val="hybridMultilevel"/>
    <w:tmpl w:val="419EC5FE"/>
    <w:styleLink w:val="ImportedStyle22"/>
    <w:lvl w:ilvl="0" w:tplc="322878E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E633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558B39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24F9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D066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96EE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F4E06A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32035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C7AB83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302A03B8"/>
    <w:multiLevelType w:val="hybridMultilevel"/>
    <w:tmpl w:val="CD8C01A6"/>
    <w:styleLink w:val="ImportedStyle75"/>
    <w:lvl w:ilvl="0" w:tplc="96884F24">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A4AFD9C">
      <w:start w:val="1"/>
      <w:numFmt w:val="bullet"/>
      <w:lvlText w:val="-"/>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823FE6">
      <w:start w:val="1"/>
      <w:numFmt w:val="bullet"/>
      <w:lvlText w:val="-"/>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94AEAC8">
      <w:start w:val="1"/>
      <w:numFmt w:val="bullet"/>
      <w:lvlText w:val="-"/>
      <w:lvlJc w:val="left"/>
      <w:pPr>
        <w:ind w:left="28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AEA348">
      <w:start w:val="1"/>
      <w:numFmt w:val="bullet"/>
      <w:lvlText w:val="-"/>
      <w:lvlJc w:val="left"/>
      <w:pPr>
        <w:ind w:left="36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90D0DE">
      <w:start w:val="1"/>
      <w:numFmt w:val="bullet"/>
      <w:lvlText w:val="-"/>
      <w:lvlJc w:val="left"/>
      <w:pPr>
        <w:ind w:left="43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3564872">
      <w:start w:val="1"/>
      <w:numFmt w:val="bullet"/>
      <w:lvlText w:val="-"/>
      <w:lvlJc w:val="left"/>
      <w:pPr>
        <w:ind w:left="50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358087C">
      <w:start w:val="1"/>
      <w:numFmt w:val="bullet"/>
      <w:lvlText w:val="-"/>
      <w:lvlJc w:val="left"/>
      <w:pPr>
        <w:ind w:left="57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62C526">
      <w:start w:val="1"/>
      <w:numFmt w:val="bullet"/>
      <w:lvlText w:val="-"/>
      <w:lvlJc w:val="left"/>
      <w:pPr>
        <w:ind w:left="64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306A1FC0"/>
    <w:multiLevelType w:val="hybridMultilevel"/>
    <w:tmpl w:val="A442E2BE"/>
    <w:numStyleLink w:val="ImportedStyle89"/>
  </w:abstractNum>
  <w:abstractNum w:abstractNumId="119" w15:restartNumberingAfterBreak="0">
    <w:nsid w:val="30765259"/>
    <w:multiLevelType w:val="hybridMultilevel"/>
    <w:tmpl w:val="E1D07BC4"/>
    <w:numStyleLink w:val="ImportedStyle115"/>
  </w:abstractNum>
  <w:abstractNum w:abstractNumId="120" w15:restartNumberingAfterBreak="0">
    <w:nsid w:val="3089225D"/>
    <w:multiLevelType w:val="hybridMultilevel"/>
    <w:tmpl w:val="86723BCC"/>
    <w:numStyleLink w:val="ImportedStyle3"/>
  </w:abstractNum>
  <w:abstractNum w:abstractNumId="121" w15:restartNumberingAfterBreak="0">
    <w:nsid w:val="312818DE"/>
    <w:multiLevelType w:val="hybridMultilevel"/>
    <w:tmpl w:val="8B2CB5A4"/>
    <w:numStyleLink w:val="ImportedStyle85"/>
  </w:abstractNum>
  <w:abstractNum w:abstractNumId="122" w15:restartNumberingAfterBreak="0">
    <w:nsid w:val="316C2FA9"/>
    <w:multiLevelType w:val="hybridMultilevel"/>
    <w:tmpl w:val="14E87B36"/>
    <w:numStyleLink w:val="ImportedStyle63"/>
  </w:abstractNum>
  <w:abstractNum w:abstractNumId="123" w15:restartNumberingAfterBreak="0">
    <w:nsid w:val="31B3567E"/>
    <w:multiLevelType w:val="hybridMultilevel"/>
    <w:tmpl w:val="272C3CB8"/>
    <w:numStyleLink w:val="ImportedStyle135"/>
  </w:abstractNum>
  <w:abstractNum w:abstractNumId="124" w15:restartNumberingAfterBreak="0">
    <w:nsid w:val="3245411A"/>
    <w:multiLevelType w:val="hybridMultilevel"/>
    <w:tmpl w:val="D9D41572"/>
    <w:numStyleLink w:val="ImportedStyle79"/>
  </w:abstractNum>
  <w:abstractNum w:abstractNumId="125" w15:restartNumberingAfterBreak="0">
    <w:nsid w:val="32E659C6"/>
    <w:multiLevelType w:val="hybridMultilevel"/>
    <w:tmpl w:val="3D1CB888"/>
    <w:numStyleLink w:val="ImportedStyle31"/>
  </w:abstractNum>
  <w:abstractNum w:abstractNumId="126" w15:restartNumberingAfterBreak="0">
    <w:nsid w:val="33772B11"/>
    <w:multiLevelType w:val="hybridMultilevel"/>
    <w:tmpl w:val="D28250F2"/>
    <w:numStyleLink w:val="ImportedStyle7"/>
  </w:abstractNum>
  <w:abstractNum w:abstractNumId="127" w15:restartNumberingAfterBreak="0">
    <w:nsid w:val="33B846CE"/>
    <w:multiLevelType w:val="hybridMultilevel"/>
    <w:tmpl w:val="BCAA45E6"/>
    <w:numStyleLink w:val="ImportedStyle19"/>
  </w:abstractNum>
  <w:abstractNum w:abstractNumId="128" w15:restartNumberingAfterBreak="0">
    <w:nsid w:val="345B3953"/>
    <w:multiLevelType w:val="hybridMultilevel"/>
    <w:tmpl w:val="8B825DCC"/>
    <w:numStyleLink w:val="ImportedStyle102"/>
  </w:abstractNum>
  <w:abstractNum w:abstractNumId="129" w15:restartNumberingAfterBreak="0">
    <w:nsid w:val="3492136F"/>
    <w:multiLevelType w:val="hybridMultilevel"/>
    <w:tmpl w:val="590A5884"/>
    <w:styleLink w:val="ImportedStyle125"/>
    <w:lvl w:ilvl="0" w:tplc="45AC4B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CA45F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B28C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4ED4C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3A62A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5B067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0CFB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39A49E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907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35234940"/>
    <w:multiLevelType w:val="hybridMultilevel"/>
    <w:tmpl w:val="A442E2BE"/>
    <w:styleLink w:val="ImportedStyle89"/>
    <w:lvl w:ilvl="0" w:tplc="1916AA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82B27E">
      <w:start w:val="1"/>
      <w:numFmt w:val="decimal"/>
      <w:lvlText w:val="(%2)"/>
      <w:lvlJc w:val="left"/>
      <w:pPr>
        <w:tabs>
          <w:tab w:val="left" w:pos="720"/>
        </w:tabs>
        <w:ind w:left="145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2C67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A47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6E13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C79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174DF4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663A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7256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35AD6E55"/>
    <w:multiLevelType w:val="hybridMultilevel"/>
    <w:tmpl w:val="DA50AD7A"/>
    <w:numStyleLink w:val="ImportedStyle62"/>
  </w:abstractNum>
  <w:abstractNum w:abstractNumId="132" w15:restartNumberingAfterBreak="0">
    <w:nsid w:val="36767DBF"/>
    <w:multiLevelType w:val="hybridMultilevel"/>
    <w:tmpl w:val="AD68DA28"/>
    <w:styleLink w:val="ImportedStyle30"/>
    <w:lvl w:ilvl="0" w:tplc="CC6ABB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B095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45B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502D7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D46E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C075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B04B9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48A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6ED92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36BF0EC5"/>
    <w:multiLevelType w:val="hybridMultilevel"/>
    <w:tmpl w:val="8E12B894"/>
    <w:styleLink w:val="ImportedStyle111"/>
    <w:lvl w:ilvl="0" w:tplc="A19A0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7A9C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66D11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82252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FCB0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0771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867E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AAB9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4E65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37305C31"/>
    <w:multiLevelType w:val="hybridMultilevel"/>
    <w:tmpl w:val="10CE2F36"/>
    <w:styleLink w:val="ImportedStyle97"/>
    <w:lvl w:ilvl="0" w:tplc="B94E81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FA62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DC44B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21AE2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6CA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D4651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6E621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B2D1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967FA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37CC5AD0"/>
    <w:multiLevelType w:val="hybridMultilevel"/>
    <w:tmpl w:val="B7FCADF0"/>
    <w:numStyleLink w:val="ImportedStyle123"/>
  </w:abstractNum>
  <w:abstractNum w:abstractNumId="136" w15:restartNumberingAfterBreak="0">
    <w:nsid w:val="383208DF"/>
    <w:multiLevelType w:val="hybridMultilevel"/>
    <w:tmpl w:val="F6F26860"/>
    <w:styleLink w:val="ImportedStyle96"/>
    <w:lvl w:ilvl="0" w:tplc="B914B2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0A4E2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0EA07E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88669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53E44A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C8E263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012E28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4CAE3FA">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F44D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91D41DD"/>
    <w:multiLevelType w:val="hybridMultilevel"/>
    <w:tmpl w:val="D01AEABE"/>
    <w:numStyleLink w:val="ImportedStyle66"/>
  </w:abstractNum>
  <w:abstractNum w:abstractNumId="138" w15:restartNumberingAfterBreak="0">
    <w:nsid w:val="39484199"/>
    <w:multiLevelType w:val="hybridMultilevel"/>
    <w:tmpl w:val="BE74EEDE"/>
    <w:numStyleLink w:val="ImportedStyle99"/>
  </w:abstractNum>
  <w:abstractNum w:abstractNumId="139" w15:restartNumberingAfterBreak="0">
    <w:nsid w:val="398B4C14"/>
    <w:multiLevelType w:val="hybridMultilevel"/>
    <w:tmpl w:val="4E2A2E3E"/>
    <w:numStyleLink w:val="ImportedStyle70"/>
  </w:abstractNum>
  <w:abstractNum w:abstractNumId="140" w15:restartNumberingAfterBreak="0">
    <w:nsid w:val="3A300245"/>
    <w:multiLevelType w:val="hybridMultilevel"/>
    <w:tmpl w:val="A4EEAFAA"/>
    <w:styleLink w:val="ImportedStyle16"/>
    <w:lvl w:ilvl="0" w:tplc="812CE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CBEF0D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4903E6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3FC749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C3A8D3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A861D3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9A68001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C99E42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DFCE95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1" w15:restartNumberingAfterBreak="0">
    <w:nsid w:val="3A5474E1"/>
    <w:multiLevelType w:val="hybridMultilevel"/>
    <w:tmpl w:val="11B24F8A"/>
    <w:numStyleLink w:val="ImportedStyle55"/>
  </w:abstractNum>
  <w:abstractNum w:abstractNumId="142" w15:restartNumberingAfterBreak="0">
    <w:nsid w:val="3AB60535"/>
    <w:multiLevelType w:val="hybridMultilevel"/>
    <w:tmpl w:val="EB06D1C2"/>
    <w:styleLink w:val="ImportedStyle43"/>
    <w:lvl w:ilvl="0" w:tplc="AC720C5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282D9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4B9C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798452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390C4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48841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15A15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880B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5AF71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3ABC7E45"/>
    <w:multiLevelType w:val="hybridMultilevel"/>
    <w:tmpl w:val="A72E30A8"/>
    <w:numStyleLink w:val="ImportedStyle38"/>
  </w:abstractNum>
  <w:abstractNum w:abstractNumId="144" w15:restartNumberingAfterBreak="0">
    <w:nsid w:val="3AD13339"/>
    <w:multiLevelType w:val="hybridMultilevel"/>
    <w:tmpl w:val="9CA26F32"/>
    <w:styleLink w:val="ImportedStyle124"/>
    <w:lvl w:ilvl="0" w:tplc="37BEEB3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2883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803D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72AF7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F2CC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C4ED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D6C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B6C5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D8E1D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3BA97AA5"/>
    <w:multiLevelType w:val="hybridMultilevel"/>
    <w:tmpl w:val="49AA6148"/>
    <w:numStyleLink w:val="ImportedStyle51"/>
  </w:abstractNum>
  <w:abstractNum w:abstractNumId="146" w15:restartNumberingAfterBreak="0">
    <w:nsid w:val="3BF308A7"/>
    <w:multiLevelType w:val="hybridMultilevel"/>
    <w:tmpl w:val="04128108"/>
    <w:numStyleLink w:val="ImportedStyle67"/>
  </w:abstractNum>
  <w:abstractNum w:abstractNumId="147" w15:restartNumberingAfterBreak="0">
    <w:nsid w:val="3C717E40"/>
    <w:multiLevelType w:val="hybridMultilevel"/>
    <w:tmpl w:val="819A95FC"/>
    <w:styleLink w:val="ImportedStyle15"/>
    <w:lvl w:ilvl="0" w:tplc="4C1660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2E39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7CF53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B6E31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27D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BF6F8C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E598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B89C7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A52049E">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3CA11FE1"/>
    <w:multiLevelType w:val="hybridMultilevel"/>
    <w:tmpl w:val="89981E14"/>
    <w:styleLink w:val="ImportedStyle49"/>
    <w:lvl w:ilvl="0" w:tplc="3BAA7AA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E47FA6">
      <w:start w:val="1"/>
      <w:numFmt w:val="bullet"/>
      <w:lvlText w:val="o"/>
      <w:lvlJc w:val="left"/>
      <w:pPr>
        <w:tabs>
          <w:tab w:val="left" w:pos="720"/>
        </w:tabs>
        <w:ind w:left="144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F25842">
      <w:start w:val="1"/>
      <w:numFmt w:val="bullet"/>
      <w:lvlText w:val="▪"/>
      <w:lvlJc w:val="left"/>
      <w:pPr>
        <w:tabs>
          <w:tab w:val="left" w:pos="720"/>
        </w:tabs>
        <w:ind w:left="21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481FE0">
      <w:start w:val="1"/>
      <w:numFmt w:val="bullet"/>
      <w:lvlText w:val="·"/>
      <w:lvlJc w:val="left"/>
      <w:pPr>
        <w:tabs>
          <w:tab w:val="left" w:pos="720"/>
        </w:tabs>
        <w:ind w:left="288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8E9938">
      <w:start w:val="1"/>
      <w:numFmt w:val="bullet"/>
      <w:lvlText w:val="o"/>
      <w:lvlJc w:val="left"/>
      <w:pPr>
        <w:tabs>
          <w:tab w:val="left" w:pos="720"/>
        </w:tabs>
        <w:ind w:left="360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86175A">
      <w:start w:val="1"/>
      <w:numFmt w:val="bullet"/>
      <w:lvlText w:val="▪"/>
      <w:lvlJc w:val="left"/>
      <w:pPr>
        <w:tabs>
          <w:tab w:val="left" w:pos="720"/>
        </w:tabs>
        <w:ind w:left="432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D041E6">
      <w:start w:val="1"/>
      <w:numFmt w:val="bullet"/>
      <w:lvlText w:val="·"/>
      <w:lvlJc w:val="left"/>
      <w:pPr>
        <w:tabs>
          <w:tab w:val="left" w:pos="720"/>
        </w:tabs>
        <w:ind w:left="504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0C4DAA">
      <w:start w:val="1"/>
      <w:numFmt w:val="bullet"/>
      <w:lvlText w:val="o"/>
      <w:lvlJc w:val="left"/>
      <w:pPr>
        <w:tabs>
          <w:tab w:val="left" w:pos="720"/>
        </w:tabs>
        <w:ind w:left="57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7EE452">
      <w:start w:val="1"/>
      <w:numFmt w:val="bullet"/>
      <w:lvlText w:val="▪"/>
      <w:lvlJc w:val="left"/>
      <w:pPr>
        <w:tabs>
          <w:tab w:val="left" w:pos="720"/>
        </w:tabs>
        <w:ind w:left="648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9" w15:restartNumberingAfterBreak="0">
    <w:nsid w:val="3CDB6DDF"/>
    <w:multiLevelType w:val="hybridMultilevel"/>
    <w:tmpl w:val="369AF984"/>
    <w:numStyleLink w:val="ImportedStyle64"/>
  </w:abstractNum>
  <w:abstractNum w:abstractNumId="150" w15:restartNumberingAfterBreak="0">
    <w:nsid w:val="3CF117B8"/>
    <w:multiLevelType w:val="hybridMultilevel"/>
    <w:tmpl w:val="6E0AE508"/>
    <w:numStyleLink w:val="ImportedStyle71"/>
  </w:abstractNum>
  <w:abstractNum w:abstractNumId="151" w15:restartNumberingAfterBreak="0">
    <w:nsid w:val="3CF41110"/>
    <w:multiLevelType w:val="hybridMultilevel"/>
    <w:tmpl w:val="AB7AF8EC"/>
    <w:numStyleLink w:val="ImportedStyle120"/>
  </w:abstractNum>
  <w:abstractNum w:abstractNumId="152" w15:restartNumberingAfterBreak="0">
    <w:nsid w:val="3E515D4E"/>
    <w:multiLevelType w:val="hybridMultilevel"/>
    <w:tmpl w:val="9F620ED8"/>
    <w:numStyleLink w:val="ImportedStyle104"/>
  </w:abstractNum>
  <w:abstractNum w:abstractNumId="153" w15:restartNumberingAfterBreak="0">
    <w:nsid w:val="3E8D5A5C"/>
    <w:multiLevelType w:val="hybridMultilevel"/>
    <w:tmpl w:val="88E65394"/>
    <w:styleLink w:val="ImportedStyle48"/>
    <w:lvl w:ilvl="0" w:tplc="BB32DF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FD6555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AE8D4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D0575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28230F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34A16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67D9E">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3C645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A68FAB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4" w15:restartNumberingAfterBreak="0">
    <w:nsid w:val="3F056E38"/>
    <w:multiLevelType w:val="hybridMultilevel"/>
    <w:tmpl w:val="356CD198"/>
    <w:styleLink w:val="ImportedStyle41"/>
    <w:lvl w:ilvl="0" w:tplc="2A1AB15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D6E8A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3200C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6EAA05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6E224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3D274F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AD8A30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5258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80DC4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5" w15:restartNumberingAfterBreak="0">
    <w:nsid w:val="3FE33B42"/>
    <w:multiLevelType w:val="hybridMultilevel"/>
    <w:tmpl w:val="36920CE0"/>
    <w:styleLink w:val="ImportedStyle6"/>
    <w:lvl w:ilvl="0" w:tplc="5D96A03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42625F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04A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8F08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049A9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45EA1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4462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7ED92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10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40AC4B77"/>
    <w:multiLevelType w:val="hybridMultilevel"/>
    <w:tmpl w:val="C64CC6A8"/>
    <w:styleLink w:val="ImportedStyle57"/>
    <w:lvl w:ilvl="0" w:tplc="988EF20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244EF6">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26740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96CAD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2AE9A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E6BA3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2C90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B88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E6A9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40FA0416"/>
    <w:multiLevelType w:val="hybridMultilevel"/>
    <w:tmpl w:val="2174DD90"/>
    <w:numStyleLink w:val="ImportedStyle35"/>
  </w:abstractNum>
  <w:abstractNum w:abstractNumId="158" w15:restartNumberingAfterBreak="0">
    <w:nsid w:val="414D77D2"/>
    <w:multiLevelType w:val="hybridMultilevel"/>
    <w:tmpl w:val="25DCBB5C"/>
    <w:styleLink w:val="ImportedStyle11"/>
    <w:lvl w:ilvl="0" w:tplc="42CE37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FCA2B5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7722C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72C9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63698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EC2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BEF2A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E4E9A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23C7F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42771844"/>
    <w:multiLevelType w:val="hybridMultilevel"/>
    <w:tmpl w:val="5C26A3D6"/>
    <w:styleLink w:val="ImportedStyle45"/>
    <w:lvl w:ilvl="0" w:tplc="B8E0F7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18E6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F49AD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5610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527C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2FE9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D440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3EAA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6007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42A45CB5"/>
    <w:multiLevelType w:val="hybridMultilevel"/>
    <w:tmpl w:val="BBF4F20A"/>
    <w:styleLink w:val="ImportedStyle1"/>
    <w:lvl w:ilvl="0" w:tplc="F02C46B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3EB3B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0020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24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9B2C5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C80E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28F50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3855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14680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42E91C62"/>
    <w:multiLevelType w:val="hybridMultilevel"/>
    <w:tmpl w:val="B96E3522"/>
    <w:numStyleLink w:val="ImportedStyle118"/>
  </w:abstractNum>
  <w:abstractNum w:abstractNumId="162" w15:restartNumberingAfterBreak="0">
    <w:nsid w:val="43387C59"/>
    <w:multiLevelType w:val="hybridMultilevel"/>
    <w:tmpl w:val="5C42DE3C"/>
    <w:styleLink w:val="ImportedStyle50"/>
    <w:lvl w:ilvl="0" w:tplc="2B26CC3E">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68602">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D86754">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5CA200E">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0297E2">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C2580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04EBF9E">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8F702">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8C7936">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433B602C"/>
    <w:multiLevelType w:val="hybridMultilevel"/>
    <w:tmpl w:val="86723BCC"/>
    <w:styleLink w:val="ImportedStyle3"/>
    <w:lvl w:ilvl="0" w:tplc="79D8B16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1B061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1D64E6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62140C4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7FAF5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F052F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D46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CC7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9AC09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438C1FD9"/>
    <w:multiLevelType w:val="hybridMultilevel"/>
    <w:tmpl w:val="F9DC0000"/>
    <w:styleLink w:val="ImportedStyle26"/>
    <w:lvl w:ilvl="0" w:tplc="7FB4BCE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B8B8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F2C5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16A9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6097F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CFE5B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EA2B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7B876C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0B0D6A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43CC2AAC"/>
    <w:multiLevelType w:val="hybridMultilevel"/>
    <w:tmpl w:val="99861332"/>
    <w:styleLink w:val="ImportedStyle88"/>
    <w:lvl w:ilvl="0" w:tplc="BBFE9D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5342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04EE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1028F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2204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06E6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C104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56AF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F7097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6" w15:restartNumberingAfterBreak="0">
    <w:nsid w:val="44430C52"/>
    <w:multiLevelType w:val="hybridMultilevel"/>
    <w:tmpl w:val="BAACFC30"/>
    <w:styleLink w:val="ImportedStyle134"/>
    <w:lvl w:ilvl="0" w:tplc="7AAA4B7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1AD0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476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8095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F418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B643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D83B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AC6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C2E41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44942DC3"/>
    <w:multiLevelType w:val="hybridMultilevel"/>
    <w:tmpl w:val="83364B18"/>
    <w:styleLink w:val="ImportedStyle140"/>
    <w:lvl w:ilvl="0" w:tplc="4F8AD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DAB0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23A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4A400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4D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C44BC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EE0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6A15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D0A9D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44A77B56"/>
    <w:multiLevelType w:val="hybridMultilevel"/>
    <w:tmpl w:val="BAE2DEB6"/>
    <w:styleLink w:val="ImportedStyle20"/>
    <w:lvl w:ilvl="0" w:tplc="93442988">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62F13A">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6BBF8">
      <w:start w:val="1"/>
      <w:numFmt w:val="lowerRoman"/>
      <w:lvlText w:val="%3."/>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718F364">
      <w:start w:val="1"/>
      <w:numFmt w:val="decimal"/>
      <w:lvlText w:val="%4."/>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84F92A">
      <w:start w:val="1"/>
      <w:numFmt w:val="lowerLetter"/>
      <w:lvlText w:val="%5."/>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1CDABE">
      <w:start w:val="1"/>
      <w:numFmt w:val="lowerRoman"/>
      <w:lvlText w:val="%6."/>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822E944">
      <w:start w:val="1"/>
      <w:numFmt w:val="decimal"/>
      <w:lvlText w:val="%7."/>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72C12E">
      <w:start w:val="1"/>
      <w:numFmt w:val="lowerLetter"/>
      <w:lvlText w:val="%8."/>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6AA44">
      <w:start w:val="1"/>
      <w:numFmt w:val="lowerRoman"/>
      <w:lvlText w:val="%9."/>
      <w:lvlJc w:val="left"/>
      <w:pPr>
        <w:ind w:left="4323"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450A6001"/>
    <w:multiLevelType w:val="hybridMultilevel"/>
    <w:tmpl w:val="CD8C01A6"/>
    <w:numStyleLink w:val="ImportedStyle75"/>
  </w:abstractNum>
  <w:abstractNum w:abstractNumId="170" w15:restartNumberingAfterBreak="0">
    <w:nsid w:val="454249CF"/>
    <w:multiLevelType w:val="hybridMultilevel"/>
    <w:tmpl w:val="9E3E2E12"/>
    <w:styleLink w:val="ImportedStyle28"/>
    <w:lvl w:ilvl="0" w:tplc="B6901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3D0287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166BDD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6639C4">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218343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C0ABA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0CA76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D9CD8C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0C9F7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45FD3EA8"/>
    <w:multiLevelType w:val="hybridMultilevel"/>
    <w:tmpl w:val="C7FA37D4"/>
    <w:styleLink w:val="ImportedStyle53"/>
    <w:lvl w:ilvl="0" w:tplc="1FD0C3FA">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18ADE6">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C0B946">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516A2A8">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56C228">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7A562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F3228FC">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E61A3C">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643A8">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49CC669A"/>
    <w:multiLevelType w:val="hybridMultilevel"/>
    <w:tmpl w:val="A112C0A0"/>
    <w:numStyleLink w:val="ImportedStyle52"/>
  </w:abstractNum>
  <w:abstractNum w:abstractNumId="173" w15:restartNumberingAfterBreak="0">
    <w:nsid w:val="49D242E5"/>
    <w:multiLevelType w:val="hybridMultilevel"/>
    <w:tmpl w:val="2236BBA8"/>
    <w:numStyleLink w:val="ImportedStyle114"/>
  </w:abstractNum>
  <w:abstractNum w:abstractNumId="174" w15:restartNumberingAfterBreak="0">
    <w:nsid w:val="4A2F2261"/>
    <w:multiLevelType w:val="hybridMultilevel"/>
    <w:tmpl w:val="2070E758"/>
    <w:numStyleLink w:val="ImportedStyle59"/>
  </w:abstractNum>
  <w:abstractNum w:abstractNumId="175" w15:restartNumberingAfterBreak="0">
    <w:nsid w:val="4A542E70"/>
    <w:multiLevelType w:val="hybridMultilevel"/>
    <w:tmpl w:val="BAE2DEB6"/>
    <w:numStyleLink w:val="ImportedStyle20"/>
  </w:abstractNum>
  <w:abstractNum w:abstractNumId="176" w15:restartNumberingAfterBreak="0">
    <w:nsid w:val="4AB07C06"/>
    <w:multiLevelType w:val="hybridMultilevel"/>
    <w:tmpl w:val="AB7AF8EC"/>
    <w:styleLink w:val="ImportedStyle120"/>
    <w:lvl w:ilvl="0" w:tplc="28DCD8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022A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7803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FFAE2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64AA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B0967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806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2FD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658521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4B251BF9"/>
    <w:multiLevelType w:val="hybridMultilevel"/>
    <w:tmpl w:val="B568D658"/>
    <w:styleLink w:val="ImportedStyle9"/>
    <w:lvl w:ilvl="0" w:tplc="7EBC78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B0C9C3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7A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E2407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E2F0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E6F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AE80D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CE365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71AEB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8" w15:restartNumberingAfterBreak="0">
    <w:nsid w:val="4B51393D"/>
    <w:multiLevelType w:val="hybridMultilevel"/>
    <w:tmpl w:val="091002DA"/>
    <w:numStyleLink w:val="ImportedStyle86"/>
  </w:abstractNum>
  <w:abstractNum w:abstractNumId="179" w15:restartNumberingAfterBreak="0">
    <w:nsid w:val="4B77554C"/>
    <w:multiLevelType w:val="hybridMultilevel"/>
    <w:tmpl w:val="EF787A78"/>
    <w:numStyleLink w:val="ImportedStyle117"/>
  </w:abstractNum>
  <w:abstractNum w:abstractNumId="180" w15:restartNumberingAfterBreak="0">
    <w:nsid w:val="4B960535"/>
    <w:multiLevelType w:val="hybridMultilevel"/>
    <w:tmpl w:val="E4342992"/>
    <w:styleLink w:val="ImportedStyle33"/>
    <w:lvl w:ilvl="0" w:tplc="235AA1D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E48344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765E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9C16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10CC4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17ED4B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1D896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CE25F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5A8ED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4C064D93"/>
    <w:multiLevelType w:val="hybridMultilevel"/>
    <w:tmpl w:val="9E3E2E12"/>
    <w:numStyleLink w:val="ImportedStyle28"/>
  </w:abstractNum>
  <w:abstractNum w:abstractNumId="182" w15:restartNumberingAfterBreak="0">
    <w:nsid w:val="4C3961E4"/>
    <w:multiLevelType w:val="hybridMultilevel"/>
    <w:tmpl w:val="D8FA88DE"/>
    <w:numStyleLink w:val="ImportedStyle54"/>
  </w:abstractNum>
  <w:abstractNum w:abstractNumId="183" w15:restartNumberingAfterBreak="0">
    <w:nsid w:val="4C662058"/>
    <w:multiLevelType w:val="hybridMultilevel"/>
    <w:tmpl w:val="2236BBA8"/>
    <w:styleLink w:val="ImportedStyle114"/>
    <w:lvl w:ilvl="0" w:tplc="B88A216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0AF48C">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493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20A0CD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EEF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7E403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82A8C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7E455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AF4B0">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4C727597"/>
    <w:multiLevelType w:val="hybridMultilevel"/>
    <w:tmpl w:val="83364B18"/>
    <w:numStyleLink w:val="ImportedStyle140"/>
  </w:abstractNum>
  <w:abstractNum w:abstractNumId="185" w15:restartNumberingAfterBreak="0">
    <w:nsid w:val="4D131923"/>
    <w:multiLevelType w:val="hybridMultilevel"/>
    <w:tmpl w:val="11B24F8A"/>
    <w:styleLink w:val="ImportedStyle55"/>
    <w:lvl w:ilvl="0" w:tplc="E0AE1F2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FE95CA">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B642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F8F9F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CABD2A">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9201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A8C88A">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BC7A0A">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780A2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6" w15:restartNumberingAfterBreak="0">
    <w:nsid w:val="4DAA39D3"/>
    <w:multiLevelType w:val="hybridMultilevel"/>
    <w:tmpl w:val="419EC5FE"/>
    <w:numStyleLink w:val="ImportedStyle22"/>
  </w:abstractNum>
  <w:abstractNum w:abstractNumId="187" w15:restartNumberingAfterBreak="0">
    <w:nsid w:val="4DE7662F"/>
    <w:multiLevelType w:val="hybridMultilevel"/>
    <w:tmpl w:val="B9546428"/>
    <w:styleLink w:val="ImportedStyle109"/>
    <w:lvl w:ilvl="0" w:tplc="D6A061A2">
      <w:start w:val="1"/>
      <w:numFmt w:val="bullet"/>
      <w:lvlText w:val="-"/>
      <w:lvlJc w:val="left"/>
      <w:pPr>
        <w:ind w:left="99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298B4A8">
      <w:start w:val="1"/>
      <w:numFmt w:val="bullet"/>
      <w:lvlText w:val="o"/>
      <w:lvlJc w:val="left"/>
      <w:pPr>
        <w:ind w:left="17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006F794">
      <w:start w:val="1"/>
      <w:numFmt w:val="bullet"/>
      <w:lvlText w:val="▪"/>
      <w:lvlJc w:val="left"/>
      <w:pPr>
        <w:ind w:left="24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229C80">
      <w:start w:val="1"/>
      <w:numFmt w:val="bullet"/>
      <w:lvlText w:val="•"/>
      <w:lvlJc w:val="left"/>
      <w:pPr>
        <w:ind w:left="315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78E976">
      <w:start w:val="1"/>
      <w:numFmt w:val="bullet"/>
      <w:lvlText w:val="o"/>
      <w:lvlJc w:val="left"/>
      <w:pPr>
        <w:ind w:left="387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7A662E2">
      <w:start w:val="1"/>
      <w:numFmt w:val="bullet"/>
      <w:lvlText w:val="▪"/>
      <w:lvlJc w:val="left"/>
      <w:pPr>
        <w:ind w:left="45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1A92DC">
      <w:start w:val="1"/>
      <w:numFmt w:val="bullet"/>
      <w:lvlText w:val="•"/>
      <w:lvlJc w:val="left"/>
      <w:pPr>
        <w:ind w:left="53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C6AF87A">
      <w:start w:val="1"/>
      <w:numFmt w:val="bullet"/>
      <w:lvlText w:val="o"/>
      <w:lvlJc w:val="left"/>
      <w:pPr>
        <w:ind w:left="603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7A58B6">
      <w:start w:val="1"/>
      <w:numFmt w:val="bullet"/>
      <w:lvlText w:val="▪"/>
      <w:lvlJc w:val="left"/>
      <w:pPr>
        <w:ind w:left="67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4E3B735F"/>
    <w:multiLevelType w:val="hybridMultilevel"/>
    <w:tmpl w:val="8E12B894"/>
    <w:numStyleLink w:val="ImportedStyle111"/>
  </w:abstractNum>
  <w:abstractNum w:abstractNumId="189" w15:restartNumberingAfterBreak="0">
    <w:nsid w:val="4FF51FB8"/>
    <w:multiLevelType w:val="hybridMultilevel"/>
    <w:tmpl w:val="FA0C41A2"/>
    <w:styleLink w:val="ImportedStyle106"/>
    <w:lvl w:ilvl="0" w:tplc="456A42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0CFA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24058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2CA8A5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43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16850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3987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CB2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F6873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515E49A7"/>
    <w:multiLevelType w:val="hybridMultilevel"/>
    <w:tmpl w:val="34AE72B8"/>
    <w:numStyleLink w:val="ImportedStyle68"/>
  </w:abstractNum>
  <w:abstractNum w:abstractNumId="191" w15:restartNumberingAfterBreak="0">
    <w:nsid w:val="51C66C04"/>
    <w:multiLevelType w:val="hybridMultilevel"/>
    <w:tmpl w:val="272C3CB8"/>
    <w:styleLink w:val="ImportedStyle135"/>
    <w:lvl w:ilvl="0" w:tplc="D280114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2D6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CE201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D4A5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C89E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2CB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1EFB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20F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5E1C6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521D6A2F"/>
    <w:multiLevelType w:val="hybridMultilevel"/>
    <w:tmpl w:val="A3F80D6A"/>
    <w:styleLink w:val="ImportedStyle77"/>
    <w:lvl w:ilvl="0" w:tplc="E996CD70">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220E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B63B0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91CA7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C89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3641C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614A4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EDC29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B54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3" w15:restartNumberingAfterBreak="0">
    <w:nsid w:val="532C17DE"/>
    <w:multiLevelType w:val="hybridMultilevel"/>
    <w:tmpl w:val="9CF039C8"/>
    <w:numStyleLink w:val="ImportedStyle69"/>
  </w:abstractNum>
  <w:abstractNum w:abstractNumId="194" w15:restartNumberingAfterBreak="0">
    <w:nsid w:val="536F1DF1"/>
    <w:multiLevelType w:val="hybridMultilevel"/>
    <w:tmpl w:val="FB221008"/>
    <w:numStyleLink w:val="ImportedStyle56"/>
  </w:abstractNum>
  <w:abstractNum w:abstractNumId="195" w15:restartNumberingAfterBreak="0">
    <w:nsid w:val="53F53251"/>
    <w:multiLevelType w:val="hybridMultilevel"/>
    <w:tmpl w:val="0B5ACD98"/>
    <w:numStyleLink w:val="ImportedStyle129"/>
  </w:abstractNum>
  <w:abstractNum w:abstractNumId="196" w15:restartNumberingAfterBreak="0">
    <w:nsid w:val="543122E3"/>
    <w:multiLevelType w:val="hybridMultilevel"/>
    <w:tmpl w:val="124AE1AE"/>
    <w:styleLink w:val="ImportedStyle36"/>
    <w:lvl w:ilvl="0" w:tplc="5FAE0CBE">
      <w:start w:val="1"/>
      <w:numFmt w:val="arabicAbjad"/>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EA3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4E4D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FCE3F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BC05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7EBC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15C43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221D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9604B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7" w15:restartNumberingAfterBreak="0">
    <w:nsid w:val="54656077"/>
    <w:multiLevelType w:val="hybridMultilevel"/>
    <w:tmpl w:val="0A8861D8"/>
    <w:styleLink w:val="ImportedStyle10"/>
    <w:lvl w:ilvl="0" w:tplc="2C18DEF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A1E08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569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E2350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6FE36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6CEB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EB94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C85D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8FC08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8" w15:restartNumberingAfterBreak="0">
    <w:nsid w:val="5497706A"/>
    <w:multiLevelType w:val="hybridMultilevel"/>
    <w:tmpl w:val="D6A87B30"/>
    <w:styleLink w:val="ImportedStyle60"/>
    <w:lvl w:ilvl="0" w:tplc="53C2CA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1EFD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5680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3AB8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AA89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0AEEB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70BC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88AD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0288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9" w15:restartNumberingAfterBreak="0">
    <w:nsid w:val="54AF7498"/>
    <w:multiLevelType w:val="hybridMultilevel"/>
    <w:tmpl w:val="590A5884"/>
    <w:numStyleLink w:val="ImportedStyle125"/>
  </w:abstractNum>
  <w:abstractNum w:abstractNumId="200" w15:restartNumberingAfterBreak="0">
    <w:nsid w:val="54E63CAF"/>
    <w:multiLevelType w:val="hybridMultilevel"/>
    <w:tmpl w:val="0A8861D8"/>
    <w:numStyleLink w:val="ImportedStyle10"/>
  </w:abstractNum>
  <w:abstractNum w:abstractNumId="201" w15:restartNumberingAfterBreak="0">
    <w:nsid w:val="55893883"/>
    <w:multiLevelType w:val="hybridMultilevel"/>
    <w:tmpl w:val="68CCC874"/>
    <w:styleLink w:val="ImportedStyle93"/>
    <w:lvl w:ilvl="0" w:tplc="96FA9B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FCB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C585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5BEA8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BE2C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1AAA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5E18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7AA0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2859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2" w15:restartNumberingAfterBreak="0">
    <w:nsid w:val="559201C4"/>
    <w:multiLevelType w:val="hybridMultilevel"/>
    <w:tmpl w:val="E1D07BC4"/>
    <w:styleLink w:val="ImportedStyle115"/>
    <w:lvl w:ilvl="0" w:tplc="9D1482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E03D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28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41AE8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50F3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A653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D4254F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A2BE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04EB6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15:restartNumberingAfterBreak="0">
    <w:nsid w:val="55E218C2"/>
    <w:multiLevelType w:val="hybridMultilevel"/>
    <w:tmpl w:val="0E0AE4F8"/>
    <w:styleLink w:val="ImportedStyle42"/>
    <w:lvl w:ilvl="0" w:tplc="B964B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5681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530C1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3883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11E30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3B6B0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EE56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DE0F8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64E7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4" w15:restartNumberingAfterBreak="0">
    <w:nsid w:val="55F903CD"/>
    <w:multiLevelType w:val="hybridMultilevel"/>
    <w:tmpl w:val="111CBF4E"/>
    <w:styleLink w:val="ImportedStyle34"/>
    <w:lvl w:ilvl="0" w:tplc="C36EFD2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E6CA8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768677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F3AE6D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14F8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6AB0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DE8E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80D2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EEFA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5" w15:restartNumberingAfterBreak="0">
    <w:nsid w:val="56717644"/>
    <w:multiLevelType w:val="hybridMultilevel"/>
    <w:tmpl w:val="5942959A"/>
    <w:numStyleLink w:val="ImportedStyle136"/>
  </w:abstractNum>
  <w:abstractNum w:abstractNumId="206" w15:restartNumberingAfterBreak="0">
    <w:nsid w:val="56EB3998"/>
    <w:multiLevelType w:val="hybridMultilevel"/>
    <w:tmpl w:val="96ACEA14"/>
    <w:numStyleLink w:val="ImportedStyle24"/>
  </w:abstractNum>
  <w:abstractNum w:abstractNumId="207" w15:restartNumberingAfterBreak="0">
    <w:nsid w:val="574B21D3"/>
    <w:multiLevelType w:val="hybridMultilevel"/>
    <w:tmpl w:val="8B2CB5A4"/>
    <w:styleLink w:val="ImportedStyle85"/>
    <w:lvl w:ilvl="0" w:tplc="04F0B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F0BA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AA9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4C4B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AC695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268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7CD5E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81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47B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575103B4"/>
    <w:multiLevelType w:val="hybridMultilevel"/>
    <w:tmpl w:val="9B08F6F0"/>
    <w:styleLink w:val="ImportedStyle5"/>
    <w:lvl w:ilvl="0" w:tplc="0EDC5808">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9E6C27F4">
      <w:start w:val="1"/>
      <w:numFmt w:val="bullet"/>
      <w:lvlText w:val="-"/>
      <w:lvlJc w:val="left"/>
      <w:pPr>
        <w:ind w:left="10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0CFEBB54">
      <w:start w:val="1"/>
      <w:numFmt w:val="bullet"/>
      <w:lvlText w:val="-"/>
      <w:lvlJc w:val="left"/>
      <w:pPr>
        <w:ind w:left="18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76265D2">
      <w:start w:val="1"/>
      <w:numFmt w:val="bullet"/>
      <w:lvlText w:val="-"/>
      <w:lvlJc w:val="left"/>
      <w:pPr>
        <w:ind w:left="25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49A69DC">
      <w:start w:val="1"/>
      <w:numFmt w:val="bullet"/>
      <w:lvlText w:val="-"/>
      <w:lvlJc w:val="left"/>
      <w:pPr>
        <w:ind w:left="32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997830A6">
      <w:start w:val="1"/>
      <w:numFmt w:val="bullet"/>
      <w:lvlText w:val="-"/>
      <w:lvlJc w:val="left"/>
      <w:pPr>
        <w:ind w:left="396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420979C">
      <w:start w:val="1"/>
      <w:numFmt w:val="bullet"/>
      <w:lvlText w:val="-"/>
      <w:lvlJc w:val="left"/>
      <w:pPr>
        <w:ind w:left="46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A5647FF8">
      <w:start w:val="1"/>
      <w:numFmt w:val="bullet"/>
      <w:lvlText w:val="-"/>
      <w:lvlJc w:val="left"/>
      <w:pPr>
        <w:ind w:left="54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E3781E44">
      <w:start w:val="1"/>
      <w:numFmt w:val="bullet"/>
      <w:lvlText w:val="-"/>
      <w:lvlJc w:val="left"/>
      <w:pPr>
        <w:ind w:left="61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09" w15:restartNumberingAfterBreak="0">
    <w:nsid w:val="57B04863"/>
    <w:multiLevelType w:val="hybridMultilevel"/>
    <w:tmpl w:val="AD68DA28"/>
    <w:numStyleLink w:val="ImportedStyle30"/>
  </w:abstractNum>
  <w:abstractNum w:abstractNumId="210" w15:restartNumberingAfterBreak="0">
    <w:nsid w:val="57C744A4"/>
    <w:multiLevelType w:val="hybridMultilevel"/>
    <w:tmpl w:val="081A5074"/>
    <w:numStyleLink w:val="ImportedStyle74"/>
  </w:abstractNum>
  <w:abstractNum w:abstractNumId="211" w15:restartNumberingAfterBreak="0">
    <w:nsid w:val="57F8103E"/>
    <w:multiLevelType w:val="hybridMultilevel"/>
    <w:tmpl w:val="96ACEA14"/>
    <w:styleLink w:val="ImportedStyle24"/>
    <w:lvl w:ilvl="0" w:tplc="942E0C86">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12687D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66E83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0E0AD1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A264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72E4E8E">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34365306">
      <w:start w:val="1"/>
      <w:numFmt w:val="decimal"/>
      <w:lvlText w:val="%7."/>
      <w:lvlJc w:val="left"/>
      <w:pPr>
        <w:ind w:left="69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8B805278">
      <w:start w:val="1"/>
      <w:numFmt w:val="lowerLetter"/>
      <w:lvlText w:val="%8."/>
      <w:lvlJc w:val="left"/>
      <w:pPr>
        <w:ind w:left="141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2372153E">
      <w:start w:val="1"/>
      <w:numFmt w:val="lowerRoman"/>
      <w:lvlText w:val="%9."/>
      <w:lvlJc w:val="left"/>
      <w:pPr>
        <w:ind w:left="2137" w:hanging="287"/>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212" w15:restartNumberingAfterBreak="0">
    <w:nsid w:val="595D0B4E"/>
    <w:multiLevelType w:val="hybridMultilevel"/>
    <w:tmpl w:val="A16E8B4A"/>
    <w:styleLink w:val="ImportedStyle2"/>
    <w:lvl w:ilvl="0" w:tplc="096A78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A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CAA7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08A1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4E47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C2ED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88807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CAF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BE4A3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3" w15:restartNumberingAfterBreak="0">
    <w:nsid w:val="596C4262"/>
    <w:multiLevelType w:val="hybridMultilevel"/>
    <w:tmpl w:val="DCFC2BA6"/>
    <w:styleLink w:val="ImportedStyle122"/>
    <w:lvl w:ilvl="0" w:tplc="F1085D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C4B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54FE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F66A6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ECFE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0AB5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EC2FA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3A5D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C293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4" w15:restartNumberingAfterBreak="0">
    <w:nsid w:val="598E5AB5"/>
    <w:multiLevelType w:val="hybridMultilevel"/>
    <w:tmpl w:val="14E87B36"/>
    <w:styleLink w:val="ImportedStyle63"/>
    <w:lvl w:ilvl="0" w:tplc="4E6CDBF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CE15A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FA2D4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264E54">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4EEB88">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8D27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FCE4D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169DD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0622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5" w15:restartNumberingAfterBreak="0">
    <w:nsid w:val="5A872ED4"/>
    <w:multiLevelType w:val="hybridMultilevel"/>
    <w:tmpl w:val="868C50D4"/>
    <w:styleLink w:val="ImportedStyle100"/>
    <w:lvl w:ilvl="0" w:tplc="60145DD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32BD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D36BE2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A12E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282946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4CC0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20B85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BD8F63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94E53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6" w15:restartNumberingAfterBreak="0">
    <w:nsid w:val="5ABA4BAB"/>
    <w:multiLevelType w:val="hybridMultilevel"/>
    <w:tmpl w:val="3692C87A"/>
    <w:styleLink w:val="ImportedStyle101"/>
    <w:lvl w:ilvl="0" w:tplc="9302599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A282B0">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EAA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CE011A">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C5A92">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D6AF9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A166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4CEC3E">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9CB0F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7" w15:restartNumberingAfterBreak="0">
    <w:nsid w:val="5B6B59E9"/>
    <w:multiLevelType w:val="hybridMultilevel"/>
    <w:tmpl w:val="1AB4CBA4"/>
    <w:styleLink w:val="ImportedStyle72"/>
    <w:lvl w:ilvl="0" w:tplc="F87A07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DAA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3A157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66AE7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7456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8AB2B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CAE8A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E6E6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2791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8" w15:restartNumberingAfterBreak="0">
    <w:nsid w:val="5C27175A"/>
    <w:multiLevelType w:val="hybridMultilevel"/>
    <w:tmpl w:val="16368280"/>
    <w:styleLink w:val="ImportedStyle91"/>
    <w:lvl w:ilvl="0" w:tplc="0DBC630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3F8AC36">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3024C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82CA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772D77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B4BCF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A4734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BCBAE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8FCAAF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9" w15:restartNumberingAfterBreak="0">
    <w:nsid w:val="5C432F0A"/>
    <w:multiLevelType w:val="hybridMultilevel"/>
    <w:tmpl w:val="B6602150"/>
    <w:styleLink w:val="ImportedStyle8"/>
    <w:lvl w:ilvl="0" w:tplc="4B1E0F9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1EB42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67604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64B4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7B82F8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EAF2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663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44EC2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F2A7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0" w15:restartNumberingAfterBreak="0">
    <w:nsid w:val="5CA26CC2"/>
    <w:multiLevelType w:val="hybridMultilevel"/>
    <w:tmpl w:val="1BB09272"/>
    <w:styleLink w:val="ImportedStyle119"/>
    <w:lvl w:ilvl="0" w:tplc="99A03F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0F7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0B05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DA48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A4D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CC141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F6BA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87A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DAE7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1" w15:restartNumberingAfterBreak="0">
    <w:nsid w:val="5D670511"/>
    <w:multiLevelType w:val="hybridMultilevel"/>
    <w:tmpl w:val="2070E758"/>
    <w:styleLink w:val="ImportedStyle59"/>
    <w:lvl w:ilvl="0" w:tplc="BDCE089A">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F0FA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788A4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CEB47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3C09E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3ADC5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E02DB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986D3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A543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5E441272"/>
    <w:multiLevelType w:val="hybridMultilevel"/>
    <w:tmpl w:val="A20065F4"/>
    <w:styleLink w:val="ImportedStyle46"/>
    <w:lvl w:ilvl="0" w:tplc="BDE6B27C">
      <w:start w:val="1"/>
      <w:numFmt w:val="arabicAbjad"/>
      <w:lvlText w:val="%1."/>
      <w:lvlJc w:val="left"/>
      <w:pPr>
        <w:ind w:left="99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689E78">
      <w:start w:val="1"/>
      <w:numFmt w:val="lowerLetter"/>
      <w:lvlText w:val="%2."/>
      <w:lvlJc w:val="left"/>
      <w:pPr>
        <w:ind w:left="17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C7586">
      <w:start w:val="1"/>
      <w:numFmt w:val="lowerRoman"/>
      <w:lvlText w:val="%3."/>
      <w:lvlJc w:val="left"/>
      <w:pPr>
        <w:ind w:left="243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3FCE112">
      <w:start w:val="1"/>
      <w:numFmt w:val="decimal"/>
      <w:lvlText w:val="%4."/>
      <w:lvlJc w:val="left"/>
      <w:pPr>
        <w:ind w:left="31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829C82">
      <w:start w:val="1"/>
      <w:numFmt w:val="lowerLetter"/>
      <w:lvlText w:val="%5."/>
      <w:lvlJc w:val="left"/>
      <w:pPr>
        <w:ind w:left="38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9E7FD0">
      <w:start w:val="1"/>
      <w:numFmt w:val="lowerRoman"/>
      <w:lvlText w:val="%6."/>
      <w:lvlJc w:val="left"/>
      <w:pPr>
        <w:ind w:left="459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ED4F64A">
      <w:start w:val="1"/>
      <w:numFmt w:val="decimal"/>
      <w:lvlText w:val="%7."/>
      <w:lvlJc w:val="left"/>
      <w:pPr>
        <w:ind w:left="53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2259B6">
      <w:start w:val="1"/>
      <w:numFmt w:val="lowerLetter"/>
      <w:lvlText w:val="%8."/>
      <w:lvlJc w:val="left"/>
      <w:pPr>
        <w:ind w:left="60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90B75E">
      <w:start w:val="1"/>
      <w:numFmt w:val="lowerRoman"/>
      <w:lvlText w:val="%9."/>
      <w:lvlJc w:val="left"/>
      <w:pPr>
        <w:ind w:left="675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3" w15:restartNumberingAfterBreak="0">
    <w:nsid w:val="5E7A2A77"/>
    <w:multiLevelType w:val="hybridMultilevel"/>
    <w:tmpl w:val="111CBF4E"/>
    <w:numStyleLink w:val="ImportedStyle34"/>
  </w:abstractNum>
  <w:abstractNum w:abstractNumId="224" w15:restartNumberingAfterBreak="0">
    <w:nsid w:val="61D57592"/>
    <w:multiLevelType w:val="hybridMultilevel"/>
    <w:tmpl w:val="8B825DCC"/>
    <w:styleLink w:val="ImportedStyle102"/>
    <w:lvl w:ilvl="0" w:tplc="D45C7B2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EE0F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2EEA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FCD09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849C0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68566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81E4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E04562">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21BC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62390129"/>
    <w:multiLevelType w:val="hybridMultilevel"/>
    <w:tmpl w:val="DFC407C6"/>
    <w:numStyleLink w:val="ImportedStyle29"/>
  </w:abstractNum>
  <w:abstractNum w:abstractNumId="226" w15:restartNumberingAfterBreak="0">
    <w:nsid w:val="623F4FC2"/>
    <w:multiLevelType w:val="hybridMultilevel"/>
    <w:tmpl w:val="04128108"/>
    <w:styleLink w:val="ImportedStyle67"/>
    <w:lvl w:ilvl="0" w:tplc="A28C7BB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B22324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3E3E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048E2A">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AF623A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42E9E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84B9A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E6575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558759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632600CE"/>
    <w:multiLevelType w:val="hybridMultilevel"/>
    <w:tmpl w:val="406E1D1A"/>
    <w:numStyleLink w:val="ImportedStyle12"/>
  </w:abstractNum>
  <w:abstractNum w:abstractNumId="228" w15:restartNumberingAfterBreak="0">
    <w:nsid w:val="639B019A"/>
    <w:multiLevelType w:val="hybridMultilevel"/>
    <w:tmpl w:val="F9DC0000"/>
    <w:numStyleLink w:val="ImportedStyle26"/>
  </w:abstractNum>
  <w:abstractNum w:abstractNumId="229" w15:restartNumberingAfterBreak="0">
    <w:nsid w:val="63CD70C0"/>
    <w:multiLevelType w:val="hybridMultilevel"/>
    <w:tmpl w:val="A72E30A8"/>
    <w:styleLink w:val="ImportedStyle38"/>
    <w:lvl w:ilvl="0" w:tplc="045CB06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B04FC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8A8611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64CB70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20213F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D812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3A63A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6AF9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36A44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0" w15:restartNumberingAfterBreak="0">
    <w:nsid w:val="647F1791"/>
    <w:multiLevelType w:val="hybridMultilevel"/>
    <w:tmpl w:val="B470CCF4"/>
    <w:numStyleLink w:val="ImportedStyle83"/>
  </w:abstractNum>
  <w:abstractNum w:abstractNumId="231" w15:restartNumberingAfterBreak="0">
    <w:nsid w:val="64D74B24"/>
    <w:multiLevelType w:val="hybridMultilevel"/>
    <w:tmpl w:val="BCAA45E6"/>
    <w:styleLink w:val="ImportedStyle19"/>
    <w:lvl w:ilvl="0" w:tplc="E0EC3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15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6223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D60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72E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E6DD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A805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3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70024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2" w15:restartNumberingAfterBreak="0">
    <w:nsid w:val="65EE1A96"/>
    <w:multiLevelType w:val="hybridMultilevel"/>
    <w:tmpl w:val="406E1D1A"/>
    <w:styleLink w:val="ImportedStyle12"/>
    <w:lvl w:ilvl="0" w:tplc="F1E226A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C56FA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90A5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949D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822E8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A4E0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883E5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2A94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60C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3" w15:restartNumberingAfterBreak="0">
    <w:nsid w:val="66687C69"/>
    <w:multiLevelType w:val="hybridMultilevel"/>
    <w:tmpl w:val="0BAE54B8"/>
    <w:numStyleLink w:val="ImportedStyle127"/>
  </w:abstractNum>
  <w:abstractNum w:abstractNumId="234" w15:restartNumberingAfterBreak="0">
    <w:nsid w:val="66866B3E"/>
    <w:multiLevelType w:val="hybridMultilevel"/>
    <w:tmpl w:val="0B5ACD98"/>
    <w:styleLink w:val="ImportedStyle129"/>
    <w:lvl w:ilvl="0" w:tplc="E39A129C">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A01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DAA3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3CE89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3CB8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6088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8A00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1029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DCFA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5" w15:restartNumberingAfterBreak="0">
    <w:nsid w:val="67090D9C"/>
    <w:multiLevelType w:val="hybridMultilevel"/>
    <w:tmpl w:val="AD5C285A"/>
    <w:styleLink w:val="ImportedStyle32"/>
    <w:lvl w:ilvl="0" w:tplc="56C89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C070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9638E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D0854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226F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ED7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09273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4D0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20E7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6" w15:restartNumberingAfterBreak="0">
    <w:nsid w:val="672258BB"/>
    <w:multiLevelType w:val="hybridMultilevel"/>
    <w:tmpl w:val="5C42DE3C"/>
    <w:numStyleLink w:val="ImportedStyle50"/>
  </w:abstractNum>
  <w:abstractNum w:abstractNumId="237" w15:restartNumberingAfterBreak="0">
    <w:nsid w:val="67487EE9"/>
    <w:multiLevelType w:val="hybridMultilevel"/>
    <w:tmpl w:val="E9F299D2"/>
    <w:numStyleLink w:val="ImportedStyle116"/>
  </w:abstractNum>
  <w:abstractNum w:abstractNumId="238" w15:restartNumberingAfterBreak="0">
    <w:nsid w:val="688B65CD"/>
    <w:multiLevelType w:val="hybridMultilevel"/>
    <w:tmpl w:val="A20065F4"/>
    <w:numStyleLink w:val="ImportedStyle46"/>
  </w:abstractNum>
  <w:abstractNum w:abstractNumId="239" w15:restartNumberingAfterBreak="0">
    <w:nsid w:val="68961AAD"/>
    <w:multiLevelType w:val="hybridMultilevel"/>
    <w:tmpl w:val="DAFA38EC"/>
    <w:numStyleLink w:val="ImportedStyle73"/>
  </w:abstractNum>
  <w:abstractNum w:abstractNumId="240" w15:restartNumberingAfterBreak="0">
    <w:nsid w:val="69CF6CF6"/>
    <w:multiLevelType w:val="hybridMultilevel"/>
    <w:tmpl w:val="A19C83F0"/>
    <w:numStyleLink w:val="ImportedStyle61"/>
  </w:abstractNum>
  <w:abstractNum w:abstractNumId="241" w15:restartNumberingAfterBreak="0">
    <w:nsid w:val="6A8C56BC"/>
    <w:multiLevelType w:val="hybridMultilevel"/>
    <w:tmpl w:val="52C84060"/>
    <w:styleLink w:val="ImportedStyle78"/>
    <w:lvl w:ilvl="0" w:tplc="FECA2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800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FCD0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0EAE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E80D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C7F2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7484F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10A5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5A86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2" w15:restartNumberingAfterBreak="0">
    <w:nsid w:val="6B957778"/>
    <w:multiLevelType w:val="hybridMultilevel"/>
    <w:tmpl w:val="C64CC6A8"/>
    <w:numStyleLink w:val="ImportedStyle57"/>
  </w:abstractNum>
  <w:abstractNum w:abstractNumId="243" w15:restartNumberingAfterBreak="0">
    <w:nsid w:val="6BA5698D"/>
    <w:multiLevelType w:val="hybridMultilevel"/>
    <w:tmpl w:val="1F764348"/>
    <w:numStyleLink w:val="ImportedStyle14"/>
  </w:abstractNum>
  <w:abstractNum w:abstractNumId="244" w15:restartNumberingAfterBreak="0">
    <w:nsid w:val="6CF128D9"/>
    <w:multiLevelType w:val="hybridMultilevel"/>
    <w:tmpl w:val="D4705628"/>
    <w:numStyleLink w:val="ImportedStyle130"/>
  </w:abstractNum>
  <w:abstractNum w:abstractNumId="245" w15:restartNumberingAfterBreak="0">
    <w:nsid w:val="6D244454"/>
    <w:multiLevelType w:val="hybridMultilevel"/>
    <w:tmpl w:val="913C413C"/>
    <w:numStyleLink w:val="ImportedStyle126"/>
  </w:abstractNum>
  <w:abstractNum w:abstractNumId="246" w15:restartNumberingAfterBreak="0">
    <w:nsid w:val="6DBA3A53"/>
    <w:multiLevelType w:val="hybridMultilevel"/>
    <w:tmpl w:val="7408E5A0"/>
    <w:styleLink w:val="ImportedStyle44"/>
    <w:lvl w:ilvl="0" w:tplc="BB96D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A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FE60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241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745B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5840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F276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2665E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4244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7" w15:restartNumberingAfterBreak="0">
    <w:nsid w:val="6DEA04EB"/>
    <w:multiLevelType w:val="hybridMultilevel"/>
    <w:tmpl w:val="97EA554E"/>
    <w:styleLink w:val="ImportedStyle131"/>
    <w:lvl w:ilvl="0" w:tplc="FF1C81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EA2F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E4B7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57A45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501C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8C98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BE21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CEBD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5C25E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8" w15:restartNumberingAfterBreak="0">
    <w:nsid w:val="6E213023"/>
    <w:multiLevelType w:val="hybridMultilevel"/>
    <w:tmpl w:val="D6A87B30"/>
    <w:numStyleLink w:val="ImportedStyle60"/>
  </w:abstractNum>
  <w:abstractNum w:abstractNumId="249" w15:restartNumberingAfterBreak="0">
    <w:nsid w:val="6E254522"/>
    <w:multiLevelType w:val="hybridMultilevel"/>
    <w:tmpl w:val="FB221008"/>
    <w:styleLink w:val="ImportedStyle56"/>
    <w:lvl w:ilvl="0" w:tplc="53DC8F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86F4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E0FC8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CA0DD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E5A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E6186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049C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CC4DEC">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6D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0" w15:restartNumberingAfterBreak="0">
    <w:nsid w:val="6E394AD3"/>
    <w:multiLevelType w:val="hybridMultilevel"/>
    <w:tmpl w:val="1BB09272"/>
    <w:numStyleLink w:val="ImportedStyle119"/>
  </w:abstractNum>
  <w:abstractNum w:abstractNumId="251" w15:restartNumberingAfterBreak="0">
    <w:nsid w:val="6E6E313A"/>
    <w:multiLevelType w:val="hybridMultilevel"/>
    <w:tmpl w:val="869A45BE"/>
    <w:styleLink w:val="ImportedStyle141"/>
    <w:lvl w:ilvl="0" w:tplc="1206E92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444EAE">
      <w:start w:val="1"/>
      <w:numFmt w:val="decimal"/>
      <w:lvlText w:val="%2."/>
      <w:lvlJc w:val="left"/>
      <w:pPr>
        <w:ind w:left="1680" w:hanging="600"/>
      </w:pPr>
      <w:rPr>
        <w:rFonts w:hAnsi="Arial Unicode MS"/>
        <w:caps w:val="0"/>
        <w:smallCaps w:val="0"/>
        <w:strike w:val="0"/>
        <w:dstrike w:val="0"/>
        <w:outline w:val="0"/>
        <w:emboss w:val="0"/>
        <w:imprint w:val="0"/>
        <w:spacing w:val="0"/>
        <w:w w:val="100"/>
        <w:kern w:val="0"/>
        <w:position w:val="0"/>
        <w:highlight w:val="none"/>
        <w:vertAlign w:val="baseline"/>
      </w:rPr>
    </w:lvl>
    <w:lvl w:ilvl="2" w:tplc="F094F3BE">
      <w:start w:val="1"/>
      <w:numFmt w:val="decimal"/>
      <w:lvlText w:val="%3."/>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74EAB5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D652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1234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7440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264F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DDF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2" w15:restartNumberingAfterBreak="0">
    <w:nsid w:val="6FDE572B"/>
    <w:multiLevelType w:val="hybridMultilevel"/>
    <w:tmpl w:val="0E0AE4F8"/>
    <w:numStyleLink w:val="ImportedStyle42"/>
  </w:abstractNum>
  <w:abstractNum w:abstractNumId="253" w15:restartNumberingAfterBreak="0">
    <w:nsid w:val="700B1A8A"/>
    <w:multiLevelType w:val="hybridMultilevel"/>
    <w:tmpl w:val="488EC068"/>
    <w:numStyleLink w:val="ImportedStyle133"/>
  </w:abstractNum>
  <w:abstractNum w:abstractNumId="254" w15:restartNumberingAfterBreak="0">
    <w:nsid w:val="70676E65"/>
    <w:multiLevelType w:val="hybridMultilevel"/>
    <w:tmpl w:val="D4DEE7F4"/>
    <w:styleLink w:val="ImportedStyle90"/>
    <w:lvl w:ilvl="0" w:tplc="2B6A0DC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048FC3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D9E6C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F0C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A6328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8D8B74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C76C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1D251FE">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034C4A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5" w15:restartNumberingAfterBreak="0">
    <w:nsid w:val="70E26526"/>
    <w:multiLevelType w:val="hybridMultilevel"/>
    <w:tmpl w:val="66D213F8"/>
    <w:styleLink w:val="ImportedStyle121"/>
    <w:lvl w:ilvl="0" w:tplc="5A246C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009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60564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0095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543C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3A940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6B211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DCC7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62ED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6" w15:restartNumberingAfterBreak="0">
    <w:nsid w:val="718F3BCC"/>
    <w:multiLevelType w:val="hybridMultilevel"/>
    <w:tmpl w:val="824863A6"/>
    <w:numStyleLink w:val="ImportedStyle47"/>
  </w:abstractNum>
  <w:abstractNum w:abstractNumId="257" w15:restartNumberingAfterBreak="0">
    <w:nsid w:val="72DE70E1"/>
    <w:multiLevelType w:val="hybridMultilevel"/>
    <w:tmpl w:val="CB762CA6"/>
    <w:numStyleLink w:val="ImportedStyle132"/>
  </w:abstractNum>
  <w:abstractNum w:abstractNumId="258" w15:restartNumberingAfterBreak="0">
    <w:nsid w:val="73B6620C"/>
    <w:multiLevelType w:val="hybridMultilevel"/>
    <w:tmpl w:val="97EA554E"/>
    <w:numStyleLink w:val="ImportedStyle131"/>
  </w:abstractNum>
  <w:abstractNum w:abstractNumId="259" w15:restartNumberingAfterBreak="0">
    <w:nsid w:val="73B94573"/>
    <w:multiLevelType w:val="hybridMultilevel"/>
    <w:tmpl w:val="A4EEAFAA"/>
    <w:numStyleLink w:val="ImportedStyle16"/>
  </w:abstractNum>
  <w:abstractNum w:abstractNumId="260" w15:restartNumberingAfterBreak="0">
    <w:nsid w:val="73CB0576"/>
    <w:multiLevelType w:val="hybridMultilevel"/>
    <w:tmpl w:val="4E2A2E3E"/>
    <w:styleLink w:val="ImportedStyle70"/>
    <w:lvl w:ilvl="0" w:tplc="7C5A01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20C0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140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0087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C0A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B273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78882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F654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3081B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1" w15:restartNumberingAfterBreak="0">
    <w:nsid w:val="73E57B10"/>
    <w:multiLevelType w:val="hybridMultilevel"/>
    <w:tmpl w:val="16368280"/>
    <w:numStyleLink w:val="ImportedStyle91"/>
  </w:abstractNum>
  <w:abstractNum w:abstractNumId="262" w15:restartNumberingAfterBreak="0">
    <w:nsid w:val="756279A0"/>
    <w:multiLevelType w:val="hybridMultilevel"/>
    <w:tmpl w:val="3692C87A"/>
    <w:numStyleLink w:val="ImportedStyle101"/>
  </w:abstractNum>
  <w:abstractNum w:abstractNumId="263" w15:restartNumberingAfterBreak="0">
    <w:nsid w:val="75FD4B43"/>
    <w:multiLevelType w:val="hybridMultilevel"/>
    <w:tmpl w:val="819A95FC"/>
    <w:numStyleLink w:val="ImportedStyle15"/>
  </w:abstractNum>
  <w:abstractNum w:abstractNumId="264" w15:restartNumberingAfterBreak="0">
    <w:nsid w:val="7647503D"/>
    <w:multiLevelType w:val="hybridMultilevel"/>
    <w:tmpl w:val="16227C5C"/>
    <w:styleLink w:val="ImportedStyle80"/>
    <w:lvl w:ilvl="0" w:tplc="4D6A477C">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D6ECA6">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B410F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2D496">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64B68">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9836E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2A924">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CA581E">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AEA74A">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5" w15:restartNumberingAfterBreak="0">
    <w:nsid w:val="76EC11E8"/>
    <w:multiLevelType w:val="hybridMultilevel"/>
    <w:tmpl w:val="FA0C41A2"/>
    <w:numStyleLink w:val="ImportedStyle106"/>
  </w:abstractNum>
  <w:abstractNum w:abstractNumId="266" w15:restartNumberingAfterBreak="0">
    <w:nsid w:val="77D212E0"/>
    <w:multiLevelType w:val="hybridMultilevel"/>
    <w:tmpl w:val="0096CAF2"/>
    <w:numStyleLink w:val="ImportedStyle76"/>
  </w:abstractNum>
  <w:abstractNum w:abstractNumId="267" w15:restartNumberingAfterBreak="0">
    <w:nsid w:val="77E44594"/>
    <w:multiLevelType w:val="hybridMultilevel"/>
    <w:tmpl w:val="68CCC874"/>
    <w:numStyleLink w:val="ImportedStyle93"/>
  </w:abstractNum>
  <w:abstractNum w:abstractNumId="268" w15:restartNumberingAfterBreak="0">
    <w:nsid w:val="786D448A"/>
    <w:multiLevelType w:val="hybridMultilevel"/>
    <w:tmpl w:val="3FB69FE2"/>
    <w:styleLink w:val="ImportedStyle25"/>
    <w:lvl w:ilvl="0" w:tplc="484285B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426B90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E1A99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8890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76599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35ED6D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E0320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5B6C12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068AFD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9" w15:restartNumberingAfterBreak="0">
    <w:nsid w:val="787338C0"/>
    <w:multiLevelType w:val="hybridMultilevel"/>
    <w:tmpl w:val="EA963F22"/>
    <w:numStyleLink w:val="ImportedStyle137"/>
  </w:abstractNum>
  <w:abstractNum w:abstractNumId="270" w15:restartNumberingAfterBreak="0">
    <w:nsid w:val="78745C8A"/>
    <w:multiLevelType w:val="hybridMultilevel"/>
    <w:tmpl w:val="FC888D22"/>
    <w:numStyleLink w:val="ImportedStyle27"/>
  </w:abstractNum>
  <w:abstractNum w:abstractNumId="271" w15:restartNumberingAfterBreak="0">
    <w:nsid w:val="79A61698"/>
    <w:multiLevelType w:val="hybridMultilevel"/>
    <w:tmpl w:val="E9F299D2"/>
    <w:styleLink w:val="ImportedStyle116"/>
    <w:lvl w:ilvl="0" w:tplc="95DCBF3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863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873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6EC1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A2C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601A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CAA7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5583E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783A9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2" w15:restartNumberingAfterBreak="0">
    <w:nsid w:val="7AD63B97"/>
    <w:multiLevelType w:val="hybridMultilevel"/>
    <w:tmpl w:val="AE0EEDA4"/>
    <w:styleLink w:val="ImportedStyle21"/>
    <w:lvl w:ilvl="0" w:tplc="4DC603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6E52E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2" w:tplc="7B7A9DF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C054F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4" w:tplc="1BEC88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5" w:tplc="A63CBBD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6" w:tplc="F946AF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7" w:tplc="6DE096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8" w:tplc="34FC2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abstractNum>
  <w:abstractNum w:abstractNumId="273" w15:restartNumberingAfterBreak="0">
    <w:nsid w:val="7B096B00"/>
    <w:multiLevelType w:val="hybridMultilevel"/>
    <w:tmpl w:val="369AF984"/>
    <w:styleLink w:val="ImportedStyle64"/>
    <w:lvl w:ilvl="0" w:tplc="FCFACD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9845B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E2606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689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92B5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7709E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AA14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C6F0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36B3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4" w15:restartNumberingAfterBreak="0">
    <w:nsid w:val="7B0F3F43"/>
    <w:multiLevelType w:val="hybridMultilevel"/>
    <w:tmpl w:val="E4342992"/>
    <w:numStyleLink w:val="ImportedStyle33"/>
  </w:abstractNum>
  <w:abstractNum w:abstractNumId="275" w15:restartNumberingAfterBreak="0">
    <w:nsid w:val="7B774E9D"/>
    <w:multiLevelType w:val="hybridMultilevel"/>
    <w:tmpl w:val="9B08F6F0"/>
    <w:numStyleLink w:val="ImportedStyle5"/>
  </w:abstractNum>
  <w:abstractNum w:abstractNumId="276" w15:restartNumberingAfterBreak="0">
    <w:nsid w:val="7BBA6D98"/>
    <w:multiLevelType w:val="hybridMultilevel"/>
    <w:tmpl w:val="C79A0480"/>
    <w:numStyleLink w:val="ImportedStyle18"/>
  </w:abstractNum>
  <w:abstractNum w:abstractNumId="277" w15:restartNumberingAfterBreak="0">
    <w:nsid w:val="7BC47146"/>
    <w:multiLevelType w:val="hybridMultilevel"/>
    <w:tmpl w:val="0352AC5C"/>
    <w:numStyleLink w:val="ImportedStyle23"/>
  </w:abstractNum>
  <w:abstractNum w:abstractNumId="278" w15:restartNumberingAfterBreak="0">
    <w:nsid w:val="7C8F5877"/>
    <w:multiLevelType w:val="hybridMultilevel"/>
    <w:tmpl w:val="3946B2BA"/>
    <w:styleLink w:val="ImportedStyle139"/>
    <w:lvl w:ilvl="0" w:tplc="06E843D6">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66B6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384C7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CC6C7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4D2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7C05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700B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18FD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F6F9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9" w15:restartNumberingAfterBreak="0">
    <w:nsid w:val="7C952D50"/>
    <w:multiLevelType w:val="hybridMultilevel"/>
    <w:tmpl w:val="24C864AA"/>
    <w:styleLink w:val="ImportedStyle84"/>
    <w:lvl w:ilvl="0" w:tplc="6B1CAE7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0CAD9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B86D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C228B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76FE8E">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027B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8435D2">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147658">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524F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0" w15:restartNumberingAfterBreak="0">
    <w:nsid w:val="7D254C57"/>
    <w:multiLevelType w:val="hybridMultilevel"/>
    <w:tmpl w:val="B470CCF4"/>
    <w:styleLink w:val="ImportedStyle83"/>
    <w:lvl w:ilvl="0" w:tplc="5A82C2B4">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10601C">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5E8060">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8A616C">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B83236">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E625DE">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AA589E">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D0DC6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440146">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1" w15:restartNumberingAfterBreak="0">
    <w:nsid w:val="7DE624ED"/>
    <w:multiLevelType w:val="hybridMultilevel"/>
    <w:tmpl w:val="9D9634E6"/>
    <w:numStyleLink w:val="ImportedStyle87"/>
  </w:abstractNum>
  <w:abstractNum w:abstractNumId="282" w15:restartNumberingAfterBreak="0">
    <w:nsid w:val="7FB75BE5"/>
    <w:multiLevelType w:val="hybridMultilevel"/>
    <w:tmpl w:val="A3F80D6A"/>
    <w:numStyleLink w:val="ImportedStyle77"/>
  </w:abstractNum>
  <w:num w:numId="1" w16cid:durableId="2029132896">
    <w:abstractNumId w:val="47"/>
  </w:num>
  <w:num w:numId="2" w16cid:durableId="84233462">
    <w:abstractNumId w:val="47"/>
    <w:lvlOverride w:ilvl="0">
      <w:startOverride w:val="2"/>
    </w:lvlOverride>
  </w:num>
  <w:num w:numId="3" w16cid:durableId="581450416">
    <w:abstractNumId w:val="47"/>
    <w:lvlOverride w:ilvl="0">
      <w:startOverride w:val="3"/>
    </w:lvlOverride>
  </w:num>
  <w:num w:numId="4" w16cid:durableId="1802651943">
    <w:abstractNumId w:val="47"/>
    <w:lvlOverride w:ilvl="0">
      <w:startOverride w:val="4"/>
    </w:lvlOverride>
  </w:num>
  <w:num w:numId="5" w16cid:durableId="159780846">
    <w:abstractNumId w:val="47"/>
    <w:lvlOverride w:ilvl="0">
      <w:startOverride w:val="5"/>
    </w:lvlOverride>
  </w:num>
  <w:num w:numId="6" w16cid:durableId="1311788468">
    <w:abstractNumId w:val="47"/>
    <w:lvlOverride w:ilvl="0">
      <w:startOverride w:val="6"/>
    </w:lvlOverride>
  </w:num>
  <w:num w:numId="7" w16cid:durableId="1553956791">
    <w:abstractNumId w:val="47"/>
    <w:lvlOverride w:ilvl="0">
      <w:startOverride w:val="7"/>
    </w:lvlOverride>
  </w:num>
  <w:num w:numId="8" w16cid:durableId="1999457617">
    <w:abstractNumId w:val="160"/>
  </w:num>
  <w:num w:numId="9" w16cid:durableId="2104953653">
    <w:abstractNumId w:val="104"/>
  </w:num>
  <w:num w:numId="10" w16cid:durableId="961233539">
    <w:abstractNumId w:val="104"/>
    <w:lvlOverride w:ilvl="0">
      <w:lvl w:ilvl="0" w:tplc="360A9B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04602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B7DAC8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B8AC165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CB4CC00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AF68AF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BA6EB1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FE6E78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A06276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11" w16cid:durableId="1173299405">
    <w:abstractNumId w:val="212"/>
  </w:num>
  <w:num w:numId="12" w16cid:durableId="2091341100">
    <w:abstractNumId w:val="30"/>
  </w:num>
  <w:num w:numId="13" w16cid:durableId="74792116">
    <w:abstractNumId w:val="163"/>
  </w:num>
  <w:num w:numId="14" w16cid:durableId="1821461170">
    <w:abstractNumId w:val="120"/>
  </w:num>
  <w:num w:numId="15" w16cid:durableId="474638752">
    <w:abstractNumId w:val="120"/>
    <w:lvlOverride w:ilvl="0">
      <w:lvl w:ilvl="0" w:tplc="90CEAF0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05A49F0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DE5890D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5B48385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990628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BC09CC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8041FA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FB2E74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03C3ED2">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16cid:durableId="1429622991">
    <w:abstractNumId w:val="24"/>
  </w:num>
  <w:num w:numId="17" w16cid:durableId="677543567">
    <w:abstractNumId w:val="19"/>
  </w:num>
  <w:num w:numId="18" w16cid:durableId="515072632">
    <w:abstractNumId w:val="208"/>
  </w:num>
  <w:num w:numId="19" w16cid:durableId="796993352">
    <w:abstractNumId w:val="275"/>
  </w:num>
  <w:num w:numId="20" w16cid:durableId="1173300758">
    <w:abstractNumId w:val="155"/>
  </w:num>
  <w:num w:numId="21" w16cid:durableId="1998410461">
    <w:abstractNumId w:val="107"/>
  </w:num>
  <w:num w:numId="22" w16cid:durableId="1206064445">
    <w:abstractNumId w:val="90"/>
  </w:num>
  <w:num w:numId="23" w16cid:durableId="1362822012">
    <w:abstractNumId w:val="126"/>
  </w:num>
  <w:num w:numId="24" w16cid:durableId="1630895799">
    <w:abstractNumId w:val="219"/>
  </w:num>
  <w:num w:numId="25" w16cid:durableId="309948160">
    <w:abstractNumId w:val="60"/>
  </w:num>
  <w:num w:numId="26" w16cid:durableId="1245266936">
    <w:abstractNumId w:val="177"/>
  </w:num>
  <w:num w:numId="27" w16cid:durableId="445077616">
    <w:abstractNumId w:val="5"/>
  </w:num>
  <w:num w:numId="28" w16cid:durableId="852380609">
    <w:abstractNumId w:val="197"/>
  </w:num>
  <w:num w:numId="29" w16cid:durableId="1446928921">
    <w:abstractNumId w:val="200"/>
  </w:num>
  <w:num w:numId="30" w16cid:durableId="1948997262">
    <w:abstractNumId w:val="158"/>
  </w:num>
  <w:num w:numId="31" w16cid:durableId="1046566735">
    <w:abstractNumId w:val="2"/>
  </w:num>
  <w:num w:numId="32" w16cid:durableId="1275091558">
    <w:abstractNumId w:val="232"/>
  </w:num>
  <w:num w:numId="33" w16cid:durableId="854810986">
    <w:abstractNumId w:val="227"/>
  </w:num>
  <w:num w:numId="34" w16cid:durableId="551187906">
    <w:abstractNumId w:val="65"/>
  </w:num>
  <w:num w:numId="35" w16cid:durableId="1847204734">
    <w:abstractNumId w:val="15"/>
  </w:num>
  <w:num w:numId="36" w16cid:durableId="96756454">
    <w:abstractNumId w:val="44"/>
  </w:num>
  <w:num w:numId="37" w16cid:durableId="935135418">
    <w:abstractNumId w:val="243"/>
  </w:num>
  <w:num w:numId="38" w16cid:durableId="1339774489">
    <w:abstractNumId w:val="147"/>
  </w:num>
  <w:num w:numId="39" w16cid:durableId="1179659315">
    <w:abstractNumId w:val="263"/>
  </w:num>
  <w:num w:numId="40" w16cid:durableId="1019812458">
    <w:abstractNumId w:val="140"/>
  </w:num>
  <w:num w:numId="41" w16cid:durableId="945579674">
    <w:abstractNumId w:val="259"/>
  </w:num>
  <w:num w:numId="42" w16cid:durableId="1095051629">
    <w:abstractNumId w:val="263"/>
    <w:lvlOverride w:ilvl="0">
      <w:lvl w:ilvl="0" w:tplc="39B40958">
        <w:start w:val="1"/>
        <w:numFmt w:val="bullet"/>
        <w:lvlText w:val="-"/>
        <w:lvlJc w:val="left"/>
        <w:pPr>
          <w:ind w:left="70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3865A34">
        <w:start w:val="1"/>
        <w:numFmt w:val="bullet"/>
        <w:lvlText w:val="o"/>
        <w:lvlJc w:val="left"/>
        <w:pPr>
          <w:ind w:left="14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DF46582">
        <w:start w:val="1"/>
        <w:numFmt w:val="bullet"/>
        <w:lvlText w:val="▪"/>
        <w:lvlJc w:val="left"/>
        <w:pPr>
          <w:ind w:left="214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6E444DE">
        <w:start w:val="1"/>
        <w:numFmt w:val="bullet"/>
        <w:lvlText w:val="•"/>
        <w:lvlJc w:val="left"/>
        <w:pPr>
          <w:ind w:left="286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DE695B2">
        <w:start w:val="1"/>
        <w:numFmt w:val="bullet"/>
        <w:lvlText w:val="o"/>
        <w:lvlJc w:val="left"/>
        <w:pPr>
          <w:ind w:left="358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C740CE0">
        <w:start w:val="1"/>
        <w:numFmt w:val="bullet"/>
        <w:lvlText w:val="▪"/>
        <w:lvlJc w:val="left"/>
        <w:pPr>
          <w:ind w:left="430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F4A298">
        <w:start w:val="1"/>
        <w:numFmt w:val="bullet"/>
        <w:lvlText w:val="•"/>
        <w:lvlJc w:val="left"/>
        <w:pPr>
          <w:ind w:left="50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158601C">
        <w:start w:val="1"/>
        <w:numFmt w:val="bullet"/>
        <w:lvlText w:val="o"/>
        <w:lvlJc w:val="left"/>
        <w:pPr>
          <w:ind w:left="574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7DA34B2">
        <w:start w:val="1"/>
        <w:numFmt w:val="bullet"/>
        <w:lvlText w:val="▪"/>
        <w:lvlJc w:val="left"/>
        <w:pPr>
          <w:ind w:left="646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3" w16cid:durableId="1252661016">
    <w:abstractNumId w:val="34"/>
  </w:num>
  <w:num w:numId="44" w16cid:durableId="938874030">
    <w:abstractNumId w:val="37"/>
  </w:num>
  <w:num w:numId="45" w16cid:durableId="565452994">
    <w:abstractNumId w:val="89"/>
  </w:num>
  <w:num w:numId="46" w16cid:durableId="1596940943">
    <w:abstractNumId w:val="276"/>
  </w:num>
  <w:num w:numId="47" w16cid:durableId="1554656936">
    <w:abstractNumId w:val="276"/>
    <w:lvlOverride w:ilvl="0">
      <w:lvl w:ilvl="0" w:tplc="4516BEB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0943CC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36C2304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985EF1E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B1A34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3866A9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B804E4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63863C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883039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8" w16cid:durableId="1731229853">
    <w:abstractNumId w:val="231"/>
  </w:num>
  <w:num w:numId="49" w16cid:durableId="601769153">
    <w:abstractNumId w:val="127"/>
  </w:num>
  <w:num w:numId="50" w16cid:durableId="1189490097">
    <w:abstractNumId w:val="168"/>
  </w:num>
  <w:num w:numId="51" w16cid:durableId="1091396176">
    <w:abstractNumId w:val="175"/>
  </w:num>
  <w:num w:numId="52" w16cid:durableId="1866752691">
    <w:abstractNumId w:val="272"/>
  </w:num>
  <w:num w:numId="53" w16cid:durableId="1752198575">
    <w:abstractNumId w:val="86"/>
  </w:num>
  <w:num w:numId="54" w16cid:durableId="941575619">
    <w:abstractNumId w:val="37"/>
    <w:lvlOverride w:ilvl="0">
      <w:lvl w:ilvl="0" w:tplc="4BE2A41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289C4B7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A9FCC02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1D628F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FAE614A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D2B88C6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6526B9F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EDEAB2F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8B500D2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55" w16cid:durableId="1097023854">
    <w:abstractNumId w:val="116"/>
  </w:num>
  <w:num w:numId="56" w16cid:durableId="688530168">
    <w:abstractNumId w:val="186"/>
  </w:num>
  <w:num w:numId="57" w16cid:durableId="1769302588">
    <w:abstractNumId w:val="86"/>
    <w:lvlOverride w:ilvl="0">
      <w:startOverride w:val="2"/>
    </w:lvlOverride>
  </w:num>
  <w:num w:numId="58" w16cid:durableId="1810587898">
    <w:abstractNumId w:val="100"/>
  </w:num>
  <w:num w:numId="59" w16cid:durableId="355546844">
    <w:abstractNumId w:val="277"/>
  </w:num>
  <w:num w:numId="60" w16cid:durableId="771323384">
    <w:abstractNumId w:val="211"/>
  </w:num>
  <w:num w:numId="61" w16cid:durableId="74479693">
    <w:abstractNumId w:val="206"/>
  </w:num>
  <w:num w:numId="62" w16cid:durableId="546530514">
    <w:abstractNumId w:val="206"/>
    <w:lvlOverride w:ilvl="0">
      <w:lvl w:ilvl="0" w:tplc="5316D88C">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05227B8">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E389AFC">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44444418">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CD2A41B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8766E996">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C8FABD34">
        <w:start w:val="1"/>
        <w:numFmt w:val="decimal"/>
        <w:lvlText w:val="%7."/>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523BEE">
        <w:start w:val="1"/>
        <w:numFmt w:val="lowerLetter"/>
        <w:lvlText w:val="%8."/>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3E2D85C">
        <w:start w:val="1"/>
        <w:numFmt w:val="lowerRoman"/>
        <w:lvlText w:val="%9."/>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3" w16cid:durableId="305594569">
    <w:abstractNumId w:val="268"/>
  </w:num>
  <w:num w:numId="64" w16cid:durableId="827089663">
    <w:abstractNumId w:val="21"/>
  </w:num>
  <w:num w:numId="65" w16cid:durableId="772090996">
    <w:abstractNumId w:val="164"/>
  </w:num>
  <w:num w:numId="66" w16cid:durableId="613173884">
    <w:abstractNumId w:val="228"/>
  </w:num>
  <w:num w:numId="67" w16cid:durableId="233010484">
    <w:abstractNumId w:val="101"/>
  </w:num>
  <w:num w:numId="68" w16cid:durableId="1954241710">
    <w:abstractNumId w:val="270"/>
  </w:num>
  <w:num w:numId="69" w16cid:durableId="1543400460">
    <w:abstractNumId w:val="170"/>
  </w:num>
  <w:num w:numId="70" w16cid:durableId="667903546">
    <w:abstractNumId w:val="181"/>
  </w:num>
  <w:num w:numId="71" w16cid:durableId="1754356433">
    <w:abstractNumId w:val="94"/>
  </w:num>
  <w:num w:numId="72" w16cid:durableId="32199592">
    <w:abstractNumId w:val="225"/>
  </w:num>
  <w:num w:numId="73" w16cid:durableId="2117866888">
    <w:abstractNumId w:val="132"/>
  </w:num>
  <w:num w:numId="74" w16cid:durableId="462119753">
    <w:abstractNumId w:val="209"/>
  </w:num>
  <w:num w:numId="75" w16cid:durableId="542444557">
    <w:abstractNumId w:val="26"/>
  </w:num>
  <w:num w:numId="76" w16cid:durableId="1337415015">
    <w:abstractNumId w:val="125"/>
  </w:num>
  <w:num w:numId="77" w16cid:durableId="691148044">
    <w:abstractNumId w:val="235"/>
  </w:num>
  <w:num w:numId="78" w16cid:durableId="1230504947">
    <w:abstractNumId w:val="105"/>
  </w:num>
  <w:num w:numId="79" w16cid:durableId="1233806716">
    <w:abstractNumId w:val="180"/>
  </w:num>
  <w:num w:numId="80" w16cid:durableId="350491643">
    <w:abstractNumId w:val="274"/>
  </w:num>
  <w:num w:numId="81" w16cid:durableId="1504540640">
    <w:abstractNumId w:val="274"/>
    <w:lvlOverride w:ilvl="0">
      <w:lvl w:ilvl="0" w:tplc="E5C0951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D6832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546BEA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F680A1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8EC29F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880131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B76347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AE44902">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B4869F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2" w16cid:durableId="1391030689">
    <w:abstractNumId w:val="204"/>
  </w:num>
  <w:num w:numId="83" w16cid:durableId="1673799667">
    <w:abstractNumId w:val="223"/>
  </w:num>
  <w:num w:numId="84" w16cid:durableId="1105736618">
    <w:abstractNumId w:val="95"/>
  </w:num>
  <w:num w:numId="85" w16cid:durableId="1663586649">
    <w:abstractNumId w:val="157"/>
  </w:num>
  <w:num w:numId="86" w16cid:durableId="229117398">
    <w:abstractNumId w:val="196"/>
  </w:num>
  <w:num w:numId="87" w16cid:durableId="921569770">
    <w:abstractNumId w:val="111"/>
  </w:num>
  <w:num w:numId="88" w16cid:durableId="1545436911">
    <w:abstractNumId w:val="157"/>
    <w:lvlOverride w:ilvl="0">
      <w:startOverride w:val="2"/>
    </w:lvlOverride>
  </w:num>
  <w:num w:numId="89" w16cid:durableId="760948722">
    <w:abstractNumId w:val="157"/>
    <w:lvlOverride w:ilvl="0">
      <w:lvl w:ilvl="0" w:tplc="8A02198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58EE9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BCE8AD2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6B43DE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3C0CE08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358691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FE56C9B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D9F8A45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3DD0E83A">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0" w16cid:durableId="1547720851">
    <w:abstractNumId w:val="125"/>
    <w:lvlOverride w:ilvl="0">
      <w:lvl w:ilvl="0" w:tplc="BA5E36D4">
        <w:start w:val="1"/>
        <w:numFmt w:val="bullet"/>
        <w:lvlText w:val="-"/>
        <w:lvlJc w:val="left"/>
        <w:pPr>
          <w:ind w:left="7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AD74C35C">
        <w:start w:val="1"/>
        <w:numFmt w:val="bullet"/>
        <w:lvlText w:val="o"/>
        <w:lvlJc w:val="left"/>
        <w:pPr>
          <w:ind w:left="14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19A29EB8">
        <w:start w:val="1"/>
        <w:numFmt w:val="bullet"/>
        <w:lvlText w:val="▪"/>
        <w:lvlJc w:val="left"/>
        <w:pPr>
          <w:ind w:left="21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60E0F15E">
        <w:start w:val="1"/>
        <w:numFmt w:val="bullet"/>
        <w:lvlText w:val="•"/>
        <w:lvlJc w:val="left"/>
        <w:pPr>
          <w:ind w:left="29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4B848FCC">
        <w:start w:val="1"/>
        <w:numFmt w:val="bullet"/>
        <w:lvlText w:val="o"/>
        <w:lvlJc w:val="left"/>
        <w:pPr>
          <w:ind w:left="362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2BE8B142">
        <w:start w:val="1"/>
        <w:numFmt w:val="bullet"/>
        <w:lvlText w:val="▪"/>
        <w:lvlJc w:val="left"/>
        <w:pPr>
          <w:ind w:left="43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D7B6057E">
        <w:start w:val="1"/>
        <w:numFmt w:val="bullet"/>
        <w:lvlText w:val="•"/>
        <w:lvlJc w:val="left"/>
        <w:pPr>
          <w:ind w:left="50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EF36AA8C">
        <w:start w:val="1"/>
        <w:numFmt w:val="bullet"/>
        <w:lvlText w:val="o"/>
        <w:lvlJc w:val="left"/>
        <w:pPr>
          <w:ind w:left="57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3E26B128">
        <w:start w:val="1"/>
        <w:numFmt w:val="bullet"/>
        <w:lvlText w:val="▪"/>
        <w:lvlJc w:val="left"/>
        <w:pPr>
          <w:ind w:left="65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91" w16cid:durableId="1566573231">
    <w:abstractNumId w:val="53"/>
  </w:num>
  <w:num w:numId="92" w16cid:durableId="870922606">
    <w:abstractNumId w:val="29"/>
  </w:num>
  <w:num w:numId="93" w16cid:durableId="1206630">
    <w:abstractNumId w:val="229"/>
  </w:num>
  <w:num w:numId="94" w16cid:durableId="1313753690">
    <w:abstractNumId w:val="143"/>
  </w:num>
  <w:num w:numId="95" w16cid:durableId="1105153092">
    <w:abstractNumId w:val="43"/>
  </w:num>
  <w:num w:numId="96" w16cid:durableId="1830318384">
    <w:abstractNumId w:val="51"/>
  </w:num>
  <w:num w:numId="97" w16cid:durableId="326708909">
    <w:abstractNumId w:val="143"/>
    <w:lvlOverride w:ilvl="0">
      <w:startOverride w:val="3"/>
    </w:lvlOverride>
  </w:num>
  <w:num w:numId="98" w16cid:durableId="1200358225">
    <w:abstractNumId w:val="56"/>
  </w:num>
  <w:num w:numId="99" w16cid:durableId="846362526">
    <w:abstractNumId w:val="79"/>
  </w:num>
  <w:num w:numId="100" w16cid:durableId="1839731762">
    <w:abstractNumId w:val="51"/>
    <w:lvlOverride w:ilvl="0">
      <w:lvl w:ilvl="0" w:tplc="53FE895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A2BF9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FEE9D4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1E2721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D64B57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9282F0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04C6D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FECA7B8">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BACAC1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1" w16cid:durableId="1009254642">
    <w:abstractNumId w:val="79"/>
    <w:lvlOverride w:ilvl="0">
      <w:startOverride w:val="3"/>
    </w:lvlOverride>
  </w:num>
  <w:num w:numId="102" w16cid:durableId="432167601">
    <w:abstractNumId w:val="154"/>
  </w:num>
  <w:num w:numId="103" w16cid:durableId="1018508086">
    <w:abstractNumId w:val="63"/>
  </w:num>
  <w:num w:numId="104" w16cid:durableId="1587315">
    <w:abstractNumId w:val="203"/>
  </w:num>
  <w:num w:numId="105" w16cid:durableId="451481206">
    <w:abstractNumId w:val="252"/>
  </w:num>
  <w:num w:numId="106" w16cid:durableId="1838422158">
    <w:abstractNumId w:val="142"/>
  </w:num>
  <w:num w:numId="107" w16cid:durableId="847214652">
    <w:abstractNumId w:val="49"/>
  </w:num>
  <w:num w:numId="108" w16cid:durableId="1136026711">
    <w:abstractNumId w:val="246"/>
  </w:num>
  <w:num w:numId="109" w16cid:durableId="987781038">
    <w:abstractNumId w:val="62"/>
  </w:num>
  <w:num w:numId="110" w16cid:durableId="302195805">
    <w:abstractNumId w:val="49"/>
    <w:lvlOverride w:ilvl="0">
      <w:startOverride w:val="2"/>
    </w:lvlOverride>
  </w:num>
  <w:num w:numId="111" w16cid:durableId="203830502">
    <w:abstractNumId w:val="159"/>
  </w:num>
  <w:num w:numId="112" w16cid:durableId="726420966">
    <w:abstractNumId w:val="76"/>
  </w:num>
  <w:num w:numId="113" w16cid:durableId="1478186929">
    <w:abstractNumId w:val="222"/>
  </w:num>
  <w:num w:numId="114" w16cid:durableId="2050376995">
    <w:abstractNumId w:val="238"/>
  </w:num>
  <w:num w:numId="115" w16cid:durableId="1352728735">
    <w:abstractNumId w:val="113"/>
  </w:num>
  <w:num w:numId="116" w16cid:durableId="10038564">
    <w:abstractNumId w:val="256"/>
  </w:num>
  <w:num w:numId="117" w16cid:durableId="849182711">
    <w:abstractNumId w:val="76"/>
    <w:lvlOverride w:ilvl="0">
      <w:startOverride w:val="2"/>
    </w:lvlOverride>
  </w:num>
  <w:num w:numId="118" w16cid:durableId="862061592">
    <w:abstractNumId w:val="49"/>
    <w:lvlOverride w:ilvl="0">
      <w:startOverride w:val="4"/>
    </w:lvlOverride>
  </w:num>
  <w:num w:numId="119" w16cid:durableId="1288395713">
    <w:abstractNumId w:val="153"/>
  </w:num>
  <w:num w:numId="120" w16cid:durableId="761997533">
    <w:abstractNumId w:val="0"/>
  </w:num>
  <w:num w:numId="121" w16cid:durableId="176192311">
    <w:abstractNumId w:val="49"/>
    <w:lvlOverride w:ilvl="0">
      <w:startOverride w:val="5"/>
    </w:lvlOverride>
  </w:num>
  <w:num w:numId="122" w16cid:durableId="1391076576">
    <w:abstractNumId w:val="148"/>
  </w:num>
  <w:num w:numId="123" w16cid:durableId="1802577551">
    <w:abstractNumId w:val="50"/>
  </w:num>
  <w:num w:numId="124" w16cid:durableId="833691347">
    <w:abstractNumId w:val="162"/>
  </w:num>
  <w:num w:numId="125" w16cid:durableId="153111219">
    <w:abstractNumId w:val="236"/>
  </w:num>
  <w:num w:numId="126" w16cid:durableId="1827626707">
    <w:abstractNumId w:val="115"/>
  </w:num>
  <w:num w:numId="127" w16cid:durableId="804663156">
    <w:abstractNumId w:val="145"/>
  </w:num>
  <w:num w:numId="128" w16cid:durableId="1405490413">
    <w:abstractNumId w:val="108"/>
  </w:num>
  <w:num w:numId="129" w16cid:durableId="1593320506">
    <w:abstractNumId w:val="172"/>
  </w:num>
  <w:num w:numId="130" w16cid:durableId="196041764">
    <w:abstractNumId w:val="171"/>
  </w:num>
  <w:num w:numId="131" w16cid:durableId="624043749">
    <w:abstractNumId w:val="52"/>
  </w:num>
  <w:num w:numId="132" w16cid:durableId="662709850">
    <w:abstractNumId w:val="77"/>
  </w:num>
  <w:num w:numId="133" w16cid:durableId="1118377632">
    <w:abstractNumId w:val="182"/>
  </w:num>
  <w:num w:numId="134" w16cid:durableId="1433014119">
    <w:abstractNumId w:val="185"/>
  </w:num>
  <w:num w:numId="135" w16cid:durableId="843741876">
    <w:abstractNumId w:val="141"/>
  </w:num>
  <w:num w:numId="136" w16cid:durableId="1084228465">
    <w:abstractNumId w:val="249"/>
  </w:num>
  <w:num w:numId="137" w16cid:durableId="363092548">
    <w:abstractNumId w:val="194"/>
  </w:num>
  <w:num w:numId="138" w16cid:durableId="774178180">
    <w:abstractNumId w:val="156"/>
  </w:num>
  <w:num w:numId="139" w16cid:durableId="542712024">
    <w:abstractNumId w:val="242"/>
  </w:num>
  <w:num w:numId="140" w16cid:durableId="227351462">
    <w:abstractNumId w:val="20"/>
  </w:num>
  <w:num w:numId="141" w16cid:durableId="1853180214">
    <w:abstractNumId w:val="3"/>
  </w:num>
  <w:num w:numId="142" w16cid:durableId="801725460">
    <w:abstractNumId w:val="221"/>
  </w:num>
  <w:num w:numId="143" w16cid:durableId="1862934351">
    <w:abstractNumId w:val="174"/>
  </w:num>
  <w:num w:numId="144" w16cid:durableId="1990286809">
    <w:abstractNumId w:val="198"/>
  </w:num>
  <w:num w:numId="145" w16cid:durableId="1550189410">
    <w:abstractNumId w:val="248"/>
  </w:num>
  <w:num w:numId="146" w16cid:durableId="342246750">
    <w:abstractNumId w:val="68"/>
  </w:num>
  <w:num w:numId="147" w16cid:durableId="195705057">
    <w:abstractNumId w:val="240"/>
  </w:num>
  <w:num w:numId="148" w16cid:durableId="1475946508">
    <w:abstractNumId w:val="81"/>
  </w:num>
  <w:num w:numId="149" w16cid:durableId="715735703">
    <w:abstractNumId w:val="131"/>
  </w:num>
  <w:num w:numId="150" w16cid:durableId="588150290">
    <w:abstractNumId w:val="214"/>
  </w:num>
  <w:num w:numId="151" w16cid:durableId="584534683">
    <w:abstractNumId w:val="122"/>
  </w:num>
  <w:num w:numId="152" w16cid:durableId="109446657">
    <w:abstractNumId w:val="273"/>
  </w:num>
  <w:num w:numId="153" w16cid:durableId="420417897">
    <w:abstractNumId w:val="149"/>
  </w:num>
  <w:num w:numId="154" w16cid:durableId="859005455">
    <w:abstractNumId w:val="64"/>
  </w:num>
  <w:num w:numId="155" w16cid:durableId="957881807">
    <w:abstractNumId w:val="112"/>
  </w:num>
  <w:num w:numId="156" w16cid:durableId="1807893322">
    <w:abstractNumId w:val="9"/>
  </w:num>
  <w:num w:numId="157" w16cid:durableId="871184376">
    <w:abstractNumId w:val="137"/>
  </w:num>
  <w:num w:numId="158" w16cid:durableId="140120109">
    <w:abstractNumId w:val="226"/>
  </w:num>
  <w:num w:numId="159" w16cid:durableId="897470727">
    <w:abstractNumId w:val="146"/>
  </w:num>
  <w:num w:numId="160" w16cid:durableId="1241795863">
    <w:abstractNumId w:val="96"/>
  </w:num>
  <w:num w:numId="161" w16cid:durableId="1795950762">
    <w:abstractNumId w:val="190"/>
  </w:num>
  <w:num w:numId="162" w16cid:durableId="1533421375">
    <w:abstractNumId w:val="25"/>
  </w:num>
  <w:num w:numId="163" w16cid:durableId="1000544835">
    <w:abstractNumId w:val="193"/>
  </w:num>
  <w:num w:numId="164" w16cid:durableId="2042626257">
    <w:abstractNumId w:val="260"/>
  </w:num>
  <w:num w:numId="165" w16cid:durableId="1470826336">
    <w:abstractNumId w:val="139"/>
  </w:num>
  <w:num w:numId="166" w16cid:durableId="198081942">
    <w:abstractNumId w:val="1"/>
  </w:num>
  <w:num w:numId="167" w16cid:durableId="698822881">
    <w:abstractNumId w:val="150"/>
  </w:num>
  <w:num w:numId="168" w16cid:durableId="1564829702">
    <w:abstractNumId w:val="217"/>
  </w:num>
  <w:num w:numId="169" w16cid:durableId="402758">
    <w:abstractNumId w:val="109"/>
  </w:num>
  <w:num w:numId="170" w16cid:durableId="269556640">
    <w:abstractNumId w:val="87"/>
  </w:num>
  <w:num w:numId="171" w16cid:durableId="443035199">
    <w:abstractNumId w:val="239"/>
  </w:num>
  <w:num w:numId="172" w16cid:durableId="1076782179">
    <w:abstractNumId w:val="55"/>
  </w:num>
  <w:num w:numId="173" w16cid:durableId="1525364710">
    <w:abstractNumId w:val="210"/>
  </w:num>
  <w:num w:numId="174" w16cid:durableId="473375995">
    <w:abstractNumId w:val="117"/>
  </w:num>
  <w:num w:numId="175" w16cid:durableId="347221478">
    <w:abstractNumId w:val="169"/>
  </w:num>
  <w:num w:numId="176" w16cid:durableId="1236014329">
    <w:abstractNumId w:val="18"/>
  </w:num>
  <w:num w:numId="177" w16cid:durableId="1200315288">
    <w:abstractNumId w:val="266"/>
  </w:num>
  <w:num w:numId="178" w16cid:durableId="1711102507">
    <w:abstractNumId w:val="192"/>
  </w:num>
  <w:num w:numId="179" w16cid:durableId="1209031357">
    <w:abstractNumId w:val="282"/>
  </w:num>
  <w:num w:numId="180" w16cid:durableId="1342782361">
    <w:abstractNumId w:val="241"/>
  </w:num>
  <w:num w:numId="181" w16cid:durableId="264390077">
    <w:abstractNumId w:val="31"/>
  </w:num>
  <w:num w:numId="182" w16cid:durableId="2006931944">
    <w:abstractNumId w:val="31"/>
    <w:lvlOverride w:ilvl="0">
      <w:startOverride w:val="2"/>
    </w:lvlOverride>
  </w:num>
  <w:num w:numId="183" w16cid:durableId="226888280">
    <w:abstractNumId w:val="102"/>
  </w:num>
  <w:num w:numId="184" w16cid:durableId="1893225831">
    <w:abstractNumId w:val="124"/>
  </w:num>
  <w:num w:numId="185" w16cid:durableId="1677418555">
    <w:abstractNumId w:val="264"/>
  </w:num>
  <w:num w:numId="186" w16cid:durableId="772820880">
    <w:abstractNumId w:val="59"/>
  </w:num>
  <w:num w:numId="187" w16cid:durableId="1482847924">
    <w:abstractNumId w:val="114"/>
  </w:num>
  <w:num w:numId="188" w16cid:durableId="1486816438">
    <w:abstractNumId w:val="12"/>
  </w:num>
  <w:num w:numId="189" w16cid:durableId="1883665503">
    <w:abstractNumId w:val="106"/>
  </w:num>
  <w:num w:numId="190" w16cid:durableId="1027373129">
    <w:abstractNumId w:val="99"/>
  </w:num>
  <w:num w:numId="191" w16cid:durableId="602417720">
    <w:abstractNumId w:val="280"/>
  </w:num>
  <w:num w:numId="192" w16cid:durableId="701713420">
    <w:abstractNumId w:val="230"/>
  </w:num>
  <w:num w:numId="193" w16cid:durableId="1062827949">
    <w:abstractNumId w:val="279"/>
  </w:num>
  <w:num w:numId="194" w16cid:durableId="1817525527">
    <w:abstractNumId w:val="7"/>
  </w:num>
  <w:num w:numId="195" w16cid:durableId="1615211673">
    <w:abstractNumId w:val="207"/>
  </w:num>
  <w:num w:numId="196" w16cid:durableId="83261534">
    <w:abstractNumId w:val="121"/>
  </w:num>
  <w:num w:numId="197" w16cid:durableId="1564562043">
    <w:abstractNumId w:val="22"/>
  </w:num>
  <w:num w:numId="198" w16cid:durableId="244730188">
    <w:abstractNumId w:val="178"/>
  </w:num>
  <w:num w:numId="199" w16cid:durableId="1334913770">
    <w:abstractNumId w:val="28"/>
  </w:num>
  <w:num w:numId="200" w16cid:durableId="1518960427">
    <w:abstractNumId w:val="281"/>
  </w:num>
  <w:num w:numId="201" w16cid:durableId="1632324714">
    <w:abstractNumId w:val="165"/>
  </w:num>
  <w:num w:numId="202" w16cid:durableId="1500197353">
    <w:abstractNumId w:val="11"/>
  </w:num>
  <w:num w:numId="203" w16cid:durableId="346180021">
    <w:abstractNumId w:val="130"/>
  </w:num>
  <w:num w:numId="204" w16cid:durableId="817068912">
    <w:abstractNumId w:val="118"/>
  </w:num>
  <w:num w:numId="205" w16cid:durableId="1654675431">
    <w:abstractNumId w:val="254"/>
  </w:num>
  <w:num w:numId="206" w16cid:durableId="1093933391">
    <w:abstractNumId w:val="92"/>
  </w:num>
  <w:num w:numId="207" w16cid:durableId="759907804">
    <w:abstractNumId w:val="218"/>
  </w:num>
  <w:num w:numId="208" w16cid:durableId="1603954670">
    <w:abstractNumId w:val="261"/>
  </w:num>
  <w:num w:numId="209" w16cid:durableId="317080150">
    <w:abstractNumId w:val="35"/>
  </w:num>
  <w:num w:numId="210" w16cid:durableId="468476167">
    <w:abstractNumId w:val="14"/>
  </w:num>
  <w:num w:numId="211" w16cid:durableId="1953322517">
    <w:abstractNumId w:val="201"/>
  </w:num>
  <w:num w:numId="212" w16cid:durableId="585647088">
    <w:abstractNumId w:val="267"/>
  </w:num>
  <w:num w:numId="213" w16cid:durableId="1898667269">
    <w:abstractNumId w:val="38"/>
  </w:num>
  <w:num w:numId="214" w16cid:durableId="1089040542">
    <w:abstractNumId w:val="97"/>
  </w:num>
  <w:num w:numId="215" w16cid:durableId="169881428">
    <w:abstractNumId w:val="73"/>
  </w:num>
  <w:num w:numId="216" w16cid:durableId="1133866956">
    <w:abstractNumId w:val="83"/>
  </w:num>
  <w:num w:numId="217" w16cid:durableId="110054807">
    <w:abstractNumId w:val="97"/>
    <w:lvlOverride w:ilvl="0">
      <w:startOverride w:val="2"/>
    </w:lvlOverride>
  </w:num>
  <w:num w:numId="218" w16cid:durableId="981695969">
    <w:abstractNumId w:val="136"/>
  </w:num>
  <w:num w:numId="219" w16cid:durableId="1172137903">
    <w:abstractNumId w:val="91"/>
  </w:num>
  <w:num w:numId="220" w16cid:durableId="2138912613">
    <w:abstractNumId w:val="134"/>
  </w:num>
  <w:num w:numId="221" w16cid:durableId="126440872">
    <w:abstractNumId w:val="84"/>
  </w:num>
  <w:num w:numId="222" w16cid:durableId="254367550">
    <w:abstractNumId w:val="46"/>
  </w:num>
  <w:num w:numId="223" w16cid:durableId="584656697">
    <w:abstractNumId w:val="54"/>
  </w:num>
  <w:num w:numId="224" w16cid:durableId="346830155">
    <w:abstractNumId w:val="17"/>
  </w:num>
  <w:num w:numId="225" w16cid:durableId="375856421">
    <w:abstractNumId w:val="138"/>
  </w:num>
  <w:num w:numId="226" w16cid:durableId="1788694731">
    <w:abstractNumId w:val="215"/>
  </w:num>
  <w:num w:numId="227" w16cid:durableId="72286696">
    <w:abstractNumId w:val="58"/>
  </w:num>
  <w:num w:numId="228" w16cid:durableId="4790563">
    <w:abstractNumId w:val="216"/>
  </w:num>
  <w:num w:numId="229" w16cid:durableId="1206059663">
    <w:abstractNumId w:val="262"/>
  </w:num>
  <w:num w:numId="230" w16cid:durableId="141890520">
    <w:abstractNumId w:val="224"/>
  </w:num>
  <w:num w:numId="231" w16cid:durableId="1183520725">
    <w:abstractNumId w:val="128"/>
  </w:num>
  <w:num w:numId="232" w16cid:durableId="1554660860">
    <w:abstractNumId w:val="33"/>
  </w:num>
  <w:num w:numId="233" w16cid:durableId="37827528">
    <w:abstractNumId w:val="72"/>
  </w:num>
  <w:num w:numId="234" w16cid:durableId="1957903467">
    <w:abstractNumId w:val="69"/>
  </w:num>
  <w:num w:numId="235" w16cid:durableId="225645548">
    <w:abstractNumId w:val="152"/>
  </w:num>
  <w:num w:numId="236" w16cid:durableId="609582305">
    <w:abstractNumId w:val="227"/>
    <w:lvlOverride w:ilvl="0">
      <w:lvl w:ilvl="0" w:tplc="6788529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DA23CC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60A8D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5C8F5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84CE74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C8E9C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2BCCFA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7A07BD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08260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7" w16cid:durableId="1432899173">
    <w:abstractNumId w:val="57"/>
  </w:num>
  <w:num w:numId="238" w16cid:durableId="1977683103">
    <w:abstractNumId w:val="39"/>
  </w:num>
  <w:num w:numId="239" w16cid:durableId="868030535">
    <w:abstractNumId w:val="189"/>
  </w:num>
  <w:num w:numId="240" w16cid:durableId="2121027273">
    <w:abstractNumId w:val="265"/>
  </w:num>
  <w:num w:numId="241" w16cid:durableId="559171500">
    <w:abstractNumId w:val="6"/>
  </w:num>
  <w:num w:numId="242" w16cid:durableId="1866407697">
    <w:abstractNumId w:val="66"/>
  </w:num>
  <w:num w:numId="243" w16cid:durableId="910041737">
    <w:abstractNumId w:val="265"/>
    <w:lvlOverride w:ilvl="0">
      <w:startOverride w:val="4"/>
    </w:lvlOverride>
  </w:num>
  <w:num w:numId="244" w16cid:durableId="524947242">
    <w:abstractNumId w:val="70"/>
  </w:num>
  <w:num w:numId="245" w16cid:durableId="2033876463">
    <w:abstractNumId w:val="4"/>
  </w:num>
  <w:num w:numId="246" w16cid:durableId="273442412">
    <w:abstractNumId w:val="187"/>
  </w:num>
  <w:num w:numId="247" w16cid:durableId="1259022137">
    <w:abstractNumId w:val="93"/>
  </w:num>
  <w:num w:numId="248" w16cid:durableId="529998475">
    <w:abstractNumId w:val="4"/>
    <w:lvlOverride w:ilvl="0">
      <w:startOverride w:val="2"/>
    </w:lvlOverride>
  </w:num>
  <w:num w:numId="249" w16cid:durableId="158543402">
    <w:abstractNumId w:val="88"/>
  </w:num>
  <w:num w:numId="250" w16cid:durableId="1791317176">
    <w:abstractNumId w:val="8"/>
  </w:num>
  <w:num w:numId="251" w16cid:durableId="1310018806">
    <w:abstractNumId w:val="8"/>
    <w:lvlOverride w:ilvl="0">
      <w:startOverride w:val="5"/>
    </w:lvlOverride>
  </w:num>
  <w:num w:numId="252" w16cid:durableId="178197620">
    <w:abstractNumId w:val="265"/>
    <w:lvlOverride w:ilvl="0">
      <w:startOverride w:val="5"/>
    </w:lvlOverride>
  </w:num>
  <w:num w:numId="253" w16cid:durableId="961378274">
    <w:abstractNumId w:val="133"/>
  </w:num>
  <w:num w:numId="254" w16cid:durableId="579026058">
    <w:abstractNumId w:val="188"/>
  </w:num>
  <w:num w:numId="255" w16cid:durableId="1676685002">
    <w:abstractNumId w:val="78"/>
  </w:num>
  <w:num w:numId="256" w16cid:durableId="1245073537">
    <w:abstractNumId w:val="16"/>
  </w:num>
  <w:num w:numId="257" w16cid:durableId="2026592715">
    <w:abstractNumId w:val="188"/>
    <w:lvlOverride w:ilvl="0">
      <w:startOverride w:val="2"/>
    </w:lvlOverride>
  </w:num>
  <w:num w:numId="258" w16cid:durableId="615873779">
    <w:abstractNumId w:val="10"/>
  </w:num>
  <w:num w:numId="259" w16cid:durableId="1297612953">
    <w:abstractNumId w:val="61"/>
  </w:num>
  <w:num w:numId="260" w16cid:durableId="347216760">
    <w:abstractNumId w:val="183"/>
  </w:num>
  <w:num w:numId="261" w16cid:durableId="441653733">
    <w:abstractNumId w:val="173"/>
  </w:num>
  <w:num w:numId="262" w16cid:durableId="1528366192">
    <w:abstractNumId w:val="202"/>
  </w:num>
  <w:num w:numId="263" w16cid:durableId="206572433">
    <w:abstractNumId w:val="119"/>
  </w:num>
  <w:num w:numId="264" w16cid:durableId="615522440">
    <w:abstractNumId w:val="271"/>
  </w:num>
  <w:num w:numId="265" w16cid:durableId="1036739100">
    <w:abstractNumId w:val="237"/>
  </w:num>
  <w:num w:numId="266" w16cid:durableId="1012145476">
    <w:abstractNumId w:val="110"/>
  </w:num>
  <w:num w:numId="267" w16cid:durableId="926696121">
    <w:abstractNumId w:val="179"/>
  </w:num>
  <w:num w:numId="268" w16cid:durableId="691420919">
    <w:abstractNumId w:val="45"/>
  </w:num>
  <w:num w:numId="269" w16cid:durableId="589779065">
    <w:abstractNumId w:val="161"/>
  </w:num>
  <w:num w:numId="270" w16cid:durableId="1239442856">
    <w:abstractNumId w:val="179"/>
    <w:lvlOverride w:ilvl="0">
      <w:startOverride w:val="4"/>
    </w:lvlOverride>
  </w:num>
  <w:num w:numId="271" w16cid:durableId="876504928">
    <w:abstractNumId w:val="220"/>
  </w:num>
  <w:num w:numId="272" w16cid:durableId="1522356796">
    <w:abstractNumId w:val="250"/>
  </w:num>
  <w:num w:numId="273" w16cid:durableId="405343716">
    <w:abstractNumId w:val="176"/>
  </w:num>
  <w:num w:numId="274" w16cid:durableId="2098750638">
    <w:abstractNumId w:val="151"/>
  </w:num>
  <w:num w:numId="275" w16cid:durableId="1916820391">
    <w:abstractNumId w:val="255"/>
  </w:num>
  <w:num w:numId="276" w16cid:durableId="2038659724">
    <w:abstractNumId w:val="85"/>
  </w:num>
  <w:num w:numId="277" w16cid:durableId="1114136380">
    <w:abstractNumId w:val="213"/>
  </w:num>
  <w:num w:numId="278" w16cid:durableId="1316183224">
    <w:abstractNumId w:val="23"/>
  </w:num>
  <w:num w:numId="279" w16cid:durableId="1479760104">
    <w:abstractNumId w:val="27"/>
  </w:num>
  <w:num w:numId="280" w16cid:durableId="224923040">
    <w:abstractNumId w:val="135"/>
  </w:num>
  <w:num w:numId="281" w16cid:durableId="1827933032">
    <w:abstractNumId w:val="23"/>
    <w:lvlOverride w:ilvl="0">
      <w:startOverride w:val="2"/>
    </w:lvlOverride>
  </w:num>
  <w:num w:numId="282" w16cid:durableId="1144860095">
    <w:abstractNumId w:val="144"/>
  </w:num>
  <w:num w:numId="283" w16cid:durableId="2035223415">
    <w:abstractNumId w:val="75"/>
  </w:num>
  <w:num w:numId="284" w16cid:durableId="1497839368">
    <w:abstractNumId w:val="129"/>
  </w:num>
  <w:num w:numId="285" w16cid:durableId="355733383">
    <w:abstractNumId w:val="199"/>
  </w:num>
  <w:num w:numId="286" w16cid:durableId="566720820">
    <w:abstractNumId w:val="13"/>
  </w:num>
  <w:num w:numId="287" w16cid:durableId="1861427665">
    <w:abstractNumId w:val="245"/>
  </w:num>
  <w:num w:numId="288" w16cid:durableId="1209103341">
    <w:abstractNumId w:val="71"/>
  </w:num>
  <w:num w:numId="289" w16cid:durableId="1230073670">
    <w:abstractNumId w:val="233"/>
  </w:num>
  <w:num w:numId="290" w16cid:durableId="1437823084">
    <w:abstractNumId w:val="40"/>
  </w:num>
  <w:num w:numId="291" w16cid:durableId="990673274">
    <w:abstractNumId w:val="98"/>
  </w:num>
  <w:num w:numId="292" w16cid:durableId="1472597376">
    <w:abstractNumId w:val="234"/>
  </w:num>
  <w:num w:numId="293" w16cid:durableId="1122377973">
    <w:abstractNumId w:val="195"/>
  </w:num>
  <w:num w:numId="294" w16cid:durableId="839009969">
    <w:abstractNumId w:val="82"/>
  </w:num>
  <w:num w:numId="295" w16cid:durableId="506291562">
    <w:abstractNumId w:val="244"/>
  </w:num>
  <w:num w:numId="296" w16cid:durableId="1156414734">
    <w:abstractNumId w:val="98"/>
    <w:lvlOverride w:ilvl="0">
      <w:startOverride w:val="2"/>
    </w:lvlOverride>
  </w:num>
  <w:num w:numId="297" w16cid:durableId="2033072934">
    <w:abstractNumId w:val="247"/>
  </w:num>
  <w:num w:numId="298" w16cid:durableId="1054233349">
    <w:abstractNumId w:val="258"/>
  </w:num>
  <w:num w:numId="299" w16cid:durableId="791677763">
    <w:abstractNumId w:val="42"/>
  </w:num>
  <w:num w:numId="300" w16cid:durableId="2137217254">
    <w:abstractNumId w:val="257"/>
  </w:num>
  <w:num w:numId="301" w16cid:durableId="1478112858">
    <w:abstractNumId w:val="80"/>
  </w:num>
  <w:num w:numId="302" w16cid:durableId="2051610872">
    <w:abstractNumId w:val="253"/>
  </w:num>
  <w:num w:numId="303" w16cid:durableId="234971666">
    <w:abstractNumId w:val="166"/>
  </w:num>
  <w:num w:numId="304" w16cid:durableId="727415788">
    <w:abstractNumId w:val="41"/>
  </w:num>
  <w:num w:numId="305" w16cid:durableId="862792078">
    <w:abstractNumId w:val="253"/>
    <w:lvlOverride w:ilvl="0">
      <w:startOverride w:val="3"/>
    </w:lvlOverride>
  </w:num>
  <w:num w:numId="306" w16cid:durableId="920678762">
    <w:abstractNumId w:val="191"/>
  </w:num>
  <w:num w:numId="307" w16cid:durableId="750741785">
    <w:abstractNumId w:val="123"/>
  </w:num>
  <w:num w:numId="308" w16cid:durableId="217665051">
    <w:abstractNumId w:val="253"/>
    <w:lvlOverride w:ilvl="0">
      <w:startOverride w:val="4"/>
    </w:lvlOverride>
  </w:num>
  <w:num w:numId="309" w16cid:durableId="735905817">
    <w:abstractNumId w:val="257"/>
    <w:lvlOverride w:ilvl="0">
      <w:startOverride w:val="2"/>
    </w:lvlOverride>
  </w:num>
  <w:num w:numId="310" w16cid:durableId="1551111256">
    <w:abstractNumId w:val="36"/>
  </w:num>
  <w:num w:numId="311" w16cid:durableId="2027098055">
    <w:abstractNumId w:val="205"/>
  </w:num>
  <w:num w:numId="312" w16cid:durableId="1613785060">
    <w:abstractNumId w:val="103"/>
  </w:num>
  <w:num w:numId="313" w16cid:durableId="1022786554">
    <w:abstractNumId w:val="269"/>
  </w:num>
  <w:num w:numId="314" w16cid:durableId="1942570486">
    <w:abstractNumId w:val="257"/>
    <w:lvlOverride w:ilvl="0">
      <w:startOverride w:val="3"/>
    </w:lvlOverride>
  </w:num>
  <w:num w:numId="315" w16cid:durableId="1298802022">
    <w:abstractNumId w:val="74"/>
  </w:num>
  <w:num w:numId="316" w16cid:durableId="1247180454">
    <w:abstractNumId w:val="32"/>
  </w:num>
  <w:num w:numId="317" w16cid:durableId="1827630279">
    <w:abstractNumId w:val="278"/>
  </w:num>
  <w:num w:numId="318" w16cid:durableId="458185577">
    <w:abstractNumId w:val="48"/>
  </w:num>
  <w:num w:numId="319" w16cid:durableId="773328403">
    <w:abstractNumId w:val="167"/>
  </w:num>
  <w:num w:numId="320" w16cid:durableId="1604798239">
    <w:abstractNumId w:val="184"/>
  </w:num>
  <w:num w:numId="321" w16cid:durableId="740445489">
    <w:abstractNumId w:val="251"/>
  </w:num>
  <w:num w:numId="322" w16cid:durableId="1471554931">
    <w:abstractNumId w:val="67"/>
  </w:num>
  <w:num w:numId="323" w16cid:durableId="72237433">
    <w:abstractNumId w:val="18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displayBackgroundShape/>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428"/>
    <w:rsid w:val="00113335"/>
    <w:rsid w:val="00454428"/>
    <w:rsid w:val="00806C0F"/>
    <w:rsid w:val="00B30BC9"/>
    <w:rsid w:val="00C72BA8"/>
    <w:rsid w:val="00CB462F"/>
    <w:rsid w:val="00DB607F"/>
    <w:rsid w:val="00E07D3C"/>
    <w:rsid w:val="00F26E82"/>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BBBD431"/>
  <w15:docId w15:val="{01F63A60-852D-804E-BBA2-86F4635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S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bidi/>
    </w:pPr>
    <w:rPr>
      <w:rFonts w:ascii="Calibri" w:hAnsi="Calibri" w:cs="Arial Unicode MS"/>
      <w:color w:val="000000"/>
      <w:sz w:val="22"/>
      <w:szCs w:val="22"/>
      <w:u w:color="000000"/>
      <w:lang w:val="en-US"/>
    </w:rPr>
  </w:style>
  <w:style w:type="paragraph" w:customStyle="1" w:styleId="Body">
    <w:name w:val="Body"/>
    <w:pPr>
      <w:bidi/>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A">
    <w:name w:val="None A"/>
  </w:style>
  <w:style w:type="paragraph" w:customStyle="1" w:styleId="a">
    <w:name w:val="عنوان"/>
    <w:pPr>
      <w:bidi/>
      <w:spacing w:before="120" w:after="120" w:line="360" w:lineRule="auto"/>
      <w:jc w:val="center"/>
      <w:outlineLvl w:val="1"/>
    </w:pPr>
    <w:rPr>
      <w:rFonts w:eastAsia="Times New Roman"/>
      <w:b/>
      <w:bCs/>
      <w:color w:val="000000"/>
      <w:sz w:val="32"/>
      <w:szCs w:val="32"/>
      <w:u w:color="000000"/>
      <w:lang w:val="en-US"/>
    </w:rPr>
  </w:style>
  <w:style w:type="paragraph" w:styleId="TOC1">
    <w:name w:val="toc 1"/>
    <w:pPr>
      <w:tabs>
        <w:tab w:val="right" w:leader="dot" w:pos="8494"/>
      </w:tabs>
      <w:bidi/>
      <w:spacing w:before="120" w:after="120"/>
      <w:jc w:val="both"/>
    </w:pPr>
    <w:rPr>
      <w:rFonts w:ascii="Calibri" w:eastAsia="Calibri" w:hAnsi="Calibri" w:cs="Calibri"/>
      <w:color w:val="000000"/>
      <w:sz w:val="22"/>
      <w:szCs w:val="22"/>
      <w:u w:color="000000"/>
      <w:lang w:val="en-US"/>
    </w:rPr>
  </w:style>
  <w:style w:type="paragraph" w:customStyle="1" w:styleId="a0">
    <w:name w:val="جانبي"/>
    <w:pPr>
      <w:bidi/>
      <w:spacing w:before="120" w:after="120" w:line="360" w:lineRule="auto"/>
      <w:jc w:val="both"/>
      <w:outlineLvl w:val="0"/>
    </w:pPr>
    <w:rPr>
      <w:rFonts w:eastAsia="Times New Roman"/>
      <w:b/>
      <w:bCs/>
      <w:color w:val="000000"/>
      <w:sz w:val="28"/>
      <w:szCs w:val="28"/>
      <w:u w:color="000000"/>
      <w:lang w:val="en-US"/>
    </w:rPr>
  </w:style>
  <w:style w:type="paragraph" w:styleId="TOC2">
    <w:name w:val="toc 2"/>
    <w:pPr>
      <w:tabs>
        <w:tab w:val="right" w:leader="dot" w:pos="8494"/>
      </w:tabs>
      <w:bidi/>
      <w:spacing w:before="120" w:after="120"/>
      <w:jc w:val="both"/>
    </w:pPr>
    <w:rPr>
      <w:rFonts w:ascii="Calibri" w:eastAsia="Calibri" w:hAnsi="Calibri" w:cs="Calibri"/>
      <w:color w:val="000000"/>
      <w:sz w:val="22"/>
      <w:szCs w:val="22"/>
      <w:u w:color="000000"/>
      <w:lang w:val="en-US"/>
    </w:rPr>
  </w:style>
  <w:style w:type="paragraph" w:styleId="FootnoteText">
    <w:name w:val="footnote text"/>
    <w:pPr>
      <w:bidi/>
    </w:pPr>
    <w:rPr>
      <w:rFonts w:ascii="Calibri" w:hAnsi="Calibri" w:cs="Arial Unicode MS"/>
      <w:color w:val="000000"/>
      <w:u w:color="000000"/>
      <w:lang w:val="en-US"/>
    </w:rPr>
  </w:style>
  <w:style w:type="paragraph" w:customStyle="1" w:styleId="1">
    <w:name w:val="نص حاشية سفلية1"/>
    <w:next w:val="FootnoteText"/>
    <w:pPr>
      <w:bidi/>
    </w:pPr>
    <w:rPr>
      <w:rFonts w:ascii="Calibri" w:hAnsi="Calibri" w:cs="Arial Unicode MS"/>
      <w:color w:val="000000"/>
      <w:u w:color="000000"/>
      <w:lang w:val="en-US"/>
    </w:rPr>
  </w:style>
  <w:style w:type="paragraph" w:styleId="ListParagraph">
    <w:name w:val="List Paragraph"/>
    <w:pPr>
      <w:bidi/>
      <w:spacing w:after="160" w:line="259" w:lineRule="auto"/>
      <w:ind w:left="720"/>
    </w:pPr>
    <w:rPr>
      <w:rFonts w:ascii="Arial Unicode MS" w:hAnsi="Arial Unicode MS" w:cs="Calibri" w:hint="cs"/>
      <w:color w:val="000000"/>
      <w:sz w:val="22"/>
      <w:szCs w:val="22"/>
      <w:u w:color="000000"/>
      <w:lang w:val="en-US"/>
    </w:rPr>
  </w:style>
  <w:style w:type="numbering" w:customStyle="1" w:styleId="ImportedStyle1">
    <w:name w:val="Imported Style 1"/>
    <w:pPr>
      <w:numPr>
        <w:numId w:val="8"/>
      </w:numPr>
    </w:pPr>
  </w:style>
  <w:style w:type="numbering" w:customStyle="1" w:styleId="ImportedStyle2">
    <w:name w:val="Imported Style 2"/>
    <w:pPr>
      <w:numPr>
        <w:numId w:val="11"/>
      </w:numPr>
    </w:pPr>
  </w:style>
  <w:style w:type="numbering" w:customStyle="1" w:styleId="ImportedStyle3">
    <w:name w:val="Imported Style 3"/>
    <w:pPr>
      <w:numPr>
        <w:numId w:val="13"/>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paragraph" w:customStyle="1" w:styleId="BodyA">
    <w:name w:val="Body A"/>
    <w:pPr>
      <w:bidi/>
      <w:spacing w:after="160" w:line="259" w:lineRule="auto"/>
    </w:pPr>
    <w:rPr>
      <w:rFonts w:ascii="Arial Unicode MS" w:hAnsi="Arial Unicode MS" w:cs="Calibri" w:hint="cs"/>
      <w:color w:val="000000"/>
      <w:sz w:val="22"/>
      <w:szCs w:val="22"/>
      <w:u w:color="000000"/>
      <w:lang w:val="en-US"/>
      <w14:textOutline w14:w="12700" w14:cap="flat" w14:cmpd="sng" w14:algn="ctr">
        <w14:noFill/>
        <w14:prstDash w14:val="solid"/>
        <w14:miter w14:lim="400000"/>
      </w14:textOutline>
    </w:rPr>
  </w:style>
  <w:style w:type="numbering" w:customStyle="1" w:styleId="ImportedStyle4">
    <w:name w:val="Imported Style 4"/>
    <w:pPr>
      <w:numPr>
        <w:numId w:val="16"/>
      </w:numPr>
    </w:pPr>
  </w:style>
  <w:style w:type="numbering" w:customStyle="1" w:styleId="ImportedStyle5">
    <w:name w:val="Imported Style 5"/>
    <w:pPr>
      <w:numPr>
        <w:numId w:val="18"/>
      </w:numPr>
    </w:pPr>
  </w:style>
  <w:style w:type="numbering" w:customStyle="1" w:styleId="ImportedStyle6">
    <w:name w:val="Imported Style 6"/>
    <w:pPr>
      <w:numPr>
        <w:numId w:val="20"/>
      </w:numPr>
    </w:pPr>
  </w:style>
  <w:style w:type="numbering" w:customStyle="1" w:styleId="ImportedStyle7">
    <w:name w:val="Imported Style 7"/>
    <w:pPr>
      <w:numPr>
        <w:numId w:val="22"/>
      </w:numPr>
    </w:pPr>
  </w:style>
  <w:style w:type="numbering" w:customStyle="1" w:styleId="ImportedStyle8">
    <w:name w:val="Imported Style 8"/>
    <w:pPr>
      <w:numPr>
        <w:numId w:val="24"/>
      </w:numPr>
    </w:pPr>
  </w:style>
  <w:style w:type="numbering" w:customStyle="1" w:styleId="ImportedStyle9">
    <w:name w:val="Imported Style 9"/>
    <w:pPr>
      <w:numPr>
        <w:numId w:val="26"/>
      </w:numPr>
    </w:pPr>
  </w:style>
  <w:style w:type="numbering" w:customStyle="1" w:styleId="ImportedStyle10">
    <w:name w:val="Imported Style 10"/>
    <w:pPr>
      <w:numPr>
        <w:numId w:val="28"/>
      </w:numPr>
    </w:pPr>
  </w:style>
  <w:style w:type="numbering" w:customStyle="1" w:styleId="ImportedStyle11">
    <w:name w:val="Imported Style 11"/>
    <w:pPr>
      <w:numPr>
        <w:numId w:val="30"/>
      </w:numPr>
    </w:pPr>
  </w:style>
  <w:style w:type="numbering" w:customStyle="1" w:styleId="ImportedStyle12">
    <w:name w:val="Imported Style 12"/>
    <w:pPr>
      <w:numPr>
        <w:numId w:val="32"/>
      </w:numPr>
    </w:pPr>
  </w:style>
  <w:style w:type="numbering" w:customStyle="1" w:styleId="ImportedStyle13">
    <w:name w:val="Imported Style 13"/>
    <w:pPr>
      <w:numPr>
        <w:numId w:val="34"/>
      </w:numPr>
    </w:pPr>
  </w:style>
  <w:style w:type="numbering" w:customStyle="1" w:styleId="ImportedStyle14">
    <w:name w:val="Imported Style 14"/>
    <w:pPr>
      <w:numPr>
        <w:numId w:val="36"/>
      </w:numPr>
    </w:pPr>
  </w:style>
  <w:style w:type="numbering" w:customStyle="1" w:styleId="ImportedStyle15">
    <w:name w:val="Imported Style 15"/>
    <w:pPr>
      <w:numPr>
        <w:numId w:val="38"/>
      </w:numPr>
    </w:pPr>
  </w:style>
  <w:style w:type="numbering" w:customStyle="1" w:styleId="ImportedStyle16">
    <w:name w:val="Imported Style 16"/>
    <w:pPr>
      <w:numPr>
        <w:numId w:val="40"/>
      </w:numPr>
    </w:pPr>
  </w:style>
  <w:style w:type="numbering" w:customStyle="1" w:styleId="ImportedStyle17">
    <w:name w:val="Imported Style 17"/>
    <w:pPr>
      <w:numPr>
        <w:numId w:val="43"/>
      </w:numPr>
    </w:pPr>
  </w:style>
  <w:style w:type="numbering" w:customStyle="1" w:styleId="ImportedStyle18">
    <w:name w:val="Imported Style 18"/>
    <w:pPr>
      <w:numPr>
        <w:numId w:val="45"/>
      </w:numPr>
    </w:pPr>
  </w:style>
  <w:style w:type="numbering" w:customStyle="1" w:styleId="ImportedStyle19">
    <w:name w:val="Imported Style 19"/>
    <w:pPr>
      <w:numPr>
        <w:numId w:val="48"/>
      </w:numPr>
    </w:p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563C1"/>
      <w:u w:val="single" w:color="0563C1"/>
      <w:lang w:val="en-US"/>
    </w:rPr>
  </w:style>
  <w:style w:type="numbering" w:customStyle="1" w:styleId="ImportedStyle20">
    <w:name w:val="Imported Style 20"/>
    <w:pPr>
      <w:numPr>
        <w:numId w:val="50"/>
      </w:numPr>
    </w:pPr>
  </w:style>
  <w:style w:type="numbering" w:customStyle="1" w:styleId="ImportedStyle21">
    <w:name w:val="Imported Style 21"/>
    <w:pPr>
      <w:numPr>
        <w:numId w:val="52"/>
      </w:numPr>
    </w:pPr>
  </w:style>
  <w:style w:type="numbering" w:customStyle="1" w:styleId="ImportedStyle22">
    <w:name w:val="Imported Style 22"/>
    <w:pPr>
      <w:numPr>
        <w:numId w:val="55"/>
      </w:numPr>
    </w:pPr>
  </w:style>
  <w:style w:type="numbering" w:customStyle="1" w:styleId="ImportedStyle23">
    <w:name w:val="Imported Style 23"/>
    <w:pPr>
      <w:numPr>
        <w:numId w:val="58"/>
      </w:numPr>
    </w:pPr>
  </w:style>
  <w:style w:type="numbering" w:customStyle="1" w:styleId="ImportedStyle24">
    <w:name w:val="Imported Style 24"/>
    <w:pPr>
      <w:numPr>
        <w:numId w:val="60"/>
      </w:numPr>
    </w:pPr>
  </w:style>
  <w:style w:type="numbering" w:customStyle="1" w:styleId="ImportedStyle25">
    <w:name w:val="Imported Style 25"/>
    <w:pPr>
      <w:numPr>
        <w:numId w:val="63"/>
      </w:numPr>
    </w:pPr>
  </w:style>
  <w:style w:type="numbering" w:customStyle="1" w:styleId="ImportedStyle26">
    <w:name w:val="Imported Style 26"/>
    <w:pPr>
      <w:numPr>
        <w:numId w:val="65"/>
      </w:numPr>
    </w:pPr>
  </w:style>
  <w:style w:type="paragraph" w:customStyle="1" w:styleId="Default">
    <w:name w:val="Default"/>
    <w:pPr>
      <w:bidi/>
      <w:spacing w:before="160" w:after="160" w:line="288" w:lineRule="auto"/>
    </w:pPr>
    <w:rPr>
      <w:rFonts w:ascii="Arial Unicode MS" w:hAnsi="Arial Unicode MS" w:cs="Arial Unicode MS"/>
      <w:color w:val="000000"/>
      <w:sz w:val="24"/>
      <w:szCs w:val="24"/>
      <w:u w:color="000000"/>
      <w:lang w:val="en-US"/>
      <w14:textOutline w14:w="12700" w14:cap="flat" w14:cmpd="sng" w14:algn="ctr">
        <w14:noFill/>
        <w14:prstDash w14:val="solid"/>
        <w14:miter w14:lim="400000"/>
      </w14:textOutline>
    </w:rPr>
  </w:style>
  <w:style w:type="numbering" w:customStyle="1" w:styleId="ImportedStyle27">
    <w:name w:val="Imported Style 27"/>
    <w:pPr>
      <w:numPr>
        <w:numId w:val="67"/>
      </w:numPr>
    </w:pPr>
  </w:style>
  <w:style w:type="numbering" w:customStyle="1" w:styleId="ImportedStyle28">
    <w:name w:val="Imported Style 28"/>
    <w:pPr>
      <w:numPr>
        <w:numId w:val="69"/>
      </w:numPr>
    </w:pPr>
  </w:style>
  <w:style w:type="numbering" w:customStyle="1" w:styleId="ImportedStyle29">
    <w:name w:val="Imported Style 29"/>
    <w:pPr>
      <w:numPr>
        <w:numId w:val="71"/>
      </w:numPr>
    </w:pPr>
  </w:style>
  <w:style w:type="numbering" w:customStyle="1" w:styleId="ImportedStyle30">
    <w:name w:val="Imported Style 30"/>
    <w:pPr>
      <w:numPr>
        <w:numId w:val="73"/>
      </w:numPr>
    </w:pPr>
  </w:style>
  <w:style w:type="numbering" w:customStyle="1" w:styleId="ImportedStyle31">
    <w:name w:val="Imported Style 31"/>
    <w:pPr>
      <w:numPr>
        <w:numId w:val="75"/>
      </w:numPr>
    </w:pPr>
  </w:style>
  <w:style w:type="numbering" w:customStyle="1" w:styleId="ImportedStyle32">
    <w:name w:val="Imported Style 32"/>
    <w:pPr>
      <w:numPr>
        <w:numId w:val="77"/>
      </w:numPr>
    </w:pPr>
  </w:style>
  <w:style w:type="numbering" w:customStyle="1" w:styleId="ImportedStyle33">
    <w:name w:val="Imported Style 33"/>
    <w:pPr>
      <w:numPr>
        <w:numId w:val="79"/>
      </w:numPr>
    </w:pPr>
  </w:style>
  <w:style w:type="numbering" w:customStyle="1" w:styleId="ImportedStyle34">
    <w:name w:val="Imported Style 34"/>
    <w:pPr>
      <w:numPr>
        <w:numId w:val="82"/>
      </w:numPr>
    </w:pPr>
  </w:style>
  <w:style w:type="numbering" w:customStyle="1" w:styleId="ImportedStyle35">
    <w:name w:val="Imported Style 35"/>
    <w:pPr>
      <w:numPr>
        <w:numId w:val="84"/>
      </w:numPr>
    </w:pPr>
  </w:style>
  <w:style w:type="numbering" w:customStyle="1" w:styleId="ImportedStyle36">
    <w:name w:val="Imported Style 36"/>
    <w:pPr>
      <w:numPr>
        <w:numId w:val="86"/>
      </w:numPr>
    </w:pPr>
  </w:style>
  <w:style w:type="character" w:customStyle="1" w:styleId="Hyperlink2">
    <w:name w:val="Hyperlink.2"/>
    <w:basedOn w:val="Link"/>
    <w:rPr>
      <w:rFonts w:ascii="Calibri Light" w:eastAsia="Calibri Light" w:hAnsi="Calibri Light" w:cs="Calibri Light"/>
      <w:outline w:val="0"/>
      <w:color w:val="0563C1"/>
      <w:sz w:val="24"/>
      <w:szCs w:val="24"/>
      <w:u w:val="single" w:color="0563C1"/>
      <w:lang w:val="en-US"/>
    </w:rPr>
  </w:style>
  <w:style w:type="numbering" w:customStyle="1" w:styleId="ImportedStyle37">
    <w:name w:val="Imported Style 37"/>
    <w:pPr>
      <w:numPr>
        <w:numId w:val="91"/>
      </w:numPr>
    </w:pPr>
  </w:style>
  <w:style w:type="numbering" w:customStyle="1" w:styleId="ImportedStyle38">
    <w:name w:val="Imported Style 38"/>
    <w:pPr>
      <w:numPr>
        <w:numId w:val="93"/>
      </w:numPr>
    </w:pPr>
  </w:style>
  <w:style w:type="numbering" w:customStyle="1" w:styleId="ImportedStyle39">
    <w:name w:val="Imported Style 39"/>
    <w:pPr>
      <w:numPr>
        <w:numId w:val="95"/>
      </w:numPr>
    </w:pPr>
  </w:style>
  <w:style w:type="numbering" w:customStyle="1" w:styleId="ImportedStyle40">
    <w:name w:val="Imported Style 40"/>
    <w:pPr>
      <w:numPr>
        <w:numId w:val="98"/>
      </w:numPr>
    </w:pPr>
  </w:style>
  <w:style w:type="character" w:customStyle="1" w:styleId="Hyperlink3">
    <w:name w:val="Hyperlink.3"/>
    <w:basedOn w:val="Link"/>
    <w:rPr>
      <w:rFonts w:ascii="Calibri Light" w:eastAsia="Calibri Light" w:hAnsi="Calibri Light" w:cs="Calibri Light"/>
      <w:outline w:val="0"/>
      <w:color w:val="0563C1"/>
      <w:sz w:val="24"/>
      <w:szCs w:val="24"/>
      <w:u w:val="single" w:color="0563C1"/>
    </w:rPr>
  </w:style>
  <w:style w:type="numbering" w:customStyle="1" w:styleId="ImportedStyle41">
    <w:name w:val="Imported Style 41"/>
    <w:pPr>
      <w:numPr>
        <w:numId w:val="102"/>
      </w:numPr>
    </w:pPr>
  </w:style>
  <w:style w:type="numbering" w:customStyle="1" w:styleId="ImportedStyle42">
    <w:name w:val="Imported Style 42"/>
    <w:pPr>
      <w:numPr>
        <w:numId w:val="104"/>
      </w:numPr>
    </w:pPr>
  </w:style>
  <w:style w:type="numbering" w:customStyle="1" w:styleId="ImportedStyle43">
    <w:name w:val="Imported Style 43"/>
    <w:pPr>
      <w:numPr>
        <w:numId w:val="106"/>
      </w:numPr>
    </w:pPr>
  </w:style>
  <w:style w:type="numbering" w:customStyle="1" w:styleId="ImportedStyle44">
    <w:name w:val="Imported Style 44"/>
    <w:pPr>
      <w:numPr>
        <w:numId w:val="108"/>
      </w:numPr>
    </w:pPr>
  </w:style>
  <w:style w:type="numbering" w:customStyle="1" w:styleId="ImportedStyle45">
    <w:name w:val="Imported Style 45"/>
    <w:pPr>
      <w:numPr>
        <w:numId w:val="111"/>
      </w:numPr>
    </w:pPr>
  </w:style>
  <w:style w:type="numbering" w:customStyle="1" w:styleId="ImportedStyle46">
    <w:name w:val="Imported Style 46"/>
    <w:pPr>
      <w:numPr>
        <w:numId w:val="113"/>
      </w:numPr>
    </w:pPr>
  </w:style>
  <w:style w:type="numbering" w:customStyle="1" w:styleId="ImportedStyle47">
    <w:name w:val="Imported Style 47"/>
    <w:pPr>
      <w:numPr>
        <w:numId w:val="115"/>
      </w:numPr>
    </w:pPr>
  </w:style>
  <w:style w:type="numbering" w:customStyle="1" w:styleId="ImportedStyle48">
    <w:name w:val="Imported Style 48"/>
    <w:pPr>
      <w:numPr>
        <w:numId w:val="119"/>
      </w:numPr>
    </w:pPr>
  </w:style>
  <w:style w:type="numbering" w:customStyle="1" w:styleId="ImportedStyle49">
    <w:name w:val="Imported Style 49"/>
    <w:pPr>
      <w:numPr>
        <w:numId w:val="122"/>
      </w:numPr>
    </w:pPr>
  </w:style>
  <w:style w:type="numbering" w:customStyle="1" w:styleId="ImportedStyle50">
    <w:name w:val="Imported Style 50"/>
    <w:pPr>
      <w:numPr>
        <w:numId w:val="124"/>
      </w:numPr>
    </w:pPr>
  </w:style>
  <w:style w:type="numbering" w:customStyle="1" w:styleId="ImportedStyle51">
    <w:name w:val="Imported Style 51"/>
    <w:pPr>
      <w:numPr>
        <w:numId w:val="126"/>
      </w:numPr>
    </w:pPr>
  </w:style>
  <w:style w:type="numbering" w:customStyle="1" w:styleId="ImportedStyle52">
    <w:name w:val="Imported Style 52"/>
    <w:pPr>
      <w:numPr>
        <w:numId w:val="128"/>
      </w:numPr>
    </w:pPr>
  </w:style>
  <w:style w:type="numbering" w:customStyle="1" w:styleId="ImportedStyle53">
    <w:name w:val="Imported Style 53"/>
    <w:pPr>
      <w:numPr>
        <w:numId w:val="130"/>
      </w:numPr>
    </w:pPr>
  </w:style>
  <w:style w:type="numbering" w:customStyle="1" w:styleId="ImportedStyle54">
    <w:name w:val="Imported Style 54"/>
    <w:pPr>
      <w:numPr>
        <w:numId w:val="132"/>
      </w:numPr>
    </w:pPr>
  </w:style>
  <w:style w:type="character" w:customStyle="1" w:styleId="Hyperlink4">
    <w:name w:val="Hyperlink.4"/>
    <w:basedOn w:val="Link"/>
    <w:rPr>
      <w:rFonts w:ascii="Times New Roman" w:eastAsia="Times New Roman" w:hAnsi="Times New Roman" w:cs="Times New Roman"/>
      <w:outline w:val="0"/>
      <w:color w:val="0563C1"/>
      <w:u w:val="single" w:color="0563C1"/>
    </w:rPr>
  </w:style>
  <w:style w:type="numbering" w:customStyle="1" w:styleId="ImportedStyle55">
    <w:name w:val="Imported Style 55"/>
    <w:pPr>
      <w:numPr>
        <w:numId w:val="134"/>
      </w:numPr>
    </w:pPr>
  </w:style>
  <w:style w:type="numbering" w:customStyle="1" w:styleId="ImportedStyle56">
    <w:name w:val="Imported Style 56"/>
    <w:pPr>
      <w:numPr>
        <w:numId w:val="136"/>
      </w:numPr>
    </w:pPr>
  </w:style>
  <w:style w:type="numbering" w:customStyle="1" w:styleId="ImportedStyle57">
    <w:name w:val="Imported Style 57"/>
    <w:pPr>
      <w:numPr>
        <w:numId w:val="138"/>
      </w:numPr>
    </w:pPr>
  </w:style>
  <w:style w:type="character" w:customStyle="1" w:styleId="Hyperlink5">
    <w:name w:val="Hyperlink.5"/>
    <w:basedOn w:val="None"/>
    <w:rPr>
      <w:rFonts w:ascii="Times New Roman" w:eastAsia="Times New Roman" w:hAnsi="Times New Roman" w:cs="Times New Roman"/>
      <w:i/>
      <w:iCs/>
      <w:outline w:val="0"/>
      <w:color w:val="222222"/>
      <w:u w:color="222222"/>
      <w:shd w:val="clear" w:color="auto" w:fill="FFFFFF"/>
    </w:rPr>
  </w:style>
  <w:style w:type="numbering" w:customStyle="1" w:styleId="ImportedStyle58">
    <w:name w:val="Imported Style 58"/>
    <w:pPr>
      <w:numPr>
        <w:numId w:val="140"/>
      </w:numPr>
    </w:pPr>
  </w:style>
  <w:style w:type="numbering" w:customStyle="1" w:styleId="ImportedStyle59">
    <w:name w:val="Imported Style 59"/>
    <w:pPr>
      <w:numPr>
        <w:numId w:val="142"/>
      </w:numPr>
    </w:pPr>
  </w:style>
  <w:style w:type="numbering" w:customStyle="1" w:styleId="ImportedStyle60">
    <w:name w:val="Imported Style 60"/>
    <w:pPr>
      <w:numPr>
        <w:numId w:val="144"/>
      </w:numPr>
    </w:pPr>
  </w:style>
  <w:style w:type="numbering" w:customStyle="1" w:styleId="ImportedStyle61">
    <w:name w:val="Imported Style 61"/>
    <w:pPr>
      <w:numPr>
        <w:numId w:val="146"/>
      </w:numPr>
    </w:pPr>
  </w:style>
  <w:style w:type="numbering" w:customStyle="1" w:styleId="ImportedStyle62">
    <w:name w:val="Imported Style 62"/>
    <w:pPr>
      <w:numPr>
        <w:numId w:val="148"/>
      </w:numPr>
    </w:pPr>
  </w:style>
  <w:style w:type="numbering" w:customStyle="1" w:styleId="ImportedStyle63">
    <w:name w:val="Imported Style 63"/>
    <w:pPr>
      <w:numPr>
        <w:numId w:val="150"/>
      </w:numPr>
    </w:pPr>
  </w:style>
  <w:style w:type="numbering" w:customStyle="1" w:styleId="ImportedStyle64">
    <w:name w:val="Imported Style 64"/>
    <w:pPr>
      <w:numPr>
        <w:numId w:val="152"/>
      </w:numPr>
    </w:pPr>
  </w:style>
  <w:style w:type="numbering" w:customStyle="1" w:styleId="ImportedStyle65">
    <w:name w:val="Imported Style 65"/>
    <w:pPr>
      <w:numPr>
        <w:numId w:val="154"/>
      </w:numPr>
    </w:pPr>
  </w:style>
  <w:style w:type="numbering" w:customStyle="1" w:styleId="ImportedStyle66">
    <w:name w:val="Imported Style 66"/>
    <w:pPr>
      <w:numPr>
        <w:numId w:val="156"/>
      </w:numPr>
    </w:pPr>
  </w:style>
  <w:style w:type="numbering" w:customStyle="1" w:styleId="ImportedStyle67">
    <w:name w:val="Imported Style 67"/>
    <w:pPr>
      <w:numPr>
        <w:numId w:val="158"/>
      </w:numPr>
    </w:pPr>
  </w:style>
  <w:style w:type="numbering" w:customStyle="1" w:styleId="ImportedStyle68">
    <w:name w:val="Imported Style 68"/>
    <w:pPr>
      <w:numPr>
        <w:numId w:val="160"/>
      </w:numPr>
    </w:pPr>
  </w:style>
  <w:style w:type="numbering" w:customStyle="1" w:styleId="ImportedStyle69">
    <w:name w:val="Imported Style 69"/>
    <w:pPr>
      <w:numPr>
        <w:numId w:val="162"/>
      </w:numPr>
    </w:pPr>
  </w:style>
  <w:style w:type="numbering" w:customStyle="1" w:styleId="ImportedStyle70">
    <w:name w:val="Imported Style 70"/>
    <w:pPr>
      <w:numPr>
        <w:numId w:val="164"/>
      </w:numPr>
    </w:pPr>
  </w:style>
  <w:style w:type="numbering" w:customStyle="1" w:styleId="ImportedStyle71">
    <w:name w:val="Imported Style 71"/>
    <w:pPr>
      <w:numPr>
        <w:numId w:val="166"/>
      </w:numPr>
    </w:pPr>
  </w:style>
  <w:style w:type="numbering" w:customStyle="1" w:styleId="ImportedStyle72">
    <w:name w:val="Imported Style 72"/>
    <w:pPr>
      <w:numPr>
        <w:numId w:val="168"/>
      </w:numPr>
    </w:pPr>
  </w:style>
  <w:style w:type="numbering" w:customStyle="1" w:styleId="ImportedStyle73">
    <w:name w:val="Imported Style 73"/>
    <w:pPr>
      <w:numPr>
        <w:numId w:val="170"/>
      </w:numPr>
    </w:pPr>
  </w:style>
  <w:style w:type="numbering" w:customStyle="1" w:styleId="ImportedStyle74">
    <w:name w:val="Imported Style 74"/>
    <w:pPr>
      <w:numPr>
        <w:numId w:val="172"/>
      </w:numPr>
    </w:pPr>
  </w:style>
  <w:style w:type="paragraph" w:styleId="NormalWeb">
    <w:name w:val="Normal (Web)"/>
    <w:pPr>
      <w:spacing w:before="100" w:after="100"/>
    </w:pPr>
    <w:rPr>
      <w:rFonts w:ascii="Arial Unicode MS" w:hAnsi="Arial Unicode MS" w:hint="cs"/>
      <w:color w:val="000000"/>
      <w:sz w:val="24"/>
      <w:szCs w:val="24"/>
      <w:u w:color="000000"/>
      <w:lang w:val="en-US"/>
    </w:rPr>
  </w:style>
  <w:style w:type="numbering" w:customStyle="1" w:styleId="ImportedStyle75">
    <w:name w:val="Imported Style 75"/>
    <w:pPr>
      <w:numPr>
        <w:numId w:val="174"/>
      </w:numPr>
    </w:pPr>
  </w:style>
  <w:style w:type="numbering" w:customStyle="1" w:styleId="ImportedStyle76">
    <w:name w:val="Imported Style 76"/>
    <w:pPr>
      <w:numPr>
        <w:numId w:val="176"/>
      </w:numPr>
    </w:pPr>
  </w:style>
  <w:style w:type="numbering" w:customStyle="1" w:styleId="ImportedStyle77">
    <w:name w:val="Imported Style 77"/>
    <w:pPr>
      <w:numPr>
        <w:numId w:val="178"/>
      </w:numPr>
    </w:pPr>
  </w:style>
  <w:style w:type="numbering" w:customStyle="1" w:styleId="ImportedStyle78">
    <w:name w:val="Imported Style 78"/>
    <w:pPr>
      <w:numPr>
        <w:numId w:val="180"/>
      </w:numPr>
    </w:pPr>
  </w:style>
  <w:style w:type="numbering" w:customStyle="1" w:styleId="ImportedStyle79">
    <w:name w:val="Imported Style 79"/>
    <w:pPr>
      <w:numPr>
        <w:numId w:val="183"/>
      </w:numPr>
    </w:pPr>
  </w:style>
  <w:style w:type="numbering" w:customStyle="1" w:styleId="ImportedStyle80">
    <w:name w:val="Imported Style 80"/>
    <w:pPr>
      <w:numPr>
        <w:numId w:val="185"/>
      </w:numPr>
    </w:pPr>
  </w:style>
  <w:style w:type="numbering" w:customStyle="1" w:styleId="ImportedStyle81">
    <w:name w:val="Imported Style 81"/>
    <w:pPr>
      <w:numPr>
        <w:numId w:val="187"/>
      </w:numPr>
    </w:pPr>
  </w:style>
  <w:style w:type="numbering" w:customStyle="1" w:styleId="ImportedStyle82">
    <w:name w:val="Imported Style 82"/>
    <w:pPr>
      <w:numPr>
        <w:numId w:val="189"/>
      </w:numPr>
    </w:pPr>
  </w:style>
  <w:style w:type="numbering" w:customStyle="1" w:styleId="ImportedStyle83">
    <w:name w:val="Imported Style 83"/>
    <w:pPr>
      <w:numPr>
        <w:numId w:val="191"/>
      </w:numPr>
    </w:pPr>
  </w:style>
  <w:style w:type="numbering" w:customStyle="1" w:styleId="ImportedStyle84">
    <w:name w:val="Imported Style 84"/>
    <w:pPr>
      <w:numPr>
        <w:numId w:val="193"/>
      </w:numPr>
    </w:pPr>
  </w:style>
  <w:style w:type="numbering" w:customStyle="1" w:styleId="ImportedStyle85">
    <w:name w:val="Imported Style 85"/>
    <w:pPr>
      <w:numPr>
        <w:numId w:val="195"/>
      </w:numPr>
    </w:pPr>
  </w:style>
  <w:style w:type="numbering" w:customStyle="1" w:styleId="ImportedStyle86">
    <w:name w:val="Imported Style 86"/>
    <w:pPr>
      <w:numPr>
        <w:numId w:val="197"/>
      </w:numPr>
    </w:pPr>
  </w:style>
  <w:style w:type="numbering" w:customStyle="1" w:styleId="ImportedStyle87">
    <w:name w:val="Imported Style 87"/>
    <w:pPr>
      <w:numPr>
        <w:numId w:val="199"/>
      </w:numPr>
    </w:pPr>
  </w:style>
  <w:style w:type="numbering" w:customStyle="1" w:styleId="ImportedStyle88">
    <w:name w:val="Imported Style 88"/>
    <w:pPr>
      <w:numPr>
        <w:numId w:val="201"/>
      </w:numPr>
    </w:pPr>
  </w:style>
  <w:style w:type="numbering" w:customStyle="1" w:styleId="ImportedStyle89">
    <w:name w:val="Imported Style 89"/>
    <w:pPr>
      <w:numPr>
        <w:numId w:val="203"/>
      </w:numPr>
    </w:pPr>
  </w:style>
  <w:style w:type="numbering" w:customStyle="1" w:styleId="ImportedStyle90">
    <w:name w:val="Imported Style 90"/>
    <w:pPr>
      <w:numPr>
        <w:numId w:val="205"/>
      </w:numPr>
    </w:pPr>
  </w:style>
  <w:style w:type="numbering" w:customStyle="1" w:styleId="ImportedStyle91">
    <w:name w:val="Imported Style 91"/>
    <w:pPr>
      <w:numPr>
        <w:numId w:val="207"/>
      </w:numPr>
    </w:pPr>
  </w:style>
  <w:style w:type="numbering" w:customStyle="1" w:styleId="ImportedStyle92">
    <w:name w:val="Imported Style 92"/>
    <w:pPr>
      <w:numPr>
        <w:numId w:val="209"/>
      </w:numPr>
    </w:pPr>
  </w:style>
  <w:style w:type="numbering" w:customStyle="1" w:styleId="ImportedStyle93">
    <w:name w:val="Imported Style 93"/>
    <w:pPr>
      <w:numPr>
        <w:numId w:val="211"/>
      </w:numPr>
    </w:pPr>
  </w:style>
  <w:style w:type="numbering" w:customStyle="1" w:styleId="ImportedStyle94">
    <w:name w:val="Imported Style 94"/>
    <w:pPr>
      <w:numPr>
        <w:numId w:val="213"/>
      </w:numPr>
    </w:pPr>
  </w:style>
  <w:style w:type="numbering" w:customStyle="1" w:styleId="ImportedStyle95">
    <w:name w:val="Imported Style 95"/>
    <w:pPr>
      <w:numPr>
        <w:numId w:val="215"/>
      </w:numPr>
    </w:pPr>
  </w:style>
  <w:style w:type="numbering" w:customStyle="1" w:styleId="ImportedStyle96">
    <w:name w:val="Imported Style 96"/>
    <w:pPr>
      <w:numPr>
        <w:numId w:val="218"/>
      </w:numPr>
    </w:pPr>
  </w:style>
  <w:style w:type="character" w:customStyle="1" w:styleId="Hyperlink6">
    <w:name w:val="Hyperlink.6"/>
    <w:basedOn w:val="Link"/>
    <w:rPr>
      <w:rFonts w:ascii="Times New Roman" w:eastAsia="Times New Roman" w:hAnsi="Times New Roman" w:cs="Times New Roman"/>
      <w:outline w:val="0"/>
      <w:color w:val="0563C1"/>
      <w:u w:val="single" w:color="0563C1"/>
      <w:shd w:val="clear" w:color="auto" w:fill="FFFFFF"/>
      <w:lang w:val="en-US"/>
    </w:rPr>
  </w:style>
  <w:style w:type="numbering" w:customStyle="1" w:styleId="ImportedStyle97">
    <w:name w:val="Imported Style 97"/>
    <w:pPr>
      <w:numPr>
        <w:numId w:val="220"/>
      </w:numPr>
    </w:pPr>
  </w:style>
  <w:style w:type="numbering" w:customStyle="1" w:styleId="ImportedStyle98">
    <w:name w:val="Imported Style 98"/>
    <w:pPr>
      <w:numPr>
        <w:numId w:val="222"/>
      </w:numPr>
    </w:pPr>
  </w:style>
  <w:style w:type="numbering" w:customStyle="1" w:styleId="ImportedStyle99">
    <w:name w:val="Imported Style 99"/>
    <w:pPr>
      <w:numPr>
        <w:numId w:val="224"/>
      </w:numPr>
    </w:pPr>
  </w:style>
  <w:style w:type="numbering" w:customStyle="1" w:styleId="ImportedStyle100">
    <w:name w:val="Imported Style 100"/>
    <w:pPr>
      <w:numPr>
        <w:numId w:val="226"/>
      </w:numPr>
    </w:pPr>
  </w:style>
  <w:style w:type="numbering" w:customStyle="1" w:styleId="ImportedStyle101">
    <w:name w:val="Imported Style 101"/>
    <w:pPr>
      <w:numPr>
        <w:numId w:val="228"/>
      </w:numPr>
    </w:pPr>
  </w:style>
  <w:style w:type="numbering" w:customStyle="1" w:styleId="ImportedStyle102">
    <w:name w:val="Imported Style 102"/>
    <w:pPr>
      <w:numPr>
        <w:numId w:val="230"/>
      </w:numPr>
    </w:pPr>
  </w:style>
  <w:style w:type="numbering" w:customStyle="1" w:styleId="ImportedStyle103">
    <w:name w:val="Imported Style 103"/>
    <w:pPr>
      <w:numPr>
        <w:numId w:val="232"/>
      </w:numPr>
    </w:pPr>
  </w:style>
  <w:style w:type="numbering" w:customStyle="1" w:styleId="ImportedStyle104">
    <w:name w:val="Imported Style 104"/>
    <w:pPr>
      <w:numPr>
        <w:numId w:val="234"/>
      </w:numPr>
    </w:pPr>
  </w:style>
  <w:style w:type="numbering" w:customStyle="1" w:styleId="ImportedStyle105">
    <w:name w:val="Imported Style 105"/>
    <w:pPr>
      <w:numPr>
        <w:numId w:val="237"/>
      </w:numPr>
    </w:pPr>
  </w:style>
  <w:style w:type="numbering" w:customStyle="1" w:styleId="ImportedStyle106">
    <w:name w:val="Imported Style 106"/>
    <w:pPr>
      <w:numPr>
        <w:numId w:val="239"/>
      </w:numPr>
    </w:pPr>
  </w:style>
  <w:style w:type="numbering" w:customStyle="1" w:styleId="ImportedStyle107">
    <w:name w:val="Imported Style 107"/>
    <w:pPr>
      <w:numPr>
        <w:numId w:val="241"/>
      </w:numPr>
    </w:pPr>
  </w:style>
  <w:style w:type="numbering" w:customStyle="1" w:styleId="ImportedStyle108">
    <w:name w:val="Imported Style 108"/>
    <w:pPr>
      <w:numPr>
        <w:numId w:val="244"/>
      </w:numPr>
    </w:pPr>
  </w:style>
  <w:style w:type="numbering" w:customStyle="1" w:styleId="ImportedStyle109">
    <w:name w:val="Imported Style 109"/>
    <w:pPr>
      <w:numPr>
        <w:numId w:val="246"/>
      </w:numPr>
    </w:pPr>
  </w:style>
  <w:style w:type="numbering" w:customStyle="1" w:styleId="ImportedStyle110">
    <w:name w:val="Imported Style 110"/>
    <w:pPr>
      <w:numPr>
        <w:numId w:val="249"/>
      </w:numPr>
    </w:pPr>
  </w:style>
  <w:style w:type="numbering" w:customStyle="1" w:styleId="ImportedStyle111">
    <w:name w:val="Imported Style 111"/>
    <w:pPr>
      <w:numPr>
        <w:numId w:val="253"/>
      </w:numPr>
    </w:pPr>
  </w:style>
  <w:style w:type="numbering" w:customStyle="1" w:styleId="ImportedStyle112">
    <w:name w:val="Imported Style 112"/>
    <w:pPr>
      <w:numPr>
        <w:numId w:val="255"/>
      </w:numPr>
    </w:pPr>
  </w:style>
  <w:style w:type="numbering" w:customStyle="1" w:styleId="ImportedStyle113">
    <w:name w:val="Imported Style 113"/>
    <w:pPr>
      <w:numPr>
        <w:numId w:val="258"/>
      </w:numPr>
    </w:pPr>
  </w:style>
  <w:style w:type="numbering" w:customStyle="1" w:styleId="ImportedStyle114">
    <w:name w:val="Imported Style 114"/>
    <w:pPr>
      <w:numPr>
        <w:numId w:val="260"/>
      </w:numPr>
    </w:pPr>
  </w:style>
  <w:style w:type="numbering" w:customStyle="1" w:styleId="ImportedStyle115">
    <w:name w:val="Imported Style 115"/>
    <w:pPr>
      <w:numPr>
        <w:numId w:val="262"/>
      </w:numPr>
    </w:pPr>
  </w:style>
  <w:style w:type="numbering" w:customStyle="1" w:styleId="ImportedStyle116">
    <w:name w:val="Imported Style 116"/>
    <w:pPr>
      <w:numPr>
        <w:numId w:val="264"/>
      </w:numPr>
    </w:pPr>
  </w:style>
  <w:style w:type="numbering" w:customStyle="1" w:styleId="ImportedStyle117">
    <w:name w:val="Imported Style 117"/>
    <w:pPr>
      <w:numPr>
        <w:numId w:val="266"/>
      </w:numPr>
    </w:pPr>
  </w:style>
  <w:style w:type="numbering" w:customStyle="1" w:styleId="ImportedStyle118">
    <w:name w:val="Imported Style 118"/>
    <w:pPr>
      <w:numPr>
        <w:numId w:val="268"/>
      </w:numPr>
    </w:pPr>
  </w:style>
  <w:style w:type="numbering" w:customStyle="1" w:styleId="ImportedStyle119">
    <w:name w:val="Imported Style 119"/>
    <w:pPr>
      <w:numPr>
        <w:numId w:val="271"/>
      </w:numPr>
    </w:pPr>
  </w:style>
  <w:style w:type="numbering" w:customStyle="1" w:styleId="ImportedStyle120">
    <w:name w:val="Imported Style 120"/>
    <w:pPr>
      <w:numPr>
        <w:numId w:val="273"/>
      </w:numPr>
    </w:pPr>
  </w:style>
  <w:style w:type="numbering" w:customStyle="1" w:styleId="ImportedStyle121">
    <w:name w:val="Imported Style 121"/>
    <w:pPr>
      <w:numPr>
        <w:numId w:val="275"/>
      </w:numPr>
    </w:pPr>
  </w:style>
  <w:style w:type="numbering" w:customStyle="1" w:styleId="ImportedStyle122">
    <w:name w:val="Imported Style 122"/>
    <w:pPr>
      <w:numPr>
        <w:numId w:val="277"/>
      </w:numPr>
    </w:pPr>
  </w:style>
  <w:style w:type="numbering" w:customStyle="1" w:styleId="ImportedStyle123">
    <w:name w:val="Imported Style 123"/>
    <w:pPr>
      <w:numPr>
        <w:numId w:val="279"/>
      </w:numPr>
    </w:pPr>
  </w:style>
  <w:style w:type="numbering" w:customStyle="1" w:styleId="ImportedStyle124">
    <w:name w:val="Imported Style 124"/>
    <w:pPr>
      <w:numPr>
        <w:numId w:val="282"/>
      </w:numPr>
    </w:pPr>
  </w:style>
  <w:style w:type="numbering" w:customStyle="1" w:styleId="ImportedStyle125">
    <w:name w:val="Imported Style 125"/>
    <w:pPr>
      <w:numPr>
        <w:numId w:val="284"/>
      </w:numPr>
    </w:pPr>
  </w:style>
  <w:style w:type="numbering" w:customStyle="1" w:styleId="ImportedStyle126">
    <w:name w:val="Imported Style 126"/>
    <w:pPr>
      <w:numPr>
        <w:numId w:val="286"/>
      </w:numPr>
    </w:pPr>
  </w:style>
  <w:style w:type="numbering" w:customStyle="1" w:styleId="ImportedStyle127">
    <w:name w:val="Imported Style 127"/>
    <w:pPr>
      <w:numPr>
        <w:numId w:val="288"/>
      </w:numPr>
    </w:pPr>
  </w:style>
  <w:style w:type="numbering" w:customStyle="1" w:styleId="ImportedStyle128">
    <w:name w:val="Imported Style 128"/>
    <w:pPr>
      <w:numPr>
        <w:numId w:val="290"/>
      </w:numPr>
    </w:pPr>
  </w:style>
  <w:style w:type="numbering" w:customStyle="1" w:styleId="ImportedStyle129">
    <w:name w:val="Imported Style 129"/>
    <w:pPr>
      <w:numPr>
        <w:numId w:val="292"/>
      </w:numPr>
    </w:pPr>
  </w:style>
  <w:style w:type="numbering" w:customStyle="1" w:styleId="ImportedStyle130">
    <w:name w:val="Imported Style 130"/>
    <w:pPr>
      <w:numPr>
        <w:numId w:val="294"/>
      </w:numPr>
    </w:pPr>
  </w:style>
  <w:style w:type="numbering" w:customStyle="1" w:styleId="ImportedStyle131">
    <w:name w:val="Imported Style 131"/>
    <w:pPr>
      <w:numPr>
        <w:numId w:val="297"/>
      </w:numPr>
    </w:pPr>
  </w:style>
  <w:style w:type="numbering" w:customStyle="1" w:styleId="ImportedStyle132">
    <w:name w:val="Imported Style 132"/>
    <w:pPr>
      <w:numPr>
        <w:numId w:val="299"/>
      </w:numPr>
    </w:pPr>
  </w:style>
  <w:style w:type="numbering" w:customStyle="1" w:styleId="ImportedStyle133">
    <w:name w:val="Imported Style 133"/>
    <w:pPr>
      <w:numPr>
        <w:numId w:val="301"/>
      </w:numPr>
    </w:pPr>
  </w:style>
  <w:style w:type="numbering" w:customStyle="1" w:styleId="ImportedStyle134">
    <w:name w:val="Imported Style 134"/>
    <w:pPr>
      <w:numPr>
        <w:numId w:val="303"/>
      </w:numPr>
    </w:pPr>
  </w:style>
  <w:style w:type="numbering" w:customStyle="1" w:styleId="ImportedStyle135">
    <w:name w:val="Imported Style 135"/>
    <w:pPr>
      <w:numPr>
        <w:numId w:val="306"/>
      </w:numPr>
    </w:pPr>
  </w:style>
  <w:style w:type="numbering" w:customStyle="1" w:styleId="ImportedStyle136">
    <w:name w:val="Imported Style 136"/>
    <w:pPr>
      <w:numPr>
        <w:numId w:val="310"/>
      </w:numPr>
    </w:pPr>
  </w:style>
  <w:style w:type="numbering" w:customStyle="1" w:styleId="ImportedStyle137">
    <w:name w:val="Imported Style 137"/>
    <w:pPr>
      <w:numPr>
        <w:numId w:val="312"/>
      </w:numPr>
    </w:pPr>
  </w:style>
  <w:style w:type="numbering" w:customStyle="1" w:styleId="ImportedStyle138">
    <w:name w:val="Imported Style 138"/>
    <w:pPr>
      <w:numPr>
        <w:numId w:val="315"/>
      </w:numPr>
    </w:pPr>
  </w:style>
  <w:style w:type="numbering" w:customStyle="1" w:styleId="ImportedStyle139">
    <w:name w:val="Imported Style 139"/>
    <w:pPr>
      <w:numPr>
        <w:numId w:val="317"/>
      </w:numPr>
    </w:pPr>
  </w:style>
  <w:style w:type="numbering" w:customStyle="1" w:styleId="ImportedStyle140">
    <w:name w:val="Imported Style 140"/>
    <w:pPr>
      <w:numPr>
        <w:numId w:val="319"/>
      </w:numPr>
    </w:pPr>
  </w:style>
  <w:style w:type="numbering" w:customStyle="1" w:styleId="ImportedStyle141">
    <w:name w:val="Imported Style 141"/>
    <w:pPr>
      <w:numPr>
        <w:numId w:val="321"/>
      </w:numPr>
    </w:pPr>
  </w:style>
  <w:style w:type="character" w:customStyle="1" w:styleId="Hyperlink7">
    <w:name w:val="Hyperlink.7"/>
    <w:basedOn w:val="Link"/>
    <w:rPr>
      <w:rFonts w:ascii="Times New Roman" w:eastAsia="Times New Roman" w:hAnsi="Times New Roman" w:cs="Times New Roman"/>
      <w:outline w:val="0"/>
      <w:color w:val="0563C1"/>
      <w:sz w:val="24"/>
      <w:szCs w:val="24"/>
      <w:u w:val="single" w:color="0563C1"/>
    </w:rPr>
  </w:style>
  <w:style w:type="character" w:customStyle="1" w:styleId="Hyperlink8">
    <w:name w:val="Hyperlink.8"/>
    <w:basedOn w:val="Link"/>
    <w:rPr>
      <w:rFonts w:ascii="Times New Roman" w:eastAsia="Times New Roman" w:hAnsi="Times New Roman" w:cs="Times New Roman"/>
      <w:i/>
      <w:iCs/>
      <w:outline w:val="0"/>
      <w:color w:val="222222"/>
      <w:sz w:val="24"/>
      <w:szCs w:val="24"/>
      <w:u w:val="single" w:color="222222"/>
      <w:shd w:val="clear" w:color="auto" w:fill="FFFFFF"/>
    </w:rPr>
  </w:style>
  <w:style w:type="character" w:customStyle="1" w:styleId="Hyperlink9">
    <w:name w:val="Hyperlink.9"/>
    <w:basedOn w:val="None"/>
    <w:rPr>
      <w:rFonts w:ascii="Calibri" w:eastAsia="Calibri" w:hAnsi="Calibri" w:cs="Calibri"/>
      <w:i/>
      <w:iCs/>
      <w:outline w:val="0"/>
      <w:color w:val="222222"/>
      <w:u w:color="222222"/>
      <w:shd w:val="clear" w:color="auto" w:fill="FFFFFF"/>
    </w:rPr>
  </w:style>
  <w:style w:type="character" w:customStyle="1" w:styleId="Hyperlink10">
    <w:name w:val="Hyperlink.1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1">
    <w:name w:val="Hyperlink.11"/>
    <w:basedOn w:val="None"/>
    <w:rPr>
      <w:rFonts w:ascii="Times New Roman" w:eastAsia="Times New Roman" w:hAnsi="Times New Roman" w:cs="Times New Roman"/>
      <w:outline w:val="0"/>
      <w:color w:val="0563C1"/>
      <w:sz w:val="24"/>
      <w:szCs w:val="24"/>
      <w:u w:val="single" w:color="0563C1"/>
    </w:rPr>
  </w:style>
  <w:style w:type="character" w:customStyle="1" w:styleId="Hyperlink12">
    <w:name w:val="Hyperlink.12"/>
    <w:basedOn w:val="Link"/>
    <w:rPr>
      <w:rFonts w:ascii="Times New Roman" w:eastAsia="Times New Roman" w:hAnsi="Times New Roman" w:cs="Times New Roman"/>
      <w:outline w:val="0"/>
      <w:color w:val="0563C1"/>
      <w:sz w:val="24"/>
      <w:szCs w:val="24"/>
      <w:u w:val="single" w:color="0563C1"/>
      <w:shd w:val="clear" w:color="auto" w:fill="FFFFFF"/>
    </w:rPr>
  </w:style>
  <w:style w:type="character" w:customStyle="1" w:styleId="Hyperlink13">
    <w:name w:val="Hyperlink.13"/>
    <w:basedOn w:val="None"/>
    <w:rPr>
      <w:rFonts w:ascii="Times New Roman" w:eastAsia="Times New Roman" w:hAnsi="Times New Roman" w:cs="Times New Roman"/>
      <w:outline w:val="0"/>
      <w:color w:val="0563C1"/>
      <w:sz w:val="24"/>
      <w:szCs w:val="24"/>
      <w:u w:val="single" w:color="0563C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dalloz.fr/documentation/Document?id=CODE_CPPI_ARTI_L331-1-3&amp;scrll=CPPI008882&amp;FromId=CODES_SECS_CPPI_TALPHA" TargetMode="External"/><Relationship Id="rId21" Type="http://schemas.openxmlformats.org/officeDocument/2006/relationships/hyperlink" Target="https://www.congress.gov/crs-product/IF10033" TargetMode="External"/><Relationship Id="rId42" Type="http://schemas.openxmlformats.org/officeDocument/2006/relationships/hyperlink" Target="https://www.lawjournalnewsletters.com/2003/08/22/no-electronic-theft-act-is-a-partial-success/?utm_source=chatgpt.com&amp;slreturn=20250817034910" TargetMode="External"/><Relationship Id="rId47" Type="http://schemas.openxmlformats.org/officeDocument/2006/relationships/hyperlink" Target="https://www.legifrance.gouv.fr/codes/article_lc/LEGIARTI000006278958" TargetMode="External"/><Relationship Id="rId63" Type="http://schemas.openxmlformats.org/officeDocument/2006/relationships/hyperlink" Target="https://www.state.gov/intellectual-property-enforcement" TargetMode="External"/><Relationship Id="rId68" Type="http://schemas.openxmlformats.org/officeDocument/2006/relationships/hyperlink" Target="https://www.wired.com/2016/06/hacker-lexicon-digital-millennium-copyright-act/?utm_source=chatgpt.com" TargetMode="External"/><Relationship Id="rId84" Type="http://schemas.openxmlformats.org/officeDocument/2006/relationships/header" Target="header4.xml"/><Relationship Id="rId16" Type="http://schemas.openxmlformats.org/officeDocument/2006/relationships/hyperlink" Target="https://bja.ojp.gov/program/intellectual-property-enforcement-program/overview?utm_source=chatgpt.com" TargetMode="External"/><Relationship Id="rId11" Type="http://schemas.openxmlformats.org/officeDocument/2006/relationships/footer" Target="footer2.xml"/><Relationship Id="rId32" Type="http://schemas.openxmlformats.org/officeDocument/2006/relationships/hyperlink" Target="https://french-business-law.com/french-legislation/legitext000006069414-french-intellectual-property-code/page/3/" TargetMode="External"/><Relationship Id="rId37" Type="http://schemas.openxmlformats.org/officeDocument/2006/relationships/hyperlink" Target="https://assets.publishing.service.gov.uk/media/5a80bf68e5274a2e87dbb972/IP_rights_in_USA.pdf" TargetMode="External"/><Relationship Id="rId53" Type="http://schemas.openxmlformats.org/officeDocument/2006/relationships/hyperlink" Target="https://muse.jhu.edu/pub/1/article/777601" TargetMode="External"/><Relationship Id="rId58" Type="http://schemas.openxmlformats.org/officeDocument/2006/relationships/hyperlink" Target="https://www.testu-avocat.fr/droit-auteur-avocat-bordeaux/les-sanctions-de-l-atteinte-aux-droits-d-auteur" TargetMode="External"/><Relationship Id="rId74" Type="http://schemas.openxmlformats.org/officeDocument/2006/relationships/hyperlink" Target="https://www.saip.gov.sa/committees-secretariat/1457/" TargetMode="External"/><Relationship Id="rId79" Type="http://schemas.openxmlformats.org/officeDocument/2006/relationships/hyperlink" Target="https://www.saip.gov.sa/about/brief/" TargetMode="External"/><Relationship Id="rId5" Type="http://schemas.openxmlformats.org/officeDocument/2006/relationships/footnotes" Target="footnotes.xml"/><Relationship Id="rId19" Type="http://schemas.openxmlformats.org/officeDocument/2006/relationships/hyperlink" Target="https://cacm.acm.org/opinion/statutory-damages-as-a-threat-to-innovation/?utm_source=chatgpt.com" TargetMode="External"/><Relationship Id="rId14" Type="http://schemas.openxmlformats.org/officeDocument/2006/relationships/hyperlink" Target="https://www.aippi.org/news/a-century-of-excellence-the-french-legacy-in-global-intellectual-property/" TargetMode="External"/><Relationship Id="rId22" Type="http://schemas.openxmlformats.org/officeDocument/2006/relationships/hyperlink" Target="https://scholarlycommons.law.cwsl.edu/fs/422" TargetMode="External"/><Relationship Id="rId27" Type="http://schemas.openxmlformats.org/officeDocument/2006/relationships/hyperlink" Target="https://www.august-debouzy.com/en/blog/1258-trade-secrets-better-protected-by-french-law-and-by-the-courts" TargetMode="External"/><Relationship Id="rId30" Type="http://schemas.openxmlformats.org/officeDocument/2006/relationships/hyperlink" Target="https://www.dreyfus.fr/en/2024/10/21/frances-ip-legislation-mastering-trademarks-in-a-global-playground/" TargetMode="External"/><Relationship Id="rId35" Type="http://schemas.openxmlformats.org/officeDocument/2006/relationships/hyperlink" Target="https://www.hg.org/intell.html" TargetMode="External"/><Relationship Id="rId43" Type="http://schemas.openxmlformats.org/officeDocument/2006/relationships/hyperlink" Target="https://lawyersitaly.eu/intellectual-property-in-italy/" TargetMode="External"/><Relationship Id="rId48" Type="http://schemas.openxmlformats.org/officeDocument/2006/relationships/hyperlink" Target="https://lesi.org/ip-related-aspects-of-the-french-law-on-modernization-of-the-economy/" TargetMode="External"/><Relationship Id="rId56" Type="http://schemas.openxmlformats.org/officeDocument/2006/relationships/hyperlink" Target="https://www.sacd.fr/en/authors-rights-and-their-work" TargetMode="External"/><Relationship Id="rId64" Type="http://schemas.openxmlformats.org/officeDocument/2006/relationships/hyperlink" Target="https://www.govinfo.gov/content/pkg/USCODE-2023-title17/html/USCODE-2023-title17-chap5-sec504.htm?utm_source=chatgpt.com" TargetMode="External"/><Relationship Id="rId69" Type="http://schemas.openxmlformats.org/officeDocument/2006/relationships/hyperlink" Target="https://www.wired.com/1997/12/industry-1-academics-0-clinton-signs-copyright-bill/?utm_source=chatgpt.com" TargetMode="External"/><Relationship Id="rId77" Type="http://schemas.openxmlformats.org/officeDocument/2006/relationships/hyperlink" Target="https://www.saip.gov.sa/committees-secretariat/1456/" TargetMode="External"/><Relationship Id="rId8" Type="http://schemas.openxmlformats.org/officeDocument/2006/relationships/header" Target="header1.xml"/><Relationship Id="rId51" Type="http://schemas.openxmlformats.org/officeDocument/2006/relationships/hyperlink" Target="https://nclnet.org/drm/" TargetMode="External"/><Relationship Id="rId72" Type="http://schemas.openxmlformats.org/officeDocument/2006/relationships/hyperlink" Target="https://www.wipo.int/pressroom/ar/articles/2024/article_0004.html?utm_source=chatgpt.com" TargetMode="External"/><Relationship Id="rId80" Type="http://schemas.openxmlformats.org/officeDocument/2006/relationships/hyperlink" Target="https://www.saip.gov.sa/pct" TargetMode="External"/><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sis.org/analysis/intellectual-property-rights-and-future-us-technological-leadership" TargetMode="External"/><Relationship Id="rId25" Type="http://schemas.openxmlformats.org/officeDocument/2006/relationships/hyperlink" Target="https://www.lawshelf.com/coursewarecontentview/history-and-sources-of-intellectual-property-law" TargetMode="External"/><Relationship Id="rId33" Type="http://schemas.openxmlformats.org/officeDocument/2006/relationships/hyperlink" Target="https://www.law.georgetown.edu/your-life-career/career-exploration-professional-development/for-jd-students/explore-legal-careers/practice-areas/intellectual-property-law/" TargetMode="External"/><Relationship Id="rId38" Type="http://schemas.openxmlformats.org/officeDocument/2006/relationships/hyperlink" Target="https://www.ipoi.gov.ie/en/commercialise-your-ip/using-ip-to-grow-your-business/what-is-intellectual-property-/" TargetMode="External"/><Relationship Id="rId46" Type="http://schemas.openxmlformats.org/officeDocument/2006/relationships/hyperlink" Target="https://www.legifrance.gouv.fr/codes/article_lc/LEGIARTI000006278891/" TargetMode="External"/><Relationship Id="rId59" Type="http://schemas.openxmlformats.org/officeDocument/2006/relationships/hyperlink" Target="https://fedsoc.org/commentary/fedsoc-blog/the-forgotten-history-of-the-intellectual-property-clause" TargetMode="External"/><Relationship Id="rId67" Type="http://schemas.openxmlformats.org/officeDocument/2006/relationships/hyperlink" Target="https://www.wipo.int/wipolex/en/legislation/details/14446" TargetMode="External"/><Relationship Id="rId20" Type="http://schemas.openxmlformats.org/officeDocument/2006/relationships/hyperlink" Target="https://www.congress.gov/crs-product/IF10986" TargetMode="External"/><Relationship Id="rId41" Type="http://schemas.openxmlformats.org/officeDocument/2006/relationships/hyperlink" Target="https://usinfo.org/trade/bg9515e.htm" TargetMode="External"/><Relationship Id="rId54" Type="http://schemas.openxmlformats.org/officeDocument/2006/relationships/hyperlink" Target="https://prospectlaw.co.uk/news/article/protecting-and-exploiting-uk-intellectual-property/" TargetMode="External"/><Relationship Id="rId62" Type="http://schemas.openxmlformats.org/officeDocument/2006/relationships/hyperlink" Target="https://www.copyright.gov/docs/ipo.html" TargetMode="External"/><Relationship Id="rId70" Type="http://schemas.openxmlformats.org/officeDocument/2006/relationships/hyperlink" Target="https://www.wipo.int/edocs/pubdocs/en/wipo_pub_909_2016.pdf" TargetMode="External"/><Relationship Id="rId75" Type="http://schemas.openxmlformats.org/officeDocument/2006/relationships/hyperlink" Target="https://www.saip.gov.sa/committees-secretariat/1412/" TargetMode="External"/><Relationship Id="rId83" Type="http://schemas.openxmlformats.org/officeDocument/2006/relationships/hyperlink" Target="https://www.mordorintelligence.com/ar/industry-reports/saudi-arabia-ecommerce-marke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la.org/advocacy/copyright/dmca?utm_source" TargetMode="External"/><Relationship Id="rId23" Type="http://schemas.openxmlformats.org/officeDocument/2006/relationships/hyperlink" Target="https://copyrightalliance.org/education/copyright-law-explained/copyright-infringement/copyright-statutory-damages/?utm_source=chatgpt.com" TargetMode="External"/><Relationship Id="rId28" Type="http://schemas.openxmlformats.org/officeDocument/2006/relationships/hyperlink" Target="https://2u.pw/g1P5N" TargetMode="External"/><Relationship Id="rId36" Type="http://schemas.openxmlformats.org/officeDocument/2006/relationships/hyperlink" Target="https://iplac.org/about/history/intellectual-property-timeline/" TargetMode="External"/><Relationship Id="rId49" Type="http://schemas.openxmlformats.org/officeDocument/2006/relationships/hyperlink" Target="https://www.law.cornell.edu/uscode/text/17/504?utm_source=chatgpt.com" TargetMode="External"/><Relationship Id="rId57" Type="http://schemas.openxmlformats.org/officeDocument/2006/relationships/hyperlink" Target="https://sunwater.org/adoption-of-intellectual-property-laws-across-the-globe-timeline/" TargetMode="External"/><Relationship Id="rId10" Type="http://schemas.openxmlformats.org/officeDocument/2006/relationships/header" Target="header2.xml"/><Relationship Id="rId31" Type="http://schemas.openxmlformats.org/officeDocument/2006/relationships/hyperlink" Target="https://www.britannica.com/topic/intellectual-property-law"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www.oecd.org/en/publications/access-to-public-research-data-toolkit_a12e8998-en/law-for-a-digital-republic_b99868b0-en.html" TargetMode="External"/><Relationship Id="rId60" Type="http://schemas.openxmlformats.org/officeDocument/2006/relationships/hyperlink" Target="https://lawreview.gmu.edu/print__issues/the-future-of-criminal-enforcement-of-copyright-the-promise-of-civil-enforcement/?utm_source=chatgpt.com" TargetMode="External"/><Relationship Id="rId65" Type="http://schemas.openxmlformats.org/officeDocument/2006/relationships/hyperlink" Target="https://www.law.uh.edu/faculty/cjoyce/copyright/release10/universal.html" TargetMode="External"/><Relationship Id="rId73" Type="http://schemas.openxmlformats.org/officeDocument/2006/relationships/hyperlink" Target="https://www.wipo.int/pressroom/ar/articles/2024/article_0003.html" TargetMode="External"/><Relationship Id="rId78" Type="http://schemas.openxmlformats.org/officeDocument/2006/relationships/hyperlink" Target="https://eparticipation.my.gov.sa/e-consultations/consultations/legal/legal-consultation-25811" TargetMode="External"/><Relationship Id="rId81" Type="http://schemas.openxmlformats.org/officeDocument/2006/relationships/hyperlink" Target="https://www.wipo.int/copyright/ar"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3.xml"/><Relationship Id="rId18" Type="http://schemas.openxmlformats.org/officeDocument/2006/relationships/hyperlink" Target="https://ciohub.org/post/2023/06/a-brief-history-how-intellectual-property-protection-evolved-over-time/?utm_source=chatgpt.com" TargetMode="External"/><Relationship Id="rId39" Type="http://schemas.openxmlformats.org/officeDocument/2006/relationships/hyperlink" Target="https://www.irational.org/APD/CCIPS/netsum.htm?utm_source=chatgpt.com" TargetMode="External"/><Relationship Id="rId34" Type="http://schemas.openxmlformats.org/officeDocument/2006/relationships/hyperlink" Target="https://cyber.harvard.edu/property00/alternatives/dmca.html?utm_source" TargetMode="External"/><Relationship Id="rId50" Type="http://schemas.openxmlformats.org/officeDocument/2006/relationships/hyperlink" Target="https://reposit.nupp.edu.ua/bitstream/PoltNTU/12441/1/75%2520%25D0%25A2.1-441-442.pdf" TargetMode="External"/><Relationship Id="rId55" Type="http://schemas.openxmlformats.org/officeDocument/2006/relationships/hyperlink" Target="https://www.rpclegal.com/-/media/rpc/files/perspectives/ip/france.pdf" TargetMode="External"/><Relationship Id="rId76" Type="http://schemas.openxmlformats.org/officeDocument/2006/relationships/hyperlink" Target="https://www.saip.gov.sa/committees-secretariat/" TargetMode="External"/><Relationship Id="rId7" Type="http://schemas.openxmlformats.org/officeDocument/2006/relationships/image" Target="media/image1.png"/><Relationship Id="rId71" Type="http://schemas.openxmlformats.org/officeDocument/2006/relationships/hyperlink" Target="https://www.wto.org/English/tratop_e/trips_e/intel1_e.htm" TargetMode="External"/><Relationship Id="rId2" Type="http://schemas.openxmlformats.org/officeDocument/2006/relationships/styles" Target="styles.xml"/><Relationship Id="rId29" Type="http://schemas.openxmlformats.org/officeDocument/2006/relationships/hyperlink" Target="https://www.dreyfus.fr/en/2024/10/21/frances-ip-legislation-mastering-trademarks-in-a-global-playground/" TargetMode="External"/><Relationship Id="rId24" Type="http://schemas.openxmlformats.org/officeDocument/2006/relationships/hyperlink" Target="https://www.copyright.gov/dmca/"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legifrance.gouv.fr/codes/article_lc/LEGIARTI000032655082" TargetMode="External"/><Relationship Id="rId66" Type="http://schemas.openxmlformats.org/officeDocument/2006/relationships/hyperlink" Target="https://www.uspto.gov/ip-policy/enforcement-policy/enforcement-initiatives?utm_source=chatgpt.com" TargetMode="External"/><Relationship Id="rId87" Type="http://schemas.openxmlformats.org/officeDocument/2006/relationships/theme" Target="theme/theme1.xml"/><Relationship Id="rId61" Type="http://schemas.openxmlformats.org/officeDocument/2006/relationships/hyperlink" Target="https://www.uspto.gov/sites/default/files/documents/uspto-ip-us-economy-third-edition.pdf" TargetMode="External"/><Relationship Id="rId82" Type="http://schemas.openxmlformats.org/officeDocument/2006/relationships/hyperlink" Target="https://www.sama.gov.sa/ar-sa/News/Pages/news-1083.aspx"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csis.org/analysis/intellectual-property-rights-and-future-us-technological-leadership" TargetMode="External"/><Relationship Id="rId21" Type="http://schemas.openxmlformats.org/officeDocument/2006/relationships/hyperlink" Target="https://iplac.org/about/history/intellectual-property-timeline/" TargetMode="External"/><Relationship Id="rId42" Type="http://schemas.openxmlformats.org/officeDocument/2006/relationships/hyperlink" Target="https://www.testu-avocat.fr/droit-auteur-avocat-bordeaux/les-sanctions-de-l-atteinte-aux-droits-d-auteur" TargetMode="External"/><Relationship Id="rId47" Type="http://schemas.openxmlformats.org/officeDocument/2006/relationships/hyperlink" Target="https://copyrightalliance.org/education/copyright-law-explained/copyright-infringement/copyright-statutory-damages/?utm_source=chatgpt.com" TargetMode="External"/><Relationship Id="rId63" Type="http://schemas.openxmlformats.org/officeDocument/2006/relationships/hyperlink" Target="https://nclnet.org/drm/" TargetMode="External"/><Relationship Id="rId68" Type="http://schemas.openxmlformats.org/officeDocument/2006/relationships/hyperlink" Target="https://www.rpclegal.com/-/media/rpc/files/perspectives/ip/france.pdf" TargetMode="External"/><Relationship Id="rId7" Type="http://schemas.openxmlformats.org/officeDocument/2006/relationships/hyperlink" Target="https://lawyersitaly.eu/intellectual-property-in-italy/" TargetMode="External"/><Relationship Id="rId2" Type="http://schemas.openxmlformats.org/officeDocument/2006/relationships/hyperlink" Target="https://www.wipo.int/copyright/ar" TargetMode="External"/><Relationship Id="rId16" Type="http://schemas.openxmlformats.org/officeDocument/2006/relationships/hyperlink" Target="https://eparticipation.my.gov.sa/e-consultations/consultations/legal/legal-consultation-25811" TargetMode="External"/><Relationship Id="rId29" Type="http://schemas.openxmlformats.org/officeDocument/2006/relationships/hyperlink" Target="https://www.ipoi.gov.ie/en/commercialise-your-ip/using-ip-to-grow-your-business/what-is-intellectual-property-/" TargetMode="External"/><Relationship Id="rId11" Type="http://schemas.openxmlformats.org/officeDocument/2006/relationships/hyperlink" Target="https://www.saip.gov.sa/committees-secretariat/1412/" TargetMode="External"/><Relationship Id="rId24" Type="http://schemas.openxmlformats.org/officeDocument/2006/relationships/hyperlink" Target="https://www.congress.gov/crs-product/IF10986" TargetMode="External"/><Relationship Id="rId32" Type="http://schemas.openxmlformats.org/officeDocument/2006/relationships/hyperlink" Target="https://www.aippi.org/news/a-century-of-excellence-the-french-legacy-in-global-intellectual-property/" TargetMode="External"/><Relationship Id="rId37" Type="http://schemas.openxmlformats.org/officeDocument/2006/relationships/hyperlink" Target="https://www.saip.gov.sa/about/brief/"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govinfo.gov/content/pkg/USCODE-2023-title17/html/USCODE-2023-title17-chap5-sec504.htm?utm_source=chatgpt.com" TargetMode="External"/><Relationship Id="rId53" Type="http://schemas.openxmlformats.org/officeDocument/2006/relationships/hyperlink" Target="https://cacm.acm.org/opinion/statutory-damages-as-a-threat-to-innovation/?utm_source=chatgpt.com" TargetMode="External"/><Relationship Id="rId58" Type="http://schemas.openxmlformats.org/officeDocument/2006/relationships/hyperlink" Target="https://www.wired.com/2016/06/hacker-lexicon-digital-millennium-copyright-act/?utm_source=chatgpt.com" TargetMode="External"/><Relationship Id="rId66" Type="http://schemas.openxmlformats.org/officeDocument/2006/relationships/hyperlink" Target="https://french-business-law.com/french-legislation/legitext000006069414-french-intellectual-property-code/page/3/" TargetMode="External"/><Relationship Id="rId5" Type="http://schemas.openxmlformats.org/officeDocument/2006/relationships/hyperlink" Target="https://prospectlaw.co.uk/news/article/protecting-and-exploiting-uk-intellectual-property/" TargetMode="External"/><Relationship Id="rId61" Type="http://schemas.openxmlformats.org/officeDocument/2006/relationships/hyperlink" Target="https://bja.ojp.gov/program/intellectual-property-enforcement-program/overview?utm_source=chatgpt.com" TargetMode="External"/><Relationship Id="rId19" Type="http://schemas.openxmlformats.org/officeDocument/2006/relationships/hyperlink" Target="https://www.law.georgetown.edu/your-life-career/career-exploration-professional-development/for-jd-students/explore-legal-careers/practice-areas/intellectual-property-law//" TargetMode="External"/><Relationship Id="rId14" Type="http://schemas.openxmlformats.org/officeDocument/2006/relationships/hyperlink" Target="https://www.mordorintelligence.com/ar/industry-reports/saudi-arabia-ecommerce-market" TargetMode="External"/><Relationship Id="rId22" Type="http://schemas.openxmlformats.org/officeDocument/2006/relationships/hyperlink" Target="https://fedsoc.org/commentary/fedsoc-blog/the-forgotten-history-of-the-intellectual-property-clause" TargetMode="External"/><Relationship Id="rId27" Type="http://schemas.openxmlformats.org/officeDocument/2006/relationships/hyperlink" Target="https://www.copyright.gov/docs/ipo.html" TargetMode="External"/><Relationship Id="rId30" Type="http://schemas.openxmlformats.org/officeDocument/2006/relationships/hyperlink" Target="https://muse.jhu.edu/pub/1/article/777601" TargetMode="External"/><Relationship Id="rId35" Type="http://schemas.openxmlformats.org/officeDocument/2006/relationships/hyperlink" Target="https://lesi.org/ip-related-aspects-of-the-french-law-on-modernization-of-the-economy/" TargetMode="External"/><Relationship Id="rId43" Type="http://schemas.openxmlformats.org/officeDocument/2006/relationships/hyperlink" Target="https://www.legifrance.gouv.fr/codes/article_lc/LEGIARTI000032655082" TargetMode="External"/><Relationship Id="rId48" Type="http://schemas.openxmlformats.org/officeDocument/2006/relationships/hyperlink" Target="https://lawreview.gmu.edu/print__issues/the-future-of-criminal-enforcement-of-copyright-the-promise-of-civil-enforcement/?utm_source=chatgpt.com" TargetMode="External"/><Relationship Id="rId56" Type="http://schemas.openxmlformats.org/officeDocument/2006/relationships/hyperlink" Target="https://www.britannica.com/topic/intellectual-property-law" TargetMode="External"/><Relationship Id="rId64" Type="http://schemas.openxmlformats.org/officeDocument/2006/relationships/hyperlink" Target="https://www.law.uh.edu/faculty/cjoyce/copyright/release10/universal.html" TargetMode="External"/><Relationship Id="rId69" Type="http://schemas.openxmlformats.org/officeDocument/2006/relationships/hyperlink" Target="https://www.legifrance.gouv.fr/codes/article_lc/LEGIARTI000006278891/" TargetMode="External"/><Relationship Id="rId8" Type="http://schemas.openxmlformats.org/officeDocument/2006/relationships/hyperlink" Target="https://www.saip.gov.sa/committees-secretariat/" TargetMode="External"/><Relationship Id="rId51" Type="http://schemas.openxmlformats.org/officeDocument/2006/relationships/hyperlink" Target="https://www.irational.org/APD/CCIPS/netsum.htm?utm_source=chatgpt.com" TargetMode="External"/><Relationship Id="rId3" Type="http://schemas.openxmlformats.org/officeDocument/2006/relationships/hyperlink" Target="https://www.wipo.int/pressroom/ar/articles/2024/article_0003.html" TargetMode="External"/><Relationship Id="rId12" Type="http://schemas.openxmlformats.org/officeDocument/2006/relationships/hyperlink" Target="https://www.wipo.int/pressroom/ar/articles/2024/article_0004.html?utm_source=chatgpt.com" TargetMode="External"/><Relationship Id="rId17" Type="http://schemas.openxmlformats.org/officeDocument/2006/relationships/hyperlink" Target="https://www.saip.gov.sa/pct" TargetMode="External"/><Relationship Id="rId25" Type="http://schemas.openxmlformats.org/officeDocument/2006/relationships/hyperlink" Target="https://www.hg.org/intell.html" TargetMode="External"/><Relationship Id="rId33" Type="http://schemas.openxmlformats.org/officeDocument/2006/relationships/hyperlink" Target="https://usinfo.org/trade/bg9515e.htm" TargetMode="External"/><Relationship Id="rId38" Type="http://schemas.openxmlformats.org/officeDocument/2006/relationships/hyperlink" Target="https://www.august-debouzy.com/en/blog/1258-trade-secrets-better-protected-by-french-law-and-by-the-courts" TargetMode="External"/><Relationship Id="rId46" Type="http://schemas.openxmlformats.org/officeDocument/2006/relationships/hyperlink" Target="https://www.law.cornell.edu/uscode/text/17/504?utm_source=chatgpt.com" TargetMode="External"/><Relationship Id="rId59" Type="http://schemas.openxmlformats.org/officeDocument/2006/relationships/hyperlink" Target="https://www.congress.gov/crs-product/IF10033" TargetMode="External"/><Relationship Id="rId67" Type="http://schemas.openxmlformats.org/officeDocument/2006/relationships/hyperlink" Target="https://www.oecd.org/en/publications/access-to-public-research-data-toolkit_a12e8998-en/law-for-a-digital-republic_b99868b0-en.html" TargetMode="External"/><Relationship Id="rId20" Type="http://schemas.openxmlformats.org/officeDocument/2006/relationships/hyperlink" Target="https://www.lawshelf.com/coursewarecontentview/history-and-sources-of-intellectual-property-law" TargetMode="External"/><Relationship Id="rId41" Type="http://schemas.openxmlformats.org/officeDocument/2006/relationships/hyperlink" Target="https://www.dalloz.fr/documentation/Document?id=CODE_CPPI_ARTI_L331-1-3&amp;scrll=CPPI008882&amp;FromId=CODES_SECS_CPPI_TALPHA" TargetMode="External"/><Relationship Id="rId54" Type="http://schemas.openxmlformats.org/officeDocument/2006/relationships/hyperlink" Target="https://www.wto.org/English/tratop_e/trips_e/intel1_e.htm" TargetMode="External"/><Relationship Id="rId62" Type="http://schemas.openxmlformats.org/officeDocument/2006/relationships/hyperlink" Target="https://www.uspto.gov/ip-policy/enforcement-policy/enforcement-initiatives?utm_source=chatgpt.com" TargetMode="External"/><Relationship Id="rId70" Type="http://schemas.openxmlformats.org/officeDocument/2006/relationships/hyperlink" Target="https://www.sacd.fr/en/authors-rights-and-their-work" TargetMode="External"/><Relationship Id="rId1" Type="http://schemas.openxmlformats.org/officeDocument/2006/relationships/hyperlink" Target="https://2u.pw/g1P5N" TargetMode="External"/><Relationship Id="rId6" Type="http://schemas.openxmlformats.org/officeDocument/2006/relationships/hyperlink" Target="https://www.dreyfus.fr/en/2024/10/21/frances-ip-legislation-mastering-trademarks-in-a-global-playground/" TargetMode="External"/><Relationship Id="rId15" Type="http://schemas.openxmlformats.org/officeDocument/2006/relationships/hyperlink" Target="https://scholarlycommons.law.cwsl.edu/fs/422" TargetMode="External"/><Relationship Id="rId23" Type="http://schemas.openxmlformats.org/officeDocument/2006/relationships/hyperlink" Target="https://assets.publishing.service.gov.uk/media/5a80bf68e5274a2e87dbb972/IP_rights_in_USA.pdf" TargetMode="External"/><Relationship Id="rId28" Type="http://schemas.openxmlformats.org/officeDocument/2006/relationships/hyperlink" Target="https://www.state.gov/intellectual-property-enforcement" TargetMode="External"/><Relationship Id="rId36" Type="http://schemas.openxmlformats.org/officeDocument/2006/relationships/hyperlink" Target="https://www.dreyfus.fr/en/2024/10/21/frances-ip-legislation-mastering-trademarks-in-a-global-playground/" TargetMode="External"/><Relationship Id="rId49" Type="http://schemas.openxmlformats.org/officeDocument/2006/relationships/hyperlink" Target="https://www.wired.com/1997/12/industry-1-academics-0-clinton-signs-copyright-bill/?utm_source=chatgpt.com" TargetMode="External"/><Relationship Id="rId57" Type="http://schemas.openxmlformats.org/officeDocument/2006/relationships/hyperlink" Target="https://www.ala.org/advocacy/copyright/dmca?utm_source" TargetMode="External"/><Relationship Id="rId10" Type="http://schemas.openxmlformats.org/officeDocument/2006/relationships/hyperlink" Target="https://www.saip.gov.sa/committees-secretariat/1456/" TargetMode="External"/><Relationship Id="rId31" Type="http://schemas.openxmlformats.org/officeDocument/2006/relationships/hyperlink" Target="https://sunwater.org/adoption-of-intellectual-property-laws-across-the-globe-timeline/"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cyber.harvard.edu/property00/alternatives/dmca.html?utm_source" TargetMode="External"/><Relationship Id="rId60" Type="http://schemas.openxmlformats.org/officeDocument/2006/relationships/hyperlink" Target="https://www.copyright.gov/dmca/" TargetMode="External"/><Relationship Id="rId65" Type="http://schemas.openxmlformats.org/officeDocument/2006/relationships/hyperlink" Target="https://www.wipo.int/wipolex/en/legislation/details/14446" TargetMode="External"/><Relationship Id="rId4" Type="http://schemas.openxmlformats.org/officeDocument/2006/relationships/hyperlink" Target="https://www.wipo.int/edocs/pubdocs/en/wipo_pub_909_2016.pdf" TargetMode="External"/><Relationship Id="rId9" Type="http://schemas.openxmlformats.org/officeDocument/2006/relationships/hyperlink" Target="https://www.saip.gov.sa/committees-secretariat/1457/" TargetMode="External"/><Relationship Id="rId13" Type="http://schemas.openxmlformats.org/officeDocument/2006/relationships/hyperlink" Target="https://www.sama.gov.sa/ar-sa/News/Pages/news-1083.aspx" TargetMode="External"/><Relationship Id="rId18" Type="http://schemas.openxmlformats.org/officeDocument/2006/relationships/hyperlink" Target="https://www.uspto.gov/sites/default/files/documents/uspto-ip-us-economy-third-edition.pdf" TargetMode="External"/><Relationship Id="rId39" Type="http://schemas.openxmlformats.org/officeDocument/2006/relationships/hyperlink" Target="https://www.legifrance.gouv.fr/codes/article_lc/LEGIARTI000006278958" TargetMode="External"/><Relationship Id="rId34" Type="http://schemas.openxmlformats.org/officeDocument/2006/relationships/hyperlink" Target="https://reposit.nupp.edu.ua/bitstream/PoltNTU/12441/1/75%2520%25D0%25A2.1-441-442.pdf" TargetMode="External"/><Relationship Id="rId50" Type="http://schemas.openxmlformats.org/officeDocument/2006/relationships/hyperlink" Target="https://www.lawjournalnewsletters.com/2003/08/22/no-electronic-theft-act-is-a-partial-success/?utm_source=chatgpt.com&amp;slreturn=20250817034910" TargetMode="External"/><Relationship Id="rId55" Type="http://schemas.openxmlformats.org/officeDocument/2006/relationships/hyperlink" Target="https://ciohub.org/post/2023/06/a-brief-history-how-intellectual-property-protection-evolved-over-time/?utm_source=chatgpt.com" TargetMode="Externa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277</Pages>
  <Words>79200</Words>
  <Characters>451445</Characters>
  <Application>Microsoft Office Word</Application>
  <DocSecurity>0</DocSecurity>
  <Lines>3762</Lines>
  <Paragraphs>1059</Paragraphs>
  <ScaleCrop>false</ScaleCrop>
  <Company/>
  <LinksUpToDate>false</LinksUpToDate>
  <CharactersWithSpaces>529586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2026-04-01T13:03:00Z</cp:lastPrinted>
  <dcterms:created xsi:type="dcterms:W3CDTF">2026-04-01T13:03:00Z</dcterms:created>
  <dcterms:modified xsi:type="dcterms:W3CDTF">2026-04-01T13:06:00Z</dcterms:modified>
</cp:coreProperties>
</file>