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57BFA5D7" w:rsidR="003220EB" w:rsidRPr="00B14A8D" w:rsidRDefault="003220EB" w:rsidP="003220EB">
      <w:pPr>
        <w:spacing w:after="0" w:line="257" w:lineRule="auto"/>
        <w:ind w:firstLine="284"/>
        <w:jc w:val="both"/>
        <w:rPr>
          <w:rFonts w:ascii="Times New Roman" w:eastAsia="Calibri" w:hAnsi="Times New Roman" w:cs="Simplified Arabic"/>
          <w:b/>
          <w:bCs/>
          <w:noProof/>
          <w:sz w:val="24"/>
          <w:szCs w:val="32"/>
          <w:rtl/>
          <w:lang w:bidi="ar-SY"/>
        </w:rPr>
      </w:pPr>
      <w:bookmarkStart w:id="0" w:name="_Hlk191583774"/>
      <w:bookmarkStart w:id="1" w:name="_Hlk192369518"/>
      <w:r w:rsidRPr="00B14A8D">
        <w:rPr>
          <w:rFonts w:ascii="Times New Roman" w:eastAsia="Calibri" w:hAnsi="Times New Roman" w:cs="Simplified Arabic"/>
          <w:b/>
          <w:bCs/>
          <w:noProof/>
          <w:color w:val="8496B0"/>
          <w:sz w:val="24"/>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2705">
        <w:rPr>
          <w:rFonts w:ascii="Times New Roman" w:eastAsia="Calibri" w:hAnsi="Times New Roman" w:cs="Simplified Arabic" w:hint="cs"/>
          <w:b/>
          <w:bCs/>
          <w:noProof/>
          <w:sz w:val="24"/>
          <w:szCs w:val="32"/>
          <w:rtl/>
        </w:rPr>
        <w:t xml:space="preserve">   </w:t>
      </w:r>
      <w:r w:rsidR="00AF10DA" w:rsidRPr="00B14A8D">
        <w:rPr>
          <w:rFonts w:ascii="Times New Roman" w:eastAsia="Calibri" w:hAnsi="Times New Roman" w:cs="Simplified Arabic" w:hint="cs"/>
          <w:b/>
          <w:bCs/>
          <w:noProof/>
          <w:sz w:val="24"/>
          <w:szCs w:val="32"/>
          <w:rtl/>
        </w:rPr>
        <w:t xml:space="preserve"> </w:t>
      </w:r>
      <w:r w:rsidRPr="00B14A8D">
        <w:rPr>
          <w:rFonts w:ascii="Times New Roman" w:eastAsia="Calibri" w:hAnsi="Times New Roman" w:cs="Simplified Arabic"/>
          <w:b/>
          <w:bCs/>
          <w:noProof/>
          <w:sz w:val="24"/>
          <w:szCs w:val="32"/>
          <w:rtl/>
          <w:lang w:bidi="ar-SY"/>
        </w:rPr>
        <w:t>جامعة</w:t>
      </w:r>
      <w:r w:rsidR="00AF10DA" w:rsidRPr="00B14A8D">
        <w:rPr>
          <w:rFonts w:ascii="Times New Roman" w:eastAsia="Calibri" w:hAnsi="Times New Roman" w:cs="Simplified Arabic"/>
          <w:b/>
          <w:bCs/>
          <w:noProof/>
          <w:sz w:val="24"/>
          <w:szCs w:val="32"/>
          <w:rtl/>
          <w:lang w:bidi="ar-SY"/>
        </w:rPr>
        <w:t xml:space="preserve"> </w:t>
      </w:r>
      <w:r w:rsidRPr="00B14A8D">
        <w:rPr>
          <w:rFonts w:ascii="Times New Roman" w:eastAsia="Calibri" w:hAnsi="Times New Roman" w:cs="Simplified Arabic"/>
          <w:b/>
          <w:bCs/>
          <w:noProof/>
          <w:sz w:val="24"/>
          <w:szCs w:val="32"/>
          <w:rtl/>
          <w:lang w:bidi="ar-SY"/>
        </w:rPr>
        <w:t>ميدأوشن</w:t>
      </w:r>
      <w:r w:rsidR="00AF10DA" w:rsidRPr="00B14A8D">
        <w:rPr>
          <w:rFonts w:ascii="Times New Roman" w:eastAsia="Calibri" w:hAnsi="Times New Roman" w:cs="Simplified Arabic"/>
          <w:b/>
          <w:bCs/>
          <w:noProof/>
          <w:sz w:val="24"/>
          <w:szCs w:val="32"/>
          <w:rtl/>
          <w:lang w:bidi="ar-SY"/>
        </w:rPr>
        <w:t xml:space="preserve">                                 </w:t>
      </w:r>
    </w:p>
    <w:p w14:paraId="00651C9B" w14:textId="7BAC03DF" w:rsidR="003220EB" w:rsidRPr="00B14A8D" w:rsidRDefault="00102705" w:rsidP="003220EB">
      <w:pPr>
        <w:spacing w:after="0" w:line="257" w:lineRule="auto"/>
        <w:ind w:firstLine="284"/>
        <w:jc w:val="both"/>
        <w:rPr>
          <w:rFonts w:ascii="Times New Roman" w:eastAsia="Calibri" w:hAnsi="Times New Roman" w:cs="Simplified Arabic"/>
          <w:b/>
          <w:bCs/>
          <w:noProof/>
          <w:sz w:val="24"/>
          <w:szCs w:val="32"/>
          <w:rtl/>
          <w:lang w:bidi="ar-SY"/>
        </w:rPr>
      </w:pPr>
      <w:r>
        <w:rPr>
          <w:rFonts w:ascii="Times New Roman" w:eastAsia="Calibri" w:hAnsi="Times New Roman" w:cs="Simplified Arabic" w:hint="cs"/>
          <w:b/>
          <w:bCs/>
          <w:color w:val="000000"/>
          <w:sz w:val="24"/>
          <w:szCs w:val="32"/>
          <w:rtl/>
        </w:rPr>
        <w:t xml:space="preserve">      </w:t>
      </w:r>
      <w:r w:rsidR="003220EB" w:rsidRPr="00B14A8D">
        <w:rPr>
          <w:rFonts w:ascii="Times New Roman" w:eastAsia="Calibri" w:hAnsi="Times New Roman" w:cs="Simplified Arabic"/>
          <w:b/>
          <w:bCs/>
          <w:color w:val="000000"/>
          <w:sz w:val="24"/>
          <w:szCs w:val="32"/>
          <w:rtl/>
        </w:rPr>
        <w:t>كلية</w:t>
      </w:r>
      <w:r w:rsidR="00AF10DA" w:rsidRPr="00B14A8D">
        <w:rPr>
          <w:rFonts w:ascii="Times New Roman" w:eastAsia="Calibri" w:hAnsi="Times New Roman" w:cs="Simplified Arabic"/>
          <w:b/>
          <w:bCs/>
          <w:noProof/>
          <w:sz w:val="24"/>
          <w:szCs w:val="32"/>
          <w:rtl/>
          <w:lang w:bidi="ar-SY"/>
        </w:rPr>
        <w:t xml:space="preserve"> </w:t>
      </w:r>
      <w:r w:rsidR="008B0D19" w:rsidRPr="00B14A8D">
        <w:rPr>
          <w:rFonts w:ascii="Times New Roman" w:eastAsia="Calibri" w:hAnsi="Times New Roman" w:cs="Simplified Arabic" w:hint="cs"/>
          <w:b/>
          <w:bCs/>
          <w:noProof/>
          <w:sz w:val="24"/>
          <w:szCs w:val="32"/>
          <w:rtl/>
          <w:lang w:bidi="ar-SY"/>
        </w:rPr>
        <w:t>الإدارة</w:t>
      </w:r>
    </w:p>
    <w:p w14:paraId="42071E81" w14:textId="38E06E90" w:rsidR="003220EB" w:rsidRPr="00B14A8D" w:rsidRDefault="008B0D19" w:rsidP="003220EB">
      <w:pPr>
        <w:spacing w:after="0" w:line="257" w:lineRule="auto"/>
        <w:ind w:firstLine="284"/>
        <w:jc w:val="both"/>
        <w:rPr>
          <w:rFonts w:ascii="Times New Roman" w:eastAsia="Calibri" w:hAnsi="Times New Roman" w:cs="Simplified Arabic"/>
          <w:b/>
          <w:bCs/>
          <w:noProof/>
          <w:sz w:val="24"/>
          <w:szCs w:val="32"/>
          <w:rtl/>
        </w:rPr>
      </w:pPr>
      <w:r w:rsidRPr="00B14A8D">
        <w:rPr>
          <w:rFonts w:ascii="Times New Roman" w:eastAsia="Calibri" w:hAnsi="Times New Roman" w:cs="Simplified Arabic" w:hint="cs"/>
          <w:b/>
          <w:bCs/>
          <w:noProof/>
          <w:sz w:val="24"/>
          <w:szCs w:val="32"/>
          <w:rtl/>
          <w:lang w:bidi="ar-SY"/>
        </w:rPr>
        <w:t>ماجستير</w:t>
      </w:r>
      <w:r w:rsidR="00AF10DA" w:rsidRPr="00B14A8D">
        <w:rPr>
          <w:rFonts w:ascii="Times New Roman" w:eastAsia="Calibri" w:hAnsi="Times New Roman" w:cs="Simplified Arabic" w:hint="cs"/>
          <w:b/>
          <w:bCs/>
          <w:noProof/>
          <w:sz w:val="24"/>
          <w:szCs w:val="32"/>
          <w:rtl/>
          <w:lang w:bidi="ar-SY"/>
        </w:rPr>
        <w:t xml:space="preserve"> </w:t>
      </w:r>
      <w:r w:rsidR="00CF5C0F" w:rsidRPr="00B14A8D">
        <w:rPr>
          <w:rFonts w:ascii="Times New Roman" w:eastAsia="Calibri" w:hAnsi="Times New Roman" w:cs="Simplified Arabic" w:hint="cs"/>
          <w:b/>
          <w:bCs/>
          <w:noProof/>
          <w:sz w:val="24"/>
          <w:szCs w:val="32"/>
          <w:rtl/>
          <w:lang w:bidi="ar-SY"/>
        </w:rPr>
        <w:t>تخصص</w:t>
      </w:r>
      <w:r w:rsidR="00AF10DA" w:rsidRPr="00B14A8D">
        <w:rPr>
          <w:rFonts w:ascii="Times New Roman" w:eastAsia="Calibri" w:hAnsi="Times New Roman" w:cs="Simplified Arabic" w:hint="cs"/>
          <w:b/>
          <w:bCs/>
          <w:noProof/>
          <w:sz w:val="24"/>
          <w:szCs w:val="32"/>
          <w:rtl/>
          <w:lang w:bidi="ar-SY"/>
        </w:rPr>
        <w:t xml:space="preserve"> </w:t>
      </w:r>
      <w:r w:rsidRPr="00B14A8D">
        <w:rPr>
          <w:rFonts w:ascii="Times New Roman" w:eastAsia="Calibri" w:hAnsi="Times New Roman" w:cs="Simplified Arabic" w:hint="cs"/>
          <w:b/>
          <w:bCs/>
          <w:noProof/>
          <w:sz w:val="24"/>
          <w:szCs w:val="32"/>
          <w:rtl/>
          <w:lang w:bidi="ar-SY"/>
        </w:rPr>
        <w:t>إدارة</w:t>
      </w:r>
      <w:r w:rsidR="00AF10DA" w:rsidRPr="00B14A8D">
        <w:rPr>
          <w:rFonts w:ascii="Times New Roman" w:eastAsia="Calibri" w:hAnsi="Times New Roman" w:cs="Simplified Arabic" w:hint="cs"/>
          <w:b/>
          <w:bCs/>
          <w:noProof/>
          <w:sz w:val="24"/>
          <w:szCs w:val="32"/>
          <w:rtl/>
          <w:lang w:bidi="ar-SY"/>
        </w:rPr>
        <w:t xml:space="preserve"> </w:t>
      </w:r>
      <w:r w:rsidR="002F49ED" w:rsidRPr="00B14A8D">
        <w:rPr>
          <w:rFonts w:ascii="Times New Roman" w:eastAsia="Calibri" w:hAnsi="Times New Roman" w:cs="Simplified Arabic" w:hint="cs"/>
          <w:b/>
          <w:bCs/>
          <w:noProof/>
          <w:sz w:val="24"/>
          <w:szCs w:val="32"/>
          <w:rtl/>
          <w:lang w:bidi="ar-SY"/>
        </w:rPr>
        <w:t>ال</w:t>
      </w:r>
      <w:r w:rsidRPr="00B14A8D">
        <w:rPr>
          <w:rFonts w:ascii="Times New Roman" w:eastAsia="Calibri" w:hAnsi="Times New Roman" w:cs="Simplified Arabic" w:hint="cs"/>
          <w:b/>
          <w:bCs/>
          <w:noProof/>
          <w:sz w:val="24"/>
          <w:szCs w:val="32"/>
          <w:rtl/>
          <w:lang w:bidi="ar-SY"/>
        </w:rPr>
        <w:t>أعمال</w:t>
      </w:r>
    </w:p>
    <w:p w14:paraId="262A1D8C" w14:textId="77777777" w:rsidR="003220EB" w:rsidRPr="00B14A8D" w:rsidRDefault="003220EB" w:rsidP="003220EB">
      <w:pPr>
        <w:spacing w:after="0" w:line="257" w:lineRule="auto"/>
        <w:ind w:firstLine="284"/>
        <w:jc w:val="both"/>
        <w:rPr>
          <w:rFonts w:ascii="Times New Roman" w:eastAsia="Calibri" w:hAnsi="Times New Roman" w:cs="Simplified Arabic"/>
          <w:b/>
          <w:bCs/>
          <w:noProof/>
          <w:sz w:val="24"/>
          <w:szCs w:val="32"/>
          <w:rtl/>
          <w:lang w:bidi="ar-SY"/>
        </w:rPr>
      </w:pPr>
    </w:p>
    <w:p w14:paraId="38BC4E30" w14:textId="77777777" w:rsidR="003220EB" w:rsidRPr="00B14A8D" w:rsidRDefault="003220EB" w:rsidP="003220EB">
      <w:pPr>
        <w:spacing w:line="257" w:lineRule="auto"/>
        <w:ind w:firstLine="284"/>
        <w:jc w:val="both"/>
        <w:rPr>
          <w:rFonts w:ascii="Times New Roman" w:eastAsia="Calibri" w:hAnsi="Times New Roman" w:cs="Simplified Arabic"/>
          <w:b/>
          <w:bCs/>
          <w:noProof/>
          <w:sz w:val="24"/>
          <w:szCs w:val="40"/>
          <w:rtl/>
          <w:lang w:bidi="ar-SY"/>
        </w:rPr>
      </w:pPr>
    </w:p>
    <w:p w14:paraId="7325393A" w14:textId="77777777" w:rsidR="006D4E55" w:rsidRPr="00B14A8D" w:rsidRDefault="006D4E55" w:rsidP="003220EB">
      <w:pPr>
        <w:spacing w:line="257" w:lineRule="auto"/>
        <w:ind w:firstLine="284"/>
        <w:jc w:val="both"/>
        <w:rPr>
          <w:rFonts w:ascii="Times New Roman" w:eastAsia="Calibri" w:hAnsi="Times New Roman" w:cs="Simplified Arabic"/>
          <w:b/>
          <w:bCs/>
          <w:noProof/>
          <w:sz w:val="24"/>
          <w:szCs w:val="40"/>
          <w:rtl/>
          <w:lang w:bidi="ar-SY"/>
        </w:rPr>
      </w:pPr>
    </w:p>
    <w:p w14:paraId="2B106879" w14:textId="77777777" w:rsidR="003220EB" w:rsidRPr="00B14A8D" w:rsidRDefault="003220EB" w:rsidP="008B0D19">
      <w:pPr>
        <w:spacing w:line="257" w:lineRule="auto"/>
        <w:jc w:val="both"/>
        <w:rPr>
          <w:rFonts w:ascii="Times New Roman" w:eastAsia="Calibri" w:hAnsi="Times New Roman" w:cs="Simplified Arabic"/>
          <w:sz w:val="24"/>
          <w:szCs w:val="14"/>
          <w:rtl/>
          <w:lang w:bidi="ar-SY"/>
        </w:rPr>
      </w:pPr>
    </w:p>
    <w:bookmarkEnd w:id="0"/>
    <w:p w14:paraId="017EC932" w14:textId="14F7B262" w:rsidR="00217D8D" w:rsidRPr="00B14A8D" w:rsidRDefault="00532099" w:rsidP="00217D8D">
      <w:pPr>
        <w:spacing w:line="257" w:lineRule="auto"/>
        <w:ind w:firstLine="284"/>
        <w:jc w:val="center"/>
        <w:rPr>
          <w:rFonts w:ascii="Times New Roman" w:eastAsia="Calibri" w:hAnsi="Times New Roman" w:cs="Simplified Arabic"/>
          <w:b/>
          <w:bCs/>
          <w:sz w:val="24"/>
          <w:szCs w:val="14"/>
          <w:rtl/>
        </w:rPr>
      </w:pPr>
      <w:r w:rsidRPr="00B14A8D">
        <w:rPr>
          <w:rFonts w:ascii="Times New Roman" w:eastAsia="Calibri" w:hAnsi="Times New Roman" w:cs="Simplified Arabic"/>
          <w:b/>
          <w:bCs/>
          <w:sz w:val="24"/>
          <w:szCs w:val="40"/>
          <w:rtl/>
        </w:rPr>
        <w:t>دور القيادة المستدامة في تعزيز الأداء التنظيمي الأخضر لدى شركات المقاولات اليمنية: دراسة ميدانية</w:t>
      </w:r>
    </w:p>
    <w:p w14:paraId="2B457FA6" w14:textId="77777777" w:rsidR="00532099" w:rsidRPr="00B14A8D" w:rsidRDefault="00532099" w:rsidP="00217D8D">
      <w:pPr>
        <w:spacing w:line="257" w:lineRule="auto"/>
        <w:ind w:firstLine="284"/>
        <w:jc w:val="center"/>
        <w:rPr>
          <w:rFonts w:ascii="Times New Roman" w:eastAsia="Calibri" w:hAnsi="Times New Roman" w:cs="Simplified Arabic"/>
          <w:b/>
          <w:bCs/>
          <w:sz w:val="24"/>
          <w:szCs w:val="14"/>
          <w:rtl/>
        </w:rPr>
      </w:pPr>
    </w:p>
    <w:p w14:paraId="77F92AF3" w14:textId="77408C5C" w:rsidR="00217D8D" w:rsidRPr="00B14A8D" w:rsidRDefault="00DB3B30" w:rsidP="00217D8D">
      <w:pPr>
        <w:spacing w:line="257" w:lineRule="auto"/>
        <w:ind w:firstLine="284"/>
        <w:jc w:val="center"/>
        <w:rPr>
          <w:rFonts w:ascii="Times New Roman" w:eastAsia="Calibri" w:hAnsi="Times New Roman" w:cs="Simplified Arabic"/>
          <w:b/>
          <w:bCs/>
          <w:sz w:val="24"/>
          <w:szCs w:val="32"/>
          <w:rtl/>
          <w:lang w:bidi="ar-SY"/>
        </w:rPr>
      </w:pPr>
      <w:r w:rsidRPr="00B14A8D">
        <w:rPr>
          <w:rFonts w:ascii="Times New Roman" w:eastAsia="Calibri" w:hAnsi="Times New Roman" w:cs="Simplified Arabic" w:hint="cs"/>
          <w:b/>
          <w:bCs/>
          <w:sz w:val="24"/>
          <w:szCs w:val="32"/>
          <w:rtl/>
          <w:lang w:bidi="ar-SY"/>
        </w:rPr>
        <w:t>إعداد</w:t>
      </w:r>
      <w:r w:rsidR="00492136" w:rsidRPr="00B14A8D">
        <w:rPr>
          <w:rFonts w:ascii="Times New Roman" w:eastAsia="Calibri" w:hAnsi="Times New Roman" w:cs="Simplified Arabic" w:hint="cs"/>
          <w:b/>
          <w:bCs/>
          <w:sz w:val="24"/>
          <w:szCs w:val="32"/>
          <w:rtl/>
          <w:lang w:bidi="ar-SY"/>
        </w:rPr>
        <w:t>:</w:t>
      </w:r>
    </w:p>
    <w:p w14:paraId="1F7C7194" w14:textId="02CB0B57" w:rsidR="00594922" w:rsidRPr="00B14A8D" w:rsidRDefault="00532099" w:rsidP="008B0D19">
      <w:pPr>
        <w:spacing w:line="257" w:lineRule="auto"/>
        <w:ind w:firstLine="284"/>
        <w:jc w:val="center"/>
        <w:rPr>
          <w:rFonts w:ascii="Times New Roman" w:eastAsia="Calibri" w:hAnsi="Times New Roman" w:cs="Simplified Arabic"/>
          <w:b/>
          <w:bCs/>
          <w:sz w:val="24"/>
          <w:szCs w:val="32"/>
          <w:rtl/>
          <w:lang w:bidi="ar-EG"/>
        </w:rPr>
      </w:pPr>
      <w:r w:rsidRPr="00B14A8D">
        <w:rPr>
          <w:rFonts w:ascii="Times New Roman" w:eastAsia="Calibri" w:hAnsi="Times New Roman" w:cs="Simplified Arabic" w:hint="cs"/>
          <w:b/>
          <w:bCs/>
          <w:sz w:val="24"/>
          <w:szCs w:val="32"/>
          <w:rtl/>
          <w:lang w:bidi="ar-EG"/>
        </w:rPr>
        <w:t>بشار خالد علي زياد</w:t>
      </w:r>
    </w:p>
    <w:p w14:paraId="5044346D" w14:textId="6A10A104" w:rsidR="008B0D19" w:rsidRPr="00B14A8D" w:rsidRDefault="008B0D19" w:rsidP="00594922">
      <w:pPr>
        <w:spacing w:line="257" w:lineRule="auto"/>
        <w:ind w:firstLine="284"/>
        <w:jc w:val="center"/>
        <w:rPr>
          <w:rFonts w:ascii="Times New Roman" w:eastAsia="Calibri" w:hAnsi="Times New Roman" w:cs="Simplified Arabic"/>
          <w:b/>
          <w:bCs/>
          <w:sz w:val="24"/>
          <w:szCs w:val="32"/>
          <w:rtl/>
          <w:lang w:bidi="ar-EG"/>
        </w:rPr>
      </w:pPr>
      <w:r w:rsidRPr="00B14A8D">
        <w:rPr>
          <w:rFonts w:ascii="Times New Roman" w:eastAsia="Calibri" w:hAnsi="Times New Roman" w:cs="Simplified Arabic" w:hint="cs"/>
          <w:b/>
          <w:bCs/>
          <w:sz w:val="24"/>
          <w:szCs w:val="32"/>
          <w:rtl/>
          <w:lang w:bidi="ar-EG"/>
        </w:rPr>
        <w:t>الرقم</w:t>
      </w:r>
      <w:r w:rsidR="00AF10DA" w:rsidRPr="00B14A8D">
        <w:rPr>
          <w:rFonts w:ascii="Times New Roman" w:eastAsia="Calibri" w:hAnsi="Times New Roman" w:cs="Simplified Arabic" w:hint="cs"/>
          <w:b/>
          <w:bCs/>
          <w:sz w:val="24"/>
          <w:szCs w:val="32"/>
          <w:rtl/>
          <w:lang w:bidi="ar-EG"/>
        </w:rPr>
        <w:t xml:space="preserve"> </w:t>
      </w:r>
      <w:r w:rsidRPr="00B14A8D">
        <w:rPr>
          <w:rFonts w:ascii="Times New Roman" w:eastAsia="Calibri" w:hAnsi="Times New Roman" w:cs="Simplified Arabic" w:hint="cs"/>
          <w:b/>
          <w:bCs/>
          <w:sz w:val="24"/>
          <w:szCs w:val="32"/>
          <w:rtl/>
          <w:lang w:bidi="ar-EG"/>
        </w:rPr>
        <w:t>الأكاديمي</w:t>
      </w:r>
      <w:r w:rsidR="00492136" w:rsidRPr="00B14A8D">
        <w:rPr>
          <w:rFonts w:ascii="Times New Roman" w:eastAsia="Calibri" w:hAnsi="Times New Roman" w:cs="Simplified Arabic" w:hint="cs"/>
          <w:b/>
          <w:bCs/>
          <w:sz w:val="24"/>
          <w:szCs w:val="32"/>
          <w:rtl/>
          <w:lang w:bidi="ar-EG"/>
        </w:rPr>
        <w:t>:</w:t>
      </w:r>
      <w:r w:rsidR="00AF10DA" w:rsidRPr="00B14A8D">
        <w:rPr>
          <w:rFonts w:ascii="Times New Roman" w:eastAsia="Calibri" w:hAnsi="Times New Roman" w:cs="Simplified Arabic" w:hint="cs"/>
          <w:b/>
          <w:bCs/>
          <w:sz w:val="24"/>
          <w:szCs w:val="32"/>
          <w:rtl/>
          <w:lang w:bidi="ar-EG"/>
        </w:rPr>
        <w:t xml:space="preserve"> </w:t>
      </w:r>
      <w:r w:rsidR="00116C0D">
        <w:rPr>
          <w:rFonts w:ascii="Times New Roman" w:eastAsia="Calibri" w:hAnsi="Times New Roman" w:cs="Simplified Arabic" w:hint="cs"/>
          <w:b/>
          <w:bCs/>
          <w:sz w:val="24"/>
          <w:szCs w:val="32"/>
          <w:rtl/>
          <w:lang w:bidi="ar-EG"/>
        </w:rPr>
        <w:t>252000791</w:t>
      </w:r>
    </w:p>
    <w:p w14:paraId="5BE529FB" w14:textId="77777777" w:rsidR="003747FA" w:rsidRPr="00B14A8D" w:rsidRDefault="003747FA" w:rsidP="00217D8D">
      <w:pPr>
        <w:spacing w:line="257" w:lineRule="auto"/>
        <w:ind w:firstLine="284"/>
        <w:jc w:val="center"/>
        <w:rPr>
          <w:rFonts w:ascii="Times New Roman" w:eastAsia="Calibri" w:hAnsi="Times New Roman" w:cs="Simplified Arabic"/>
          <w:b/>
          <w:bCs/>
          <w:sz w:val="24"/>
          <w:szCs w:val="32"/>
          <w:rtl/>
          <w:lang w:bidi="ar-EG"/>
        </w:rPr>
      </w:pPr>
    </w:p>
    <w:p w14:paraId="2A9E5C30" w14:textId="3981CE7B" w:rsidR="00217D8D" w:rsidRPr="00B14A8D" w:rsidRDefault="00A23AFA" w:rsidP="00217D8D">
      <w:pPr>
        <w:spacing w:line="257" w:lineRule="auto"/>
        <w:ind w:firstLine="284"/>
        <w:jc w:val="center"/>
        <w:rPr>
          <w:rFonts w:ascii="Times New Roman" w:eastAsia="Calibri" w:hAnsi="Times New Roman" w:cs="Simplified Arabic"/>
          <w:b/>
          <w:bCs/>
          <w:sz w:val="24"/>
          <w:szCs w:val="32"/>
          <w:rtl/>
          <w:lang w:bidi="ar-SY"/>
        </w:rPr>
      </w:pPr>
      <w:r w:rsidRPr="00B14A8D">
        <w:rPr>
          <w:rFonts w:ascii="Times New Roman" w:eastAsia="Calibri" w:hAnsi="Times New Roman" w:cs="Simplified Arabic" w:hint="cs"/>
          <w:b/>
          <w:bCs/>
          <w:sz w:val="24"/>
          <w:szCs w:val="32"/>
          <w:rtl/>
          <w:lang w:bidi="ar-SY"/>
        </w:rPr>
        <w:t>ال</w:t>
      </w:r>
      <w:r w:rsidR="00217D8D" w:rsidRPr="00B14A8D">
        <w:rPr>
          <w:rFonts w:ascii="Times New Roman" w:eastAsia="Calibri" w:hAnsi="Times New Roman" w:cs="Simplified Arabic" w:hint="cs"/>
          <w:b/>
          <w:bCs/>
          <w:sz w:val="24"/>
          <w:szCs w:val="32"/>
          <w:rtl/>
          <w:lang w:bidi="ar-SY"/>
        </w:rPr>
        <w:t>إشراف</w:t>
      </w:r>
      <w:r w:rsidR="003747FA" w:rsidRPr="00B14A8D">
        <w:rPr>
          <w:rFonts w:ascii="Times New Roman" w:eastAsia="Calibri" w:hAnsi="Times New Roman" w:cs="Simplified Arabic" w:hint="cs"/>
          <w:b/>
          <w:bCs/>
          <w:sz w:val="24"/>
          <w:szCs w:val="32"/>
          <w:rtl/>
          <w:lang w:bidi="ar-SY"/>
        </w:rPr>
        <w:t>/</w:t>
      </w:r>
      <w:r w:rsidR="00AF10DA" w:rsidRPr="00B14A8D">
        <w:rPr>
          <w:rFonts w:ascii="Times New Roman" w:eastAsia="Calibri" w:hAnsi="Times New Roman" w:cs="Simplified Arabic" w:hint="cs"/>
          <w:b/>
          <w:bCs/>
          <w:sz w:val="24"/>
          <w:szCs w:val="32"/>
          <w:rtl/>
          <w:lang w:bidi="ar-SY"/>
        </w:rPr>
        <w:t xml:space="preserve"> </w:t>
      </w:r>
    </w:p>
    <w:p w14:paraId="437B453A" w14:textId="759E7B0B" w:rsidR="0080639C" w:rsidRDefault="00606EA4" w:rsidP="0080639C">
      <w:pPr>
        <w:spacing w:line="257" w:lineRule="auto"/>
        <w:ind w:firstLine="284"/>
        <w:jc w:val="center"/>
        <w:rPr>
          <w:rFonts w:ascii="Times New Roman" w:eastAsia="Calibri" w:hAnsi="Times New Roman" w:cs="Simplified Arabic"/>
          <w:b/>
          <w:bCs/>
          <w:sz w:val="24"/>
          <w:szCs w:val="32"/>
          <w:rtl/>
          <w:lang w:bidi="ar-EG"/>
        </w:rPr>
      </w:pPr>
      <w:r>
        <w:rPr>
          <w:rFonts w:ascii="Times New Roman" w:eastAsia="Calibri" w:hAnsi="Times New Roman" w:cs="Simplified Arabic" w:hint="cs"/>
          <w:b/>
          <w:bCs/>
          <w:sz w:val="24"/>
          <w:szCs w:val="32"/>
          <w:rtl/>
          <w:lang w:bidi="ar-SY"/>
        </w:rPr>
        <w:t>أ</w:t>
      </w:r>
      <w:r w:rsidR="0080639C" w:rsidRPr="0080639C">
        <w:rPr>
          <w:rFonts w:ascii="Times New Roman" w:eastAsia="Calibri" w:hAnsi="Times New Roman" w:cs="Simplified Arabic" w:hint="cs"/>
          <w:b/>
          <w:bCs/>
          <w:sz w:val="24"/>
          <w:szCs w:val="32"/>
          <w:rtl/>
          <w:lang w:bidi="ar-EG"/>
        </w:rPr>
        <w:t>.د. الفيصل عبد الحميد محمد</w:t>
      </w:r>
    </w:p>
    <w:p w14:paraId="377BEEE7" w14:textId="1B2D5343" w:rsidR="0080639C" w:rsidRPr="0080639C" w:rsidRDefault="0080639C" w:rsidP="0080639C">
      <w:pPr>
        <w:spacing w:line="257" w:lineRule="auto"/>
        <w:ind w:firstLine="284"/>
        <w:jc w:val="center"/>
        <w:rPr>
          <w:rFonts w:ascii="Times New Roman" w:eastAsia="Calibri" w:hAnsi="Times New Roman" w:cs="Simplified Arabic"/>
          <w:b/>
          <w:bCs/>
          <w:sz w:val="24"/>
          <w:szCs w:val="32"/>
          <w:rtl/>
          <w:lang w:bidi="ar-EG"/>
        </w:rPr>
      </w:pPr>
      <w:r>
        <w:rPr>
          <w:rFonts w:ascii="Times New Roman" w:eastAsia="Calibri" w:hAnsi="Times New Roman" w:cs="Simplified Arabic" w:hint="cs"/>
          <w:b/>
          <w:bCs/>
          <w:sz w:val="24"/>
          <w:szCs w:val="32"/>
          <w:rtl/>
          <w:lang w:bidi="ar-EG"/>
        </w:rPr>
        <w:t xml:space="preserve">أ.د. </w:t>
      </w:r>
      <w:r w:rsidRPr="00B14A8D">
        <w:rPr>
          <w:rFonts w:ascii="Times New Roman" w:eastAsia="Calibri" w:hAnsi="Times New Roman" w:cs="Simplified Arabic" w:hint="cs"/>
          <w:b/>
          <w:bCs/>
          <w:sz w:val="24"/>
          <w:szCs w:val="29"/>
          <w:rtl/>
        </w:rPr>
        <w:t>فايز علي جراد</w:t>
      </w:r>
    </w:p>
    <w:p w14:paraId="6EDF14FD" w14:textId="77777777" w:rsidR="00217D8D" w:rsidRPr="00B14A8D" w:rsidRDefault="00217D8D" w:rsidP="00217D8D">
      <w:pPr>
        <w:spacing w:line="257" w:lineRule="auto"/>
        <w:ind w:firstLine="284"/>
        <w:jc w:val="center"/>
        <w:rPr>
          <w:rFonts w:ascii="Times New Roman" w:eastAsia="Calibri" w:hAnsi="Times New Roman" w:cs="Simplified Arabic"/>
          <w:b/>
          <w:bCs/>
          <w:sz w:val="24"/>
          <w:szCs w:val="32"/>
          <w:rtl/>
          <w:lang w:bidi="ar-EG"/>
        </w:rPr>
      </w:pPr>
    </w:p>
    <w:p w14:paraId="7F352471" w14:textId="5851708E" w:rsidR="00217D8D" w:rsidRPr="00B14A8D" w:rsidRDefault="00217D8D" w:rsidP="00217D8D">
      <w:pPr>
        <w:spacing w:line="257" w:lineRule="auto"/>
        <w:ind w:firstLine="284"/>
        <w:jc w:val="center"/>
        <w:rPr>
          <w:rFonts w:ascii="Times New Roman" w:eastAsia="Calibri" w:hAnsi="Times New Roman" w:cs="Simplified Arabic"/>
          <w:b/>
          <w:bCs/>
          <w:sz w:val="24"/>
          <w:szCs w:val="32"/>
          <w:rtl/>
          <w:lang w:bidi="ar-SY"/>
        </w:rPr>
      </w:pPr>
      <w:r w:rsidRPr="00B14A8D">
        <w:rPr>
          <w:rFonts w:ascii="Times New Roman" w:eastAsia="Calibri" w:hAnsi="Times New Roman" w:cs="Simplified Arabic" w:hint="cs"/>
          <w:b/>
          <w:bCs/>
          <w:sz w:val="24"/>
          <w:szCs w:val="32"/>
          <w:rtl/>
          <w:lang w:bidi="ar-SY"/>
        </w:rPr>
        <w:t>العام</w:t>
      </w:r>
      <w:r w:rsidR="00AF10DA" w:rsidRPr="00B14A8D">
        <w:rPr>
          <w:rFonts w:ascii="Times New Roman" w:eastAsia="Calibri" w:hAnsi="Times New Roman" w:cs="Simplified Arabic" w:hint="cs"/>
          <w:b/>
          <w:bCs/>
          <w:sz w:val="24"/>
          <w:szCs w:val="32"/>
          <w:rtl/>
          <w:lang w:bidi="ar-SY"/>
        </w:rPr>
        <w:t xml:space="preserve"> </w:t>
      </w:r>
      <w:r w:rsidRPr="00B14A8D">
        <w:rPr>
          <w:rFonts w:ascii="Times New Roman" w:eastAsia="Calibri" w:hAnsi="Times New Roman" w:cs="Simplified Arabic" w:hint="cs"/>
          <w:b/>
          <w:bCs/>
          <w:sz w:val="24"/>
          <w:szCs w:val="32"/>
          <w:rtl/>
          <w:lang w:bidi="ar-SY"/>
        </w:rPr>
        <w:t>الجامعي</w:t>
      </w:r>
    </w:p>
    <w:p w14:paraId="34C4110A" w14:textId="442D4D71" w:rsidR="00217D8D" w:rsidRPr="00B14A8D" w:rsidRDefault="00217D8D" w:rsidP="00217D8D">
      <w:pPr>
        <w:spacing w:line="257" w:lineRule="auto"/>
        <w:ind w:firstLine="284"/>
        <w:jc w:val="center"/>
        <w:rPr>
          <w:rFonts w:ascii="Times New Roman" w:eastAsia="Calibri" w:hAnsi="Times New Roman" w:cs="Simplified Arabic"/>
          <w:b/>
          <w:bCs/>
          <w:sz w:val="24"/>
          <w:szCs w:val="28"/>
          <w:rtl/>
          <w:lang w:bidi="ar-SY"/>
        </w:rPr>
      </w:pPr>
      <w:r w:rsidRPr="00B14A8D">
        <w:rPr>
          <w:rFonts w:ascii="Times New Roman" w:eastAsia="Calibri" w:hAnsi="Times New Roman" w:cs="Simplified Arabic" w:hint="cs"/>
          <w:b/>
          <w:bCs/>
          <w:sz w:val="24"/>
          <w:szCs w:val="28"/>
          <w:rtl/>
          <w:lang w:bidi="ar-SY"/>
        </w:rPr>
        <w:t>202</w:t>
      </w:r>
      <w:r w:rsidR="00606EA4">
        <w:rPr>
          <w:rFonts w:ascii="Times New Roman" w:eastAsia="Calibri" w:hAnsi="Times New Roman" w:cs="Simplified Arabic" w:hint="cs"/>
          <w:b/>
          <w:bCs/>
          <w:sz w:val="24"/>
          <w:szCs w:val="28"/>
          <w:rtl/>
          <w:lang w:bidi="ar-SY"/>
        </w:rPr>
        <w:t>6</w:t>
      </w:r>
      <w:r w:rsidRPr="00B14A8D">
        <w:rPr>
          <w:rFonts w:ascii="Times New Roman" w:eastAsia="Calibri" w:hAnsi="Times New Roman" w:cs="Simplified Arabic" w:hint="cs"/>
          <w:b/>
          <w:bCs/>
          <w:sz w:val="24"/>
          <w:szCs w:val="28"/>
          <w:rtl/>
          <w:lang w:bidi="ar-SY"/>
        </w:rPr>
        <w:t>م</w:t>
      </w:r>
    </w:p>
    <w:bookmarkEnd w:id="1"/>
    <w:p w14:paraId="4505C7AB" w14:textId="4BF6DCD6" w:rsidR="00730DB6" w:rsidRPr="00B14A8D" w:rsidRDefault="006D4E55" w:rsidP="00217D8D">
      <w:pPr>
        <w:spacing w:line="257" w:lineRule="auto"/>
        <w:ind w:firstLine="284"/>
        <w:jc w:val="both"/>
        <w:rPr>
          <w:rFonts w:ascii="Times New Roman" w:eastAsia="Calibri" w:hAnsi="Times New Roman" w:cs="Simplified Arabic"/>
          <w:sz w:val="24"/>
          <w:szCs w:val="28"/>
        </w:rPr>
      </w:pPr>
      <w:r w:rsidRPr="00B14A8D">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1CFB0550" w14:textId="77777777" w:rsidR="00586478" w:rsidRPr="00AA07EF" w:rsidRDefault="00586478" w:rsidP="00586478">
      <w:pPr>
        <w:spacing w:after="0" w:line="276" w:lineRule="auto"/>
        <w:jc w:val="both"/>
        <w:rPr>
          <w:rFonts w:ascii="Times New Roman" w:hAnsi="Times New Roman" w:cs="Simplified Arabic"/>
          <w:sz w:val="24"/>
          <w:szCs w:val="28"/>
          <w:rtl/>
        </w:rPr>
      </w:pPr>
    </w:p>
    <w:p w14:paraId="6507904C" w14:textId="77777777" w:rsidR="00586478" w:rsidRPr="00B14A8D" w:rsidRDefault="00586478" w:rsidP="00586478">
      <w:pPr>
        <w:spacing w:after="200" w:line="276" w:lineRule="auto"/>
        <w:rPr>
          <w:rFonts w:ascii="Times New Roman" w:hAnsi="Times New Roman"/>
          <w:sz w:val="24"/>
        </w:rPr>
      </w:pPr>
    </w:p>
    <w:p w14:paraId="6E37A353" w14:textId="77777777" w:rsidR="00586478" w:rsidRPr="00B14A8D" w:rsidRDefault="00586478" w:rsidP="00586478">
      <w:pPr>
        <w:spacing w:line="276" w:lineRule="auto"/>
        <w:jc w:val="center"/>
        <w:rPr>
          <w:rFonts w:ascii="Times New Roman" w:hAnsi="Times New Roman" w:cs="Simplified Arabic"/>
          <w:sz w:val="24"/>
          <w:szCs w:val="28"/>
          <w:rtl/>
        </w:rPr>
      </w:pPr>
    </w:p>
    <w:p w14:paraId="6781A0AF" w14:textId="77777777" w:rsidR="00586478" w:rsidRPr="00B14A8D" w:rsidRDefault="00586478" w:rsidP="00586478">
      <w:pPr>
        <w:spacing w:line="276" w:lineRule="auto"/>
        <w:jc w:val="center"/>
        <w:rPr>
          <w:rFonts w:ascii="Times New Roman" w:hAnsi="Times New Roman" w:cs="PT Bold Heading"/>
          <w:sz w:val="24"/>
          <w:rtl/>
        </w:rPr>
      </w:pPr>
    </w:p>
    <w:p w14:paraId="72FE4B63" w14:textId="77777777" w:rsidR="00586478" w:rsidRPr="00B14A8D" w:rsidRDefault="00586478" w:rsidP="00586478">
      <w:pPr>
        <w:spacing w:line="276" w:lineRule="auto"/>
        <w:jc w:val="center"/>
        <w:rPr>
          <w:rFonts w:ascii="Times New Roman" w:hAnsi="Times New Roman" w:cs="PT Bold Heading"/>
          <w:sz w:val="24"/>
          <w:szCs w:val="16"/>
          <w:rtl/>
        </w:rPr>
      </w:pPr>
    </w:p>
    <w:p w14:paraId="209F11CC" w14:textId="27CB9688" w:rsidR="00586478" w:rsidRPr="00B14A8D" w:rsidRDefault="00586478" w:rsidP="00586478">
      <w:pPr>
        <w:spacing w:line="276" w:lineRule="auto"/>
        <w:jc w:val="center"/>
        <w:rPr>
          <w:rFonts w:ascii="Times New Roman" w:eastAsia="Calibri" w:hAnsi="Times New Roman" w:cs="PT Bold Heading"/>
          <w:sz w:val="24"/>
          <w:szCs w:val="48"/>
          <w:rtl/>
        </w:rPr>
      </w:pPr>
      <w:r w:rsidRPr="00B14A8D">
        <w:rPr>
          <w:rFonts w:ascii="Times New Roman" w:eastAsia="Calibri" w:hAnsi="Times New Roman" w:cs="PT Bold Heading"/>
          <w:sz w:val="24"/>
          <w:szCs w:val="48"/>
          <w:rtl/>
        </w:rPr>
        <w:t>الفصل</w:t>
      </w:r>
      <w:r w:rsidR="00AF10DA" w:rsidRPr="00B14A8D">
        <w:rPr>
          <w:rFonts w:ascii="Times New Roman" w:eastAsia="Calibri" w:hAnsi="Times New Roman" w:cs="PT Bold Heading"/>
          <w:sz w:val="24"/>
          <w:szCs w:val="48"/>
          <w:rtl/>
        </w:rPr>
        <w:t xml:space="preserve"> </w:t>
      </w:r>
      <w:r w:rsidRPr="00B14A8D">
        <w:rPr>
          <w:rFonts w:ascii="Times New Roman" w:eastAsia="Calibri" w:hAnsi="Times New Roman" w:cs="PT Bold Heading"/>
          <w:sz w:val="24"/>
          <w:szCs w:val="48"/>
          <w:rtl/>
        </w:rPr>
        <w:t>الأول</w:t>
      </w:r>
    </w:p>
    <w:p w14:paraId="117A8A44" w14:textId="14F7AFC0" w:rsidR="00586478" w:rsidRPr="00B14A8D" w:rsidRDefault="00586478" w:rsidP="00586478">
      <w:pPr>
        <w:spacing w:line="276" w:lineRule="auto"/>
        <w:ind w:firstLine="284"/>
        <w:jc w:val="center"/>
        <w:rPr>
          <w:rFonts w:ascii="Times New Roman" w:eastAsia="Calibri" w:hAnsi="Times New Roman" w:cs="PT Bold Heading"/>
          <w:sz w:val="24"/>
          <w:szCs w:val="48"/>
          <w:rtl/>
        </w:rPr>
      </w:pPr>
      <w:r w:rsidRPr="00B14A8D">
        <w:rPr>
          <w:rFonts w:ascii="Times New Roman" w:eastAsia="Calibri" w:hAnsi="Times New Roman" w:cs="PT Bold Heading"/>
          <w:sz w:val="24"/>
          <w:szCs w:val="48"/>
          <w:rtl/>
        </w:rPr>
        <w:t>الإطار</w:t>
      </w:r>
      <w:r w:rsidR="00AF10DA" w:rsidRPr="00B14A8D">
        <w:rPr>
          <w:rFonts w:ascii="Times New Roman" w:eastAsia="Calibri" w:hAnsi="Times New Roman" w:cs="PT Bold Heading"/>
          <w:sz w:val="24"/>
          <w:szCs w:val="48"/>
          <w:rtl/>
        </w:rPr>
        <w:t xml:space="preserve"> </w:t>
      </w:r>
      <w:r w:rsidRPr="00B14A8D">
        <w:rPr>
          <w:rFonts w:ascii="Times New Roman" w:eastAsia="Calibri" w:hAnsi="Times New Roman" w:cs="PT Bold Heading"/>
          <w:sz w:val="24"/>
          <w:szCs w:val="48"/>
          <w:rtl/>
        </w:rPr>
        <w:t>العام</w:t>
      </w:r>
      <w:r w:rsidR="00AF10DA" w:rsidRPr="00B14A8D">
        <w:rPr>
          <w:rFonts w:ascii="Times New Roman" w:eastAsia="Calibri" w:hAnsi="Times New Roman" w:cs="PT Bold Heading"/>
          <w:sz w:val="24"/>
          <w:szCs w:val="48"/>
          <w:rtl/>
        </w:rPr>
        <w:t xml:space="preserve"> </w:t>
      </w:r>
      <w:r w:rsidRPr="00B14A8D">
        <w:rPr>
          <w:rFonts w:ascii="Times New Roman" w:eastAsia="Calibri" w:hAnsi="Times New Roman" w:cs="PT Bold Heading"/>
          <w:sz w:val="24"/>
          <w:szCs w:val="48"/>
          <w:rtl/>
        </w:rPr>
        <w:t>للدراسة</w:t>
      </w:r>
    </w:p>
    <w:p w14:paraId="25170D4D" w14:textId="77777777" w:rsidR="00586478" w:rsidRPr="00B14A8D" w:rsidRDefault="00586478" w:rsidP="00586478">
      <w:pPr>
        <w:spacing w:line="276" w:lineRule="auto"/>
        <w:ind w:left="720" w:firstLine="284"/>
        <w:contextualSpacing/>
        <w:jc w:val="both"/>
        <w:rPr>
          <w:rFonts w:ascii="Times New Roman" w:eastAsia="Calibri" w:hAnsi="Times New Roman" w:cs="Simplified Arabic"/>
          <w:b/>
          <w:bCs/>
          <w:sz w:val="24"/>
          <w:szCs w:val="24"/>
          <w:rtl/>
        </w:rPr>
      </w:pPr>
    </w:p>
    <w:p w14:paraId="0065F81A" w14:textId="79275B80" w:rsidR="00586478" w:rsidRPr="00B14A8D" w:rsidRDefault="00586478" w:rsidP="00586478">
      <w:pPr>
        <w:numPr>
          <w:ilvl w:val="0"/>
          <w:numId w:val="2"/>
        </w:numPr>
        <w:spacing w:after="0" w:line="240" w:lineRule="auto"/>
        <w:contextualSpacing/>
        <w:jc w:val="both"/>
        <w:rPr>
          <w:rFonts w:ascii="Times New Roman" w:eastAsia="Calibri" w:hAnsi="Times New Roman" w:cs="Monotype Koufi"/>
          <w:sz w:val="24"/>
          <w:szCs w:val="42"/>
          <w:rtl/>
        </w:rPr>
      </w:pPr>
      <w:r w:rsidRPr="00B14A8D">
        <w:rPr>
          <w:rFonts w:ascii="Times New Roman" w:eastAsia="Calibri" w:hAnsi="Times New Roman" w:cs="Monotype Koufi"/>
          <w:sz w:val="24"/>
          <w:szCs w:val="42"/>
          <w:rtl/>
        </w:rPr>
        <w:t>المقدمة</w:t>
      </w:r>
      <w:r w:rsidR="00492136" w:rsidRPr="00B14A8D">
        <w:rPr>
          <w:rFonts w:ascii="Times New Roman" w:eastAsia="Calibri" w:hAnsi="Times New Roman" w:cs="Monotype Koufi"/>
          <w:sz w:val="24"/>
          <w:szCs w:val="42"/>
          <w:rtl/>
        </w:rPr>
        <w:t>.</w:t>
      </w:r>
    </w:p>
    <w:p w14:paraId="62EBA89A" w14:textId="068B2A71" w:rsidR="00586478" w:rsidRPr="00B14A8D" w:rsidRDefault="00586478" w:rsidP="00586478">
      <w:pPr>
        <w:numPr>
          <w:ilvl w:val="0"/>
          <w:numId w:val="2"/>
        </w:numPr>
        <w:spacing w:after="0" w:line="240" w:lineRule="auto"/>
        <w:contextualSpacing/>
        <w:jc w:val="both"/>
        <w:rPr>
          <w:rFonts w:ascii="Times New Roman" w:eastAsia="Calibri" w:hAnsi="Times New Roman" w:cs="Monotype Koufi"/>
          <w:sz w:val="24"/>
          <w:szCs w:val="42"/>
        </w:rPr>
      </w:pPr>
      <w:r w:rsidRPr="00B14A8D">
        <w:rPr>
          <w:rFonts w:ascii="Times New Roman" w:eastAsia="Calibri" w:hAnsi="Times New Roman" w:cs="Monotype Koufi"/>
          <w:sz w:val="24"/>
          <w:szCs w:val="42"/>
          <w:rtl/>
        </w:rPr>
        <w:t>مشكلة</w:t>
      </w:r>
      <w:r w:rsidR="00AF10DA" w:rsidRPr="00B14A8D">
        <w:rPr>
          <w:rFonts w:ascii="Times New Roman" w:eastAsia="Calibri" w:hAnsi="Times New Roman" w:cs="Monotype Koufi"/>
          <w:sz w:val="24"/>
          <w:szCs w:val="42"/>
          <w:rtl/>
        </w:rPr>
        <w:t xml:space="preserve"> </w:t>
      </w:r>
      <w:r w:rsidRPr="00B14A8D">
        <w:rPr>
          <w:rFonts w:ascii="Times New Roman" w:eastAsia="Calibri" w:hAnsi="Times New Roman" w:cs="Monotype Koufi"/>
          <w:sz w:val="24"/>
          <w:szCs w:val="42"/>
          <w:rtl/>
        </w:rPr>
        <w:t>الدراسة</w:t>
      </w:r>
      <w:r w:rsidR="00492136" w:rsidRPr="00B14A8D">
        <w:rPr>
          <w:rFonts w:ascii="Times New Roman" w:eastAsia="Calibri" w:hAnsi="Times New Roman" w:cs="Monotype Koufi"/>
          <w:sz w:val="24"/>
          <w:szCs w:val="42"/>
          <w:rtl/>
        </w:rPr>
        <w:t>.</w:t>
      </w:r>
    </w:p>
    <w:p w14:paraId="6D6AA96C" w14:textId="77777777" w:rsidR="00102705" w:rsidRPr="00B14A8D" w:rsidRDefault="00102705" w:rsidP="00102705">
      <w:pPr>
        <w:numPr>
          <w:ilvl w:val="0"/>
          <w:numId w:val="2"/>
        </w:numPr>
        <w:spacing w:after="0" w:line="240" w:lineRule="auto"/>
        <w:contextualSpacing/>
        <w:jc w:val="both"/>
        <w:rPr>
          <w:rFonts w:ascii="Times New Roman" w:eastAsia="Calibri" w:hAnsi="Times New Roman" w:cs="Monotype Koufi"/>
          <w:sz w:val="24"/>
          <w:szCs w:val="42"/>
        </w:rPr>
      </w:pPr>
      <w:r w:rsidRPr="00B14A8D">
        <w:rPr>
          <w:rFonts w:ascii="Times New Roman" w:eastAsia="Calibri" w:hAnsi="Times New Roman" w:cs="Monotype Koufi"/>
          <w:sz w:val="24"/>
          <w:szCs w:val="42"/>
          <w:rtl/>
        </w:rPr>
        <w:t>تساؤلات الدراسة.</w:t>
      </w:r>
    </w:p>
    <w:p w14:paraId="05B00DC4" w14:textId="12EED871" w:rsidR="00586478" w:rsidRPr="00B14A8D" w:rsidRDefault="00586478" w:rsidP="00586478">
      <w:pPr>
        <w:numPr>
          <w:ilvl w:val="0"/>
          <w:numId w:val="2"/>
        </w:numPr>
        <w:spacing w:after="0" w:line="240" w:lineRule="auto"/>
        <w:contextualSpacing/>
        <w:jc w:val="both"/>
        <w:rPr>
          <w:rFonts w:ascii="Times New Roman" w:eastAsia="Calibri" w:hAnsi="Times New Roman" w:cs="Monotype Koufi"/>
          <w:sz w:val="24"/>
          <w:szCs w:val="42"/>
        </w:rPr>
      </w:pPr>
      <w:r w:rsidRPr="00B14A8D">
        <w:rPr>
          <w:rFonts w:ascii="Times New Roman" w:eastAsia="Calibri" w:hAnsi="Times New Roman" w:cs="Monotype Koufi"/>
          <w:sz w:val="24"/>
          <w:szCs w:val="42"/>
          <w:rtl/>
        </w:rPr>
        <w:t>أهمية</w:t>
      </w:r>
      <w:r w:rsidR="00AF10DA" w:rsidRPr="00B14A8D">
        <w:rPr>
          <w:rFonts w:ascii="Times New Roman" w:eastAsia="Calibri" w:hAnsi="Times New Roman" w:cs="Monotype Koufi"/>
          <w:sz w:val="24"/>
          <w:szCs w:val="42"/>
          <w:rtl/>
        </w:rPr>
        <w:t xml:space="preserve"> </w:t>
      </w:r>
      <w:r w:rsidRPr="00B14A8D">
        <w:rPr>
          <w:rFonts w:ascii="Times New Roman" w:eastAsia="Calibri" w:hAnsi="Times New Roman" w:cs="Monotype Koufi"/>
          <w:sz w:val="24"/>
          <w:szCs w:val="42"/>
          <w:rtl/>
        </w:rPr>
        <w:t>الدراسة</w:t>
      </w:r>
      <w:r w:rsidR="00492136" w:rsidRPr="00B14A8D">
        <w:rPr>
          <w:rFonts w:ascii="Times New Roman" w:eastAsia="Calibri" w:hAnsi="Times New Roman" w:cs="Monotype Koufi"/>
          <w:sz w:val="24"/>
          <w:szCs w:val="42"/>
          <w:rtl/>
        </w:rPr>
        <w:t>.</w:t>
      </w:r>
    </w:p>
    <w:p w14:paraId="5D9530DF" w14:textId="1B306400" w:rsidR="00586478" w:rsidRPr="00B14A8D" w:rsidRDefault="00586478" w:rsidP="00586478">
      <w:pPr>
        <w:numPr>
          <w:ilvl w:val="0"/>
          <w:numId w:val="2"/>
        </w:numPr>
        <w:spacing w:after="0" w:line="240" w:lineRule="auto"/>
        <w:contextualSpacing/>
        <w:jc w:val="both"/>
        <w:rPr>
          <w:rFonts w:ascii="Times New Roman" w:eastAsia="Calibri" w:hAnsi="Times New Roman" w:cs="Monotype Koufi"/>
          <w:sz w:val="24"/>
          <w:szCs w:val="42"/>
        </w:rPr>
      </w:pPr>
      <w:r w:rsidRPr="00B14A8D">
        <w:rPr>
          <w:rFonts w:ascii="Times New Roman" w:eastAsia="Calibri" w:hAnsi="Times New Roman" w:cs="Monotype Koufi"/>
          <w:sz w:val="24"/>
          <w:szCs w:val="42"/>
          <w:rtl/>
        </w:rPr>
        <w:t>أهداف</w:t>
      </w:r>
      <w:r w:rsidR="00AF10DA" w:rsidRPr="00B14A8D">
        <w:rPr>
          <w:rFonts w:ascii="Times New Roman" w:eastAsia="Calibri" w:hAnsi="Times New Roman" w:cs="Monotype Koufi"/>
          <w:sz w:val="24"/>
          <w:szCs w:val="42"/>
          <w:rtl/>
        </w:rPr>
        <w:t xml:space="preserve"> </w:t>
      </w:r>
      <w:r w:rsidRPr="00B14A8D">
        <w:rPr>
          <w:rFonts w:ascii="Times New Roman" w:eastAsia="Calibri" w:hAnsi="Times New Roman" w:cs="Monotype Koufi"/>
          <w:sz w:val="24"/>
          <w:szCs w:val="42"/>
          <w:rtl/>
        </w:rPr>
        <w:t>الدراسة</w:t>
      </w:r>
      <w:r w:rsidR="00492136" w:rsidRPr="00B14A8D">
        <w:rPr>
          <w:rFonts w:ascii="Times New Roman" w:eastAsia="Calibri" w:hAnsi="Times New Roman" w:cs="Monotype Koufi"/>
          <w:sz w:val="24"/>
          <w:szCs w:val="42"/>
          <w:rtl/>
        </w:rPr>
        <w:t>.</w:t>
      </w:r>
    </w:p>
    <w:p w14:paraId="3F80BC6B" w14:textId="23093106" w:rsidR="00586478" w:rsidRPr="00B14A8D" w:rsidRDefault="00586478" w:rsidP="00586478">
      <w:pPr>
        <w:numPr>
          <w:ilvl w:val="0"/>
          <w:numId w:val="2"/>
        </w:numPr>
        <w:spacing w:after="0" w:line="240" w:lineRule="auto"/>
        <w:contextualSpacing/>
        <w:jc w:val="both"/>
        <w:rPr>
          <w:rFonts w:ascii="Times New Roman" w:eastAsia="Calibri" w:hAnsi="Times New Roman" w:cs="Monotype Koufi"/>
          <w:sz w:val="24"/>
          <w:szCs w:val="42"/>
        </w:rPr>
      </w:pPr>
      <w:r w:rsidRPr="00B14A8D">
        <w:rPr>
          <w:rFonts w:ascii="Times New Roman" w:eastAsia="Calibri" w:hAnsi="Times New Roman" w:cs="Monotype Koufi"/>
          <w:sz w:val="24"/>
          <w:szCs w:val="42"/>
          <w:rtl/>
        </w:rPr>
        <w:t>متغيرات</w:t>
      </w:r>
      <w:r w:rsidR="00AF10DA" w:rsidRPr="00B14A8D">
        <w:rPr>
          <w:rFonts w:ascii="Times New Roman" w:eastAsia="Calibri" w:hAnsi="Times New Roman" w:cs="Monotype Koufi"/>
          <w:sz w:val="24"/>
          <w:szCs w:val="42"/>
          <w:rtl/>
        </w:rPr>
        <w:t xml:space="preserve"> </w:t>
      </w:r>
      <w:r w:rsidRPr="00B14A8D">
        <w:rPr>
          <w:rFonts w:ascii="Times New Roman" w:eastAsia="Calibri" w:hAnsi="Times New Roman" w:cs="Monotype Koufi"/>
          <w:sz w:val="24"/>
          <w:szCs w:val="42"/>
          <w:rtl/>
        </w:rPr>
        <w:t>وأبعاد</w:t>
      </w:r>
      <w:r w:rsidR="00AF10DA" w:rsidRPr="00B14A8D">
        <w:rPr>
          <w:rFonts w:ascii="Times New Roman" w:eastAsia="Calibri" w:hAnsi="Times New Roman" w:cs="Monotype Koufi"/>
          <w:sz w:val="24"/>
          <w:szCs w:val="42"/>
          <w:rtl/>
        </w:rPr>
        <w:t xml:space="preserve"> </w:t>
      </w:r>
      <w:r w:rsidRPr="00B14A8D">
        <w:rPr>
          <w:rFonts w:ascii="Times New Roman" w:eastAsia="Calibri" w:hAnsi="Times New Roman" w:cs="Monotype Koufi"/>
          <w:sz w:val="24"/>
          <w:szCs w:val="42"/>
          <w:rtl/>
        </w:rPr>
        <w:t>الدراسة</w:t>
      </w:r>
      <w:r w:rsidR="00492136" w:rsidRPr="00B14A8D">
        <w:rPr>
          <w:rFonts w:ascii="Times New Roman" w:eastAsia="Calibri" w:hAnsi="Times New Roman" w:cs="Monotype Koufi"/>
          <w:sz w:val="24"/>
          <w:szCs w:val="42"/>
          <w:rtl/>
        </w:rPr>
        <w:t>.</w:t>
      </w:r>
    </w:p>
    <w:p w14:paraId="48C933CE" w14:textId="52613C77" w:rsidR="00586478" w:rsidRPr="00B14A8D" w:rsidRDefault="00586478" w:rsidP="00586478">
      <w:pPr>
        <w:numPr>
          <w:ilvl w:val="0"/>
          <w:numId w:val="2"/>
        </w:numPr>
        <w:spacing w:after="0" w:line="240" w:lineRule="auto"/>
        <w:contextualSpacing/>
        <w:jc w:val="both"/>
        <w:rPr>
          <w:rFonts w:ascii="Times New Roman" w:eastAsia="Calibri" w:hAnsi="Times New Roman" w:cs="Monotype Koufi"/>
          <w:sz w:val="24"/>
          <w:szCs w:val="42"/>
        </w:rPr>
      </w:pPr>
      <w:r w:rsidRPr="00B14A8D">
        <w:rPr>
          <w:rFonts w:ascii="Times New Roman" w:eastAsia="Calibri" w:hAnsi="Times New Roman" w:cs="Monotype Koufi"/>
          <w:sz w:val="24"/>
          <w:szCs w:val="42"/>
          <w:rtl/>
        </w:rPr>
        <w:t>فرضيات</w:t>
      </w:r>
      <w:r w:rsidR="00AF10DA" w:rsidRPr="00B14A8D">
        <w:rPr>
          <w:rFonts w:ascii="Times New Roman" w:eastAsia="Calibri" w:hAnsi="Times New Roman" w:cs="Monotype Koufi"/>
          <w:sz w:val="24"/>
          <w:szCs w:val="42"/>
          <w:rtl/>
        </w:rPr>
        <w:t xml:space="preserve"> </w:t>
      </w:r>
      <w:r w:rsidRPr="00B14A8D">
        <w:rPr>
          <w:rFonts w:ascii="Times New Roman" w:eastAsia="Calibri" w:hAnsi="Times New Roman" w:cs="Monotype Koufi"/>
          <w:sz w:val="24"/>
          <w:szCs w:val="42"/>
          <w:rtl/>
        </w:rPr>
        <w:t>الدراسة</w:t>
      </w:r>
      <w:r w:rsidR="00492136" w:rsidRPr="00B14A8D">
        <w:rPr>
          <w:rFonts w:ascii="Times New Roman" w:eastAsia="Calibri" w:hAnsi="Times New Roman" w:cs="Monotype Koufi"/>
          <w:sz w:val="24"/>
          <w:szCs w:val="42"/>
          <w:rtl/>
        </w:rPr>
        <w:t>.</w:t>
      </w:r>
    </w:p>
    <w:p w14:paraId="69D544FE" w14:textId="3E5D5884" w:rsidR="00586478" w:rsidRDefault="00586478" w:rsidP="00586478">
      <w:pPr>
        <w:numPr>
          <w:ilvl w:val="0"/>
          <w:numId w:val="2"/>
        </w:numPr>
        <w:spacing w:after="0" w:line="240" w:lineRule="auto"/>
        <w:contextualSpacing/>
        <w:jc w:val="both"/>
        <w:rPr>
          <w:rFonts w:ascii="Times New Roman" w:eastAsia="Calibri" w:hAnsi="Times New Roman" w:cs="Monotype Koufi"/>
          <w:sz w:val="24"/>
          <w:szCs w:val="42"/>
        </w:rPr>
      </w:pPr>
      <w:r w:rsidRPr="00B14A8D">
        <w:rPr>
          <w:rFonts w:ascii="Times New Roman" w:eastAsia="Calibri" w:hAnsi="Times New Roman" w:cs="Monotype Koufi"/>
          <w:sz w:val="24"/>
          <w:szCs w:val="42"/>
          <w:rtl/>
        </w:rPr>
        <w:t>حدود</w:t>
      </w:r>
      <w:r w:rsidR="00AF10DA" w:rsidRPr="00B14A8D">
        <w:rPr>
          <w:rFonts w:ascii="Times New Roman" w:eastAsia="Calibri" w:hAnsi="Times New Roman" w:cs="Monotype Koufi"/>
          <w:sz w:val="24"/>
          <w:szCs w:val="42"/>
          <w:rtl/>
        </w:rPr>
        <w:t xml:space="preserve"> </w:t>
      </w:r>
      <w:r w:rsidRPr="00B14A8D">
        <w:rPr>
          <w:rFonts w:ascii="Times New Roman" w:eastAsia="Calibri" w:hAnsi="Times New Roman" w:cs="Monotype Koufi"/>
          <w:sz w:val="24"/>
          <w:szCs w:val="42"/>
          <w:rtl/>
        </w:rPr>
        <w:t>الدراسة</w:t>
      </w:r>
      <w:r w:rsidR="00492136" w:rsidRPr="00B14A8D">
        <w:rPr>
          <w:rFonts w:ascii="Times New Roman" w:eastAsia="Calibri" w:hAnsi="Times New Roman" w:cs="Monotype Koufi"/>
          <w:sz w:val="24"/>
          <w:szCs w:val="42"/>
          <w:rtl/>
        </w:rPr>
        <w:t>.</w:t>
      </w:r>
    </w:p>
    <w:p w14:paraId="4FDF2A2C" w14:textId="2B1B03D3" w:rsidR="005C6876" w:rsidRPr="00B14A8D" w:rsidRDefault="005C6876" w:rsidP="00586478">
      <w:pPr>
        <w:numPr>
          <w:ilvl w:val="0"/>
          <w:numId w:val="2"/>
        </w:numPr>
        <w:spacing w:after="0" w:line="240" w:lineRule="auto"/>
        <w:contextualSpacing/>
        <w:jc w:val="both"/>
        <w:rPr>
          <w:rFonts w:ascii="Times New Roman" w:eastAsia="Calibri" w:hAnsi="Times New Roman" w:cs="Monotype Koufi"/>
          <w:sz w:val="24"/>
          <w:szCs w:val="42"/>
        </w:rPr>
      </w:pPr>
      <w:r>
        <w:rPr>
          <w:rFonts w:ascii="Times New Roman" w:eastAsia="Calibri" w:hAnsi="Times New Roman" w:cs="Monotype Koufi" w:hint="cs"/>
          <w:sz w:val="24"/>
          <w:szCs w:val="42"/>
          <w:rtl/>
        </w:rPr>
        <w:t>مصطلحات الدراسة.</w:t>
      </w:r>
    </w:p>
    <w:p w14:paraId="35C4B857" w14:textId="77777777" w:rsidR="00586478" w:rsidRPr="00B14A8D" w:rsidRDefault="00586478" w:rsidP="00586478">
      <w:pPr>
        <w:spacing w:line="257" w:lineRule="auto"/>
        <w:ind w:firstLine="284"/>
        <w:jc w:val="both"/>
        <w:rPr>
          <w:rFonts w:ascii="Times New Roman" w:eastAsia="Calibri" w:hAnsi="Times New Roman" w:cs="Simplified Arabic"/>
          <w:b/>
          <w:bCs/>
          <w:sz w:val="24"/>
          <w:szCs w:val="28"/>
          <w:rtl/>
        </w:rPr>
      </w:pPr>
      <w:r w:rsidRPr="00B14A8D">
        <w:rPr>
          <w:rFonts w:ascii="Times New Roman" w:eastAsia="Calibri" w:hAnsi="Times New Roman" w:cs="Simplified Arabic"/>
          <w:b/>
          <w:bCs/>
          <w:sz w:val="24"/>
          <w:szCs w:val="28"/>
          <w:rtl/>
        </w:rPr>
        <w:br w:type="page"/>
      </w:r>
    </w:p>
    <w:p w14:paraId="56E0A2F1" w14:textId="53B2BA82" w:rsidR="00586478" w:rsidRPr="00B14A8D" w:rsidRDefault="00586478" w:rsidP="00586478">
      <w:pPr>
        <w:spacing w:line="276" w:lineRule="auto"/>
        <w:jc w:val="center"/>
        <w:rPr>
          <w:rFonts w:ascii="Times New Roman" w:eastAsia="Calibri" w:hAnsi="Times New Roman" w:cs="PT Bold Heading"/>
          <w:sz w:val="24"/>
          <w:szCs w:val="32"/>
          <w:rtl/>
        </w:rPr>
      </w:pPr>
      <w:bookmarkStart w:id="2" w:name="_Hlk192448459"/>
      <w:r w:rsidRPr="00B14A8D">
        <w:rPr>
          <w:rFonts w:ascii="Times New Roman" w:eastAsia="Calibri" w:hAnsi="Times New Roman" w:cs="PT Bold Heading"/>
          <w:sz w:val="24"/>
          <w:szCs w:val="32"/>
          <w:rtl/>
        </w:rPr>
        <w:lastRenderedPageBreak/>
        <w:t>الفصل</w:t>
      </w:r>
      <w:r w:rsidR="00AF10DA" w:rsidRPr="00B14A8D">
        <w:rPr>
          <w:rFonts w:ascii="Times New Roman" w:eastAsia="Calibri" w:hAnsi="Times New Roman" w:cs="PT Bold Heading"/>
          <w:sz w:val="24"/>
          <w:szCs w:val="32"/>
          <w:rtl/>
        </w:rPr>
        <w:t xml:space="preserve"> </w:t>
      </w:r>
      <w:r w:rsidRPr="00B14A8D">
        <w:rPr>
          <w:rFonts w:ascii="Times New Roman" w:eastAsia="Calibri" w:hAnsi="Times New Roman" w:cs="PT Bold Heading"/>
          <w:sz w:val="24"/>
          <w:szCs w:val="32"/>
          <w:rtl/>
        </w:rPr>
        <w:t>الأول</w:t>
      </w:r>
    </w:p>
    <w:p w14:paraId="02D7E061" w14:textId="6F2564F0" w:rsidR="00586478" w:rsidRPr="00B14A8D" w:rsidRDefault="00586478" w:rsidP="00586478">
      <w:pPr>
        <w:spacing w:line="276" w:lineRule="auto"/>
        <w:jc w:val="center"/>
        <w:rPr>
          <w:rFonts w:ascii="Times New Roman" w:eastAsia="Calibri" w:hAnsi="Times New Roman" w:cs="PT Bold Heading"/>
          <w:sz w:val="24"/>
          <w:szCs w:val="32"/>
          <w:rtl/>
        </w:rPr>
      </w:pPr>
      <w:r w:rsidRPr="00B14A8D">
        <w:rPr>
          <w:rFonts w:ascii="Times New Roman" w:eastAsia="Calibri" w:hAnsi="Times New Roman" w:cs="PT Bold Heading"/>
          <w:sz w:val="24"/>
          <w:szCs w:val="32"/>
          <w:rtl/>
        </w:rPr>
        <w:t>الإطار</w:t>
      </w:r>
      <w:r w:rsidR="00AF10DA" w:rsidRPr="00B14A8D">
        <w:rPr>
          <w:rFonts w:ascii="Times New Roman" w:eastAsia="Calibri" w:hAnsi="Times New Roman" w:cs="PT Bold Heading"/>
          <w:sz w:val="24"/>
          <w:szCs w:val="32"/>
          <w:rtl/>
        </w:rPr>
        <w:t xml:space="preserve"> </w:t>
      </w:r>
      <w:r w:rsidRPr="00B14A8D">
        <w:rPr>
          <w:rFonts w:ascii="Times New Roman" w:eastAsia="Calibri" w:hAnsi="Times New Roman" w:cs="PT Bold Heading"/>
          <w:sz w:val="24"/>
          <w:szCs w:val="32"/>
          <w:rtl/>
        </w:rPr>
        <w:t>العام</w:t>
      </w:r>
      <w:r w:rsidR="00AF10DA" w:rsidRPr="00B14A8D">
        <w:rPr>
          <w:rFonts w:ascii="Times New Roman" w:eastAsia="Calibri" w:hAnsi="Times New Roman" w:cs="PT Bold Heading"/>
          <w:sz w:val="24"/>
          <w:szCs w:val="32"/>
          <w:rtl/>
        </w:rPr>
        <w:t xml:space="preserve"> </w:t>
      </w:r>
      <w:r w:rsidRPr="00B14A8D">
        <w:rPr>
          <w:rFonts w:ascii="Times New Roman" w:eastAsia="Calibri" w:hAnsi="Times New Roman" w:cs="PT Bold Heading"/>
          <w:sz w:val="24"/>
          <w:szCs w:val="32"/>
          <w:rtl/>
        </w:rPr>
        <w:t>للدراسة</w:t>
      </w:r>
    </w:p>
    <w:p w14:paraId="2D804898" w14:textId="77777777" w:rsidR="00B14A8D" w:rsidRPr="00B14A8D" w:rsidRDefault="00B14A8D" w:rsidP="00586478">
      <w:pPr>
        <w:spacing w:after="240" w:line="276" w:lineRule="auto"/>
        <w:ind w:firstLine="510"/>
        <w:jc w:val="both"/>
        <w:rPr>
          <w:rFonts w:ascii="Times New Roman" w:eastAsia="Calibri" w:hAnsi="Times New Roman" w:cs="Simplified Arabic"/>
          <w:b/>
          <w:bCs/>
          <w:sz w:val="6"/>
          <w:szCs w:val="10"/>
          <w:rtl/>
        </w:rPr>
      </w:pPr>
    </w:p>
    <w:p w14:paraId="2EC7A123" w14:textId="67FE9AAA" w:rsidR="00586478" w:rsidRPr="00B14A8D" w:rsidRDefault="00586478" w:rsidP="00586478">
      <w:pPr>
        <w:spacing w:after="240" w:line="276" w:lineRule="auto"/>
        <w:ind w:firstLine="510"/>
        <w:jc w:val="both"/>
        <w:rPr>
          <w:rFonts w:ascii="Times New Roman" w:eastAsia="Calibri" w:hAnsi="Times New Roman" w:cs="Simplified Arabic"/>
          <w:b/>
          <w:bCs/>
          <w:sz w:val="24"/>
          <w:szCs w:val="28"/>
          <w:rtl/>
        </w:rPr>
      </w:pPr>
      <w:r w:rsidRPr="00B14A8D">
        <w:rPr>
          <w:rFonts w:ascii="Times New Roman" w:eastAsia="Calibri" w:hAnsi="Times New Roman" w:cs="Simplified Arabic"/>
          <w:b/>
          <w:bCs/>
          <w:sz w:val="24"/>
          <w:szCs w:val="28"/>
          <w:rtl/>
        </w:rPr>
        <w:t>تمهيد</w:t>
      </w:r>
    </w:p>
    <w:p w14:paraId="20B31858"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يُقدم هذا الفصل إطاراً مفاهيمياً متكاملاً يحدد مساراتها وأبعادها. حيث يبدأ الفصل بمقدمة تؤسس للسياق العام الذي تندرج ضمنه الدراسة، ثم ينتقل لتحديد المشكلة البحثية التي تسعى لمعالجتها وصياغة تساؤلاتها المحورية. كما يستعرض الفصل أهداف الدراسة وأهميتها على الصعيدين العلمي والعملي، ويوضح حدودها ومجالاتها، ويختتم بعرض لمصطلحاتها الرئيسية.</w:t>
      </w:r>
    </w:p>
    <w:p w14:paraId="11B9A231"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Pr>
        <w:t>1</w:t>
      </w:r>
      <w:r w:rsidRPr="00B14A8D">
        <w:rPr>
          <w:rFonts w:ascii="Times New Roman" w:eastAsia="Calibri" w:hAnsi="Times New Roman" w:cs="Simplified Arabic"/>
          <w:b/>
          <w:bCs/>
          <w:sz w:val="24"/>
          <w:szCs w:val="28"/>
          <w:rtl/>
        </w:rPr>
        <w:t>. المقدمة</w:t>
      </w:r>
    </w:p>
    <w:p w14:paraId="198FEA73"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 xml:space="preserve">يشهد العالم المعاصر تحولات متسارعة تفرض على المنظمات تحديات غير مسبوقة، لا سيما تلك المتعلقة بالاستدامة البيئية. فمع تزايد حدة القضايا البيئية العالمية، مثل: التغير المناخي واستنزاف الموارد الطبيعية، لم يُعد تجاهل البعد البيئي في ممارسات الأعمال خياراً ممكناً. </w:t>
      </w:r>
    </w:p>
    <w:p w14:paraId="4121FD8B"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وفي هذا السياق، برز مفهوم "الأداء التنظيمي الأخضر" كغاية استراتيجية تسعى المنظمات إلى تحقيقها، ليس فقط امتثالاً للتشريعات، بل أيضاً كمصدر للميزة التنافسية المستدامة (</w:t>
      </w:r>
      <w:r w:rsidRPr="00B14A8D">
        <w:rPr>
          <w:rFonts w:ascii="Times New Roman" w:eastAsia="Calibri" w:hAnsi="Times New Roman" w:cs="Simplified Arabic"/>
          <w:sz w:val="24"/>
          <w:szCs w:val="28"/>
        </w:rPr>
        <w:t>Singh et al., 2020, p. 3</w:t>
      </w:r>
      <w:r w:rsidRPr="00B14A8D">
        <w:rPr>
          <w:rFonts w:ascii="Times New Roman" w:eastAsia="Calibri" w:hAnsi="Times New Roman" w:cs="Simplified Arabic"/>
          <w:sz w:val="24"/>
          <w:szCs w:val="28"/>
          <w:rtl/>
        </w:rPr>
        <w:t>). إذ يُعد الأداء التنظيمي الأخضر مقياساً لمدى نجاح المنظمة في دمج الاهتمامات البيئية ضمن عملياتها التشغيلية وقراراتها الاستراتيجية، بما يؤدي إلى تحسين كفاءة استخدام الموارد وتقليل التأثيرات السلبية على البيئة (</w:t>
      </w:r>
      <w:r w:rsidRPr="00B14A8D">
        <w:rPr>
          <w:rFonts w:ascii="Times New Roman" w:eastAsia="Calibri" w:hAnsi="Times New Roman" w:cs="Simplified Arabic"/>
          <w:sz w:val="24"/>
          <w:szCs w:val="28"/>
        </w:rPr>
        <w:t>Hou et al., 2023, p. 2</w:t>
      </w:r>
      <w:r w:rsidRPr="00B14A8D">
        <w:rPr>
          <w:rFonts w:ascii="Times New Roman" w:eastAsia="Calibri" w:hAnsi="Times New Roman" w:cs="Simplified Arabic"/>
          <w:sz w:val="24"/>
          <w:szCs w:val="28"/>
          <w:rtl/>
        </w:rPr>
        <w:t>). وبالتالي، فإن سعي المنظمات نحو تحقيق أداء أخضر متميز لا يُسهم في حماية النظم البيئية فحسب، بل يعزز أيضاً من سمعتها المؤسسية وقدرتها على الابتكار وجذب الاستثمارات المسؤولة (</w:t>
      </w:r>
      <w:r w:rsidRPr="00B14A8D">
        <w:rPr>
          <w:rFonts w:ascii="Times New Roman" w:eastAsia="Calibri" w:hAnsi="Times New Roman" w:cs="Simplified Arabic"/>
          <w:sz w:val="24"/>
          <w:szCs w:val="28"/>
        </w:rPr>
        <w:t>Anwar et al., 2024, p. 4</w:t>
      </w:r>
      <w:r w:rsidRPr="00B14A8D">
        <w:rPr>
          <w:rFonts w:ascii="Times New Roman" w:eastAsia="Calibri" w:hAnsi="Times New Roman" w:cs="Simplified Arabic"/>
          <w:sz w:val="24"/>
          <w:szCs w:val="28"/>
          <w:rtl/>
        </w:rPr>
        <w:t>).</w:t>
      </w:r>
    </w:p>
    <w:p w14:paraId="50088713"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بيد أن تحقيق هذا المستوى المتقدم من الأداء البيئي يتطلب وجود قوة دافعة وموجهة داخل المنظمة، قادرة على غرس ثقافة الاستدامة وتوجيه الجهود نحو الأهداف الخضراء. وهنا، يبرز الدور المحوري الذي تؤديه "القيادة المستدامة". فهذا النمط القيادي، الذي يتجاوز الأهداف المالية قصيرة الأجل، يرتكز على رؤية شمولية توازن بين الأبعاد الاقتصادية والاجتماعية والبيئية (</w:t>
      </w:r>
      <w:r w:rsidRPr="00B14A8D">
        <w:rPr>
          <w:rFonts w:ascii="Times New Roman" w:eastAsia="Calibri" w:hAnsi="Times New Roman" w:cs="Simplified Arabic"/>
          <w:sz w:val="24"/>
          <w:szCs w:val="28"/>
        </w:rPr>
        <w:t xml:space="preserve">Iqbal et al., </w:t>
      </w:r>
      <w:r w:rsidRPr="00B14A8D">
        <w:rPr>
          <w:rFonts w:ascii="Times New Roman" w:eastAsia="Calibri" w:hAnsi="Times New Roman" w:cs="Simplified Arabic"/>
          <w:sz w:val="24"/>
          <w:szCs w:val="28"/>
        </w:rPr>
        <w:lastRenderedPageBreak/>
        <w:t>2023, p. 11854</w:t>
      </w:r>
      <w:r w:rsidRPr="00B14A8D">
        <w:rPr>
          <w:rFonts w:ascii="Times New Roman" w:eastAsia="Calibri" w:hAnsi="Times New Roman" w:cs="Simplified Arabic"/>
          <w:sz w:val="24"/>
          <w:szCs w:val="28"/>
          <w:rtl/>
        </w:rPr>
        <w:t>). فالقائد المستدام هو من يمتلك رؤية طويلة الأمد، ويلتزم بالمسؤولية الأخلاقية تجاه جميع أصحاب المصلحة، ويعمل على تمكين الموظفين وتحفيزهم لتبني سلوكيات عمل صديقة للبيئة (</w:t>
      </w:r>
      <w:r w:rsidRPr="00B14A8D">
        <w:rPr>
          <w:rFonts w:ascii="Times New Roman" w:eastAsia="Calibri" w:hAnsi="Times New Roman" w:cs="Simplified Arabic"/>
          <w:sz w:val="24"/>
          <w:szCs w:val="28"/>
        </w:rPr>
        <w:t>Nisar et al., 2025, p. 508</w:t>
      </w:r>
      <w:r w:rsidRPr="00B14A8D">
        <w:rPr>
          <w:rFonts w:ascii="Times New Roman" w:eastAsia="Calibri" w:hAnsi="Times New Roman" w:cs="Simplified Arabic"/>
          <w:sz w:val="24"/>
          <w:szCs w:val="28"/>
          <w:rtl/>
        </w:rPr>
        <w:t xml:space="preserve">). </w:t>
      </w:r>
    </w:p>
    <w:p w14:paraId="7232CBFA" w14:textId="198B9877" w:rsidR="00B14A8D" w:rsidRPr="00B14A8D" w:rsidRDefault="00B14A8D" w:rsidP="005C6876">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 xml:space="preserve">وبهذا الصدد، تشير الأدبيات </w:t>
      </w:r>
      <w:r w:rsidR="005C6876">
        <w:rPr>
          <w:rFonts w:ascii="Times New Roman" w:eastAsia="Calibri" w:hAnsi="Times New Roman" w:cs="Simplified Arabic" w:hint="cs"/>
          <w:sz w:val="24"/>
          <w:szCs w:val="28"/>
          <w:rtl/>
        </w:rPr>
        <w:t xml:space="preserve">مثل: </w:t>
      </w:r>
      <w:r w:rsidR="005C6876" w:rsidRPr="00B14A8D">
        <w:rPr>
          <w:rFonts w:ascii="Times New Roman" w:eastAsia="Calibri" w:hAnsi="Times New Roman" w:cs="Simplified Arabic"/>
          <w:sz w:val="24"/>
          <w:szCs w:val="28"/>
          <w:rtl/>
        </w:rPr>
        <w:t xml:space="preserve">(عيسى، 2023، ص. 135؛ </w:t>
      </w:r>
      <w:proofErr w:type="spellStart"/>
      <w:r w:rsidR="005C6876" w:rsidRPr="00B14A8D">
        <w:rPr>
          <w:rFonts w:ascii="Times New Roman" w:eastAsia="Calibri" w:hAnsi="Times New Roman" w:cs="Simplified Arabic"/>
          <w:sz w:val="24"/>
          <w:szCs w:val="28"/>
        </w:rPr>
        <w:t>Tuzcu</w:t>
      </w:r>
      <w:proofErr w:type="spellEnd"/>
      <w:r w:rsidR="005C6876" w:rsidRPr="00B14A8D">
        <w:rPr>
          <w:rFonts w:ascii="Times New Roman" w:eastAsia="Calibri" w:hAnsi="Times New Roman" w:cs="Simplified Arabic"/>
          <w:sz w:val="24"/>
          <w:szCs w:val="28"/>
        </w:rPr>
        <w:t xml:space="preserve"> et al., 2024, p. 4992</w:t>
      </w:r>
      <w:r w:rsidR="005C6876" w:rsidRPr="00B14A8D">
        <w:rPr>
          <w:rFonts w:ascii="Times New Roman" w:eastAsia="Calibri" w:hAnsi="Times New Roman" w:cs="Simplified Arabic"/>
          <w:sz w:val="24"/>
          <w:szCs w:val="28"/>
          <w:rtl/>
        </w:rPr>
        <w:t>)</w:t>
      </w:r>
      <w:r w:rsidR="005C6876">
        <w:rPr>
          <w:rFonts w:ascii="Times New Roman" w:eastAsia="Calibri" w:hAnsi="Times New Roman" w:cs="Simplified Arabic" w:hint="cs"/>
          <w:sz w:val="24"/>
          <w:szCs w:val="28"/>
          <w:rtl/>
        </w:rPr>
        <w:t xml:space="preserve"> </w:t>
      </w:r>
      <w:r w:rsidRPr="00B14A8D">
        <w:rPr>
          <w:rFonts w:ascii="Times New Roman" w:eastAsia="Calibri" w:hAnsi="Times New Roman" w:cs="Simplified Arabic"/>
          <w:sz w:val="24"/>
          <w:szCs w:val="28"/>
          <w:rtl/>
        </w:rPr>
        <w:t>إلى أن القيادة المستدامة تُعد المحفز الرئيسي لتبني الممارسات الخضراء، بدءاً من إدارة الموارد البشرية وصولاً إلى الابتكار في العمليات والمنتجات</w:t>
      </w:r>
      <w:r w:rsidR="005C6876">
        <w:rPr>
          <w:rFonts w:ascii="Times New Roman" w:eastAsia="Calibri" w:hAnsi="Times New Roman" w:cs="Simplified Arabic" w:hint="cs"/>
          <w:sz w:val="24"/>
          <w:szCs w:val="28"/>
          <w:rtl/>
        </w:rPr>
        <w:t>.</w:t>
      </w:r>
    </w:p>
    <w:p w14:paraId="21C81B20" w14:textId="0E2A8173" w:rsidR="00B14A8D" w:rsidRPr="00B14A8D" w:rsidRDefault="005C6876" w:rsidP="00B14A8D">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وبشكل عام، تكتسب </w:t>
      </w:r>
      <w:r w:rsidR="00B14A8D" w:rsidRPr="00B14A8D">
        <w:rPr>
          <w:rFonts w:ascii="Times New Roman" w:eastAsia="Calibri" w:hAnsi="Times New Roman" w:cs="Simplified Arabic"/>
          <w:sz w:val="24"/>
          <w:szCs w:val="28"/>
          <w:rtl/>
        </w:rPr>
        <w:t>العلاقة التكاملية بين القيادة المستدامة والأداء التنظيمي الأخضر أهمية خاصة في القطاعات ذات الأثر البيئي الملموس، ومن أبرزها قطاع المقاولات. وفي سياق الجمهورية اليمنية، يواجه هذا القطاع تحديات مزدوجة؛ فمن جهة، هناك حاجة ملحة لعمليات إعادة الإعمار والتنمية، ومن جهة أخرى، تبرز ضرورة أن تتم هذه العمليات وفق أسس مستدامة تضمن عدم تفاقم المشكلات البيئية القائمة. إذ إن شركات المقاولات، بحكم طبيعة أنشطتها التي تعتمد على استهلاك الموارد الطبيعية وتوليد كميات كبيرة من النفايات، تقع في قلب معادلة الاستدامة. وعليه، فإن تبني قيادات هذه الشركات لمنهج مستدام لم يُعد ترفاً فكرياً، بل ضرورة استراتيجية لضمان بقائها ونموها والمساهمة في تحقيق تنمية وطنية متوازنة.</w:t>
      </w:r>
    </w:p>
    <w:p w14:paraId="14C56448"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وانطلاقاً مما سبق، تسعى هذه الدراسة إلى استكشاف وفحص طبيعة الدور الذي تؤديه القيادة المستدامة بأبعادها المختلفة في تعزيز الأداء التنظيمي الأخضر لدى شركات المقاولات اليمنية. كما تتطلع إلى تقديم رؤى علمية وعملية حول كيفية تمكين هذه الشركات من التحول نحو ممارسات أكثر استدامة، من خلال تسليط الضوء على الممارسات القيادية التي تُعد الأكثر تأثيراً في تحقيق هذا التحول المنشود، بما يخدم أهداف القطاع والمجتمع على حد سواء.</w:t>
      </w:r>
    </w:p>
    <w:p w14:paraId="73A4E6D5"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tl/>
        </w:rPr>
      </w:pPr>
      <w:r w:rsidRPr="00B14A8D">
        <w:rPr>
          <w:rFonts w:ascii="Times New Roman" w:eastAsia="Calibri" w:hAnsi="Times New Roman" w:cs="Simplified Arabic"/>
          <w:b/>
          <w:bCs/>
          <w:sz w:val="24"/>
          <w:szCs w:val="28"/>
          <w:rtl/>
        </w:rPr>
        <w:t>2. مشكلة الدراسة</w:t>
      </w:r>
    </w:p>
    <w:p w14:paraId="183880ED"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 xml:space="preserve">ينبثق الاهتمام بموضوع هذه الدراسة من خلال استشعار وجود فجوة بين ما هو مأمول وما هو قائم في ممارسات قطاع المقاولات اليمني. فعلى الرغم من الأهمية الحيوية لهذا القطاع في عملية التنمية وإعادة الإعمار، إلاّ أن الملاحظة الأولية واستقراء واقع الحال يشيران إلى أن تركيز معظم شركاته لا يزال منصباً على الأبعاد التشغيلية والاقتصادية التقليدية، مع اهتمام محدود نسبياً </w:t>
      </w:r>
      <w:r w:rsidRPr="00B14A8D">
        <w:rPr>
          <w:rFonts w:ascii="Times New Roman" w:eastAsia="Calibri" w:hAnsi="Times New Roman" w:cs="Simplified Arabic"/>
          <w:sz w:val="24"/>
          <w:szCs w:val="28"/>
          <w:rtl/>
        </w:rPr>
        <w:lastRenderedPageBreak/>
        <w:t>بدمج اعتبارات الاستدامة البيئية في استراتيجياتها وأنشطتها اليومية. وتتجلى هذه الإشكالية في عدة مظاهر، منها: الهدر الملحوظ في مواد البناء، وضعف أنظمة إدارة النفايات في مواقع المشاريع، ومحدودية اللجوء إلى التقنيات والمواد الصديقة للبيئة.</w:t>
      </w:r>
    </w:p>
    <w:p w14:paraId="4AB6CE34"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وقد يعود هذا القصور، في جزء كبير منه، إلى غياب أو ضعف تبني أنماط قيادية حديثة قادرة على استيعاب مفاهيم الاستدامة وتوجيه المنظمة نحوها. ففي ظل الظروف الاقتصادية الصعبة التي تمر بها البلاد، قد تنظر القيادات إلى الممارسات الخضراء على أنها تكاليف إضافية وليست استثماراً طويل الأمد، وهو ما يعكس غياب الرؤية الاستراتيجية المستدامة التي تؤكد عليها دراسات عدة (</w:t>
      </w:r>
      <w:proofErr w:type="spellStart"/>
      <w:r w:rsidRPr="00B14A8D">
        <w:rPr>
          <w:rFonts w:ascii="Times New Roman" w:eastAsia="Calibri" w:hAnsi="Times New Roman" w:cs="Simplified Arabic"/>
          <w:sz w:val="24"/>
          <w:szCs w:val="28"/>
          <w:rtl/>
        </w:rPr>
        <w:t>الحدراوي</w:t>
      </w:r>
      <w:proofErr w:type="spellEnd"/>
      <w:r w:rsidRPr="00B14A8D">
        <w:rPr>
          <w:rFonts w:ascii="Times New Roman" w:eastAsia="Calibri" w:hAnsi="Times New Roman" w:cs="Simplified Arabic"/>
          <w:sz w:val="24"/>
          <w:szCs w:val="28"/>
          <w:rtl/>
        </w:rPr>
        <w:t xml:space="preserve">، 2018، ص. 195؛ </w:t>
      </w:r>
      <w:r w:rsidRPr="00B14A8D">
        <w:rPr>
          <w:rFonts w:ascii="Times New Roman" w:eastAsia="Calibri" w:hAnsi="Times New Roman" w:cs="Simplified Arabic"/>
          <w:sz w:val="24"/>
          <w:szCs w:val="28"/>
        </w:rPr>
        <w:t>García-Morales et al., 2024, p. 1235</w:t>
      </w:r>
      <w:r w:rsidRPr="00B14A8D">
        <w:rPr>
          <w:rFonts w:ascii="Times New Roman" w:eastAsia="Calibri" w:hAnsi="Times New Roman" w:cs="Simplified Arabic"/>
          <w:sz w:val="24"/>
          <w:szCs w:val="28"/>
          <w:rtl/>
        </w:rPr>
        <w:t>).</w:t>
      </w:r>
    </w:p>
    <w:p w14:paraId="62116D04"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 xml:space="preserve">وتكتسب هذه المشكلة البحثية أبعاداً أعمق عند مراجعة الأدبيات ذات الصلة، حيث يتضح وجود ندرة في الدراسات التجريبية التي تناولت العلاقة بين القيادة المستدامة والأداء الأخضر في سياق الدول النامية بشكل عام، والبيئة اليمنية على وجه الخصوص. ففي حين ركزت دراسات محلية على موضوعات القيادة في قطاعات أخرى كالتعليم العالي (علي، 2022؛ </w:t>
      </w:r>
      <w:proofErr w:type="spellStart"/>
      <w:r w:rsidRPr="00B14A8D">
        <w:rPr>
          <w:rFonts w:ascii="Times New Roman" w:eastAsia="Calibri" w:hAnsi="Times New Roman" w:cs="Simplified Arabic"/>
          <w:sz w:val="24"/>
          <w:szCs w:val="28"/>
          <w:rtl/>
        </w:rPr>
        <w:t>العوش</w:t>
      </w:r>
      <w:proofErr w:type="spellEnd"/>
      <w:r w:rsidRPr="00B14A8D">
        <w:rPr>
          <w:rFonts w:ascii="Times New Roman" w:eastAsia="Calibri" w:hAnsi="Times New Roman" w:cs="Simplified Arabic"/>
          <w:sz w:val="24"/>
          <w:szCs w:val="28"/>
          <w:rtl/>
        </w:rPr>
        <w:t>، 2023) أو تناولت الاستدامة بشكل عام (</w:t>
      </w:r>
      <w:proofErr w:type="spellStart"/>
      <w:r w:rsidRPr="00B14A8D">
        <w:rPr>
          <w:rFonts w:ascii="Times New Roman" w:eastAsia="Calibri" w:hAnsi="Times New Roman" w:cs="Simplified Arabic"/>
          <w:sz w:val="24"/>
          <w:szCs w:val="28"/>
          <w:rtl/>
        </w:rPr>
        <w:t>أبوشرخ</w:t>
      </w:r>
      <w:proofErr w:type="spellEnd"/>
      <w:r w:rsidRPr="00B14A8D">
        <w:rPr>
          <w:rFonts w:ascii="Times New Roman" w:eastAsia="Calibri" w:hAnsi="Times New Roman" w:cs="Simplified Arabic"/>
          <w:sz w:val="24"/>
          <w:szCs w:val="28"/>
          <w:rtl/>
        </w:rPr>
        <w:t>، 2023)، لم يتم تخصيص دراسة معمقة -حسب اطلاع الباحث- لفحص دور القيادة المستدامة كمتغير مستقل ومحوري في دفع عجلة الأداء الأخضر ضمن قطاع المقاولات اليمني، الذي يُعد من أكثر القطاعات تأثيراً على البيئة.</w:t>
      </w:r>
    </w:p>
    <w:p w14:paraId="51902145"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وعليه، فإن الفجوة المعرفية تتمثل في عدم وجود فهم واضح لطبيعة ممارسات القيادة المستدامة السائدة في هذا القطاع، ومدى تأثير هذه الممارسات، إن وجدت، على تبني سلوكيات تنظيمية خضراء. لذا، تأتي هذه الدراسة كمحاولة علمية منظمة لسد هذه الفجوة، من خلال تشخيص واقع المتغيرين وقياس طبيعة العلاقة بينهما، وتقديم إطار عملي يمكن أن يساعد صناع القرار وقادة شركات المقاولات على فهم المتطلبات القيادية اللازمة لتحقيق التحول نحو الاستدامة.</w:t>
      </w:r>
    </w:p>
    <w:p w14:paraId="215946B5"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Pr>
        <w:t>3</w:t>
      </w:r>
      <w:r w:rsidRPr="00B14A8D">
        <w:rPr>
          <w:rFonts w:ascii="Times New Roman" w:eastAsia="Calibri" w:hAnsi="Times New Roman" w:cs="Simplified Arabic"/>
          <w:b/>
          <w:bCs/>
          <w:sz w:val="24"/>
          <w:szCs w:val="28"/>
          <w:rtl/>
        </w:rPr>
        <w:t>. تساؤلات الدراسة</w:t>
      </w:r>
    </w:p>
    <w:p w14:paraId="78FA6425"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 xml:space="preserve">بناءً على مشكلة الدراسة وطبيعتها، يسعى الباحث إلى الإجابة عن </w:t>
      </w:r>
      <w:r w:rsidRPr="00B14A8D">
        <w:rPr>
          <w:rFonts w:ascii="Times New Roman" w:eastAsia="Calibri" w:hAnsi="Times New Roman" w:cs="Simplified Arabic"/>
          <w:b/>
          <w:bCs/>
          <w:sz w:val="24"/>
          <w:szCs w:val="28"/>
          <w:rtl/>
        </w:rPr>
        <w:t>التساؤل الرئيس</w:t>
      </w:r>
      <w:r w:rsidRPr="00B14A8D">
        <w:rPr>
          <w:rFonts w:ascii="Times New Roman" w:eastAsia="Calibri" w:hAnsi="Times New Roman" w:cs="Simplified Arabic"/>
          <w:sz w:val="24"/>
          <w:szCs w:val="28"/>
          <w:rtl/>
        </w:rPr>
        <w:t xml:space="preserve"> الآتي:</w:t>
      </w:r>
    </w:p>
    <w:p w14:paraId="38E0C9D7" w14:textId="77777777" w:rsidR="00B14A8D" w:rsidRPr="00B14A8D" w:rsidRDefault="00B14A8D" w:rsidP="00B14A8D">
      <w:pPr>
        <w:numPr>
          <w:ilvl w:val="0"/>
          <w:numId w:val="49"/>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ما دور القيادة المستدامة في تعزيز الأداء التنظيمي الأخضر لدى شركات المقاولات اليمنية؟</w:t>
      </w:r>
    </w:p>
    <w:p w14:paraId="22AC1440"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lastRenderedPageBreak/>
        <w:t xml:space="preserve">ويتفرع من هذا التساؤل الرئيس </w:t>
      </w:r>
      <w:r w:rsidRPr="00B14A8D">
        <w:rPr>
          <w:rFonts w:ascii="Times New Roman" w:eastAsia="Calibri" w:hAnsi="Times New Roman" w:cs="Simplified Arabic"/>
          <w:b/>
          <w:bCs/>
          <w:sz w:val="24"/>
          <w:szCs w:val="28"/>
          <w:rtl/>
        </w:rPr>
        <w:t>التساؤلات الفرعية</w:t>
      </w:r>
      <w:r w:rsidRPr="00B14A8D">
        <w:rPr>
          <w:rFonts w:ascii="Times New Roman" w:eastAsia="Calibri" w:hAnsi="Times New Roman" w:cs="Simplified Arabic"/>
          <w:sz w:val="24"/>
          <w:szCs w:val="28"/>
          <w:rtl/>
        </w:rPr>
        <w:t xml:space="preserve"> الآتية:</w:t>
      </w:r>
    </w:p>
    <w:p w14:paraId="3E91983E" w14:textId="77777777" w:rsidR="00B14A8D" w:rsidRPr="00B14A8D" w:rsidRDefault="00B14A8D" w:rsidP="00B14A8D">
      <w:pPr>
        <w:numPr>
          <w:ilvl w:val="0"/>
          <w:numId w:val="50"/>
        </w:numPr>
        <w:spacing w:after="240" w:line="276" w:lineRule="auto"/>
        <w:jc w:val="both"/>
        <w:rPr>
          <w:rFonts w:ascii="Times New Roman" w:eastAsia="Calibri" w:hAnsi="Times New Roman" w:cs="Simplified Arabic"/>
          <w:sz w:val="24"/>
          <w:szCs w:val="28"/>
        </w:rPr>
      </w:pPr>
      <w:bookmarkStart w:id="3" w:name="_Hlk208518288"/>
      <w:r w:rsidRPr="00B14A8D">
        <w:rPr>
          <w:rFonts w:ascii="Times New Roman" w:eastAsia="Calibri" w:hAnsi="Times New Roman" w:cs="Simplified Arabic"/>
          <w:sz w:val="24"/>
          <w:szCs w:val="28"/>
          <w:rtl/>
        </w:rPr>
        <w:t>ما واقع ممارسة أبعاد القيادة المستدامة (الرؤية طويلة الأمد، المسؤولية البيئية، المسؤولية الاجتماعية والأخلاقية، تنمية وتمكين الموظفين، إشراك أصحاب المصلحة، الابتكار والجودة) في شركات المقاولات اليمنية من وجهة نظر عينة الدراسة؟</w:t>
      </w:r>
    </w:p>
    <w:p w14:paraId="728A56D1" w14:textId="77777777" w:rsidR="00B14A8D" w:rsidRPr="00B14A8D" w:rsidRDefault="00B14A8D" w:rsidP="00B14A8D">
      <w:pPr>
        <w:numPr>
          <w:ilvl w:val="0"/>
          <w:numId w:val="5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ما مستوى الأداء التنظيمي الأخضر بأبعاده (كفاءة العمليات الخضراء، إدارة النفايات وإعادة التدوير، الابتكار في المنتجات والخدمات الخضراء، الصورة البيئية والسمعة الخضراء، الامتثال والتوافق البيئي) في شركات المقاولات اليمنية من وجهة نظر عينة الدراسة؟</w:t>
      </w:r>
    </w:p>
    <w:p w14:paraId="40317707" w14:textId="77777777" w:rsidR="00B14A8D" w:rsidRPr="00B14A8D" w:rsidRDefault="00B14A8D" w:rsidP="00B14A8D">
      <w:pPr>
        <w:numPr>
          <w:ilvl w:val="0"/>
          <w:numId w:val="5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 xml:space="preserve">هل توجد علاقة ذات دلالة إحصائية عند مستوى دلالة </w:t>
      </w:r>
      <w:r w:rsidRPr="00B14A8D">
        <w:rPr>
          <w:rFonts w:ascii="Times New Roman" w:eastAsia="Calibri" w:hAnsi="Times New Roman" w:cs="Simplified Arabic"/>
          <w:sz w:val="24"/>
          <w:szCs w:val="28"/>
        </w:rPr>
        <w:t>(α ≤ 0.05)</w:t>
      </w:r>
      <w:r w:rsidRPr="00B14A8D">
        <w:rPr>
          <w:rFonts w:ascii="Times New Roman" w:eastAsia="Calibri" w:hAnsi="Times New Roman" w:cs="Simplified Arabic"/>
          <w:sz w:val="24"/>
          <w:szCs w:val="28"/>
          <w:rtl/>
        </w:rPr>
        <w:t xml:space="preserve"> بين القيادة المستدامة بأبعادها مجتمعة والأداء التنظيمي الأخضر في شركات المقاولات اليمنية؟</w:t>
      </w:r>
    </w:p>
    <w:p w14:paraId="44B01EFC" w14:textId="77777777" w:rsidR="00B14A8D" w:rsidRPr="00B14A8D" w:rsidRDefault="00B14A8D" w:rsidP="00B14A8D">
      <w:pPr>
        <w:numPr>
          <w:ilvl w:val="0"/>
          <w:numId w:val="5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ما دور أبعاد القيادة المستدامة (مجتمعة ومنفردة) في الأداء التنظيمي الأخضر لدى شركات المقاولات اليمنية؟</w:t>
      </w:r>
    </w:p>
    <w:bookmarkEnd w:id="3"/>
    <w:p w14:paraId="33A1826A"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Pr>
        <w:t>4</w:t>
      </w:r>
      <w:r w:rsidRPr="00B14A8D">
        <w:rPr>
          <w:rFonts w:ascii="Times New Roman" w:eastAsia="Calibri" w:hAnsi="Times New Roman" w:cs="Simplified Arabic"/>
          <w:b/>
          <w:bCs/>
          <w:sz w:val="24"/>
          <w:szCs w:val="28"/>
          <w:rtl/>
        </w:rPr>
        <w:t>. أهمية الدراسة</w:t>
      </w:r>
    </w:p>
    <w:p w14:paraId="5614E051"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تستمد هذه الدراسة أهميتها من طبيعة موضوعها والسياق الذي تتناوله، ويمكن إبراز هذه الأهمية من خلال الجوانب الآتية:</w:t>
      </w:r>
    </w:p>
    <w:p w14:paraId="79EE6C06"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tl/>
        </w:rPr>
        <w:t>أ) الأهمية العلمية (النظرية):</w:t>
      </w:r>
    </w:p>
    <w:p w14:paraId="4AB311E6" w14:textId="77777777" w:rsidR="00B14A8D" w:rsidRPr="00B14A8D" w:rsidRDefault="00B14A8D" w:rsidP="00B14A8D">
      <w:pPr>
        <w:numPr>
          <w:ilvl w:val="0"/>
          <w:numId w:val="51"/>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تُسهم في إثراء الأدب النظري العربي المتعلق بالقيادة المستدامة والأداء الأخضر، خاصة في ظل ندرة الدراسات التي ربطت بين هذين المفهومين في السياق اليمني والعربي عموماً.</w:t>
      </w:r>
    </w:p>
    <w:p w14:paraId="52C277CD" w14:textId="77777777" w:rsidR="00B14A8D" w:rsidRPr="00B14A8D" w:rsidRDefault="00B14A8D" w:rsidP="00B14A8D">
      <w:pPr>
        <w:numPr>
          <w:ilvl w:val="0"/>
          <w:numId w:val="51"/>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تقدم إطاراً مفاهيمياً متكاملاً يوضح طبيعة العلاقة وآليات التأثير بين أبعاد القيادة المستدامة وأبعاد الأداء التنظيمي الأخضر، مما يفتح آفاقاً لبحوث مستقبلية.</w:t>
      </w:r>
    </w:p>
    <w:p w14:paraId="097AC5BF" w14:textId="77777777" w:rsidR="00B14A8D" w:rsidRPr="00B14A8D" w:rsidRDefault="00B14A8D" w:rsidP="00B14A8D">
      <w:pPr>
        <w:numPr>
          <w:ilvl w:val="0"/>
          <w:numId w:val="51"/>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توفر بيانات تجريبية من بيئة عمل ذات خصوصية (قطاع المقاولات في دولة نامية)، وهو ما يعزز من تعميم نتائج النظريات الإدارية الحديثة واختبار صلاحيتها في سياقات مختلفة.</w:t>
      </w:r>
    </w:p>
    <w:p w14:paraId="4600F4CC" w14:textId="77777777" w:rsidR="00B14A8D" w:rsidRPr="00B14A8D" w:rsidRDefault="00B14A8D" w:rsidP="00B14A8D">
      <w:pPr>
        <w:numPr>
          <w:ilvl w:val="0"/>
          <w:numId w:val="51"/>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lastRenderedPageBreak/>
        <w:t>تُعد هذه الدراسة من أوائل الدراسات -في حدود علم الباحث- التي تتناول متغيرات الدراسة مجتمعة في قطاع المقاولات اليمني، مما يمثل إضافة معرفية أصيلة للمكتبة اليمنية.</w:t>
      </w:r>
    </w:p>
    <w:p w14:paraId="2DBC09BB"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tl/>
        </w:rPr>
        <w:t>ب) الأهمية العملية (التطبيقية):</w:t>
      </w:r>
    </w:p>
    <w:p w14:paraId="21CE19AF" w14:textId="77777777" w:rsidR="00B14A8D" w:rsidRPr="00B14A8D" w:rsidRDefault="00B14A8D" w:rsidP="00B14A8D">
      <w:pPr>
        <w:numPr>
          <w:ilvl w:val="0"/>
          <w:numId w:val="52"/>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تزويد قادة وصناع القرار في شركات المقاولات اليمنية برؤى واضحة حول الممارسات القيادية الفعالة التي يمكنها تعزيز الأداء البيئي لشركاتهم.</w:t>
      </w:r>
    </w:p>
    <w:p w14:paraId="7ABC24BD" w14:textId="77777777" w:rsidR="00B14A8D" w:rsidRPr="00B14A8D" w:rsidRDefault="00B14A8D" w:rsidP="00B14A8D">
      <w:pPr>
        <w:numPr>
          <w:ilvl w:val="0"/>
          <w:numId w:val="52"/>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المساهمة في توجيه سياسات القطاع نحو تبني معايير البناء الأخضر، من خلال تسليط الضوء على الدور الحاسم للقيادة في تحقيق هذا التحول.</w:t>
      </w:r>
    </w:p>
    <w:p w14:paraId="1EDA6285" w14:textId="77777777" w:rsidR="00B14A8D" w:rsidRPr="00B14A8D" w:rsidRDefault="00B14A8D" w:rsidP="00B14A8D">
      <w:pPr>
        <w:numPr>
          <w:ilvl w:val="0"/>
          <w:numId w:val="52"/>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يمكن الاستفادة من نتائج الدراسة في تصميم برامج تدريبية وتطويرية موجهة للقيادات في قطاع المقاولات، تركز على بناء الكفاءات والمهارات المرتبطة بالاستدامة.</w:t>
      </w:r>
    </w:p>
    <w:p w14:paraId="3B024589" w14:textId="77777777" w:rsidR="00B14A8D" w:rsidRPr="00B14A8D" w:rsidRDefault="00B14A8D" w:rsidP="00B14A8D">
      <w:pPr>
        <w:numPr>
          <w:ilvl w:val="0"/>
          <w:numId w:val="52"/>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تعزيز السمعة المؤسسية والصورة الذهنية لشركات المقاولات الملتزمة بالممارسات الخضراء، مما قد يزيد من قدرتها التنافسية في الحصول على مشاريع ممولة دولياً تشترط معايير بيئية محددة.</w:t>
      </w:r>
    </w:p>
    <w:p w14:paraId="61325B9B"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ج) القيمة المضافة للدراسة:</w:t>
      </w:r>
    </w:p>
    <w:p w14:paraId="63F1240B" w14:textId="77777777" w:rsidR="00B14A8D" w:rsidRPr="00B14A8D" w:rsidRDefault="00B14A8D" w:rsidP="00B14A8D">
      <w:pPr>
        <w:numPr>
          <w:ilvl w:val="0"/>
          <w:numId w:val="53"/>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تتناول موضوعاً يقع في صميم التوجهات العالمية المعاصرة نحو الاقتصاد الأخضر والتنمية المستدامة، وتطبقه في سياق محلي بأمس الحاجة إليه.</w:t>
      </w:r>
    </w:p>
    <w:p w14:paraId="3500B8ED" w14:textId="77777777" w:rsidR="00B14A8D" w:rsidRPr="00B14A8D" w:rsidRDefault="00B14A8D" w:rsidP="00B14A8D">
      <w:pPr>
        <w:numPr>
          <w:ilvl w:val="0"/>
          <w:numId w:val="53"/>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تقدم نموذجاً علمياً قابلاً للاختبار والقياس، يحدد المتطلبات القيادية اللازمة لتحقيق أداء تنظيمي أخضر في قطاع حيوي ومؤثر.</w:t>
      </w:r>
    </w:p>
    <w:p w14:paraId="77C32A65" w14:textId="77777777" w:rsidR="00B14A8D" w:rsidRPr="00B14A8D" w:rsidRDefault="00B14A8D" w:rsidP="00B14A8D">
      <w:pPr>
        <w:numPr>
          <w:ilvl w:val="0"/>
          <w:numId w:val="53"/>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تنتقل من مجرد التنظير إلى تقديم توصيات عملية قابلة للتطبيق، يمكن أن تُحدث فرقاً ملموساً في ممارسات قطاع المقاولات اليمني.</w:t>
      </w:r>
    </w:p>
    <w:p w14:paraId="153E5DC7" w14:textId="77777777" w:rsidR="00B14A8D" w:rsidRPr="00B14A8D" w:rsidRDefault="00B14A8D" w:rsidP="00B14A8D">
      <w:pPr>
        <w:numPr>
          <w:ilvl w:val="0"/>
          <w:numId w:val="53"/>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تثير وعي الباحثين والممارسين بأهمية دمج الأبعاد البيئية والاجتماعية في الفكر الإداري التقليدي، بما يتوافق مع متطلبات المستقبل.</w:t>
      </w:r>
    </w:p>
    <w:p w14:paraId="14A06327"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Pr>
        <w:lastRenderedPageBreak/>
        <w:t>5</w:t>
      </w:r>
      <w:r w:rsidRPr="00B14A8D">
        <w:rPr>
          <w:rFonts w:ascii="Times New Roman" w:eastAsia="Calibri" w:hAnsi="Times New Roman" w:cs="Simplified Arabic"/>
          <w:b/>
          <w:bCs/>
          <w:sz w:val="24"/>
          <w:szCs w:val="28"/>
          <w:rtl/>
        </w:rPr>
        <w:t>. أهداف الدراسة</w:t>
      </w:r>
    </w:p>
    <w:p w14:paraId="68088A0F"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سعياً للإجابة عن تساؤلات الدراسة وتحقيق غاياتها، تم تحديد الهدف العام الآتي:</w:t>
      </w:r>
    </w:p>
    <w:p w14:paraId="2AA558D0" w14:textId="77777777" w:rsidR="00B14A8D" w:rsidRPr="00B14A8D" w:rsidRDefault="00B14A8D" w:rsidP="00B14A8D">
      <w:pPr>
        <w:numPr>
          <w:ilvl w:val="0"/>
          <w:numId w:val="54"/>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الهدف العام: </w:t>
      </w:r>
      <w:r w:rsidRPr="00B14A8D">
        <w:rPr>
          <w:rFonts w:ascii="Times New Roman" w:eastAsia="Calibri" w:hAnsi="Times New Roman" w:cs="Simplified Arabic"/>
          <w:sz w:val="24"/>
          <w:szCs w:val="28"/>
          <w:rtl/>
        </w:rPr>
        <w:t>يتمثل الهدف الرئيسي للدراسة في تحديد دور القيادة المستدامة في تعزيز الأداء التنظيمي الأخضر لدى شركات المقاولات اليمنية.</w:t>
      </w:r>
    </w:p>
    <w:p w14:paraId="244CE49A"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ولتحقيق هذا الهدف العام، تم اشتقاق الأهداف الفرعية الآتية:</w:t>
      </w:r>
    </w:p>
    <w:p w14:paraId="34EAB4E6" w14:textId="77777777" w:rsidR="00B14A8D" w:rsidRPr="00B14A8D" w:rsidRDefault="00B14A8D" w:rsidP="00B14A8D">
      <w:pPr>
        <w:numPr>
          <w:ilvl w:val="0"/>
          <w:numId w:val="55"/>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تشخيص واقع ممارسة أبعاد القيادة المستدامة في شركات المقاولات اليمنية.</w:t>
      </w:r>
    </w:p>
    <w:p w14:paraId="2B2AA3F0" w14:textId="77777777" w:rsidR="00B14A8D" w:rsidRPr="00B14A8D" w:rsidRDefault="00B14A8D" w:rsidP="00B14A8D">
      <w:pPr>
        <w:numPr>
          <w:ilvl w:val="0"/>
          <w:numId w:val="55"/>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تحديد مستوى الأداء التنظيمي الأخضر المطبق في شركات المقاولات اليمنية.</w:t>
      </w:r>
    </w:p>
    <w:p w14:paraId="1DDFF380" w14:textId="77777777" w:rsidR="00B14A8D" w:rsidRPr="00B14A8D" w:rsidRDefault="00B14A8D" w:rsidP="00B14A8D">
      <w:pPr>
        <w:numPr>
          <w:ilvl w:val="0"/>
          <w:numId w:val="55"/>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الكشف عن طبيعة العلاقة بين القيادة المستدامة والأداء التنظيمي الأخضر في شركات المقاولات اليمنية.</w:t>
      </w:r>
    </w:p>
    <w:p w14:paraId="338D29A7" w14:textId="77777777" w:rsidR="00B14A8D" w:rsidRPr="00B14A8D" w:rsidRDefault="00B14A8D" w:rsidP="00B14A8D">
      <w:pPr>
        <w:numPr>
          <w:ilvl w:val="0"/>
          <w:numId w:val="55"/>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تحليل دور أبعاد القيادة المستدامة مجتمعة ومنفردة في التأثير على الأداء التنظيمي الأخضر لدى شركات المقاولات اليمنية.</w:t>
      </w:r>
    </w:p>
    <w:p w14:paraId="4983AF54"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Pr>
        <w:t>6</w:t>
      </w:r>
      <w:r w:rsidRPr="00B14A8D">
        <w:rPr>
          <w:rFonts w:ascii="Times New Roman" w:eastAsia="Calibri" w:hAnsi="Times New Roman" w:cs="Simplified Arabic"/>
          <w:b/>
          <w:bCs/>
          <w:sz w:val="24"/>
          <w:szCs w:val="28"/>
          <w:rtl/>
        </w:rPr>
        <w:t>. متغيرات وأبعاد الدراسة</w:t>
      </w:r>
    </w:p>
    <w:p w14:paraId="5BEA042D"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قامت الدراسة على متغيرين رئيسيين، على النحو الآتي:</w:t>
      </w:r>
    </w:p>
    <w:p w14:paraId="3BAF2A4F" w14:textId="77777777" w:rsidR="00B14A8D" w:rsidRPr="00B14A8D" w:rsidRDefault="00B14A8D" w:rsidP="00B14A8D">
      <w:pPr>
        <w:numPr>
          <w:ilvl w:val="0"/>
          <w:numId w:val="56"/>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أولاً: المتغير المستقل: </w:t>
      </w:r>
      <w:r w:rsidRPr="00B14A8D">
        <w:rPr>
          <w:rFonts w:ascii="Times New Roman" w:eastAsia="Calibri" w:hAnsi="Times New Roman" w:cs="Simplified Arabic"/>
          <w:sz w:val="24"/>
          <w:szCs w:val="28"/>
          <w:rtl/>
        </w:rPr>
        <w:t xml:space="preserve">القيادة المستدامة </w:t>
      </w:r>
      <w:r w:rsidRPr="00B14A8D">
        <w:rPr>
          <w:rFonts w:ascii="Times New Roman" w:eastAsia="Calibri" w:hAnsi="Times New Roman" w:cs="Simplified Arabic"/>
          <w:sz w:val="24"/>
          <w:szCs w:val="28"/>
        </w:rPr>
        <w:t>(Sustainable Leadership)</w:t>
      </w:r>
      <w:r w:rsidRPr="00B14A8D">
        <w:rPr>
          <w:rFonts w:ascii="Times New Roman" w:eastAsia="Calibri" w:hAnsi="Times New Roman" w:cs="Simplified Arabic"/>
          <w:sz w:val="24"/>
          <w:szCs w:val="28"/>
          <w:rtl/>
        </w:rPr>
        <w:t>، ويتكون من الأبعاد الآتية:</w:t>
      </w:r>
    </w:p>
    <w:p w14:paraId="49F6EB1F"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الرؤية طويلة الأمد.</w:t>
      </w:r>
    </w:p>
    <w:p w14:paraId="20A6D69C"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المسؤولية البيئية.</w:t>
      </w:r>
    </w:p>
    <w:p w14:paraId="3B83EA0D"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المسؤولية الاجتماعية والأخلاقية.</w:t>
      </w:r>
    </w:p>
    <w:p w14:paraId="4EB6C439"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تنمية وتمكين الموظفين.</w:t>
      </w:r>
    </w:p>
    <w:p w14:paraId="54928DD5"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إشراك أصحاب المصلحة.</w:t>
      </w:r>
    </w:p>
    <w:p w14:paraId="1557F707" w14:textId="77777777" w:rsidR="00B14A8D" w:rsidRPr="00B14A8D" w:rsidRDefault="00B14A8D" w:rsidP="00B14A8D">
      <w:pPr>
        <w:numPr>
          <w:ilvl w:val="1"/>
          <w:numId w:val="56"/>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الابتكار والجودة.</w:t>
      </w:r>
    </w:p>
    <w:p w14:paraId="6AAC886E" w14:textId="77777777" w:rsidR="00B14A8D" w:rsidRPr="00B14A8D" w:rsidRDefault="00B14A8D" w:rsidP="00B14A8D">
      <w:pPr>
        <w:numPr>
          <w:ilvl w:val="0"/>
          <w:numId w:val="56"/>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lastRenderedPageBreak/>
        <w:t xml:space="preserve">ثانياً: المتغير التابع: </w:t>
      </w:r>
      <w:r w:rsidRPr="00B14A8D">
        <w:rPr>
          <w:rFonts w:ascii="Times New Roman" w:eastAsia="Calibri" w:hAnsi="Times New Roman" w:cs="Simplified Arabic"/>
          <w:sz w:val="24"/>
          <w:szCs w:val="28"/>
          <w:rtl/>
        </w:rPr>
        <w:t xml:space="preserve">الأداء التنظيمي الأخضر </w:t>
      </w:r>
      <w:r w:rsidRPr="00B14A8D">
        <w:rPr>
          <w:rFonts w:ascii="Times New Roman" w:eastAsia="Calibri" w:hAnsi="Times New Roman" w:cs="Simplified Arabic"/>
          <w:sz w:val="24"/>
          <w:szCs w:val="28"/>
        </w:rPr>
        <w:t>(Green Organizational Performance)</w:t>
      </w:r>
      <w:r w:rsidRPr="00B14A8D">
        <w:rPr>
          <w:rFonts w:ascii="Times New Roman" w:eastAsia="Calibri" w:hAnsi="Times New Roman" w:cs="Simplified Arabic"/>
          <w:sz w:val="24"/>
          <w:szCs w:val="28"/>
          <w:rtl/>
        </w:rPr>
        <w:t>، ويتكون من الأبعاد الآتية:</w:t>
      </w:r>
    </w:p>
    <w:p w14:paraId="77FAC956"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كفاءة العمليات الخضراء.</w:t>
      </w:r>
    </w:p>
    <w:p w14:paraId="6B0ADF3A"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إدارة النفايات وإعادة التدوير.</w:t>
      </w:r>
    </w:p>
    <w:p w14:paraId="1B229EFF"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الابتكار في المنتجات والخدمات الخضراء.</w:t>
      </w:r>
    </w:p>
    <w:p w14:paraId="1A3A57E8"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الصورة البيئية والسمعة الخضراء.</w:t>
      </w:r>
    </w:p>
    <w:p w14:paraId="4B4B2CC2" w14:textId="77777777" w:rsidR="00B14A8D" w:rsidRPr="00B14A8D" w:rsidRDefault="00B14A8D" w:rsidP="00FA53EE">
      <w:pPr>
        <w:numPr>
          <w:ilvl w:val="1"/>
          <w:numId w:val="56"/>
        </w:numPr>
        <w:spacing w:after="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الامتثال والتوافق البيئي.</w:t>
      </w:r>
    </w:p>
    <w:p w14:paraId="1E00E146" w14:textId="77777777" w:rsidR="00B14A8D" w:rsidRPr="00B14A8D" w:rsidRDefault="00B14A8D" w:rsidP="00FA53EE">
      <w:pPr>
        <w:spacing w:before="240"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Pr>
        <w:t>7</w:t>
      </w:r>
      <w:r w:rsidRPr="00B14A8D">
        <w:rPr>
          <w:rFonts w:ascii="Times New Roman" w:eastAsia="Calibri" w:hAnsi="Times New Roman" w:cs="Simplified Arabic"/>
          <w:b/>
          <w:bCs/>
          <w:sz w:val="24"/>
          <w:szCs w:val="28"/>
          <w:rtl/>
        </w:rPr>
        <w:t>. فرضيات الدراسة</w:t>
      </w:r>
    </w:p>
    <w:p w14:paraId="22CF0942"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بناءً على أهداف الدراسة وتساؤلاتها، ومن خلال الإطار النظري الذي تم الاطلاع عليه، تم صياغة الفرضية الرئيسية الآتية لاختبارها:</w:t>
      </w:r>
    </w:p>
    <w:p w14:paraId="7BA2DFBF" w14:textId="77777777" w:rsidR="00B14A8D" w:rsidRPr="00B14A8D" w:rsidRDefault="00B14A8D" w:rsidP="00B14A8D">
      <w:pPr>
        <w:numPr>
          <w:ilvl w:val="0"/>
          <w:numId w:val="57"/>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الفرضية الرئيسية </w:t>
      </w:r>
      <w:r w:rsidRPr="00B14A8D">
        <w:rPr>
          <w:rFonts w:ascii="Times New Roman" w:eastAsia="Calibri" w:hAnsi="Times New Roman" w:cs="Simplified Arabic"/>
          <w:b/>
          <w:bCs/>
          <w:sz w:val="24"/>
          <w:szCs w:val="28"/>
        </w:rPr>
        <w:t>(H1)</w:t>
      </w:r>
      <w:r w:rsidRPr="00B14A8D">
        <w:rPr>
          <w:rFonts w:ascii="Times New Roman" w:eastAsia="Calibri" w:hAnsi="Times New Roman" w:cs="Simplified Arabic"/>
          <w:b/>
          <w:bCs/>
          <w:sz w:val="24"/>
          <w:szCs w:val="28"/>
          <w:rtl/>
        </w:rPr>
        <w:t xml:space="preserve">: </w:t>
      </w:r>
      <w:r w:rsidRPr="00B14A8D">
        <w:rPr>
          <w:rFonts w:ascii="Times New Roman" w:eastAsia="Calibri" w:hAnsi="Times New Roman" w:cs="Simplified Arabic"/>
          <w:sz w:val="24"/>
          <w:szCs w:val="28"/>
          <w:rtl/>
        </w:rPr>
        <w:t xml:space="preserve">يوجد دور ذو دلالة إحصائية عند مستوى دلالة </w:t>
      </w:r>
      <w:r w:rsidRPr="00B14A8D">
        <w:rPr>
          <w:rFonts w:ascii="Times New Roman" w:eastAsia="Calibri" w:hAnsi="Times New Roman" w:cs="Simplified Arabic"/>
          <w:sz w:val="24"/>
          <w:szCs w:val="28"/>
        </w:rPr>
        <w:t>(α ≤ 0.05)</w:t>
      </w:r>
      <w:r w:rsidRPr="00B14A8D">
        <w:rPr>
          <w:rFonts w:ascii="Times New Roman" w:eastAsia="Calibri" w:hAnsi="Times New Roman" w:cs="Simplified Arabic"/>
          <w:sz w:val="24"/>
          <w:szCs w:val="28"/>
          <w:rtl/>
        </w:rPr>
        <w:t xml:space="preserve"> للقيادة المستدامة بأبعادها مجتمعة في تعزيز الأداء التنظيمي الأخضر لدى شركات المقاولات اليمنية.</w:t>
      </w:r>
    </w:p>
    <w:p w14:paraId="326E9A20"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ويتفرع من هذه الفرضية الرئيسية، الفرضيات الفرعية الآتية:</w:t>
      </w:r>
    </w:p>
    <w:p w14:paraId="581B7B4A" w14:textId="77777777" w:rsidR="00B14A8D" w:rsidRPr="00B14A8D" w:rsidRDefault="00B14A8D" w:rsidP="00B14A8D">
      <w:pPr>
        <w:numPr>
          <w:ilvl w:val="0"/>
          <w:numId w:val="98"/>
        </w:numPr>
        <w:spacing w:after="240" w:line="276" w:lineRule="auto"/>
        <w:jc w:val="both"/>
        <w:rPr>
          <w:rFonts w:ascii="Times New Roman" w:eastAsia="Calibri" w:hAnsi="Times New Roman" w:cs="Simplified Arabic"/>
          <w:sz w:val="24"/>
          <w:szCs w:val="28"/>
          <w:rtl/>
        </w:rPr>
      </w:pPr>
      <w:r w:rsidRPr="00B14A8D">
        <w:rPr>
          <w:rFonts w:ascii="Times New Roman" w:eastAsia="Calibri" w:hAnsi="Times New Roman" w:cs="Simplified Arabic"/>
          <w:b/>
          <w:bCs/>
          <w:sz w:val="24"/>
          <w:szCs w:val="28"/>
          <w:rtl/>
        </w:rPr>
        <w:t>الفرضية الفرعية الأولى (</w:t>
      </w:r>
      <w:r w:rsidRPr="00B14A8D">
        <w:rPr>
          <w:rFonts w:ascii="Times New Roman" w:eastAsia="Calibri" w:hAnsi="Times New Roman" w:cs="Simplified Arabic"/>
          <w:b/>
          <w:bCs/>
          <w:sz w:val="24"/>
          <w:szCs w:val="28"/>
        </w:rPr>
        <w:t>H1.1</w:t>
      </w:r>
      <w:r w:rsidRPr="00B14A8D">
        <w:rPr>
          <w:rFonts w:ascii="Times New Roman" w:eastAsia="Calibri" w:hAnsi="Times New Roman" w:cs="Simplified Arabic"/>
          <w:b/>
          <w:bCs/>
          <w:sz w:val="24"/>
          <w:szCs w:val="28"/>
          <w:rtl/>
        </w:rPr>
        <w:t>):</w:t>
      </w:r>
      <w:r w:rsidRPr="00B14A8D">
        <w:rPr>
          <w:rFonts w:ascii="Times New Roman" w:eastAsia="Calibri" w:hAnsi="Times New Roman" w:cs="Simplified Arabic"/>
          <w:sz w:val="24"/>
          <w:szCs w:val="28"/>
          <w:rtl/>
        </w:rPr>
        <w:t xml:space="preserve"> يوجد دور ذو دلالة إحصائية عند مستوى دلالة (</w:t>
      </w:r>
      <w:r w:rsidRPr="00B14A8D">
        <w:rPr>
          <w:rFonts w:ascii="Times New Roman" w:eastAsia="Calibri" w:hAnsi="Times New Roman" w:cs="Simplified Arabic"/>
          <w:sz w:val="24"/>
          <w:szCs w:val="28"/>
        </w:rPr>
        <w:t>α ≤ 0.05</w:t>
      </w:r>
      <w:r w:rsidRPr="00B14A8D">
        <w:rPr>
          <w:rFonts w:ascii="Times New Roman" w:eastAsia="Calibri" w:hAnsi="Times New Roman" w:cs="Simplified Arabic"/>
          <w:sz w:val="24"/>
          <w:szCs w:val="28"/>
          <w:rtl/>
        </w:rPr>
        <w:t>) لبعد الرؤية طويلة الأمد في تعزيز الأداء التنظيمي الأخضر.</w:t>
      </w:r>
    </w:p>
    <w:p w14:paraId="3155B288" w14:textId="77777777" w:rsidR="00B14A8D" w:rsidRPr="00B14A8D" w:rsidRDefault="00B14A8D" w:rsidP="00B14A8D">
      <w:pPr>
        <w:numPr>
          <w:ilvl w:val="0"/>
          <w:numId w:val="98"/>
        </w:numPr>
        <w:spacing w:after="240" w:line="276" w:lineRule="auto"/>
        <w:jc w:val="both"/>
        <w:rPr>
          <w:rFonts w:ascii="Times New Roman" w:eastAsia="Calibri" w:hAnsi="Times New Roman" w:cs="Simplified Arabic"/>
          <w:sz w:val="24"/>
          <w:szCs w:val="28"/>
          <w:rtl/>
        </w:rPr>
      </w:pPr>
      <w:r w:rsidRPr="00B14A8D">
        <w:rPr>
          <w:rFonts w:ascii="Times New Roman" w:eastAsia="Calibri" w:hAnsi="Times New Roman" w:cs="Simplified Arabic"/>
          <w:b/>
          <w:bCs/>
          <w:sz w:val="24"/>
          <w:szCs w:val="28"/>
          <w:rtl/>
        </w:rPr>
        <w:t>الفرضية الفرعية الثانية (</w:t>
      </w:r>
      <w:r w:rsidRPr="00B14A8D">
        <w:rPr>
          <w:rFonts w:ascii="Times New Roman" w:eastAsia="Calibri" w:hAnsi="Times New Roman" w:cs="Simplified Arabic"/>
          <w:b/>
          <w:bCs/>
          <w:sz w:val="24"/>
          <w:szCs w:val="28"/>
        </w:rPr>
        <w:t>H1.2</w:t>
      </w:r>
      <w:r w:rsidRPr="00B14A8D">
        <w:rPr>
          <w:rFonts w:ascii="Times New Roman" w:eastAsia="Calibri" w:hAnsi="Times New Roman" w:cs="Simplified Arabic"/>
          <w:b/>
          <w:bCs/>
          <w:sz w:val="24"/>
          <w:szCs w:val="28"/>
          <w:rtl/>
        </w:rPr>
        <w:t>):</w:t>
      </w:r>
      <w:r w:rsidRPr="00B14A8D">
        <w:rPr>
          <w:rFonts w:ascii="Times New Roman" w:eastAsia="Calibri" w:hAnsi="Times New Roman" w:cs="Simplified Arabic"/>
          <w:sz w:val="24"/>
          <w:szCs w:val="28"/>
          <w:rtl/>
        </w:rPr>
        <w:t xml:space="preserve"> يوجد دور ذو دلالة إحصائية عند مستوى دلالة (</w:t>
      </w:r>
      <w:r w:rsidRPr="00B14A8D">
        <w:rPr>
          <w:rFonts w:ascii="Times New Roman" w:eastAsia="Calibri" w:hAnsi="Times New Roman" w:cs="Simplified Arabic"/>
          <w:sz w:val="24"/>
          <w:szCs w:val="28"/>
        </w:rPr>
        <w:t>α ≤ 0.05</w:t>
      </w:r>
      <w:r w:rsidRPr="00B14A8D">
        <w:rPr>
          <w:rFonts w:ascii="Times New Roman" w:eastAsia="Calibri" w:hAnsi="Times New Roman" w:cs="Simplified Arabic"/>
          <w:sz w:val="24"/>
          <w:szCs w:val="28"/>
          <w:rtl/>
        </w:rPr>
        <w:t>) لبعد المسؤولية البيئية في تعزيز الأداء التنظيمي الأخضر.</w:t>
      </w:r>
    </w:p>
    <w:p w14:paraId="3FAECD6B" w14:textId="77777777" w:rsidR="00B14A8D" w:rsidRPr="00B14A8D" w:rsidRDefault="00B14A8D" w:rsidP="00B14A8D">
      <w:pPr>
        <w:numPr>
          <w:ilvl w:val="0"/>
          <w:numId w:val="98"/>
        </w:numPr>
        <w:spacing w:after="240" w:line="276" w:lineRule="auto"/>
        <w:jc w:val="both"/>
        <w:rPr>
          <w:rFonts w:ascii="Times New Roman" w:eastAsia="Calibri" w:hAnsi="Times New Roman" w:cs="Simplified Arabic"/>
          <w:sz w:val="24"/>
          <w:szCs w:val="28"/>
          <w:rtl/>
        </w:rPr>
      </w:pPr>
      <w:r w:rsidRPr="00B14A8D">
        <w:rPr>
          <w:rFonts w:ascii="Times New Roman" w:eastAsia="Calibri" w:hAnsi="Times New Roman" w:cs="Simplified Arabic"/>
          <w:b/>
          <w:bCs/>
          <w:sz w:val="24"/>
          <w:szCs w:val="28"/>
          <w:rtl/>
        </w:rPr>
        <w:t>الفرضية الفرعية الثالثة (</w:t>
      </w:r>
      <w:r w:rsidRPr="00B14A8D">
        <w:rPr>
          <w:rFonts w:ascii="Times New Roman" w:eastAsia="Calibri" w:hAnsi="Times New Roman" w:cs="Simplified Arabic"/>
          <w:b/>
          <w:bCs/>
          <w:sz w:val="24"/>
          <w:szCs w:val="28"/>
        </w:rPr>
        <w:t>H1.3</w:t>
      </w:r>
      <w:r w:rsidRPr="00B14A8D">
        <w:rPr>
          <w:rFonts w:ascii="Times New Roman" w:eastAsia="Calibri" w:hAnsi="Times New Roman" w:cs="Simplified Arabic"/>
          <w:b/>
          <w:bCs/>
          <w:sz w:val="24"/>
          <w:szCs w:val="28"/>
          <w:rtl/>
        </w:rPr>
        <w:t>):</w:t>
      </w:r>
      <w:r w:rsidRPr="00B14A8D">
        <w:rPr>
          <w:rFonts w:ascii="Times New Roman" w:eastAsia="Calibri" w:hAnsi="Times New Roman" w:cs="Simplified Arabic"/>
          <w:sz w:val="24"/>
          <w:szCs w:val="28"/>
          <w:rtl/>
        </w:rPr>
        <w:t xml:space="preserve"> يوجد دور ذو دلالة إحصائية عند مستوى دلالة (</w:t>
      </w:r>
      <w:r w:rsidRPr="00B14A8D">
        <w:rPr>
          <w:rFonts w:ascii="Times New Roman" w:eastAsia="Calibri" w:hAnsi="Times New Roman" w:cs="Simplified Arabic"/>
          <w:sz w:val="24"/>
          <w:szCs w:val="28"/>
        </w:rPr>
        <w:t>α ≤ 0.05</w:t>
      </w:r>
      <w:r w:rsidRPr="00B14A8D">
        <w:rPr>
          <w:rFonts w:ascii="Times New Roman" w:eastAsia="Calibri" w:hAnsi="Times New Roman" w:cs="Simplified Arabic"/>
          <w:sz w:val="24"/>
          <w:szCs w:val="28"/>
          <w:rtl/>
        </w:rPr>
        <w:t>) لبعد المسؤولية الاجتماعية والأخلاقية في تعزيز الأداء التنظيمي الأخضر.</w:t>
      </w:r>
    </w:p>
    <w:p w14:paraId="300B5CAF" w14:textId="77777777" w:rsidR="00B14A8D" w:rsidRPr="00B14A8D" w:rsidRDefault="00B14A8D" w:rsidP="00B14A8D">
      <w:pPr>
        <w:numPr>
          <w:ilvl w:val="0"/>
          <w:numId w:val="98"/>
        </w:numPr>
        <w:spacing w:after="240" w:line="276" w:lineRule="auto"/>
        <w:jc w:val="both"/>
        <w:rPr>
          <w:rFonts w:ascii="Times New Roman" w:eastAsia="Calibri" w:hAnsi="Times New Roman" w:cs="Simplified Arabic"/>
          <w:sz w:val="24"/>
          <w:szCs w:val="28"/>
          <w:rtl/>
        </w:rPr>
      </w:pPr>
      <w:r w:rsidRPr="00B14A8D">
        <w:rPr>
          <w:rFonts w:ascii="Times New Roman" w:eastAsia="Calibri" w:hAnsi="Times New Roman" w:cs="Simplified Arabic"/>
          <w:b/>
          <w:bCs/>
          <w:sz w:val="24"/>
          <w:szCs w:val="28"/>
          <w:rtl/>
        </w:rPr>
        <w:t>الفرضية الفرعية الرابعة (</w:t>
      </w:r>
      <w:r w:rsidRPr="00B14A8D">
        <w:rPr>
          <w:rFonts w:ascii="Times New Roman" w:eastAsia="Calibri" w:hAnsi="Times New Roman" w:cs="Simplified Arabic"/>
          <w:b/>
          <w:bCs/>
          <w:sz w:val="24"/>
          <w:szCs w:val="28"/>
        </w:rPr>
        <w:t>H1.4</w:t>
      </w:r>
      <w:r w:rsidRPr="00B14A8D">
        <w:rPr>
          <w:rFonts w:ascii="Times New Roman" w:eastAsia="Calibri" w:hAnsi="Times New Roman" w:cs="Simplified Arabic"/>
          <w:b/>
          <w:bCs/>
          <w:sz w:val="24"/>
          <w:szCs w:val="28"/>
          <w:rtl/>
        </w:rPr>
        <w:t>):</w:t>
      </w:r>
      <w:r w:rsidRPr="00B14A8D">
        <w:rPr>
          <w:rFonts w:ascii="Times New Roman" w:eastAsia="Calibri" w:hAnsi="Times New Roman" w:cs="Simplified Arabic"/>
          <w:sz w:val="24"/>
          <w:szCs w:val="28"/>
          <w:rtl/>
        </w:rPr>
        <w:t xml:space="preserve"> يوجد دور ذو دلالة إحصائية عند مستوى دلالة (</w:t>
      </w:r>
      <w:r w:rsidRPr="00B14A8D">
        <w:rPr>
          <w:rFonts w:ascii="Times New Roman" w:eastAsia="Calibri" w:hAnsi="Times New Roman" w:cs="Simplified Arabic"/>
          <w:sz w:val="24"/>
          <w:szCs w:val="28"/>
        </w:rPr>
        <w:t>α ≤ 0.05</w:t>
      </w:r>
      <w:r w:rsidRPr="00B14A8D">
        <w:rPr>
          <w:rFonts w:ascii="Times New Roman" w:eastAsia="Calibri" w:hAnsi="Times New Roman" w:cs="Simplified Arabic"/>
          <w:sz w:val="24"/>
          <w:szCs w:val="28"/>
          <w:rtl/>
        </w:rPr>
        <w:t>) لبعد تنمية وتمكين الموظفين في تعزيز الأداء التنظيمي الأخضر.</w:t>
      </w:r>
    </w:p>
    <w:p w14:paraId="3EEF851C" w14:textId="77777777" w:rsidR="00B14A8D" w:rsidRPr="00B14A8D" w:rsidRDefault="00B14A8D" w:rsidP="00B14A8D">
      <w:pPr>
        <w:numPr>
          <w:ilvl w:val="0"/>
          <w:numId w:val="98"/>
        </w:numPr>
        <w:spacing w:after="240" w:line="276" w:lineRule="auto"/>
        <w:jc w:val="both"/>
        <w:rPr>
          <w:rFonts w:ascii="Times New Roman" w:eastAsia="Calibri" w:hAnsi="Times New Roman" w:cs="Simplified Arabic"/>
          <w:sz w:val="24"/>
          <w:szCs w:val="28"/>
          <w:rtl/>
        </w:rPr>
      </w:pPr>
      <w:r w:rsidRPr="00B14A8D">
        <w:rPr>
          <w:rFonts w:ascii="Times New Roman" w:eastAsia="Calibri" w:hAnsi="Times New Roman" w:cs="Simplified Arabic"/>
          <w:b/>
          <w:bCs/>
          <w:sz w:val="24"/>
          <w:szCs w:val="28"/>
          <w:rtl/>
        </w:rPr>
        <w:lastRenderedPageBreak/>
        <w:t>الفرضية الفرعية الخامسة (</w:t>
      </w:r>
      <w:r w:rsidRPr="00B14A8D">
        <w:rPr>
          <w:rFonts w:ascii="Times New Roman" w:eastAsia="Calibri" w:hAnsi="Times New Roman" w:cs="Simplified Arabic"/>
          <w:b/>
          <w:bCs/>
          <w:sz w:val="24"/>
          <w:szCs w:val="28"/>
        </w:rPr>
        <w:t>H1.5</w:t>
      </w:r>
      <w:r w:rsidRPr="00B14A8D">
        <w:rPr>
          <w:rFonts w:ascii="Times New Roman" w:eastAsia="Calibri" w:hAnsi="Times New Roman" w:cs="Simplified Arabic"/>
          <w:b/>
          <w:bCs/>
          <w:sz w:val="24"/>
          <w:szCs w:val="28"/>
          <w:rtl/>
        </w:rPr>
        <w:t>):</w:t>
      </w:r>
      <w:r w:rsidRPr="00B14A8D">
        <w:rPr>
          <w:rFonts w:ascii="Times New Roman" w:eastAsia="Calibri" w:hAnsi="Times New Roman" w:cs="Simplified Arabic"/>
          <w:sz w:val="24"/>
          <w:szCs w:val="28"/>
          <w:rtl/>
        </w:rPr>
        <w:t xml:space="preserve"> يوجد دور ذو دلالة إحصائية عند مستوى دلالة (</w:t>
      </w:r>
      <w:r w:rsidRPr="00B14A8D">
        <w:rPr>
          <w:rFonts w:ascii="Times New Roman" w:eastAsia="Calibri" w:hAnsi="Times New Roman" w:cs="Simplified Arabic"/>
          <w:sz w:val="24"/>
          <w:szCs w:val="28"/>
        </w:rPr>
        <w:t>α ≤ 0.05</w:t>
      </w:r>
      <w:r w:rsidRPr="00B14A8D">
        <w:rPr>
          <w:rFonts w:ascii="Times New Roman" w:eastAsia="Calibri" w:hAnsi="Times New Roman" w:cs="Simplified Arabic"/>
          <w:sz w:val="24"/>
          <w:szCs w:val="28"/>
          <w:rtl/>
        </w:rPr>
        <w:t>) لبعد إشراك أصحاب المصلحة في تعزيز الأداء التنظيمي الأخضر.</w:t>
      </w:r>
    </w:p>
    <w:p w14:paraId="05D24D5B" w14:textId="77777777" w:rsidR="00B14A8D" w:rsidRPr="00B14A8D" w:rsidRDefault="00B14A8D" w:rsidP="00B14A8D">
      <w:pPr>
        <w:numPr>
          <w:ilvl w:val="0"/>
          <w:numId w:val="98"/>
        </w:numPr>
        <w:spacing w:after="240" w:line="276" w:lineRule="auto"/>
        <w:jc w:val="both"/>
        <w:rPr>
          <w:rFonts w:ascii="Times New Roman" w:eastAsia="Calibri" w:hAnsi="Times New Roman" w:cs="Simplified Arabic"/>
          <w:sz w:val="24"/>
          <w:szCs w:val="28"/>
          <w:rtl/>
        </w:rPr>
      </w:pPr>
      <w:r w:rsidRPr="00B14A8D">
        <w:rPr>
          <w:rFonts w:ascii="Times New Roman" w:eastAsia="Calibri" w:hAnsi="Times New Roman" w:cs="Simplified Arabic"/>
          <w:b/>
          <w:bCs/>
          <w:sz w:val="24"/>
          <w:szCs w:val="28"/>
          <w:rtl/>
        </w:rPr>
        <w:t>الفرضية الفرعية السادسة (</w:t>
      </w:r>
      <w:r w:rsidRPr="00B14A8D">
        <w:rPr>
          <w:rFonts w:ascii="Times New Roman" w:eastAsia="Calibri" w:hAnsi="Times New Roman" w:cs="Simplified Arabic"/>
          <w:b/>
          <w:bCs/>
          <w:sz w:val="24"/>
          <w:szCs w:val="28"/>
        </w:rPr>
        <w:t>H1.6</w:t>
      </w:r>
      <w:r w:rsidRPr="00B14A8D">
        <w:rPr>
          <w:rFonts w:ascii="Times New Roman" w:eastAsia="Calibri" w:hAnsi="Times New Roman" w:cs="Simplified Arabic"/>
          <w:b/>
          <w:bCs/>
          <w:sz w:val="24"/>
          <w:szCs w:val="28"/>
          <w:rtl/>
        </w:rPr>
        <w:t>):</w:t>
      </w:r>
      <w:r w:rsidRPr="00B14A8D">
        <w:rPr>
          <w:rFonts w:ascii="Times New Roman" w:eastAsia="Calibri" w:hAnsi="Times New Roman" w:cs="Simplified Arabic"/>
          <w:sz w:val="24"/>
          <w:szCs w:val="28"/>
          <w:rtl/>
        </w:rPr>
        <w:t xml:space="preserve"> يوجد دور ذو دلالة إحصائية عند مستوى دلالة (</w:t>
      </w:r>
      <w:r w:rsidRPr="00B14A8D">
        <w:rPr>
          <w:rFonts w:ascii="Times New Roman" w:eastAsia="Calibri" w:hAnsi="Times New Roman" w:cs="Simplified Arabic"/>
          <w:sz w:val="24"/>
          <w:szCs w:val="28"/>
        </w:rPr>
        <w:t>α ≤ 0.05</w:t>
      </w:r>
      <w:r w:rsidRPr="00B14A8D">
        <w:rPr>
          <w:rFonts w:ascii="Times New Roman" w:eastAsia="Calibri" w:hAnsi="Times New Roman" w:cs="Simplified Arabic"/>
          <w:sz w:val="24"/>
          <w:szCs w:val="28"/>
          <w:rtl/>
        </w:rPr>
        <w:t>) لبعد الابتكار والجودة في تعزيز الأداء التنظيمي الأخضر.</w:t>
      </w:r>
    </w:p>
    <w:p w14:paraId="6FEE48CA" w14:textId="77777777"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Pr>
        <w:t>8</w:t>
      </w:r>
      <w:r w:rsidRPr="00B14A8D">
        <w:rPr>
          <w:rFonts w:ascii="Times New Roman" w:eastAsia="Calibri" w:hAnsi="Times New Roman" w:cs="Simplified Arabic"/>
          <w:b/>
          <w:bCs/>
          <w:sz w:val="24"/>
          <w:szCs w:val="28"/>
          <w:rtl/>
        </w:rPr>
        <w:t>. حدود الدراسة</w:t>
      </w:r>
    </w:p>
    <w:p w14:paraId="236B5815"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التزاماً بالمنهجية العلمية، تحددت معالم هذه الدراسة ضمن الحدود الآتية:</w:t>
      </w:r>
    </w:p>
    <w:p w14:paraId="681EEA47" w14:textId="77777777" w:rsidR="00B14A8D" w:rsidRPr="00B14A8D" w:rsidRDefault="00B14A8D" w:rsidP="00B14A8D">
      <w:pPr>
        <w:numPr>
          <w:ilvl w:val="0"/>
          <w:numId w:val="95"/>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الحدود العلمية (الموضوعية): </w:t>
      </w:r>
      <w:r w:rsidRPr="00B14A8D">
        <w:rPr>
          <w:rFonts w:ascii="Times New Roman" w:eastAsia="Calibri" w:hAnsi="Times New Roman" w:cs="Simplified Arabic"/>
          <w:sz w:val="24"/>
          <w:szCs w:val="28"/>
          <w:rtl/>
        </w:rPr>
        <w:t>اقتصرت الدراسة على تناول متغيرين رئيسيين؛ حيث تمثل المتغير المستقل في القيادة المستدامة بأبعادها الستة (الرؤية طويلة الأمد، المسؤولية البيئية، المسؤولية الاجتماعية والأخلاقية، تنمية وتمكين الموظفين، إشراك أصحاب المصلحة، الابتكار والجودة)، بينما تمثل المتغير التابع في الأداء التنظيمي الأخضر بأبعاده الخمسة (كفاءة العمليات الخضراء، إدارة النفايات وإعادة التدوير، الابتكار في المنتجات والخدمات الخضراء، الصورة البيئية والسمعة الخضراء، الامتثال والتوافق البيئي).</w:t>
      </w:r>
    </w:p>
    <w:p w14:paraId="050E9F08" w14:textId="77777777" w:rsidR="00B14A8D" w:rsidRPr="00B14A8D" w:rsidRDefault="00B14A8D" w:rsidP="00B14A8D">
      <w:pPr>
        <w:numPr>
          <w:ilvl w:val="0"/>
          <w:numId w:val="95"/>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الحدود المكانية: </w:t>
      </w:r>
      <w:r w:rsidRPr="00B14A8D">
        <w:rPr>
          <w:rFonts w:ascii="Times New Roman" w:eastAsia="Calibri" w:hAnsi="Times New Roman" w:cs="Simplified Arabic"/>
          <w:sz w:val="24"/>
          <w:szCs w:val="28"/>
          <w:rtl/>
        </w:rPr>
        <w:t>طُبقت الدراسة الميدانية على عينة من شركات المقاولات المصنفة والعاملة في الجمهورية اليمنية.</w:t>
      </w:r>
    </w:p>
    <w:p w14:paraId="1CF7A557" w14:textId="77777777" w:rsidR="00B14A8D" w:rsidRPr="00B14A8D" w:rsidRDefault="00B14A8D" w:rsidP="00B14A8D">
      <w:pPr>
        <w:numPr>
          <w:ilvl w:val="0"/>
          <w:numId w:val="95"/>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الحدود البشرية: </w:t>
      </w:r>
      <w:r w:rsidRPr="00B14A8D">
        <w:rPr>
          <w:rFonts w:ascii="Times New Roman" w:eastAsia="Calibri" w:hAnsi="Times New Roman" w:cs="Simplified Arabic"/>
          <w:sz w:val="24"/>
          <w:szCs w:val="28"/>
          <w:rtl/>
        </w:rPr>
        <w:t>تمثلت في القادة والمديرين في المستويات الإدارية العليا والوسطى في الشركات المستهدفة، وشمل ذلك مديري العموم، ومديري المشاريع، ورؤساء الأقسام الهندسية والفنية.</w:t>
      </w:r>
    </w:p>
    <w:p w14:paraId="638EAD41" w14:textId="77777777" w:rsidR="00B14A8D" w:rsidRDefault="00B14A8D" w:rsidP="00B14A8D">
      <w:pPr>
        <w:numPr>
          <w:ilvl w:val="0"/>
          <w:numId w:val="95"/>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الحدود الزمنية: </w:t>
      </w:r>
      <w:r w:rsidRPr="00B14A8D">
        <w:rPr>
          <w:rFonts w:ascii="Times New Roman" w:eastAsia="Calibri" w:hAnsi="Times New Roman" w:cs="Simplified Arabic"/>
          <w:sz w:val="24"/>
          <w:szCs w:val="28"/>
          <w:rtl/>
        </w:rPr>
        <w:t>تم إجراء الدراسة الميدانية وجمع البيانات اللازمة لتحليلها خلال فترة زمنية محددة امتدت عبر شهر ديسمبر من العام (2025م).</w:t>
      </w:r>
    </w:p>
    <w:p w14:paraId="162DE873" w14:textId="77777777" w:rsidR="00FA53EE" w:rsidRDefault="00FA53EE" w:rsidP="00FA53EE">
      <w:pPr>
        <w:spacing w:after="240" w:line="276" w:lineRule="auto"/>
        <w:jc w:val="both"/>
        <w:rPr>
          <w:rFonts w:ascii="Times New Roman" w:eastAsia="Calibri" w:hAnsi="Times New Roman" w:cs="Simplified Arabic"/>
          <w:sz w:val="24"/>
          <w:szCs w:val="28"/>
          <w:rtl/>
        </w:rPr>
      </w:pPr>
    </w:p>
    <w:p w14:paraId="4DEE7CD6" w14:textId="77777777" w:rsidR="00FA53EE" w:rsidRDefault="00FA53EE" w:rsidP="00FA53EE">
      <w:pPr>
        <w:spacing w:after="240" w:line="276" w:lineRule="auto"/>
        <w:jc w:val="both"/>
        <w:rPr>
          <w:rFonts w:ascii="Times New Roman" w:eastAsia="Calibri" w:hAnsi="Times New Roman" w:cs="Simplified Arabic"/>
          <w:sz w:val="24"/>
          <w:szCs w:val="28"/>
          <w:rtl/>
        </w:rPr>
      </w:pPr>
    </w:p>
    <w:p w14:paraId="6A196CB2" w14:textId="77777777" w:rsidR="00FA53EE" w:rsidRPr="00B14A8D" w:rsidRDefault="00FA53EE" w:rsidP="00FA53EE">
      <w:pPr>
        <w:spacing w:after="240" w:line="276" w:lineRule="auto"/>
        <w:jc w:val="both"/>
        <w:rPr>
          <w:rFonts w:ascii="Times New Roman" w:eastAsia="Calibri" w:hAnsi="Times New Roman" w:cs="Simplified Arabic"/>
          <w:sz w:val="24"/>
          <w:szCs w:val="28"/>
          <w:rtl/>
        </w:rPr>
      </w:pPr>
    </w:p>
    <w:p w14:paraId="73998EB8" w14:textId="116BE3B5" w:rsidR="00B14A8D" w:rsidRPr="00B14A8D" w:rsidRDefault="00B14A8D" w:rsidP="00B14A8D">
      <w:pPr>
        <w:spacing w:after="240" w:line="276" w:lineRule="auto"/>
        <w:ind w:firstLine="510"/>
        <w:jc w:val="both"/>
        <w:rPr>
          <w:rFonts w:ascii="Times New Roman" w:eastAsia="Calibri" w:hAnsi="Times New Roman" w:cs="Simplified Arabic"/>
          <w:b/>
          <w:bCs/>
          <w:sz w:val="24"/>
          <w:szCs w:val="28"/>
        </w:rPr>
      </w:pPr>
      <w:r w:rsidRPr="00B14A8D">
        <w:rPr>
          <w:rFonts w:ascii="Times New Roman" w:eastAsia="Calibri" w:hAnsi="Times New Roman" w:cs="Simplified Arabic"/>
          <w:b/>
          <w:bCs/>
          <w:sz w:val="24"/>
          <w:szCs w:val="28"/>
        </w:rPr>
        <w:lastRenderedPageBreak/>
        <w:t>9</w:t>
      </w:r>
      <w:r w:rsidRPr="00B14A8D">
        <w:rPr>
          <w:rFonts w:ascii="Times New Roman" w:eastAsia="Calibri" w:hAnsi="Times New Roman" w:cs="Simplified Arabic"/>
          <w:b/>
          <w:bCs/>
          <w:sz w:val="24"/>
          <w:szCs w:val="28"/>
          <w:rtl/>
        </w:rPr>
        <w:t xml:space="preserve">. </w:t>
      </w:r>
      <w:r w:rsidR="00FA53EE">
        <w:rPr>
          <w:rFonts w:ascii="Times New Roman" w:eastAsia="Calibri" w:hAnsi="Times New Roman" w:cs="Simplified Arabic" w:hint="cs"/>
          <w:b/>
          <w:bCs/>
          <w:sz w:val="24"/>
          <w:szCs w:val="28"/>
          <w:rtl/>
        </w:rPr>
        <w:t>مصطلحات الدراسة</w:t>
      </w:r>
    </w:p>
    <w:p w14:paraId="65052F90"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أولاً: القيادة المستدامة </w:t>
      </w:r>
      <w:r w:rsidRPr="00B14A8D">
        <w:rPr>
          <w:rFonts w:ascii="Times New Roman" w:eastAsia="Calibri" w:hAnsi="Times New Roman" w:cs="Simplified Arabic"/>
          <w:b/>
          <w:bCs/>
          <w:sz w:val="24"/>
          <w:szCs w:val="28"/>
        </w:rPr>
        <w:t>(Sustainable Leadership)</w:t>
      </w:r>
    </w:p>
    <w:p w14:paraId="12FE97EF" w14:textId="4DFA9D08"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 xml:space="preserve">عرّفها </w:t>
      </w:r>
      <w:r w:rsidRPr="00B14A8D">
        <w:rPr>
          <w:rFonts w:ascii="Times New Roman" w:eastAsia="Calibri" w:hAnsi="Times New Roman" w:cs="Simplified Arabic"/>
          <w:sz w:val="24"/>
          <w:szCs w:val="28"/>
        </w:rPr>
        <w:t xml:space="preserve">Ribeiro </w:t>
      </w:r>
      <w:r w:rsidR="000C1F67">
        <w:rPr>
          <w:rFonts w:ascii="Times New Roman" w:eastAsia="Calibri" w:hAnsi="Times New Roman" w:cs="Simplified Arabic"/>
          <w:sz w:val="24"/>
          <w:szCs w:val="28"/>
        </w:rPr>
        <w:t>&amp;</w:t>
      </w:r>
      <w:r w:rsidRPr="00B14A8D">
        <w:rPr>
          <w:rFonts w:ascii="Times New Roman" w:eastAsia="Calibri" w:hAnsi="Times New Roman" w:cs="Simplified Arabic"/>
          <w:sz w:val="24"/>
          <w:szCs w:val="28"/>
        </w:rPr>
        <w:t xml:space="preserve"> Leitão (2024, p. 2)</w:t>
      </w:r>
      <w:r w:rsidRPr="00B14A8D">
        <w:rPr>
          <w:rFonts w:ascii="Times New Roman" w:eastAsia="Calibri" w:hAnsi="Times New Roman" w:cs="Simplified Arabic"/>
          <w:sz w:val="24"/>
          <w:szCs w:val="28"/>
          <w:rtl/>
        </w:rPr>
        <w:t xml:space="preserve"> بأنها: "عملية </w:t>
      </w:r>
      <w:r w:rsidR="000C1F67" w:rsidRPr="000C1F67">
        <w:rPr>
          <w:rFonts w:ascii="Times New Roman" w:eastAsia="Calibri" w:hAnsi="Times New Roman" w:cs="Simplified Arabic"/>
          <w:sz w:val="24"/>
          <w:szCs w:val="28"/>
          <w:rtl/>
        </w:rPr>
        <w:t xml:space="preserve">التأثير في الآخرين لتحقيق توازن بين الأهداف الاقتصادية والاجتماعية والبيئية على المدى الطويل، من خلال اتخاذ قرارات مسؤولة وأخلاقية تأخذ في الاعتبار مصالح جميع أصحاب المصلحة". وبمنظور مشابه، أوضح </w:t>
      </w:r>
      <w:r w:rsidR="000C1F67" w:rsidRPr="000C1F67">
        <w:rPr>
          <w:rFonts w:ascii="Times New Roman" w:eastAsia="Calibri" w:hAnsi="Times New Roman" w:cs="Simplified Arabic"/>
          <w:sz w:val="24"/>
          <w:szCs w:val="28"/>
        </w:rPr>
        <w:t>Iqbal et al. (2023, p. 11856)</w:t>
      </w:r>
      <w:r w:rsidR="000C1F67" w:rsidRPr="000C1F67">
        <w:rPr>
          <w:rFonts w:ascii="Times New Roman" w:eastAsia="Calibri" w:hAnsi="Times New Roman" w:cs="Simplified Arabic"/>
          <w:sz w:val="24"/>
          <w:szCs w:val="28"/>
          <w:rtl/>
        </w:rPr>
        <w:t xml:space="preserve"> أنها: "نهج قيادي يركز على خلق قيمة طويلة الأمد من خلال دمج الاستدامة في استراتيجية المنظمة وثقافتها وعملياتها، مع إيلاء اهتمام متساوٍ للأداء المالي والمسؤولية الاجتماعية والبيئية". في حين يرى </w:t>
      </w:r>
      <w:proofErr w:type="spellStart"/>
      <w:r w:rsidR="000C1F67" w:rsidRPr="000C1F67">
        <w:rPr>
          <w:rFonts w:ascii="Times New Roman" w:eastAsia="Calibri" w:hAnsi="Times New Roman" w:cs="Simplified Arabic"/>
          <w:sz w:val="24"/>
          <w:szCs w:val="28"/>
          <w:rtl/>
        </w:rPr>
        <w:t>الحدراوي</w:t>
      </w:r>
      <w:proofErr w:type="spellEnd"/>
      <w:r w:rsidR="000C1F67" w:rsidRPr="000C1F67">
        <w:rPr>
          <w:rFonts w:ascii="Times New Roman" w:eastAsia="Calibri" w:hAnsi="Times New Roman" w:cs="Simplified Arabic"/>
          <w:sz w:val="24"/>
          <w:szCs w:val="28"/>
          <w:rtl/>
        </w:rPr>
        <w:t xml:space="preserve"> (2018، ص. 190) أنها: "القدرة على التأثير في الأفراد وتوجيههم نحو تحقيق رؤية المنظمة المستقبلية، مع الالتزام بتنمية رأس المال البشري والمحافظة على الموارد الطبيعية لضمان استمرارية المنظمة ورفاهية المجتمع".</w:t>
      </w:r>
    </w:p>
    <w:p w14:paraId="4C175F86"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 xml:space="preserve">وفي سياق هذه الدراسة، يُعرّف مصطلح </w:t>
      </w:r>
      <w:r w:rsidRPr="00B14A8D">
        <w:rPr>
          <w:rFonts w:ascii="Times New Roman" w:eastAsia="Calibri" w:hAnsi="Times New Roman" w:cs="Simplified Arabic"/>
          <w:b/>
          <w:bCs/>
          <w:sz w:val="24"/>
          <w:szCs w:val="28"/>
          <w:rtl/>
        </w:rPr>
        <w:t>القيادة المستدامة</w:t>
      </w:r>
      <w:r w:rsidRPr="00B14A8D">
        <w:rPr>
          <w:rFonts w:ascii="Times New Roman" w:eastAsia="Calibri" w:hAnsi="Times New Roman" w:cs="Simplified Arabic"/>
          <w:sz w:val="24"/>
          <w:szCs w:val="28"/>
          <w:rtl/>
        </w:rPr>
        <w:t xml:space="preserve"> إجرائياً، بأنه: الدرجة التي يمارس بها القادة والمديرون في شركات المقاولات اليمنية سلوكيات وممارسات إدارية تعكس أبعادها المتمثلة في (الرؤية طويلة الأمد، والمسؤولية البيئية، والمسؤولية الاجتماعية والأخلاقية، وتنمية وتمكين الموظفين، وإشراك أصحاب المصلحة، والابتكار والجودة)، والتي سيتم قياسها من خلال متوسط استجابات أفراد عينة الدراسة على الفقرات المخصصة لذلك في أداة الدراسة.</w:t>
      </w:r>
    </w:p>
    <w:p w14:paraId="37B87E42"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تعريفات أبعاد القيادة المستدامة:</w:t>
      </w:r>
    </w:p>
    <w:p w14:paraId="3BD07701" w14:textId="1E8E5143" w:rsidR="00B14A8D" w:rsidRPr="00B14A8D" w:rsidRDefault="00B14A8D" w:rsidP="00B14A8D">
      <w:pPr>
        <w:numPr>
          <w:ilvl w:val="0"/>
          <w:numId w:val="6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الرؤية طويلة الأمد </w:t>
      </w:r>
      <w:r w:rsidRPr="00B14A8D">
        <w:rPr>
          <w:rFonts w:ascii="Times New Roman" w:eastAsia="Calibri" w:hAnsi="Times New Roman" w:cs="Simplified Arabic"/>
          <w:b/>
          <w:bCs/>
          <w:sz w:val="24"/>
          <w:szCs w:val="28"/>
        </w:rPr>
        <w:t>(Long-Term Vision)</w:t>
      </w:r>
      <w:r w:rsidRPr="00B14A8D">
        <w:rPr>
          <w:rFonts w:ascii="Times New Roman" w:eastAsia="Calibri" w:hAnsi="Times New Roman" w:cs="Simplified Arabic"/>
          <w:b/>
          <w:bCs/>
          <w:sz w:val="24"/>
          <w:szCs w:val="28"/>
          <w:rtl/>
        </w:rPr>
        <w:t xml:space="preserve">: </w:t>
      </w:r>
      <w:r w:rsidRPr="00B14A8D">
        <w:rPr>
          <w:rFonts w:ascii="Times New Roman" w:eastAsia="Calibri" w:hAnsi="Times New Roman" w:cs="Simplified Arabic"/>
          <w:sz w:val="24"/>
          <w:szCs w:val="28"/>
          <w:rtl/>
        </w:rPr>
        <w:t xml:space="preserve">تُعرّف </w:t>
      </w:r>
      <w:r w:rsidR="001C0D65" w:rsidRPr="001C0D65">
        <w:rPr>
          <w:rFonts w:ascii="Times New Roman" w:eastAsia="Calibri" w:hAnsi="Times New Roman" w:cs="Simplified Arabic"/>
          <w:sz w:val="24"/>
          <w:szCs w:val="28"/>
          <w:rtl/>
        </w:rPr>
        <w:t>بأنها</w:t>
      </w:r>
      <w:r w:rsidR="001C0D65">
        <w:rPr>
          <w:rFonts w:ascii="Times New Roman" w:eastAsia="Calibri" w:hAnsi="Times New Roman" w:cs="Simplified Arabic" w:hint="cs"/>
          <w:sz w:val="24"/>
          <w:szCs w:val="28"/>
          <w:rtl/>
        </w:rPr>
        <w:t>:</w:t>
      </w:r>
      <w:r w:rsidR="001C0D65" w:rsidRPr="001C0D65">
        <w:rPr>
          <w:rFonts w:ascii="Times New Roman" w:eastAsia="Calibri" w:hAnsi="Times New Roman" w:cs="Simplified Arabic"/>
          <w:sz w:val="24"/>
          <w:szCs w:val="28"/>
          <w:rtl/>
        </w:rPr>
        <w:t xml:space="preserve"> "قدرة القادة على صياغة وتوصيل رؤية مستقبلية للمنظمة تتجاوز المكاسب الفورية، وتركز على تحقيق النجاح المستدام من خلال الموازنة بين الأهداف الاقتصادية والبيئية والاجتماعية" (</w:t>
      </w:r>
      <w:r w:rsidR="001C0D65" w:rsidRPr="001C0D65">
        <w:rPr>
          <w:rFonts w:ascii="Times New Roman" w:eastAsia="Calibri" w:hAnsi="Times New Roman" w:cs="Simplified Arabic"/>
          <w:sz w:val="24"/>
          <w:szCs w:val="28"/>
        </w:rPr>
        <w:t>García-Morales et al., 2024, p. 1236</w:t>
      </w:r>
      <w:r w:rsidR="001C0D65" w:rsidRPr="001C0D65">
        <w:rPr>
          <w:rFonts w:ascii="Times New Roman" w:eastAsia="Calibri" w:hAnsi="Times New Roman" w:cs="Simplified Arabic"/>
          <w:sz w:val="24"/>
          <w:szCs w:val="28"/>
          <w:rtl/>
        </w:rPr>
        <w:t xml:space="preserve">). </w:t>
      </w:r>
      <w:r w:rsidR="001C0D65" w:rsidRPr="001C0D65">
        <w:rPr>
          <w:rFonts w:ascii="Times New Roman" w:eastAsia="Calibri" w:hAnsi="Times New Roman" w:cs="Simplified Arabic"/>
          <w:b/>
          <w:bCs/>
          <w:sz w:val="24"/>
          <w:szCs w:val="28"/>
          <w:rtl/>
        </w:rPr>
        <w:t>وإجرائياً</w:t>
      </w:r>
      <w:r w:rsidR="001C0D65" w:rsidRPr="001C0D65">
        <w:rPr>
          <w:rFonts w:ascii="Times New Roman" w:eastAsia="Calibri" w:hAnsi="Times New Roman" w:cs="Simplified Arabic"/>
          <w:sz w:val="24"/>
          <w:szCs w:val="28"/>
          <w:rtl/>
        </w:rPr>
        <w:t>، تُقاس بمدى تركيز قادة شركات المقاولات على التخطيط الاستراتيجي الذي يضمن استمرارية الشركة ونموها المستقبلي مع الحفاظ على الموارد.</w:t>
      </w:r>
    </w:p>
    <w:p w14:paraId="477230B6" w14:textId="75D3EAC3" w:rsidR="00B14A8D" w:rsidRPr="00B14A8D" w:rsidRDefault="00B14A8D" w:rsidP="00B14A8D">
      <w:pPr>
        <w:numPr>
          <w:ilvl w:val="0"/>
          <w:numId w:val="6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المسؤولية البيئية </w:t>
      </w:r>
      <w:r w:rsidRPr="00B14A8D">
        <w:rPr>
          <w:rFonts w:ascii="Times New Roman" w:eastAsia="Calibri" w:hAnsi="Times New Roman" w:cs="Simplified Arabic"/>
          <w:b/>
          <w:bCs/>
          <w:sz w:val="24"/>
          <w:szCs w:val="28"/>
        </w:rPr>
        <w:t>(Environmental Responsibility)</w:t>
      </w:r>
      <w:r w:rsidRPr="00B14A8D">
        <w:rPr>
          <w:rFonts w:ascii="Times New Roman" w:eastAsia="Calibri" w:hAnsi="Times New Roman" w:cs="Simplified Arabic"/>
          <w:b/>
          <w:bCs/>
          <w:sz w:val="24"/>
          <w:szCs w:val="28"/>
          <w:rtl/>
        </w:rPr>
        <w:t xml:space="preserve">: </w:t>
      </w:r>
      <w:r w:rsidRPr="00B14A8D">
        <w:rPr>
          <w:rFonts w:ascii="Times New Roman" w:eastAsia="Calibri" w:hAnsi="Times New Roman" w:cs="Simplified Arabic"/>
          <w:sz w:val="24"/>
          <w:szCs w:val="28"/>
          <w:rtl/>
        </w:rPr>
        <w:t xml:space="preserve">تُعرّف </w:t>
      </w:r>
      <w:r w:rsidR="001C0D65" w:rsidRPr="001C0D65">
        <w:rPr>
          <w:rFonts w:ascii="Times New Roman" w:eastAsia="Calibri" w:hAnsi="Times New Roman" w:cs="Simplified Arabic"/>
          <w:sz w:val="24"/>
          <w:szCs w:val="28"/>
          <w:rtl/>
        </w:rPr>
        <w:t>بأنها</w:t>
      </w:r>
      <w:r w:rsidR="001C0D65">
        <w:rPr>
          <w:rFonts w:ascii="Times New Roman" w:eastAsia="Calibri" w:hAnsi="Times New Roman" w:cs="Simplified Arabic" w:hint="cs"/>
          <w:sz w:val="24"/>
          <w:szCs w:val="28"/>
          <w:rtl/>
        </w:rPr>
        <w:t>:</w:t>
      </w:r>
      <w:r w:rsidR="001C0D65" w:rsidRPr="001C0D65">
        <w:rPr>
          <w:rFonts w:ascii="Times New Roman" w:eastAsia="Calibri" w:hAnsi="Times New Roman" w:cs="Simplified Arabic"/>
          <w:sz w:val="24"/>
          <w:szCs w:val="28"/>
          <w:rtl/>
        </w:rPr>
        <w:t xml:space="preserve"> "الالتزام الذي يظهره القادة تجاه تقليل الأثر البيئي السلبي للمنظمة، من خلال تبني سياسات وممارسات استباقية تهدف إلى حماية البيئة والمحافظة على الموارد الطبيعية" (</w:t>
      </w:r>
      <w:r w:rsidR="001C0D65" w:rsidRPr="001C0D65">
        <w:rPr>
          <w:rFonts w:ascii="Times New Roman" w:eastAsia="Calibri" w:hAnsi="Times New Roman" w:cs="Simplified Arabic"/>
          <w:sz w:val="24"/>
          <w:szCs w:val="28"/>
        </w:rPr>
        <w:t>Nisar et al., 2025, p. 507</w:t>
      </w:r>
      <w:r w:rsidR="001C0D65" w:rsidRPr="001C0D65">
        <w:rPr>
          <w:rFonts w:ascii="Times New Roman" w:eastAsia="Calibri" w:hAnsi="Times New Roman" w:cs="Simplified Arabic"/>
          <w:sz w:val="24"/>
          <w:szCs w:val="28"/>
          <w:rtl/>
        </w:rPr>
        <w:t xml:space="preserve">). </w:t>
      </w:r>
      <w:r w:rsidR="001C0D65" w:rsidRPr="001C0D65">
        <w:rPr>
          <w:rFonts w:ascii="Times New Roman" w:eastAsia="Calibri" w:hAnsi="Times New Roman" w:cs="Simplified Arabic"/>
          <w:b/>
          <w:bCs/>
          <w:sz w:val="24"/>
          <w:szCs w:val="28"/>
          <w:rtl/>
        </w:rPr>
        <w:lastRenderedPageBreak/>
        <w:t>وإجرائياً</w:t>
      </w:r>
      <w:r w:rsidR="001C0D65" w:rsidRPr="001C0D65">
        <w:rPr>
          <w:rFonts w:ascii="Times New Roman" w:eastAsia="Calibri" w:hAnsi="Times New Roman" w:cs="Simplified Arabic"/>
          <w:sz w:val="24"/>
          <w:szCs w:val="28"/>
          <w:rtl/>
        </w:rPr>
        <w:t>، تُقاس بمدى تبني قادة الشركات لسياسات وإجراءات عملية للحد من التلوث وإدارة النفايات وترشيد استهلاك الموارد في المشاريع.</w:t>
      </w:r>
    </w:p>
    <w:p w14:paraId="02C39DAC" w14:textId="7A41C4DD" w:rsidR="00B14A8D" w:rsidRPr="00B14A8D" w:rsidRDefault="00B14A8D" w:rsidP="00B14A8D">
      <w:pPr>
        <w:numPr>
          <w:ilvl w:val="0"/>
          <w:numId w:val="6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المسؤولية الاجتماعية والأخلاقية </w:t>
      </w:r>
      <w:r w:rsidRPr="00B14A8D">
        <w:rPr>
          <w:rFonts w:ascii="Times New Roman" w:eastAsia="Calibri" w:hAnsi="Times New Roman" w:cs="Simplified Arabic"/>
          <w:b/>
          <w:bCs/>
          <w:sz w:val="24"/>
          <w:szCs w:val="28"/>
        </w:rPr>
        <w:t>(Social and Ethical Responsibility)</w:t>
      </w:r>
      <w:r w:rsidRPr="00B14A8D">
        <w:rPr>
          <w:rFonts w:ascii="Times New Roman" w:eastAsia="Calibri" w:hAnsi="Times New Roman" w:cs="Simplified Arabic"/>
          <w:b/>
          <w:bCs/>
          <w:sz w:val="24"/>
          <w:szCs w:val="28"/>
          <w:rtl/>
        </w:rPr>
        <w:t xml:space="preserve">: </w:t>
      </w:r>
      <w:r w:rsidRPr="00B14A8D">
        <w:rPr>
          <w:rFonts w:ascii="Times New Roman" w:eastAsia="Calibri" w:hAnsi="Times New Roman" w:cs="Simplified Arabic"/>
          <w:sz w:val="24"/>
          <w:szCs w:val="28"/>
          <w:rtl/>
        </w:rPr>
        <w:t xml:space="preserve">تُعرّف </w:t>
      </w:r>
      <w:r w:rsidR="001C0D65" w:rsidRPr="001C0D65">
        <w:rPr>
          <w:rFonts w:ascii="Times New Roman" w:eastAsia="Calibri" w:hAnsi="Times New Roman" w:cs="Simplified Arabic"/>
          <w:sz w:val="24"/>
          <w:szCs w:val="28"/>
          <w:rtl/>
        </w:rPr>
        <w:t>بأنها</w:t>
      </w:r>
      <w:r w:rsidR="001C0D65">
        <w:rPr>
          <w:rFonts w:ascii="Times New Roman" w:eastAsia="Calibri" w:hAnsi="Times New Roman" w:cs="Simplified Arabic" w:hint="cs"/>
          <w:sz w:val="24"/>
          <w:szCs w:val="28"/>
          <w:rtl/>
        </w:rPr>
        <w:t>:</w:t>
      </w:r>
      <w:r w:rsidR="001C0D65" w:rsidRPr="001C0D65">
        <w:rPr>
          <w:rFonts w:ascii="Times New Roman" w:eastAsia="Calibri" w:hAnsi="Times New Roman" w:cs="Simplified Arabic"/>
          <w:sz w:val="24"/>
          <w:szCs w:val="28"/>
          <w:rtl/>
        </w:rPr>
        <w:t xml:space="preserve"> "اهتمام القيادة برفاهية الموظفين والمجتمع، والالتزام بمعايير سلوكية وأخلاقية عالية في جميع تعاملات المنظمة الداخلية والخارجية" (</w:t>
      </w:r>
      <w:r w:rsidR="001C0D65" w:rsidRPr="001C0D65">
        <w:rPr>
          <w:rFonts w:ascii="Times New Roman" w:eastAsia="Calibri" w:hAnsi="Times New Roman" w:cs="Simplified Arabic"/>
          <w:sz w:val="24"/>
          <w:szCs w:val="28"/>
        </w:rPr>
        <w:t>Iqbal et al., 2023, p. 11855</w:t>
      </w:r>
      <w:r w:rsidR="001C0D65" w:rsidRPr="001C0D65">
        <w:rPr>
          <w:rFonts w:ascii="Times New Roman" w:eastAsia="Calibri" w:hAnsi="Times New Roman" w:cs="Simplified Arabic"/>
          <w:sz w:val="24"/>
          <w:szCs w:val="28"/>
          <w:rtl/>
        </w:rPr>
        <w:t xml:space="preserve">). </w:t>
      </w:r>
      <w:r w:rsidR="001C0D65" w:rsidRPr="001C0D65">
        <w:rPr>
          <w:rFonts w:ascii="Times New Roman" w:eastAsia="Calibri" w:hAnsi="Times New Roman" w:cs="Simplified Arabic"/>
          <w:b/>
          <w:bCs/>
          <w:sz w:val="24"/>
          <w:szCs w:val="28"/>
          <w:rtl/>
        </w:rPr>
        <w:t>وإجرائياً</w:t>
      </w:r>
      <w:r w:rsidR="001C0D65" w:rsidRPr="001C0D65">
        <w:rPr>
          <w:rFonts w:ascii="Times New Roman" w:eastAsia="Calibri" w:hAnsi="Times New Roman" w:cs="Simplified Arabic"/>
          <w:sz w:val="24"/>
          <w:szCs w:val="28"/>
          <w:rtl/>
        </w:rPr>
        <w:t>، تُقاس بمدى التزام قادة الشركات بتوفير بيئة عمل آمنة وعادلة، والمساهمة في تنمية المجتمع المحلي، والتعامل بشفافية وأخلاقية مع كافة الأطراف.</w:t>
      </w:r>
    </w:p>
    <w:p w14:paraId="25848403" w14:textId="5D5A7FB6" w:rsidR="00B14A8D" w:rsidRPr="00B14A8D" w:rsidRDefault="00B14A8D" w:rsidP="00B14A8D">
      <w:pPr>
        <w:numPr>
          <w:ilvl w:val="0"/>
          <w:numId w:val="6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تنمية وتمكين الموظفين </w:t>
      </w:r>
      <w:r w:rsidRPr="00B14A8D">
        <w:rPr>
          <w:rFonts w:ascii="Times New Roman" w:eastAsia="Calibri" w:hAnsi="Times New Roman" w:cs="Simplified Arabic"/>
          <w:b/>
          <w:bCs/>
          <w:sz w:val="24"/>
          <w:szCs w:val="28"/>
        </w:rPr>
        <w:t>(Employee Development and Empowerment)</w:t>
      </w:r>
      <w:r w:rsidRPr="00B14A8D">
        <w:rPr>
          <w:rFonts w:ascii="Times New Roman" w:eastAsia="Calibri" w:hAnsi="Times New Roman" w:cs="Simplified Arabic"/>
          <w:b/>
          <w:bCs/>
          <w:sz w:val="24"/>
          <w:szCs w:val="28"/>
          <w:rtl/>
        </w:rPr>
        <w:t xml:space="preserve">: </w:t>
      </w:r>
      <w:r w:rsidRPr="00B14A8D">
        <w:rPr>
          <w:rFonts w:ascii="Times New Roman" w:eastAsia="Calibri" w:hAnsi="Times New Roman" w:cs="Simplified Arabic"/>
          <w:sz w:val="24"/>
          <w:szCs w:val="28"/>
          <w:rtl/>
        </w:rPr>
        <w:t>تُعرّف بأنها</w:t>
      </w:r>
      <w:r w:rsidR="001C0D65">
        <w:rPr>
          <w:rFonts w:ascii="Times New Roman" w:eastAsia="Calibri" w:hAnsi="Times New Roman" w:cs="Simplified Arabic" w:hint="cs"/>
          <w:sz w:val="24"/>
          <w:szCs w:val="28"/>
          <w:rtl/>
        </w:rPr>
        <w:t>:</w:t>
      </w:r>
      <w:r w:rsidRPr="00B14A8D">
        <w:rPr>
          <w:rFonts w:ascii="Times New Roman" w:eastAsia="Calibri" w:hAnsi="Times New Roman" w:cs="Simplified Arabic"/>
          <w:sz w:val="24"/>
          <w:szCs w:val="28"/>
          <w:rtl/>
        </w:rPr>
        <w:t xml:space="preserve"> </w:t>
      </w:r>
      <w:r w:rsidR="001C0D65" w:rsidRPr="001C0D65">
        <w:rPr>
          <w:rFonts w:ascii="Times New Roman" w:eastAsia="Calibri" w:hAnsi="Times New Roman" w:cs="Simplified Arabic"/>
          <w:sz w:val="24"/>
          <w:szCs w:val="28"/>
          <w:rtl/>
        </w:rPr>
        <w:t>"الجهود التي يبذلها القادة للاستثمار في رأس المال البشري من خلال التدريب والتطوير، ومنح الموظفين الصلاحيات والثقة للمشاركة في صنع القرار والمساهمة في تحقيق أهداف الاستدامة" (</w:t>
      </w:r>
      <w:proofErr w:type="spellStart"/>
      <w:r w:rsidR="001C0D65" w:rsidRPr="001C0D65">
        <w:rPr>
          <w:rFonts w:ascii="Times New Roman" w:eastAsia="Calibri" w:hAnsi="Times New Roman" w:cs="Simplified Arabic"/>
          <w:sz w:val="24"/>
          <w:szCs w:val="28"/>
        </w:rPr>
        <w:t>Tuzcu</w:t>
      </w:r>
      <w:proofErr w:type="spellEnd"/>
      <w:r w:rsidR="001C0D65" w:rsidRPr="001C0D65">
        <w:rPr>
          <w:rFonts w:ascii="Times New Roman" w:eastAsia="Calibri" w:hAnsi="Times New Roman" w:cs="Simplified Arabic"/>
          <w:sz w:val="24"/>
          <w:szCs w:val="28"/>
        </w:rPr>
        <w:t xml:space="preserve"> et al., 2024, p. 4993</w:t>
      </w:r>
      <w:r w:rsidR="001C0D65" w:rsidRPr="001C0D65">
        <w:rPr>
          <w:rFonts w:ascii="Times New Roman" w:eastAsia="Calibri" w:hAnsi="Times New Roman" w:cs="Simplified Arabic"/>
          <w:sz w:val="24"/>
          <w:szCs w:val="28"/>
          <w:rtl/>
        </w:rPr>
        <w:t xml:space="preserve">). </w:t>
      </w:r>
      <w:r w:rsidR="001C0D65" w:rsidRPr="001C0D65">
        <w:rPr>
          <w:rFonts w:ascii="Times New Roman" w:eastAsia="Calibri" w:hAnsi="Times New Roman" w:cs="Simplified Arabic"/>
          <w:b/>
          <w:bCs/>
          <w:sz w:val="24"/>
          <w:szCs w:val="28"/>
          <w:rtl/>
        </w:rPr>
        <w:t>وإجرائياً</w:t>
      </w:r>
      <w:r w:rsidR="001C0D65" w:rsidRPr="001C0D65">
        <w:rPr>
          <w:rFonts w:ascii="Times New Roman" w:eastAsia="Calibri" w:hAnsi="Times New Roman" w:cs="Simplified Arabic"/>
          <w:sz w:val="24"/>
          <w:szCs w:val="28"/>
          <w:rtl/>
        </w:rPr>
        <w:t>، تُقاس بمدى قيام قادة الشركات بتوفير فرص التدريب للموظفين وتشجيعهم على تقديم المبادرات المتعلقة بالممارسات الخضراء.</w:t>
      </w:r>
    </w:p>
    <w:p w14:paraId="67C9273B" w14:textId="0DE64FA4" w:rsidR="00B14A8D" w:rsidRPr="00B14A8D" w:rsidRDefault="00B14A8D" w:rsidP="00B14A8D">
      <w:pPr>
        <w:numPr>
          <w:ilvl w:val="0"/>
          <w:numId w:val="6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إشراك أصحاب المصلحة </w:t>
      </w:r>
      <w:r w:rsidRPr="00B14A8D">
        <w:rPr>
          <w:rFonts w:ascii="Times New Roman" w:eastAsia="Calibri" w:hAnsi="Times New Roman" w:cs="Simplified Arabic"/>
          <w:b/>
          <w:bCs/>
          <w:sz w:val="24"/>
          <w:szCs w:val="28"/>
        </w:rPr>
        <w:t>(Stakeholder Engagement)</w:t>
      </w:r>
      <w:r w:rsidRPr="00B14A8D">
        <w:rPr>
          <w:rFonts w:ascii="Times New Roman" w:eastAsia="Calibri" w:hAnsi="Times New Roman" w:cs="Simplified Arabic"/>
          <w:b/>
          <w:bCs/>
          <w:sz w:val="24"/>
          <w:szCs w:val="28"/>
          <w:rtl/>
        </w:rPr>
        <w:t xml:space="preserve">: </w:t>
      </w:r>
      <w:r w:rsidRPr="00B14A8D">
        <w:rPr>
          <w:rFonts w:ascii="Times New Roman" w:eastAsia="Calibri" w:hAnsi="Times New Roman" w:cs="Simplified Arabic"/>
          <w:sz w:val="24"/>
          <w:szCs w:val="28"/>
          <w:rtl/>
        </w:rPr>
        <w:t xml:space="preserve">تُعرّف </w:t>
      </w:r>
      <w:r w:rsidR="001C0D65" w:rsidRPr="001C0D65">
        <w:rPr>
          <w:rFonts w:ascii="Times New Roman" w:eastAsia="Calibri" w:hAnsi="Times New Roman" w:cs="Simplified Arabic"/>
          <w:sz w:val="24"/>
          <w:szCs w:val="28"/>
          <w:rtl/>
        </w:rPr>
        <w:t>بأنها</w:t>
      </w:r>
      <w:r w:rsidR="001C0D65">
        <w:rPr>
          <w:rFonts w:ascii="Times New Roman" w:eastAsia="Calibri" w:hAnsi="Times New Roman" w:cs="Simplified Arabic" w:hint="cs"/>
          <w:sz w:val="24"/>
          <w:szCs w:val="28"/>
          <w:rtl/>
        </w:rPr>
        <w:t>:</w:t>
      </w:r>
      <w:r w:rsidR="001C0D65" w:rsidRPr="001C0D65">
        <w:rPr>
          <w:rFonts w:ascii="Times New Roman" w:eastAsia="Calibri" w:hAnsi="Times New Roman" w:cs="Simplified Arabic"/>
          <w:sz w:val="24"/>
          <w:szCs w:val="28"/>
          <w:rtl/>
        </w:rPr>
        <w:t xml:space="preserve"> "العملية التي من خلالها يقوم القادة ببناء علاقات تواصل وتعاون شفافة وبنّاءة مع جميع الأطراف التي تؤثر أو تتأثر بأنشطة المنظمة، بهدف فهم توقعاتهم وإدماجها في عملية صنع القرار" (</w:t>
      </w:r>
      <w:r w:rsidR="001C0D65" w:rsidRPr="001C0D65">
        <w:rPr>
          <w:rFonts w:ascii="Times New Roman" w:eastAsia="Calibri" w:hAnsi="Times New Roman" w:cs="Simplified Arabic"/>
          <w:sz w:val="24"/>
          <w:szCs w:val="28"/>
        </w:rPr>
        <w:t>Khan and Mahmood, 2024, p. 1237</w:t>
      </w:r>
      <w:r w:rsidR="001C0D65" w:rsidRPr="001C0D65">
        <w:rPr>
          <w:rFonts w:ascii="Times New Roman" w:eastAsia="Calibri" w:hAnsi="Times New Roman" w:cs="Simplified Arabic"/>
          <w:sz w:val="24"/>
          <w:szCs w:val="28"/>
          <w:rtl/>
        </w:rPr>
        <w:t xml:space="preserve">). </w:t>
      </w:r>
      <w:r w:rsidR="001C0D65" w:rsidRPr="000C1F67">
        <w:rPr>
          <w:rFonts w:ascii="Times New Roman" w:eastAsia="Calibri" w:hAnsi="Times New Roman" w:cs="Simplified Arabic"/>
          <w:b/>
          <w:bCs/>
          <w:sz w:val="24"/>
          <w:szCs w:val="28"/>
          <w:rtl/>
        </w:rPr>
        <w:t>وإجرائياً</w:t>
      </w:r>
      <w:r w:rsidR="001C0D65" w:rsidRPr="001C0D65">
        <w:rPr>
          <w:rFonts w:ascii="Times New Roman" w:eastAsia="Calibri" w:hAnsi="Times New Roman" w:cs="Simplified Arabic"/>
          <w:sz w:val="24"/>
          <w:szCs w:val="28"/>
          <w:rtl/>
        </w:rPr>
        <w:t>، تُقاس بمدى حرص قادة الشركات على التواصل الفعال مع الموردين والعملاء والمجتمع المحلي والجهات الحكومية بشأن قضايا الاستدامة.</w:t>
      </w:r>
    </w:p>
    <w:p w14:paraId="2AF2DF7F" w14:textId="39D6ECEF" w:rsidR="00B14A8D" w:rsidRPr="00B14A8D" w:rsidRDefault="00B14A8D" w:rsidP="00B14A8D">
      <w:pPr>
        <w:numPr>
          <w:ilvl w:val="0"/>
          <w:numId w:val="60"/>
        </w:numPr>
        <w:spacing w:after="240" w:line="276" w:lineRule="auto"/>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الابتكار والجودة </w:t>
      </w:r>
      <w:r w:rsidRPr="00B14A8D">
        <w:rPr>
          <w:rFonts w:ascii="Times New Roman" w:eastAsia="Calibri" w:hAnsi="Times New Roman" w:cs="Simplified Arabic"/>
          <w:b/>
          <w:bCs/>
          <w:sz w:val="24"/>
          <w:szCs w:val="28"/>
        </w:rPr>
        <w:t>(Innovation and Quality)</w:t>
      </w:r>
      <w:r w:rsidRPr="00B14A8D">
        <w:rPr>
          <w:rFonts w:ascii="Times New Roman" w:eastAsia="Calibri" w:hAnsi="Times New Roman" w:cs="Simplified Arabic"/>
          <w:b/>
          <w:bCs/>
          <w:sz w:val="24"/>
          <w:szCs w:val="28"/>
          <w:rtl/>
        </w:rPr>
        <w:t xml:space="preserve">: </w:t>
      </w:r>
      <w:r w:rsidRPr="00B14A8D">
        <w:rPr>
          <w:rFonts w:ascii="Times New Roman" w:eastAsia="Calibri" w:hAnsi="Times New Roman" w:cs="Simplified Arabic"/>
          <w:sz w:val="24"/>
          <w:szCs w:val="28"/>
          <w:rtl/>
        </w:rPr>
        <w:t xml:space="preserve">تُعرّف </w:t>
      </w:r>
      <w:r w:rsidR="001C0D65" w:rsidRPr="001C0D65">
        <w:rPr>
          <w:rFonts w:ascii="Times New Roman" w:eastAsia="Calibri" w:hAnsi="Times New Roman" w:cs="Simplified Arabic"/>
          <w:sz w:val="24"/>
          <w:szCs w:val="28"/>
          <w:rtl/>
        </w:rPr>
        <w:t>بأنها: "سعي القيادة المستمر نحو تشجيع وتطبيق أفكار وعمليات جديدة تهدف إلى تحسين جودة المنتجات والخدمات مع تقليل بصمتها البيئية، بما يعزز من القدرة التنافسية المستدامة للمنظمة" (</w:t>
      </w:r>
      <w:r w:rsidR="001C0D65" w:rsidRPr="001C0D65">
        <w:rPr>
          <w:rFonts w:ascii="Times New Roman" w:eastAsia="Calibri" w:hAnsi="Times New Roman" w:cs="Simplified Arabic"/>
          <w:sz w:val="24"/>
          <w:szCs w:val="28"/>
        </w:rPr>
        <w:t>Lehtimäki et al., 2025, p. 5</w:t>
      </w:r>
      <w:r w:rsidR="001C0D65" w:rsidRPr="001C0D65">
        <w:rPr>
          <w:rFonts w:ascii="Times New Roman" w:eastAsia="Calibri" w:hAnsi="Times New Roman" w:cs="Simplified Arabic"/>
          <w:sz w:val="24"/>
          <w:szCs w:val="28"/>
          <w:rtl/>
        </w:rPr>
        <w:t xml:space="preserve">). </w:t>
      </w:r>
      <w:r w:rsidR="001C0D65" w:rsidRPr="000C1F67">
        <w:rPr>
          <w:rFonts w:ascii="Times New Roman" w:eastAsia="Calibri" w:hAnsi="Times New Roman" w:cs="Simplified Arabic"/>
          <w:b/>
          <w:bCs/>
          <w:sz w:val="24"/>
          <w:szCs w:val="28"/>
          <w:rtl/>
        </w:rPr>
        <w:t>وإجرائياً</w:t>
      </w:r>
      <w:r w:rsidR="001C0D65" w:rsidRPr="001C0D65">
        <w:rPr>
          <w:rFonts w:ascii="Times New Roman" w:eastAsia="Calibri" w:hAnsi="Times New Roman" w:cs="Simplified Arabic"/>
          <w:sz w:val="24"/>
          <w:szCs w:val="28"/>
          <w:rtl/>
        </w:rPr>
        <w:t>، تُقاس بمدى تشجيع قادة الشركات على استخدام تقنيات بناء حديثة ومواد صديقة للبيئة ترفع من جودة المشاريع وتحقق الكفاءة في استخدام الموارد.</w:t>
      </w:r>
    </w:p>
    <w:p w14:paraId="4274D58A"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lastRenderedPageBreak/>
        <w:t xml:space="preserve">ثانياً: الأداء التنظيمي الأخضر </w:t>
      </w:r>
      <w:r w:rsidRPr="00B14A8D">
        <w:rPr>
          <w:rFonts w:ascii="Times New Roman" w:eastAsia="Calibri" w:hAnsi="Times New Roman" w:cs="Simplified Arabic"/>
          <w:b/>
          <w:bCs/>
          <w:sz w:val="24"/>
          <w:szCs w:val="28"/>
        </w:rPr>
        <w:t>(Green Organizational Performance)</w:t>
      </w:r>
    </w:p>
    <w:p w14:paraId="1730F723" w14:textId="19E394C4"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 xml:space="preserve">عرّفه </w:t>
      </w:r>
      <w:r w:rsidRPr="00B14A8D">
        <w:rPr>
          <w:rFonts w:ascii="Times New Roman" w:eastAsia="Calibri" w:hAnsi="Times New Roman" w:cs="Simplified Arabic"/>
          <w:sz w:val="24"/>
          <w:szCs w:val="28"/>
        </w:rPr>
        <w:t>Li et al. (2024, p. 3)</w:t>
      </w:r>
      <w:r w:rsidRPr="00B14A8D">
        <w:rPr>
          <w:rFonts w:ascii="Times New Roman" w:eastAsia="Calibri" w:hAnsi="Times New Roman" w:cs="Simplified Arabic"/>
          <w:sz w:val="24"/>
          <w:szCs w:val="28"/>
          <w:rtl/>
        </w:rPr>
        <w:t xml:space="preserve"> بأنه: "قياس </w:t>
      </w:r>
      <w:r w:rsidR="00F234EC" w:rsidRPr="00F234EC">
        <w:rPr>
          <w:rFonts w:ascii="Times New Roman" w:eastAsia="Calibri" w:hAnsi="Times New Roman" w:cs="Simplified Arabic"/>
          <w:sz w:val="24"/>
          <w:szCs w:val="28"/>
          <w:rtl/>
        </w:rPr>
        <w:t>شامل لفعالية المنظمة في تحقيق أهدافها البيئية، ويشمل ذلك كفاءة استخدام الموارد، وتقليل التلوث، وتطوير منتجات وخدمات صديقة للبيئة". كما يُنظر إليه على أنه "حصيلة جهود المنظمة في إدارة تأثيراتها البيئية، والذي ينعكس في تحسين العمليات التشغيلية، والحد من النفايات، وتعزيز سمعتها ككيان مسؤول بيئياً" (</w:t>
      </w:r>
      <w:r w:rsidR="00F234EC" w:rsidRPr="00F234EC">
        <w:rPr>
          <w:rFonts w:ascii="Times New Roman" w:eastAsia="Calibri" w:hAnsi="Times New Roman" w:cs="Simplified Arabic"/>
          <w:sz w:val="24"/>
          <w:szCs w:val="28"/>
        </w:rPr>
        <w:t>Hou et al., 2023, p. 2</w:t>
      </w:r>
      <w:r w:rsidR="00F234EC" w:rsidRPr="00F234EC">
        <w:rPr>
          <w:rFonts w:ascii="Times New Roman" w:eastAsia="Calibri" w:hAnsi="Times New Roman" w:cs="Simplified Arabic"/>
          <w:sz w:val="24"/>
          <w:szCs w:val="28"/>
          <w:rtl/>
        </w:rPr>
        <w:t xml:space="preserve">). بينما يوضح </w:t>
      </w:r>
      <w:r w:rsidR="00F234EC" w:rsidRPr="00F234EC">
        <w:rPr>
          <w:rFonts w:ascii="Times New Roman" w:eastAsia="Calibri" w:hAnsi="Times New Roman" w:cs="Simplified Arabic"/>
          <w:sz w:val="24"/>
          <w:szCs w:val="28"/>
        </w:rPr>
        <w:t>Singh et al. (2020, p. 2)</w:t>
      </w:r>
      <w:r w:rsidR="00F234EC" w:rsidRPr="00F234EC">
        <w:rPr>
          <w:rFonts w:ascii="Times New Roman" w:eastAsia="Calibri" w:hAnsi="Times New Roman" w:cs="Simplified Arabic"/>
          <w:sz w:val="24"/>
          <w:szCs w:val="28"/>
          <w:rtl/>
        </w:rPr>
        <w:t xml:space="preserve"> أنه: "يشير إلى مدى قدرة الشركة على دمج الإدارة البيئية في عملياتها لتحقيق نتائج إيجابية على صعيد تقليل الأثر البيئي وتحسين الكفاءة التشغيلية".</w:t>
      </w:r>
    </w:p>
    <w:p w14:paraId="4C85B1B0" w14:textId="77777777" w:rsidR="00B14A8D" w:rsidRDefault="00B14A8D" w:rsidP="00B14A8D">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t xml:space="preserve">وفي سياق هذه الدراسة، يُعرّف مصطلح </w:t>
      </w:r>
      <w:r w:rsidRPr="00B14A8D">
        <w:rPr>
          <w:rFonts w:ascii="Times New Roman" w:eastAsia="Calibri" w:hAnsi="Times New Roman" w:cs="Simplified Arabic"/>
          <w:b/>
          <w:bCs/>
          <w:sz w:val="24"/>
          <w:szCs w:val="28"/>
          <w:rtl/>
        </w:rPr>
        <w:t>الأداء التنظيمي الأخضر</w:t>
      </w:r>
      <w:r w:rsidRPr="00B14A8D">
        <w:rPr>
          <w:rFonts w:ascii="Times New Roman" w:eastAsia="Calibri" w:hAnsi="Times New Roman" w:cs="Simplified Arabic"/>
          <w:sz w:val="24"/>
          <w:szCs w:val="28"/>
          <w:rtl/>
        </w:rPr>
        <w:t xml:space="preserve"> إجرائياً، بأنه: المستوى المتحقق من النتائج البيئية الإيجابية في شركات المقاولات اليمنية، والذي سيتم قياسه من خلال استجابات عينة الدراسة على الفقرات التي تعكس أبعاده المتمثلة في (كفاءة العمليات الخضراء، وإدارة النفايات وإعادة التدوير، والابتكار في المنتجات والخدمات الخضراء، والصورة البيئية والسمعة الخضراء، والامتثال والتوافق البيئي).</w:t>
      </w:r>
    </w:p>
    <w:p w14:paraId="5787BFE4" w14:textId="77777777" w:rsidR="00F234EC" w:rsidRPr="005E1A49" w:rsidRDefault="00F234EC" w:rsidP="00F234EC">
      <w:pPr>
        <w:spacing w:after="240" w:line="276" w:lineRule="auto"/>
        <w:ind w:firstLine="510"/>
        <w:jc w:val="both"/>
        <w:rPr>
          <w:rFonts w:ascii="Times New Roman" w:eastAsia="Calibri" w:hAnsi="Times New Roman" w:cs="Simplified Arabic"/>
          <w:b/>
          <w:bCs/>
          <w:sz w:val="24"/>
          <w:szCs w:val="28"/>
          <w:rtl/>
        </w:rPr>
      </w:pPr>
      <w:r w:rsidRPr="005E1A49">
        <w:rPr>
          <w:rFonts w:ascii="Times New Roman" w:eastAsia="Calibri" w:hAnsi="Times New Roman" w:cs="Simplified Arabic"/>
          <w:b/>
          <w:bCs/>
          <w:sz w:val="24"/>
          <w:szCs w:val="28"/>
          <w:rtl/>
        </w:rPr>
        <w:t>تعريفات أبعاد الأداء التنظيمي الأخضر:</w:t>
      </w:r>
    </w:p>
    <w:p w14:paraId="0DD9803F" w14:textId="77777777" w:rsidR="00F234EC" w:rsidRPr="005E1A49" w:rsidRDefault="00F234EC" w:rsidP="005E1A49">
      <w:pPr>
        <w:pStyle w:val="a5"/>
        <w:numPr>
          <w:ilvl w:val="0"/>
          <w:numId w:val="112"/>
        </w:numPr>
        <w:spacing w:after="240" w:line="276" w:lineRule="auto"/>
        <w:jc w:val="both"/>
        <w:rPr>
          <w:rFonts w:ascii="Times New Roman" w:eastAsia="Calibri" w:hAnsi="Times New Roman" w:cs="Simplified Arabic"/>
          <w:sz w:val="24"/>
          <w:szCs w:val="28"/>
          <w:rtl/>
        </w:rPr>
      </w:pPr>
      <w:r w:rsidRPr="005E1A49">
        <w:rPr>
          <w:rFonts w:ascii="Times New Roman" w:eastAsia="Calibri" w:hAnsi="Times New Roman" w:cs="Simplified Arabic"/>
          <w:b/>
          <w:bCs/>
          <w:sz w:val="24"/>
          <w:szCs w:val="28"/>
          <w:rtl/>
        </w:rPr>
        <w:t>كفاءة العمليات الخضراء (</w:t>
      </w:r>
      <w:r w:rsidRPr="005E1A49">
        <w:rPr>
          <w:rFonts w:ascii="Times New Roman" w:eastAsia="Calibri" w:hAnsi="Times New Roman" w:cs="Simplified Arabic"/>
          <w:b/>
          <w:bCs/>
          <w:sz w:val="24"/>
          <w:szCs w:val="28"/>
        </w:rPr>
        <w:t>Green Process Efficiency</w:t>
      </w:r>
      <w:r w:rsidRPr="005E1A49">
        <w:rPr>
          <w:rFonts w:ascii="Times New Roman" w:eastAsia="Calibri" w:hAnsi="Times New Roman" w:cs="Simplified Arabic"/>
          <w:b/>
          <w:bCs/>
          <w:sz w:val="24"/>
          <w:szCs w:val="28"/>
          <w:rtl/>
        </w:rPr>
        <w:t>):</w:t>
      </w:r>
      <w:r w:rsidRPr="005E1A49">
        <w:rPr>
          <w:rFonts w:ascii="Times New Roman" w:eastAsia="Calibri" w:hAnsi="Times New Roman" w:cs="Simplified Arabic"/>
          <w:sz w:val="24"/>
          <w:szCs w:val="28"/>
          <w:rtl/>
        </w:rPr>
        <w:t xml:space="preserve"> تُعرّف بأنها "مدى نجاح المنظمة في تحسين عملياتها الداخلية لتقليل استهلاك الطاقة والمياه والمواد الخام، وخفض الانبعاثات الملوثة للبيئة" (</w:t>
      </w:r>
      <w:r w:rsidRPr="005E1A49">
        <w:rPr>
          <w:rFonts w:ascii="Times New Roman" w:eastAsia="Calibri" w:hAnsi="Times New Roman" w:cs="Simplified Arabic"/>
          <w:sz w:val="24"/>
          <w:szCs w:val="28"/>
        </w:rPr>
        <w:t>Hou et al., 2023, p. 3</w:t>
      </w:r>
      <w:r w:rsidRPr="005E1A49">
        <w:rPr>
          <w:rFonts w:ascii="Times New Roman" w:eastAsia="Calibri" w:hAnsi="Times New Roman" w:cs="Simplified Arabic"/>
          <w:sz w:val="24"/>
          <w:szCs w:val="28"/>
          <w:rtl/>
        </w:rPr>
        <w:t xml:space="preserve">). </w:t>
      </w:r>
      <w:r w:rsidRPr="005E1A49">
        <w:rPr>
          <w:rFonts w:ascii="Times New Roman" w:eastAsia="Calibri" w:hAnsi="Times New Roman" w:cs="Simplified Arabic"/>
          <w:b/>
          <w:bCs/>
          <w:sz w:val="24"/>
          <w:szCs w:val="28"/>
          <w:rtl/>
        </w:rPr>
        <w:t>وإجرائياً</w:t>
      </w:r>
      <w:r w:rsidRPr="005E1A49">
        <w:rPr>
          <w:rFonts w:ascii="Times New Roman" w:eastAsia="Calibri" w:hAnsi="Times New Roman" w:cs="Simplified Arabic"/>
          <w:sz w:val="24"/>
          <w:szCs w:val="28"/>
          <w:rtl/>
        </w:rPr>
        <w:t>، تُقاس بمدى تطبيق شركات المقاولات لإجراءات تهدف إلى ترشيد استهلاك الموارد وتقليل التلوث في مواقع البناء.</w:t>
      </w:r>
    </w:p>
    <w:p w14:paraId="6C19B25F" w14:textId="77777777" w:rsidR="00F234EC" w:rsidRPr="005E1A49" w:rsidRDefault="00F234EC" w:rsidP="005E1A49">
      <w:pPr>
        <w:pStyle w:val="a5"/>
        <w:numPr>
          <w:ilvl w:val="0"/>
          <w:numId w:val="111"/>
        </w:numPr>
        <w:spacing w:after="240" w:line="276" w:lineRule="auto"/>
        <w:jc w:val="both"/>
        <w:rPr>
          <w:rFonts w:ascii="Times New Roman" w:eastAsia="Calibri" w:hAnsi="Times New Roman" w:cs="Simplified Arabic"/>
          <w:sz w:val="24"/>
          <w:szCs w:val="28"/>
          <w:rtl/>
        </w:rPr>
      </w:pPr>
      <w:r w:rsidRPr="005E1A49">
        <w:rPr>
          <w:rFonts w:ascii="Times New Roman" w:eastAsia="Calibri" w:hAnsi="Times New Roman" w:cs="Simplified Arabic"/>
          <w:b/>
          <w:bCs/>
          <w:sz w:val="24"/>
          <w:szCs w:val="28"/>
          <w:rtl/>
        </w:rPr>
        <w:t>إدارة النفايات وإعادة التدوير (</w:t>
      </w:r>
      <w:r w:rsidRPr="005E1A49">
        <w:rPr>
          <w:rFonts w:ascii="Times New Roman" w:eastAsia="Calibri" w:hAnsi="Times New Roman" w:cs="Simplified Arabic"/>
          <w:b/>
          <w:bCs/>
          <w:sz w:val="24"/>
          <w:szCs w:val="28"/>
        </w:rPr>
        <w:t>Waste Management and Recycling</w:t>
      </w:r>
      <w:r w:rsidRPr="005E1A49">
        <w:rPr>
          <w:rFonts w:ascii="Times New Roman" w:eastAsia="Calibri" w:hAnsi="Times New Roman" w:cs="Simplified Arabic"/>
          <w:b/>
          <w:bCs/>
          <w:sz w:val="24"/>
          <w:szCs w:val="28"/>
          <w:rtl/>
        </w:rPr>
        <w:t>):</w:t>
      </w:r>
      <w:r w:rsidRPr="005E1A49">
        <w:rPr>
          <w:rFonts w:ascii="Times New Roman" w:eastAsia="Calibri" w:hAnsi="Times New Roman" w:cs="Simplified Arabic"/>
          <w:sz w:val="24"/>
          <w:szCs w:val="28"/>
          <w:rtl/>
        </w:rPr>
        <w:t xml:space="preserve"> تُعرّف بأنها "الممارسات المنهجية التي تتبناها المنظمة لتقليل كمية النفايات الناتجة عن عملياتها، وتعظيم الاستفادة من المواد عبر إعادة استخدامها أو تدويرها" (</w:t>
      </w:r>
      <w:r w:rsidRPr="005E1A49">
        <w:rPr>
          <w:rFonts w:ascii="Times New Roman" w:eastAsia="Calibri" w:hAnsi="Times New Roman" w:cs="Simplified Arabic"/>
          <w:sz w:val="24"/>
          <w:szCs w:val="28"/>
        </w:rPr>
        <w:t>Asif and Bakar, 2025, p. 6</w:t>
      </w:r>
      <w:r w:rsidRPr="005E1A49">
        <w:rPr>
          <w:rFonts w:ascii="Times New Roman" w:eastAsia="Calibri" w:hAnsi="Times New Roman" w:cs="Simplified Arabic"/>
          <w:sz w:val="24"/>
          <w:szCs w:val="28"/>
          <w:rtl/>
        </w:rPr>
        <w:t xml:space="preserve">). </w:t>
      </w:r>
      <w:r w:rsidRPr="005E1A49">
        <w:rPr>
          <w:rFonts w:ascii="Times New Roman" w:eastAsia="Calibri" w:hAnsi="Times New Roman" w:cs="Simplified Arabic"/>
          <w:b/>
          <w:bCs/>
          <w:sz w:val="24"/>
          <w:szCs w:val="28"/>
          <w:rtl/>
        </w:rPr>
        <w:t>وإجرائياً</w:t>
      </w:r>
      <w:r w:rsidRPr="005E1A49">
        <w:rPr>
          <w:rFonts w:ascii="Times New Roman" w:eastAsia="Calibri" w:hAnsi="Times New Roman" w:cs="Simplified Arabic"/>
          <w:sz w:val="24"/>
          <w:szCs w:val="28"/>
          <w:rtl/>
        </w:rPr>
        <w:t>، تُقاس بمدى فعالية البرامج المطبقة في شركات المقاولات لفرز مخلفات البناء وإعادة تدويرها أو التخلص منها بطرق آمنة بيئياً.</w:t>
      </w:r>
    </w:p>
    <w:p w14:paraId="30DCDD46" w14:textId="77777777" w:rsidR="00F234EC" w:rsidRPr="005E1A49" w:rsidRDefault="00F234EC" w:rsidP="005E1A49">
      <w:pPr>
        <w:pStyle w:val="a5"/>
        <w:numPr>
          <w:ilvl w:val="0"/>
          <w:numId w:val="110"/>
        </w:numPr>
        <w:spacing w:after="240" w:line="276" w:lineRule="auto"/>
        <w:jc w:val="both"/>
        <w:rPr>
          <w:rFonts w:ascii="Times New Roman" w:eastAsia="Calibri" w:hAnsi="Times New Roman" w:cs="Simplified Arabic"/>
          <w:sz w:val="24"/>
          <w:szCs w:val="28"/>
          <w:rtl/>
        </w:rPr>
      </w:pPr>
      <w:r w:rsidRPr="005E1A49">
        <w:rPr>
          <w:rFonts w:ascii="Times New Roman" w:eastAsia="Calibri" w:hAnsi="Times New Roman" w:cs="Simplified Arabic"/>
          <w:b/>
          <w:bCs/>
          <w:sz w:val="24"/>
          <w:szCs w:val="28"/>
          <w:rtl/>
        </w:rPr>
        <w:t>الابتكار في المنتجات والخدمات الخضراء (</w:t>
      </w:r>
      <w:r w:rsidRPr="005E1A49">
        <w:rPr>
          <w:rFonts w:ascii="Times New Roman" w:eastAsia="Calibri" w:hAnsi="Times New Roman" w:cs="Simplified Arabic"/>
          <w:b/>
          <w:bCs/>
          <w:sz w:val="24"/>
          <w:szCs w:val="28"/>
        </w:rPr>
        <w:t>Green Product and Service Innovation</w:t>
      </w:r>
      <w:r w:rsidRPr="005E1A49">
        <w:rPr>
          <w:rFonts w:ascii="Times New Roman" w:eastAsia="Calibri" w:hAnsi="Times New Roman" w:cs="Simplified Arabic"/>
          <w:b/>
          <w:bCs/>
          <w:sz w:val="24"/>
          <w:szCs w:val="28"/>
          <w:rtl/>
        </w:rPr>
        <w:t>):</w:t>
      </w:r>
      <w:r w:rsidRPr="005E1A49">
        <w:rPr>
          <w:rFonts w:ascii="Times New Roman" w:eastAsia="Calibri" w:hAnsi="Times New Roman" w:cs="Simplified Arabic"/>
          <w:sz w:val="24"/>
          <w:szCs w:val="28"/>
          <w:rtl/>
        </w:rPr>
        <w:t xml:space="preserve"> يُعرّف بأنه "قدرة المنظمة على تطوير وتصميم وتقديم منتجات أو </w:t>
      </w:r>
      <w:r w:rsidRPr="005E1A49">
        <w:rPr>
          <w:rFonts w:ascii="Times New Roman" w:eastAsia="Calibri" w:hAnsi="Times New Roman" w:cs="Simplified Arabic"/>
          <w:sz w:val="24"/>
          <w:szCs w:val="28"/>
          <w:rtl/>
        </w:rPr>
        <w:lastRenderedPageBreak/>
        <w:t>خدمات ذات خصائص بيئية محسنة، تلبي احتياجات العملاء وتقلل من الأثر البيئي طوال دورة حياتها" (</w:t>
      </w:r>
      <w:r w:rsidRPr="005E1A49">
        <w:rPr>
          <w:rFonts w:ascii="Times New Roman" w:eastAsia="Calibri" w:hAnsi="Times New Roman" w:cs="Simplified Arabic"/>
          <w:sz w:val="24"/>
          <w:szCs w:val="28"/>
        </w:rPr>
        <w:t>Li et al., 2024, p. 7</w:t>
      </w:r>
      <w:r w:rsidRPr="005E1A49">
        <w:rPr>
          <w:rFonts w:ascii="Times New Roman" w:eastAsia="Calibri" w:hAnsi="Times New Roman" w:cs="Simplified Arabic"/>
          <w:sz w:val="24"/>
          <w:szCs w:val="28"/>
          <w:rtl/>
        </w:rPr>
        <w:t xml:space="preserve">). </w:t>
      </w:r>
      <w:r w:rsidRPr="005E1A49">
        <w:rPr>
          <w:rFonts w:ascii="Times New Roman" w:eastAsia="Calibri" w:hAnsi="Times New Roman" w:cs="Simplified Arabic"/>
          <w:b/>
          <w:bCs/>
          <w:sz w:val="24"/>
          <w:szCs w:val="28"/>
          <w:rtl/>
        </w:rPr>
        <w:t>وإجرائياً</w:t>
      </w:r>
      <w:r w:rsidRPr="005E1A49">
        <w:rPr>
          <w:rFonts w:ascii="Times New Roman" w:eastAsia="Calibri" w:hAnsi="Times New Roman" w:cs="Simplified Arabic"/>
          <w:sz w:val="24"/>
          <w:szCs w:val="28"/>
          <w:rtl/>
        </w:rPr>
        <w:t>، يُقاس بمدى استخدام شركات المقاولات لمواد بناء مستدامة أو تطبيقها لتقنيات تصميم وإنشاء صديقة للبيئة.</w:t>
      </w:r>
    </w:p>
    <w:p w14:paraId="24219C86" w14:textId="77777777" w:rsidR="00F234EC" w:rsidRPr="00F234EC" w:rsidRDefault="00F234EC" w:rsidP="00F234EC">
      <w:pPr>
        <w:pStyle w:val="a5"/>
        <w:numPr>
          <w:ilvl w:val="0"/>
          <w:numId w:val="109"/>
        </w:numPr>
        <w:spacing w:after="240" w:line="276" w:lineRule="auto"/>
        <w:jc w:val="both"/>
        <w:rPr>
          <w:rFonts w:ascii="Times New Roman" w:eastAsia="Calibri" w:hAnsi="Times New Roman" w:cs="Simplified Arabic"/>
          <w:sz w:val="24"/>
          <w:szCs w:val="28"/>
          <w:rtl/>
        </w:rPr>
      </w:pPr>
      <w:r w:rsidRPr="00F234EC">
        <w:rPr>
          <w:rFonts w:ascii="Times New Roman" w:eastAsia="Calibri" w:hAnsi="Times New Roman" w:cs="Simplified Arabic"/>
          <w:b/>
          <w:bCs/>
          <w:sz w:val="24"/>
          <w:szCs w:val="28"/>
          <w:rtl/>
        </w:rPr>
        <w:t>الصورة البيئية والسمعة الخضراء (</w:t>
      </w:r>
      <w:r w:rsidRPr="00F234EC">
        <w:rPr>
          <w:rFonts w:ascii="Times New Roman" w:eastAsia="Calibri" w:hAnsi="Times New Roman" w:cs="Simplified Arabic"/>
          <w:b/>
          <w:bCs/>
          <w:sz w:val="24"/>
          <w:szCs w:val="28"/>
        </w:rPr>
        <w:t>Environmental Image and Green Reputation</w:t>
      </w:r>
      <w:r w:rsidRPr="00F234EC">
        <w:rPr>
          <w:rFonts w:ascii="Times New Roman" w:eastAsia="Calibri" w:hAnsi="Times New Roman" w:cs="Simplified Arabic"/>
          <w:b/>
          <w:bCs/>
          <w:sz w:val="24"/>
          <w:szCs w:val="28"/>
          <w:rtl/>
        </w:rPr>
        <w:t xml:space="preserve">): </w:t>
      </w:r>
      <w:r w:rsidRPr="00F234EC">
        <w:rPr>
          <w:rFonts w:ascii="Times New Roman" w:eastAsia="Calibri" w:hAnsi="Times New Roman" w:cs="Simplified Arabic"/>
          <w:sz w:val="24"/>
          <w:szCs w:val="28"/>
          <w:rtl/>
        </w:rPr>
        <w:t>تُعرّف بأنها "الانطباع الإيجابي الذي يتكون لدى أصحاب المصلحة حول التزام المنظمة بالمسؤولية البيئية، والذي يُسهم في بناء سمعة قوية ككيان صديق للبيئة" (</w:t>
      </w:r>
      <w:r w:rsidRPr="00F234EC">
        <w:rPr>
          <w:rFonts w:ascii="Times New Roman" w:eastAsia="Calibri" w:hAnsi="Times New Roman" w:cs="Simplified Arabic"/>
          <w:sz w:val="24"/>
          <w:szCs w:val="28"/>
        </w:rPr>
        <w:t>Anwar et al., 2024, p. 2</w:t>
      </w:r>
      <w:r w:rsidRPr="00F234EC">
        <w:rPr>
          <w:rFonts w:ascii="Times New Roman" w:eastAsia="Calibri" w:hAnsi="Times New Roman" w:cs="Simplified Arabic"/>
          <w:sz w:val="24"/>
          <w:szCs w:val="28"/>
          <w:rtl/>
        </w:rPr>
        <w:t xml:space="preserve">). </w:t>
      </w:r>
      <w:r w:rsidRPr="005E1A49">
        <w:rPr>
          <w:rFonts w:ascii="Times New Roman" w:eastAsia="Calibri" w:hAnsi="Times New Roman" w:cs="Simplified Arabic"/>
          <w:b/>
          <w:bCs/>
          <w:sz w:val="24"/>
          <w:szCs w:val="28"/>
          <w:rtl/>
        </w:rPr>
        <w:t>وإجرائياً</w:t>
      </w:r>
      <w:r w:rsidRPr="00F234EC">
        <w:rPr>
          <w:rFonts w:ascii="Times New Roman" w:eastAsia="Calibri" w:hAnsi="Times New Roman" w:cs="Simplified Arabic"/>
          <w:sz w:val="24"/>
          <w:szCs w:val="28"/>
          <w:rtl/>
        </w:rPr>
        <w:t>، تُقاس بمدى إدراك أفراد العينة للسمعة الإيجابية التي تتمتع بها شركاتهم نتيجة لالتزامها بالمبادرات والممارسات البيئية.</w:t>
      </w:r>
    </w:p>
    <w:p w14:paraId="16E7C51E" w14:textId="0E0E09AF" w:rsidR="00F234EC" w:rsidRPr="005E1A49" w:rsidRDefault="00F234EC" w:rsidP="005E1A49">
      <w:pPr>
        <w:pStyle w:val="a5"/>
        <w:numPr>
          <w:ilvl w:val="0"/>
          <w:numId w:val="108"/>
        </w:numPr>
        <w:spacing w:after="240" w:line="276" w:lineRule="auto"/>
        <w:jc w:val="both"/>
        <w:rPr>
          <w:rFonts w:ascii="Times New Roman" w:eastAsia="Calibri" w:hAnsi="Times New Roman" w:cs="Simplified Arabic"/>
          <w:sz w:val="24"/>
          <w:szCs w:val="28"/>
        </w:rPr>
      </w:pPr>
      <w:r w:rsidRPr="00F234EC">
        <w:rPr>
          <w:rFonts w:ascii="Times New Roman" w:eastAsia="Calibri" w:hAnsi="Times New Roman" w:cs="Simplified Arabic"/>
          <w:b/>
          <w:bCs/>
          <w:sz w:val="24"/>
          <w:szCs w:val="28"/>
          <w:rtl/>
        </w:rPr>
        <w:t>الامتثال والتوافق البيئي (</w:t>
      </w:r>
      <w:r w:rsidRPr="00F234EC">
        <w:rPr>
          <w:rFonts w:ascii="Times New Roman" w:eastAsia="Calibri" w:hAnsi="Times New Roman" w:cs="Simplified Arabic"/>
          <w:b/>
          <w:bCs/>
          <w:sz w:val="24"/>
          <w:szCs w:val="28"/>
        </w:rPr>
        <w:t>Environmental Compliance</w:t>
      </w:r>
      <w:r w:rsidRPr="00F234EC">
        <w:rPr>
          <w:rFonts w:ascii="Times New Roman" w:eastAsia="Calibri" w:hAnsi="Times New Roman" w:cs="Simplified Arabic"/>
          <w:b/>
          <w:bCs/>
          <w:sz w:val="24"/>
          <w:szCs w:val="28"/>
          <w:rtl/>
        </w:rPr>
        <w:t>):</w:t>
      </w:r>
      <w:r w:rsidRPr="00F234EC">
        <w:rPr>
          <w:rFonts w:ascii="Times New Roman" w:eastAsia="Calibri" w:hAnsi="Times New Roman" w:cs="Simplified Arabic"/>
          <w:sz w:val="24"/>
          <w:szCs w:val="28"/>
          <w:rtl/>
        </w:rPr>
        <w:t xml:space="preserve"> يُعرّف بأنه "مدى التزام المنظمة بالقوانين واللوائح والمعايير البيئية التي تفرضها السلطات، وسعيها في كثير من الأحيان إلى تجاوز الحد الأدنى من المتطلبات" (</w:t>
      </w:r>
      <w:r w:rsidRPr="00F234EC">
        <w:rPr>
          <w:rFonts w:ascii="Times New Roman" w:eastAsia="Calibri" w:hAnsi="Times New Roman" w:cs="Simplified Arabic"/>
          <w:sz w:val="24"/>
          <w:szCs w:val="28"/>
        </w:rPr>
        <w:t>García-Morales et al., 2024, p. 1238</w:t>
      </w:r>
      <w:r w:rsidRPr="00F234EC">
        <w:rPr>
          <w:rFonts w:ascii="Times New Roman" w:eastAsia="Calibri" w:hAnsi="Times New Roman" w:cs="Simplified Arabic"/>
          <w:sz w:val="24"/>
          <w:szCs w:val="28"/>
          <w:rtl/>
        </w:rPr>
        <w:t xml:space="preserve">). </w:t>
      </w:r>
      <w:r w:rsidRPr="005E1A49">
        <w:rPr>
          <w:rFonts w:ascii="Times New Roman" w:eastAsia="Calibri" w:hAnsi="Times New Roman" w:cs="Simplified Arabic"/>
          <w:b/>
          <w:bCs/>
          <w:sz w:val="24"/>
          <w:szCs w:val="28"/>
          <w:rtl/>
        </w:rPr>
        <w:t>وإجرائياً</w:t>
      </w:r>
      <w:r w:rsidRPr="00F234EC">
        <w:rPr>
          <w:rFonts w:ascii="Times New Roman" w:eastAsia="Calibri" w:hAnsi="Times New Roman" w:cs="Simplified Arabic"/>
          <w:sz w:val="24"/>
          <w:szCs w:val="28"/>
          <w:rtl/>
        </w:rPr>
        <w:t>، يُقاس بمدى التزام شركات المقاولات بالتشريعات البيئية المعمول بها، وحصولها على التراخيص اللازمة، وتجنبها للمخالفات البيئية.</w:t>
      </w:r>
    </w:p>
    <w:p w14:paraId="6A8608CF"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b/>
          <w:bCs/>
          <w:sz w:val="24"/>
          <w:szCs w:val="28"/>
          <w:rtl/>
        </w:rPr>
        <w:t xml:space="preserve">ثالثاً: شركات المقاولات اليمنية </w:t>
      </w:r>
      <w:r w:rsidRPr="00B14A8D">
        <w:rPr>
          <w:rFonts w:ascii="Times New Roman" w:eastAsia="Calibri" w:hAnsi="Times New Roman" w:cs="Simplified Arabic"/>
          <w:b/>
          <w:bCs/>
          <w:sz w:val="24"/>
          <w:szCs w:val="28"/>
        </w:rPr>
        <w:t>(Yemeni Contracting Companies)</w:t>
      </w:r>
    </w:p>
    <w:p w14:paraId="330CEF9D" w14:textId="77777777" w:rsidR="00B14A8D" w:rsidRPr="00B14A8D" w:rsidRDefault="00B14A8D" w:rsidP="00B14A8D">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تُعرّف شركة المقاولات اصطلاحياً بأنها: "مؤسسة تجارية تتعهد بتنفيذ مشاريع إنشائية أو هندسية محددة، مثل: بناء المباني، والطرق، والجسور، والبنية التحتية، لصالح طرف آخر (العميل) بموجب عقد يحدد المواصفات والتكلفة والجدول الزمني</w:t>
      </w:r>
      <w:r w:rsidRPr="00B14A8D">
        <w:rPr>
          <w:rFonts w:ascii="Times New Roman" w:eastAsia="Calibri" w:hAnsi="Times New Roman" w:cs="Simplified Arabic"/>
          <w:sz w:val="24"/>
          <w:szCs w:val="28"/>
        </w:rPr>
        <w:t>"</w:t>
      </w:r>
      <w:r w:rsidRPr="00B14A8D">
        <w:rPr>
          <w:rFonts w:ascii="Times New Roman" w:eastAsia="Calibri" w:hAnsi="Times New Roman" w:cs="Simplified Arabic"/>
          <w:sz w:val="24"/>
          <w:szCs w:val="28"/>
          <w:rtl/>
        </w:rPr>
        <w:t>.</w:t>
      </w:r>
    </w:p>
    <w:p w14:paraId="45E531F4" w14:textId="1E17B4E0" w:rsidR="00586478" w:rsidRPr="00B14A8D" w:rsidRDefault="00B14A8D" w:rsidP="006B40EB">
      <w:pPr>
        <w:spacing w:after="240" w:line="276" w:lineRule="auto"/>
        <w:ind w:firstLine="510"/>
        <w:jc w:val="both"/>
        <w:rPr>
          <w:rFonts w:ascii="Times New Roman" w:eastAsia="Calibri" w:hAnsi="Times New Roman" w:cs="Simplified Arabic"/>
          <w:sz w:val="24"/>
          <w:szCs w:val="28"/>
        </w:rPr>
      </w:pPr>
      <w:r w:rsidRPr="00B14A8D">
        <w:rPr>
          <w:rFonts w:ascii="Times New Roman" w:eastAsia="Calibri" w:hAnsi="Times New Roman" w:cs="Simplified Arabic"/>
          <w:sz w:val="24"/>
          <w:szCs w:val="28"/>
          <w:rtl/>
        </w:rPr>
        <w:t xml:space="preserve">وفي سياق هذه الدراسة، تُعرّف </w:t>
      </w:r>
      <w:r w:rsidRPr="00B14A8D">
        <w:rPr>
          <w:rFonts w:ascii="Times New Roman" w:eastAsia="Calibri" w:hAnsi="Times New Roman" w:cs="Simplified Arabic"/>
          <w:b/>
          <w:bCs/>
          <w:sz w:val="24"/>
          <w:szCs w:val="28"/>
          <w:rtl/>
        </w:rPr>
        <w:t>شركات المقاولات اليمنية</w:t>
      </w:r>
      <w:r w:rsidRPr="00B14A8D">
        <w:rPr>
          <w:rFonts w:ascii="Times New Roman" w:eastAsia="Calibri" w:hAnsi="Times New Roman" w:cs="Simplified Arabic"/>
          <w:sz w:val="24"/>
          <w:szCs w:val="28"/>
          <w:rtl/>
        </w:rPr>
        <w:t xml:space="preserve"> إجرائياً، بأنها: مجموعة الشركات المسجلة رسمياً لدى الجهات المعنية في الجمهورية اليمنية، والتي تمارس أنشطة الإنشاءات العامة والمقاولات، وتم اختيار عينة منها لتطبيق الأداة الميدانية للدراسة.</w:t>
      </w:r>
    </w:p>
    <w:p w14:paraId="04BA445F" w14:textId="77777777" w:rsidR="00586478" w:rsidRPr="00B14A8D" w:rsidRDefault="00586478" w:rsidP="00586478">
      <w:pPr>
        <w:spacing w:after="240" w:line="276" w:lineRule="auto"/>
        <w:ind w:firstLine="510"/>
        <w:jc w:val="both"/>
        <w:rPr>
          <w:rFonts w:ascii="Times New Roman" w:eastAsia="Calibri" w:hAnsi="Times New Roman" w:cs="Simplified Arabic"/>
          <w:sz w:val="24"/>
          <w:szCs w:val="28"/>
          <w:rtl/>
        </w:rPr>
      </w:pPr>
      <w:r w:rsidRPr="00B14A8D">
        <w:rPr>
          <w:rFonts w:ascii="Times New Roman" w:eastAsia="Calibri" w:hAnsi="Times New Roman" w:cs="Simplified Arabic"/>
          <w:sz w:val="24"/>
          <w:szCs w:val="28"/>
          <w:rtl/>
        </w:rPr>
        <w:br w:type="page"/>
      </w:r>
    </w:p>
    <w:p w14:paraId="78DDA51C" w14:textId="77777777" w:rsidR="00586478" w:rsidRPr="00B14A8D" w:rsidRDefault="00586478" w:rsidP="00586478">
      <w:pPr>
        <w:spacing w:after="240" w:line="276" w:lineRule="auto"/>
        <w:ind w:firstLine="284"/>
        <w:jc w:val="both"/>
        <w:rPr>
          <w:rFonts w:ascii="Times New Roman" w:eastAsia="Calibri" w:hAnsi="Times New Roman" w:cs="Simplified Arabic"/>
          <w:sz w:val="24"/>
          <w:szCs w:val="28"/>
          <w:rtl/>
        </w:rPr>
      </w:pPr>
    </w:p>
    <w:p w14:paraId="6A1410A4" w14:textId="77777777" w:rsidR="00586478" w:rsidRPr="00B14A8D" w:rsidRDefault="00586478" w:rsidP="00586478">
      <w:pPr>
        <w:spacing w:line="257" w:lineRule="auto"/>
        <w:ind w:firstLine="284"/>
        <w:jc w:val="both"/>
        <w:rPr>
          <w:rFonts w:ascii="Times New Roman" w:eastAsia="Calibri" w:hAnsi="Times New Roman" w:cs="Simplified Arabic"/>
          <w:sz w:val="24"/>
          <w:szCs w:val="28"/>
          <w:rtl/>
        </w:rPr>
      </w:pPr>
    </w:p>
    <w:p w14:paraId="1ECF4BF5" w14:textId="77777777" w:rsidR="00586478" w:rsidRPr="00B14A8D" w:rsidRDefault="00586478" w:rsidP="00586478">
      <w:pPr>
        <w:spacing w:after="200" w:line="276" w:lineRule="auto"/>
        <w:rPr>
          <w:rFonts w:ascii="Times New Roman" w:eastAsia="Calibri" w:hAnsi="Times New Roman" w:cs="PT Bold Heading"/>
          <w:sz w:val="24"/>
          <w:szCs w:val="48"/>
          <w:rtl/>
        </w:rPr>
      </w:pPr>
      <w:bookmarkStart w:id="4" w:name="_Hlk200813560"/>
      <w:bookmarkEnd w:id="2"/>
    </w:p>
    <w:p w14:paraId="11A1AA75" w14:textId="3D04C350" w:rsidR="00586478" w:rsidRPr="00B14A8D" w:rsidRDefault="00586478" w:rsidP="00586478">
      <w:pPr>
        <w:spacing w:line="276" w:lineRule="auto"/>
        <w:jc w:val="center"/>
        <w:rPr>
          <w:rFonts w:ascii="Times New Roman" w:eastAsia="Calibri" w:hAnsi="Times New Roman" w:cs="PT Bold Heading"/>
          <w:sz w:val="24"/>
          <w:szCs w:val="48"/>
          <w:rtl/>
        </w:rPr>
      </w:pPr>
      <w:r w:rsidRPr="00B14A8D">
        <w:rPr>
          <w:rFonts w:ascii="Times New Roman" w:eastAsia="Calibri" w:hAnsi="Times New Roman" w:cs="PT Bold Heading"/>
          <w:sz w:val="24"/>
          <w:szCs w:val="48"/>
          <w:rtl/>
        </w:rPr>
        <w:t>الفصل</w:t>
      </w:r>
      <w:r w:rsidR="00AF10DA" w:rsidRPr="00B14A8D">
        <w:rPr>
          <w:rFonts w:ascii="Times New Roman" w:eastAsia="Calibri" w:hAnsi="Times New Roman" w:cs="PT Bold Heading"/>
          <w:sz w:val="24"/>
          <w:szCs w:val="48"/>
          <w:rtl/>
        </w:rPr>
        <w:t xml:space="preserve"> </w:t>
      </w:r>
      <w:r w:rsidRPr="00B14A8D">
        <w:rPr>
          <w:rFonts w:ascii="Times New Roman" w:eastAsia="Calibri" w:hAnsi="Times New Roman" w:cs="PT Bold Heading"/>
          <w:sz w:val="24"/>
          <w:szCs w:val="48"/>
          <w:rtl/>
        </w:rPr>
        <w:t>الثاني</w:t>
      </w:r>
    </w:p>
    <w:p w14:paraId="021503AE" w14:textId="5AEB7C66" w:rsidR="00586478" w:rsidRPr="00B14A8D" w:rsidRDefault="00586478" w:rsidP="00586478">
      <w:pPr>
        <w:spacing w:line="276" w:lineRule="auto"/>
        <w:jc w:val="center"/>
        <w:rPr>
          <w:rFonts w:ascii="Times New Roman" w:eastAsia="Calibri" w:hAnsi="Times New Roman" w:cs="PT Bold Heading"/>
          <w:sz w:val="24"/>
          <w:szCs w:val="48"/>
          <w:rtl/>
        </w:rPr>
      </w:pPr>
      <w:r w:rsidRPr="00B14A8D">
        <w:rPr>
          <w:rFonts w:ascii="Times New Roman" w:eastAsia="Calibri" w:hAnsi="Times New Roman" w:cs="PT Bold Heading"/>
          <w:sz w:val="24"/>
          <w:szCs w:val="48"/>
          <w:rtl/>
        </w:rPr>
        <w:t>الإطار</w:t>
      </w:r>
      <w:r w:rsidR="00AF10DA" w:rsidRPr="00B14A8D">
        <w:rPr>
          <w:rFonts w:ascii="Times New Roman" w:eastAsia="Calibri" w:hAnsi="Times New Roman" w:cs="PT Bold Heading"/>
          <w:sz w:val="24"/>
          <w:szCs w:val="48"/>
          <w:rtl/>
        </w:rPr>
        <w:t xml:space="preserve"> </w:t>
      </w:r>
      <w:r w:rsidRPr="00B14A8D">
        <w:rPr>
          <w:rFonts w:ascii="Times New Roman" w:eastAsia="Calibri" w:hAnsi="Times New Roman" w:cs="PT Bold Heading"/>
          <w:sz w:val="24"/>
          <w:szCs w:val="48"/>
          <w:rtl/>
        </w:rPr>
        <w:t>النظري</w:t>
      </w:r>
      <w:r w:rsidR="00AF10DA" w:rsidRPr="00B14A8D">
        <w:rPr>
          <w:rFonts w:ascii="Times New Roman" w:eastAsia="Calibri" w:hAnsi="Times New Roman" w:cs="PT Bold Heading"/>
          <w:sz w:val="24"/>
          <w:szCs w:val="48"/>
          <w:rtl/>
        </w:rPr>
        <w:t xml:space="preserve"> </w:t>
      </w:r>
      <w:r w:rsidRPr="00B14A8D">
        <w:rPr>
          <w:rFonts w:ascii="Times New Roman" w:eastAsia="Calibri" w:hAnsi="Times New Roman" w:cs="PT Bold Heading"/>
          <w:sz w:val="24"/>
          <w:szCs w:val="48"/>
          <w:rtl/>
        </w:rPr>
        <w:t>والدراسات</w:t>
      </w:r>
      <w:r w:rsidR="00AF10DA" w:rsidRPr="00B14A8D">
        <w:rPr>
          <w:rFonts w:ascii="Times New Roman" w:eastAsia="Calibri" w:hAnsi="Times New Roman" w:cs="PT Bold Heading"/>
          <w:sz w:val="24"/>
          <w:szCs w:val="48"/>
          <w:rtl/>
        </w:rPr>
        <w:t xml:space="preserve"> </w:t>
      </w:r>
      <w:r w:rsidRPr="00B14A8D">
        <w:rPr>
          <w:rFonts w:ascii="Times New Roman" w:eastAsia="Calibri" w:hAnsi="Times New Roman" w:cs="PT Bold Heading"/>
          <w:sz w:val="24"/>
          <w:szCs w:val="48"/>
          <w:rtl/>
        </w:rPr>
        <w:t>السابقة</w:t>
      </w:r>
    </w:p>
    <w:p w14:paraId="7B3ACE06" w14:textId="77777777" w:rsidR="00586478" w:rsidRPr="00B14A8D" w:rsidRDefault="00586478" w:rsidP="00586478">
      <w:pPr>
        <w:spacing w:line="276" w:lineRule="auto"/>
        <w:jc w:val="center"/>
        <w:rPr>
          <w:rFonts w:ascii="Times New Roman" w:eastAsia="Calibri" w:hAnsi="Times New Roman" w:cs="PT Bold Heading"/>
          <w:sz w:val="24"/>
          <w:szCs w:val="48"/>
          <w:rtl/>
        </w:rPr>
      </w:pPr>
    </w:p>
    <w:p w14:paraId="19FEB5A5" w14:textId="77777777" w:rsidR="00586478" w:rsidRPr="00B14A8D" w:rsidRDefault="00586478" w:rsidP="00586478">
      <w:pPr>
        <w:numPr>
          <w:ilvl w:val="0"/>
          <w:numId w:val="1"/>
        </w:numPr>
        <w:spacing w:line="276" w:lineRule="auto"/>
        <w:contextualSpacing/>
        <w:rPr>
          <w:rFonts w:ascii="Times New Roman" w:eastAsia="Calibri" w:hAnsi="Times New Roman" w:cs="PT Bold Heading"/>
          <w:sz w:val="24"/>
          <w:szCs w:val="36"/>
          <w:rtl/>
        </w:rPr>
      </w:pPr>
      <w:r w:rsidRPr="00B14A8D">
        <w:rPr>
          <w:rFonts w:ascii="Times New Roman" w:eastAsia="Calibri" w:hAnsi="Times New Roman" w:cs="PT Bold Heading"/>
          <w:sz w:val="24"/>
          <w:szCs w:val="36"/>
          <w:rtl/>
        </w:rPr>
        <w:t>مقدمة</w:t>
      </w:r>
    </w:p>
    <w:p w14:paraId="5B8B2FEA" w14:textId="77777777" w:rsidR="00586478" w:rsidRPr="00B14A8D" w:rsidRDefault="00586478" w:rsidP="00586478">
      <w:pPr>
        <w:spacing w:line="276" w:lineRule="auto"/>
        <w:ind w:left="1077"/>
        <w:rPr>
          <w:rFonts w:ascii="Times New Roman" w:eastAsia="Calibri" w:hAnsi="Times New Roman" w:cs="PT Bold Heading"/>
          <w:sz w:val="24"/>
          <w:szCs w:val="2"/>
          <w:rtl/>
        </w:rPr>
      </w:pPr>
    </w:p>
    <w:p w14:paraId="05BA0DF6" w14:textId="5D766743" w:rsidR="00586478" w:rsidRPr="00B14A8D" w:rsidRDefault="00586478" w:rsidP="00586478">
      <w:pPr>
        <w:numPr>
          <w:ilvl w:val="0"/>
          <w:numId w:val="1"/>
        </w:numPr>
        <w:spacing w:line="276" w:lineRule="auto"/>
        <w:contextualSpacing/>
        <w:rPr>
          <w:rFonts w:ascii="Times New Roman" w:eastAsia="Calibri" w:hAnsi="Times New Roman" w:cs="PT Bold Heading"/>
          <w:sz w:val="24"/>
          <w:szCs w:val="36"/>
          <w:rtl/>
        </w:rPr>
      </w:pPr>
      <w:r w:rsidRPr="00B14A8D">
        <w:rPr>
          <w:rFonts w:ascii="Times New Roman" w:eastAsia="Calibri" w:hAnsi="Times New Roman" w:cs="PT Bold Heading"/>
          <w:sz w:val="24"/>
          <w:szCs w:val="36"/>
          <w:rtl/>
        </w:rPr>
        <w:t>المحور</w:t>
      </w:r>
      <w:r w:rsidR="00AF10DA" w:rsidRPr="00B14A8D">
        <w:rPr>
          <w:rFonts w:ascii="Times New Roman" w:eastAsia="Calibri" w:hAnsi="Times New Roman" w:cs="PT Bold Heading"/>
          <w:sz w:val="24"/>
          <w:szCs w:val="36"/>
          <w:rtl/>
        </w:rPr>
        <w:t xml:space="preserve"> </w:t>
      </w:r>
      <w:r w:rsidRPr="00B14A8D">
        <w:rPr>
          <w:rFonts w:ascii="Times New Roman" w:eastAsia="Calibri" w:hAnsi="Times New Roman" w:cs="PT Bold Heading"/>
          <w:sz w:val="24"/>
          <w:szCs w:val="36"/>
          <w:rtl/>
        </w:rPr>
        <w:t>الأول</w:t>
      </w:r>
      <w:r w:rsidR="00492136" w:rsidRPr="00B14A8D">
        <w:rPr>
          <w:rFonts w:ascii="Times New Roman" w:eastAsia="Calibri" w:hAnsi="Times New Roman" w:cs="PT Bold Heading"/>
          <w:sz w:val="24"/>
          <w:szCs w:val="36"/>
          <w:rtl/>
        </w:rPr>
        <w:t>:</w:t>
      </w:r>
      <w:r w:rsidR="00AF10DA" w:rsidRPr="00B14A8D">
        <w:rPr>
          <w:rFonts w:ascii="Times New Roman" w:eastAsia="Calibri" w:hAnsi="Times New Roman" w:cs="PT Bold Heading"/>
          <w:sz w:val="24"/>
          <w:szCs w:val="36"/>
          <w:rtl/>
        </w:rPr>
        <w:t xml:space="preserve"> </w:t>
      </w:r>
      <w:r w:rsidRPr="00B14A8D">
        <w:rPr>
          <w:rFonts w:ascii="Times New Roman" w:eastAsia="Calibri" w:hAnsi="Times New Roman" w:cs="PT Bold Heading"/>
          <w:sz w:val="24"/>
          <w:szCs w:val="36"/>
          <w:rtl/>
        </w:rPr>
        <w:t>الدراسات</w:t>
      </w:r>
      <w:r w:rsidR="00AF10DA" w:rsidRPr="00B14A8D">
        <w:rPr>
          <w:rFonts w:ascii="Times New Roman" w:eastAsia="Calibri" w:hAnsi="Times New Roman" w:cs="PT Bold Heading"/>
          <w:sz w:val="24"/>
          <w:szCs w:val="36"/>
          <w:rtl/>
        </w:rPr>
        <w:t xml:space="preserve"> </w:t>
      </w:r>
      <w:r w:rsidRPr="00B14A8D">
        <w:rPr>
          <w:rFonts w:ascii="Times New Roman" w:eastAsia="Calibri" w:hAnsi="Times New Roman" w:cs="PT Bold Heading"/>
          <w:sz w:val="24"/>
          <w:szCs w:val="36"/>
          <w:rtl/>
        </w:rPr>
        <w:t>السابقة</w:t>
      </w:r>
      <w:r w:rsidR="00AF10DA" w:rsidRPr="00B14A8D">
        <w:rPr>
          <w:rFonts w:ascii="Times New Roman" w:eastAsia="Calibri" w:hAnsi="Times New Roman" w:cs="PT Bold Heading"/>
          <w:sz w:val="24"/>
          <w:szCs w:val="36"/>
          <w:rtl/>
        </w:rPr>
        <w:t xml:space="preserve"> </w:t>
      </w:r>
    </w:p>
    <w:p w14:paraId="4DB643B3" w14:textId="77777777" w:rsidR="00586478" w:rsidRPr="00B14A8D" w:rsidRDefault="00586478" w:rsidP="00586478">
      <w:pPr>
        <w:spacing w:line="276" w:lineRule="auto"/>
        <w:ind w:left="1077"/>
        <w:rPr>
          <w:rFonts w:ascii="Times New Roman" w:eastAsia="Calibri" w:hAnsi="Times New Roman" w:cs="PT Bold Heading"/>
          <w:sz w:val="24"/>
          <w:szCs w:val="2"/>
          <w:rtl/>
        </w:rPr>
      </w:pPr>
    </w:p>
    <w:p w14:paraId="644FFFBE" w14:textId="30CCE201" w:rsidR="00586478" w:rsidRPr="00B14A8D" w:rsidRDefault="00586478" w:rsidP="00586478">
      <w:pPr>
        <w:numPr>
          <w:ilvl w:val="0"/>
          <w:numId w:val="1"/>
        </w:numPr>
        <w:spacing w:line="276" w:lineRule="auto"/>
        <w:contextualSpacing/>
        <w:rPr>
          <w:rFonts w:ascii="Times New Roman" w:eastAsia="Calibri" w:hAnsi="Times New Roman" w:cs="PT Bold Heading"/>
          <w:sz w:val="24"/>
          <w:szCs w:val="36"/>
          <w:rtl/>
        </w:rPr>
      </w:pPr>
      <w:r w:rsidRPr="00B14A8D">
        <w:rPr>
          <w:rFonts w:ascii="Times New Roman" w:eastAsia="Calibri" w:hAnsi="Times New Roman" w:cs="PT Bold Heading"/>
          <w:sz w:val="24"/>
          <w:szCs w:val="36"/>
          <w:rtl/>
        </w:rPr>
        <w:t>المحور</w:t>
      </w:r>
      <w:r w:rsidR="00AF10DA" w:rsidRPr="00B14A8D">
        <w:rPr>
          <w:rFonts w:ascii="Times New Roman" w:eastAsia="Calibri" w:hAnsi="Times New Roman" w:cs="PT Bold Heading"/>
          <w:sz w:val="24"/>
          <w:szCs w:val="36"/>
          <w:rtl/>
        </w:rPr>
        <w:t xml:space="preserve"> </w:t>
      </w:r>
      <w:r w:rsidRPr="00B14A8D">
        <w:rPr>
          <w:rFonts w:ascii="Times New Roman" w:eastAsia="Calibri" w:hAnsi="Times New Roman" w:cs="PT Bold Heading"/>
          <w:sz w:val="24"/>
          <w:szCs w:val="36"/>
          <w:rtl/>
        </w:rPr>
        <w:t>الثاني</w:t>
      </w:r>
      <w:r w:rsidR="00492136" w:rsidRPr="00B14A8D">
        <w:rPr>
          <w:rFonts w:ascii="Times New Roman" w:eastAsia="Calibri" w:hAnsi="Times New Roman" w:cs="PT Bold Heading"/>
          <w:sz w:val="24"/>
          <w:szCs w:val="36"/>
          <w:rtl/>
        </w:rPr>
        <w:t>:</w:t>
      </w:r>
      <w:r w:rsidR="00AF10DA" w:rsidRPr="00B14A8D">
        <w:rPr>
          <w:rFonts w:ascii="Times New Roman" w:eastAsia="Calibri" w:hAnsi="Times New Roman" w:cs="PT Bold Heading"/>
          <w:sz w:val="24"/>
          <w:szCs w:val="36"/>
          <w:rtl/>
        </w:rPr>
        <w:t xml:space="preserve"> </w:t>
      </w:r>
      <w:r w:rsidRPr="00B14A8D">
        <w:rPr>
          <w:rFonts w:ascii="Times New Roman" w:eastAsia="Calibri" w:hAnsi="Times New Roman" w:cs="PT Bold Heading"/>
          <w:sz w:val="24"/>
          <w:szCs w:val="36"/>
          <w:rtl/>
        </w:rPr>
        <w:t>الإطار</w:t>
      </w:r>
      <w:r w:rsidR="00AF10DA" w:rsidRPr="00B14A8D">
        <w:rPr>
          <w:rFonts w:ascii="Times New Roman" w:eastAsia="Calibri" w:hAnsi="Times New Roman" w:cs="PT Bold Heading"/>
          <w:sz w:val="24"/>
          <w:szCs w:val="36"/>
          <w:rtl/>
        </w:rPr>
        <w:t xml:space="preserve"> </w:t>
      </w:r>
      <w:r w:rsidRPr="00B14A8D">
        <w:rPr>
          <w:rFonts w:ascii="Times New Roman" w:eastAsia="Calibri" w:hAnsi="Times New Roman" w:cs="PT Bold Heading"/>
          <w:sz w:val="24"/>
          <w:szCs w:val="36"/>
          <w:rtl/>
        </w:rPr>
        <w:t>النظري</w:t>
      </w:r>
      <w:r w:rsidR="00AF10DA" w:rsidRPr="00B14A8D">
        <w:rPr>
          <w:rFonts w:ascii="Times New Roman" w:eastAsia="Calibri" w:hAnsi="Times New Roman" w:cs="PT Bold Heading"/>
          <w:sz w:val="24"/>
          <w:szCs w:val="36"/>
          <w:rtl/>
        </w:rPr>
        <w:t xml:space="preserve"> </w:t>
      </w:r>
      <w:r w:rsidRPr="00B14A8D">
        <w:rPr>
          <w:rFonts w:ascii="Times New Roman" w:eastAsia="Calibri" w:hAnsi="Times New Roman" w:cs="PT Bold Heading"/>
          <w:sz w:val="24"/>
          <w:szCs w:val="36"/>
          <w:rtl/>
        </w:rPr>
        <w:t>للدراسة</w:t>
      </w:r>
    </w:p>
    <w:bookmarkEnd w:id="4"/>
    <w:p w14:paraId="6C13146E" w14:textId="77777777" w:rsidR="00586478" w:rsidRPr="00B14A8D" w:rsidRDefault="00586478" w:rsidP="00586478">
      <w:pPr>
        <w:spacing w:line="276" w:lineRule="auto"/>
        <w:jc w:val="center"/>
        <w:rPr>
          <w:rFonts w:ascii="Times New Roman" w:eastAsia="Calibri" w:hAnsi="Times New Roman" w:cs="PT Bold Heading"/>
          <w:sz w:val="24"/>
          <w:szCs w:val="42"/>
          <w:rtl/>
        </w:rPr>
      </w:pPr>
    </w:p>
    <w:p w14:paraId="3303BC31" w14:textId="77777777" w:rsidR="00586478" w:rsidRPr="00B14A8D" w:rsidRDefault="00586478" w:rsidP="00586478">
      <w:pPr>
        <w:spacing w:line="257" w:lineRule="auto"/>
        <w:ind w:firstLine="284"/>
        <w:jc w:val="center"/>
        <w:rPr>
          <w:rFonts w:ascii="Times New Roman" w:eastAsia="Calibri" w:hAnsi="Times New Roman" w:cs="Simplified Arabic"/>
          <w:sz w:val="24"/>
          <w:szCs w:val="28"/>
          <w:lang w:bidi="ar-EG"/>
        </w:rPr>
      </w:pPr>
      <w:r w:rsidRPr="00B14A8D">
        <w:rPr>
          <w:rFonts w:ascii="Times New Roman" w:eastAsia="Calibri" w:hAnsi="Times New Roman" w:cs="PT Bold Heading"/>
          <w:sz w:val="24"/>
          <w:szCs w:val="48"/>
          <w:rtl/>
        </w:rPr>
        <w:br w:type="page"/>
      </w:r>
    </w:p>
    <w:p w14:paraId="315783EF" w14:textId="0F232774" w:rsidR="00586478" w:rsidRPr="00B14A8D" w:rsidRDefault="00586478" w:rsidP="00586478">
      <w:pPr>
        <w:spacing w:line="276" w:lineRule="auto"/>
        <w:jc w:val="center"/>
        <w:rPr>
          <w:rFonts w:ascii="Times New Roman" w:eastAsia="Calibri" w:hAnsi="Times New Roman" w:cs="PT Bold Heading"/>
          <w:sz w:val="24"/>
          <w:szCs w:val="32"/>
          <w:rtl/>
        </w:rPr>
      </w:pPr>
      <w:r w:rsidRPr="00B14A8D">
        <w:rPr>
          <w:rFonts w:ascii="Times New Roman" w:eastAsia="Calibri" w:hAnsi="Times New Roman" w:cs="PT Bold Heading"/>
          <w:sz w:val="24"/>
          <w:szCs w:val="32"/>
          <w:rtl/>
        </w:rPr>
        <w:lastRenderedPageBreak/>
        <w:t>الفصل</w:t>
      </w:r>
      <w:r w:rsidR="00AF10DA" w:rsidRPr="00B14A8D">
        <w:rPr>
          <w:rFonts w:ascii="Times New Roman" w:eastAsia="Calibri" w:hAnsi="Times New Roman" w:cs="PT Bold Heading"/>
          <w:sz w:val="24"/>
          <w:szCs w:val="32"/>
          <w:rtl/>
        </w:rPr>
        <w:t xml:space="preserve"> </w:t>
      </w:r>
      <w:r w:rsidRPr="00B14A8D">
        <w:rPr>
          <w:rFonts w:ascii="Times New Roman" w:eastAsia="Calibri" w:hAnsi="Times New Roman" w:cs="PT Bold Heading"/>
          <w:sz w:val="24"/>
          <w:szCs w:val="32"/>
          <w:rtl/>
        </w:rPr>
        <w:t>الثاني</w:t>
      </w:r>
    </w:p>
    <w:p w14:paraId="056D4364" w14:textId="44F98671" w:rsidR="00586478" w:rsidRPr="00B14A8D" w:rsidRDefault="00586478" w:rsidP="00586478">
      <w:pPr>
        <w:spacing w:line="276" w:lineRule="auto"/>
        <w:jc w:val="center"/>
        <w:rPr>
          <w:rFonts w:ascii="Times New Roman" w:eastAsia="Calibri" w:hAnsi="Times New Roman" w:cs="PT Bold Heading"/>
          <w:sz w:val="24"/>
          <w:szCs w:val="32"/>
          <w:rtl/>
        </w:rPr>
      </w:pPr>
      <w:r w:rsidRPr="00B14A8D">
        <w:rPr>
          <w:rFonts w:ascii="Times New Roman" w:eastAsia="Calibri" w:hAnsi="Times New Roman" w:cs="PT Bold Heading"/>
          <w:sz w:val="24"/>
          <w:szCs w:val="32"/>
          <w:rtl/>
        </w:rPr>
        <w:t>الإطار</w:t>
      </w:r>
      <w:r w:rsidR="00AF10DA" w:rsidRPr="00B14A8D">
        <w:rPr>
          <w:rFonts w:ascii="Times New Roman" w:eastAsia="Calibri" w:hAnsi="Times New Roman" w:cs="PT Bold Heading"/>
          <w:sz w:val="24"/>
          <w:szCs w:val="32"/>
          <w:rtl/>
        </w:rPr>
        <w:t xml:space="preserve"> </w:t>
      </w:r>
      <w:r w:rsidRPr="00B14A8D">
        <w:rPr>
          <w:rFonts w:ascii="Times New Roman" w:eastAsia="Calibri" w:hAnsi="Times New Roman" w:cs="PT Bold Heading"/>
          <w:sz w:val="24"/>
          <w:szCs w:val="32"/>
          <w:rtl/>
        </w:rPr>
        <w:t>النظري</w:t>
      </w:r>
      <w:r w:rsidR="00AF10DA" w:rsidRPr="00B14A8D">
        <w:rPr>
          <w:rFonts w:ascii="Times New Roman" w:eastAsia="Calibri" w:hAnsi="Times New Roman" w:cs="PT Bold Heading"/>
          <w:sz w:val="24"/>
          <w:szCs w:val="32"/>
          <w:rtl/>
        </w:rPr>
        <w:t xml:space="preserve"> </w:t>
      </w:r>
      <w:r w:rsidRPr="00B14A8D">
        <w:rPr>
          <w:rFonts w:ascii="Times New Roman" w:eastAsia="Calibri" w:hAnsi="Times New Roman" w:cs="PT Bold Heading"/>
          <w:sz w:val="24"/>
          <w:szCs w:val="32"/>
          <w:rtl/>
        </w:rPr>
        <w:t>والدراسات</w:t>
      </w:r>
      <w:r w:rsidR="00AF10DA" w:rsidRPr="00B14A8D">
        <w:rPr>
          <w:rFonts w:ascii="Times New Roman" w:eastAsia="Calibri" w:hAnsi="Times New Roman" w:cs="PT Bold Heading"/>
          <w:sz w:val="24"/>
          <w:szCs w:val="32"/>
          <w:rtl/>
        </w:rPr>
        <w:t xml:space="preserve"> </w:t>
      </w:r>
      <w:r w:rsidRPr="00B14A8D">
        <w:rPr>
          <w:rFonts w:ascii="Times New Roman" w:eastAsia="Calibri" w:hAnsi="Times New Roman" w:cs="PT Bold Heading"/>
          <w:sz w:val="24"/>
          <w:szCs w:val="32"/>
          <w:rtl/>
        </w:rPr>
        <w:t>السابقة</w:t>
      </w:r>
    </w:p>
    <w:p w14:paraId="4BBF0574" w14:textId="77777777" w:rsidR="00586478" w:rsidRPr="00B14A8D" w:rsidRDefault="00586478" w:rsidP="00586478">
      <w:pPr>
        <w:spacing w:after="240" w:line="276" w:lineRule="auto"/>
        <w:ind w:firstLine="284"/>
        <w:jc w:val="both"/>
        <w:rPr>
          <w:rFonts w:ascii="Times New Roman" w:eastAsia="Calibri" w:hAnsi="Times New Roman" w:cs="Simplified Arabic"/>
          <w:b/>
          <w:bCs/>
          <w:sz w:val="24"/>
          <w:szCs w:val="28"/>
          <w:rtl/>
        </w:rPr>
      </w:pPr>
      <w:r w:rsidRPr="00B14A8D">
        <w:rPr>
          <w:rFonts w:ascii="Times New Roman" w:eastAsia="Calibri" w:hAnsi="Times New Roman" w:cs="Simplified Arabic"/>
          <w:b/>
          <w:bCs/>
          <w:sz w:val="24"/>
          <w:szCs w:val="28"/>
          <w:rtl/>
        </w:rPr>
        <w:t>مقدمة</w:t>
      </w:r>
    </w:p>
    <w:p w14:paraId="030BED3E"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bookmarkStart w:id="5" w:name="_Hlk213788421"/>
      <w:r w:rsidRPr="006B40EB">
        <w:rPr>
          <w:rFonts w:ascii="Times New Roman" w:eastAsia="Calibri" w:hAnsi="Times New Roman" w:cs="Simplified Arabic"/>
          <w:sz w:val="24"/>
          <w:szCs w:val="28"/>
          <w:rtl/>
        </w:rPr>
        <w:t xml:space="preserve">يستعرض هذا الفصل الأسس المعرفية والنظرية التي تنبني عليها الدراسة، وذلك من خلال محورين متكاملين. حيث يستعرض المحور الأول، وهو </w:t>
      </w:r>
      <w:r w:rsidRPr="006B40EB">
        <w:rPr>
          <w:rFonts w:ascii="Times New Roman" w:eastAsia="Calibri" w:hAnsi="Times New Roman" w:cs="Simplified Arabic"/>
          <w:b/>
          <w:bCs/>
          <w:sz w:val="24"/>
          <w:szCs w:val="28"/>
          <w:rtl/>
        </w:rPr>
        <w:t>الإطار النظري</w:t>
      </w:r>
      <w:r w:rsidRPr="006B40EB">
        <w:rPr>
          <w:rFonts w:ascii="Times New Roman" w:eastAsia="Calibri" w:hAnsi="Times New Roman" w:cs="Simplified Arabic"/>
          <w:sz w:val="24"/>
          <w:szCs w:val="28"/>
          <w:rtl/>
        </w:rPr>
        <w:t xml:space="preserve">، الأدبيات الفكرية المتعلقة بمتغيرات الدراسة، حيث يتم تحليل المفاهيم بعمق وتأصيلها ضمن النظريات العلمية ذات الصلة. أما المحور الثاني، فيستعرض </w:t>
      </w:r>
      <w:r w:rsidRPr="006B40EB">
        <w:rPr>
          <w:rFonts w:ascii="Times New Roman" w:eastAsia="Calibri" w:hAnsi="Times New Roman" w:cs="Simplified Arabic"/>
          <w:b/>
          <w:bCs/>
          <w:sz w:val="24"/>
          <w:szCs w:val="28"/>
          <w:rtl/>
        </w:rPr>
        <w:t>الدراسات السابقة</w:t>
      </w:r>
      <w:r w:rsidRPr="006B40EB">
        <w:rPr>
          <w:rFonts w:ascii="Times New Roman" w:eastAsia="Calibri" w:hAnsi="Times New Roman" w:cs="Simplified Arabic"/>
          <w:sz w:val="24"/>
          <w:szCs w:val="28"/>
          <w:rtl/>
        </w:rPr>
        <w:t xml:space="preserve"> التي تناولت الموضوع من زوايا مختلفة، بهدف تحديد الفجوة البحثية وتوضيح موقع الدراسة الحالية ضمن الحقل المعرفي.</w:t>
      </w:r>
    </w:p>
    <w:p w14:paraId="7B991DE4" w14:textId="77777777" w:rsidR="006B40EB" w:rsidRPr="000B508C" w:rsidRDefault="006B40EB" w:rsidP="000B508C">
      <w:pPr>
        <w:spacing w:after="240" w:line="276" w:lineRule="auto"/>
        <w:ind w:firstLine="510"/>
        <w:jc w:val="center"/>
        <w:rPr>
          <w:rFonts w:ascii="Times New Roman" w:eastAsia="Calibri" w:hAnsi="Times New Roman" w:cs="Simplified Arabic"/>
          <w:b/>
          <w:bCs/>
          <w:sz w:val="28"/>
          <w:szCs w:val="32"/>
        </w:rPr>
      </w:pPr>
      <w:r w:rsidRPr="000B508C">
        <w:rPr>
          <w:rFonts w:ascii="Times New Roman" w:eastAsia="Calibri" w:hAnsi="Times New Roman" w:cs="Simplified Arabic"/>
          <w:b/>
          <w:bCs/>
          <w:sz w:val="28"/>
          <w:szCs w:val="32"/>
          <w:rtl/>
        </w:rPr>
        <w:t>المحور الأول: مراجعة الدراسات السابقة</w:t>
      </w:r>
    </w:p>
    <w:p w14:paraId="3C1CA0C7"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يمثل هذا المحور عرضاً تحليلياً منظماً للأدبيات التجريبية السابقة التي تناولت متغيرات الدراسة الحالية أو متغيرات قريبة منها. ويهدف هذا العرض إلى تحديد نقاط الالتقاء والاختلاف بين الدراسة الحالية والدراسات الأخرى، وتأكيد الفجوة المعرفية التي تسعى هذه الدراسة إلى سدها، فضلاً عن الاستفادة من مناهج تلك الدراسات ونتائجها في بناء الإطار الميداني وتفسير النتائج لاحقاً.</w:t>
      </w:r>
    </w:p>
    <w:p w14:paraId="3150C0E5" w14:textId="77777777" w:rsidR="006B40EB" w:rsidRPr="006B40EB" w:rsidRDefault="006B40EB" w:rsidP="006B40EB">
      <w:pPr>
        <w:spacing w:after="240" w:line="276" w:lineRule="auto"/>
        <w:ind w:firstLine="510"/>
        <w:jc w:val="both"/>
        <w:rPr>
          <w:rFonts w:ascii="Times New Roman" w:eastAsia="Calibri" w:hAnsi="Times New Roman" w:cs="Simplified Arabic"/>
          <w:b/>
          <w:bCs/>
          <w:sz w:val="24"/>
          <w:szCs w:val="28"/>
        </w:rPr>
      </w:pPr>
      <w:r w:rsidRPr="006B40EB">
        <w:rPr>
          <w:rFonts w:ascii="Times New Roman" w:eastAsia="Calibri" w:hAnsi="Times New Roman" w:cs="Simplified Arabic"/>
          <w:b/>
          <w:bCs/>
          <w:sz w:val="24"/>
          <w:szCs w:val="28"/>
          <w:rtl/>
        </w:rPr>
        <w:t>أولاً: دراسات سابقة تناولت متغيرات الدراسة الحالية في سياق البيئة (المحلية والعربية)</w:t>
      </w:r>
    </w:p>
    <w:p w14:paraId="0204D96D"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فيما يأتي عرض لأبرز الدراسات العربية التي تمكن الباحث من الاطلاع عليها، مرتبة زمنياً من الأحدث إلى الأقدم:</w:t>
      </w:r>
    </w:p>
    <w:p w14:paraId="0F15E1F9"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w:t>
      </w:r>
      <w:proofErr w:type="spellStart"/>
      <w:r w:rsidRPr="006B40EB">
        <w:rPr>
          <w:rFonts w:ascii="Times New Roman" w:eastAsia="Calibri" w:hAnsi="Times New Roman" w:cs="Simplified Arabic"/>
          <w:b/>
          <w:bCs/>
          <w:sz w:val="24"/>
          <w:szCs w:val="28"/>
          <w:rtl/>
        </w:rPr>
        <w:t>الذبحاوي</w:t>
      </w:r>
      <w:proofErr w:type="spellEnd"/>
      <w:r w:rsidRPr="006B40EB">
        <w:rPr>
          <w:rFonts w:ascii="Times New Roman" w:eastAsia="Calibri" w:hAnsi="Times New Roman" w:cs="Simplified Arabic"/>
          <w:b/>
          <w:bCs/>
          <w:sz w:val="24"/>
          <w:szCs w:val="28"/>
          <w:rtl/>
        </w:rPr>
        <w:t xml:space="preserve">، </w:t>
      </w:r>
      <w:proofErr w:type="spellStart"/>
      <w:r w:rsidRPr="006B40EB">
        <w:rPr>
          <w:rFonts w:ascii="Times New Roman" w:eastAsia="Calibri" w:hAnsi="Times New Roman" w:cs="Simplified Arabic"/>
          <w:b/>
          <w:bCs/>
          <w:sz w:val="24"/>
          <w:szCs w:val="28"/>
          <w:rtl/>
        </w:rPr>
        <w:t>والعميدي</w:t>
      </w:r>
      <w:proofErr w:type="spellEnd"/>
      <w:r w:rsidRPr="006B40EB">
        <w:rPr>
          <w:rFonts w:ascii="Times New Roman" w:eastAsia="Calibri" w:hAnsi="Times New Roman" w:cs="Simplified Arabic"/>
          <w:b/>
          <w:bCs/>
          <w:sz w:val="24"/>
          <w:szCs w:val="28"/>
          <w:rtl/>
        </w:rPr>
        <w:t>، ومهدي (2024م)، العراق،</w:t>
      </w:r>
      <w:r w:rsidRPr="006B40EB">
        <w:rPr>
          <w:rFonts w:ascii="Times New Roman" w:eastAsia="Calibri" w:hAnsi="Times New Roman" w:cs="Simplified Arabic"/>
          <w:sz w:val="24"/>
          <w:szCs w:val="28"/>
          <w:rtl/>
        </w:rPr>
        <w:t xml:space="preserve"> بعنوان: "القيادة المستدامة ودورها في تحقيق الريادة الاستراتيجية في شركة </w:t>
      </w:r>
      <w:proofErr w:type="spellStart"/>
      <w:r w:rsidRPr="006B40EB">
        <w:rPr>
          <w:rFonts w:ascii="Times New Roman" w:eastAsia="Calibri" w:hAnsi="Times New Roman" w:cs="Simplified Arabic"/>
          <w:sz w:val="24"/>
          <w:szCs w:val="28"/>
          <w:rtl/>
        </w:rPr>
        <w:t>اسياسيل</w:t>
      </w:r>
      <w:proofErr w:type="spellEnd"/>
      <w:r w:rsidRPr="006B40EB">
        <w:rPr>
          <w:rFonts w:ascii="Times New Roman" w:eastAsia="Calibri" w:hAnsi="Times New Roman" w:cs="Simplified Arabic"/>
          <w:sz w:val="24"/>
          <w:szCs w:val="28"/>
          <w:rtl/>
        </w:rPr>
        <w:t xml:space="preserve"> للاتصالات". هدفت الدراسة إلى بيان دور القيادة المستدامة بأبعادها (التفكير طويل الأجل، الوعي البيئي، الوعي الاجتماعي، العدالة، الإبداع) في تحقيق الريادة الاستراتيجية. وقد اتبع الباحثون المنهج الوصفي التحليلي، واستخدموا الاستبانة كأداة رئيسية لجمع البيانات من عينة قصدية تكونت من (94) فرداً من القيادات الإدارية في الشركة </w:t>
      </w:r>
      <w:proofErr w:type="spellStart"/>
      <w:r w:rsidRPr="006B40EB">
        <w:rPr>
          <w:rFonts w:ascii="Times New Roman" w:eastAsia="Calibri" w:hAnsi="Times New Roman" w:cs="Simplified Arabic"/>
          <w:sz w:val="24"/>
          <w:szCs w:val="28"/>
          <w:rtl/>
        </w:rPr>
        <w:t>المبحوثة</w:t>
      </w:r>
      <w:proofErr w:type="spellEnd"/>
      <w:r w:rsidRPr="006B40EB">
        <w:rPr>
          <w:rFonts w:ascii="Times New Roman" w:eastAsia="Calibri" w:hAnsi="Times New Roman" w:cs="Simplified Arabic"/>
          <w:sz w:val="24"/>
          <w:szCs w:val="28"/>
          <w:rtl/>
        </w:rPr>
        <w:t xml:space="preserve">. وكشفت النتائج عن وجود علاقة ارتباط وتأثير ذات </w:t>
      </w:r>
      <w:r w:rsidRPr="006B40EB">
        <w:rPr>
          <w:rFonts w:ascii="Times New Roman" w:eastAsia="Calibri" w:hAnsi="Times New Roman" w:cs="Simplified Arabic"/>
          <w:sz w:val="24"/>
          <w:szCs w:val="28"/>
          <w:rtl/>
        </w:rPr>
        <w:lastRenderedPageBreak/>
        <w:t>دلالة إحصائية للقيادة المستدامة في تحقيق الريادة الاستراتيجية، حيث تبين أن الشركة تولي اهتماماً بجميع أبعاد القيادة المستدامة، وكان لجميع هذه الأبعاد تأثير إيجابي في الريادة الاستراتيجية. وأوصت الدراسة بضرورة تعزيز ثقافة القيادة المستدامة لدى القيادات الإدارية في الشركة من خلال إشراكهم في دورات تدريبية متخصصة تركز على التفكير الاستراتيجي المستدام.</w:t>
      </w:r>
    </w:p>
    <w:p w14:paraId="558AC9DA"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دراسة السبيعي (2024م)، المملكة العربية السعودية،</w:t>
      </w:r>
      <w:r w:rsidRPr="006B40EB">
        <w:rPr>
          <w:rFonts w:ascii="Times New Roman" w:eastAsia="Calibri" w:hAnsi="Times New Roman" w:cs="Simplified Arabic"/>
          <w:sz w:val="24"/>
          <w:szCs w:val="28"/>
          <w:rtl/>
        </w:rPr>
        <w:t xml:space="preserve"> بعنوان: "واقع ممارسة القيادة المستدامة وعلاقتها بالأداء المدرسي من وجهة نظر المديرين والمشرفين التربويين بإدارة تعليم الطائف". سعت هذه الدراسة إلى تحديد واقع ممارسة القيادة المستدامة وعلاقتها بالأداء المدرسي. وقد استخدم الباحث المنهج الوصفي الارتباطي، وطبق استبانة على عينة تكونت من (354) مديراً ومشرفاً تربوياً. وأظهرت النتائج أن درجة ممارسة القيادة المستدامة في مدارس الطائف جاءت بدرجة "مرتفعة"، كما جاء مستوى الأداء المدرسي بدرجة "مرتفعة" أيضاً. كما توصلت الدراسة إلى وجود علاقة ارتباطية موجبة ودالة إحصائياً بين درجة ممارسة القيادة المستدامة ومستوى الأداء المدرسي. وأوصت الدراسة بضرورة العمل على نشر ثقافة القيادة المستدامة بين كافة منسوبي التعليم من خلال عقد ورش عمل ولقاءات تعريفية.</w:t>
      </w:r>
    </w:p>
    <w:p w14:paraId="486E8A1C"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w:t>
      </w:r>
      <w:proofErr w:type="spellStart"/>
      <w:r w:rsidRPr="006B40EB">
        <w:rPr>
          <w:rFonts w:ascii="Times New Roman" w:eastAsia="Calibri" w:hAnsi="Times New Roman" w:cs="Simplified Arabic"/>
          <w:b/>
          <w:bCs/>
          <w:sz w:val="24"/>
          <w:szCs w:val="28"/>
          <w:rtl/>
        </w:rPr>
        <w:t>أبوشرخ</w:t>
      </w:r>
      <w:proofErr w:type="spellEnd"/>
      <w:r w:rsidRPr="006B40EB">
        <w:rPr>
          <w:rFonts w:ascii="Times New Roman" w:eastAsia="Calibri" w:hAnsi="Times New Roman" w:cs="Simplified Arabic"/>
          <w:b/>
          <w:bCs/>
          <w:sz w:val="24"/>
          <w:szCs w:val="28"/>
          <w:rtl/>
        </w:rPr>
        <w:t xml:space="preserve"> (2023م)، فلسطين،</w:t>
      </w:r>
      <w:r w:rsidRPr="006B40EB">
        <w:rPr>
          <w:rFonts w:ascii="Times New Roman" w:eastAsia="Calibri" w:hAnsi="Times New Roman" w:cs="Simplified Arabic"/>
          <w:sz w:val="24"/>
          <w:szCs w:val="28"/>
          <w:rtl/>
        </w:rPr>
        <w:t xml:space="preserve"> بعنوان: "القيادة المستدامة ودورها في تطبيق ممارسات إدارة الموارد البشرية الخضراء: تقييم مؤسسي مقارن". هدفت الدراسة إلى التعرف على دور القيادة المستدامة في تطبيق ممارسات إدارة الموارد البشرية الخضراء في القطاعين الصحي والأكاديمي. وقد اعتمدت الباحثة على المنهج الوصفي التحليلي، واستخدمت الاستبانة كأداة لجمع البيانات من عينة بلغت (350) موظفاً. وكشفت النتائج عن وجود مستوى تطبيق مرتفع للقيادة المستدامة في المؤسسات </w:t>
      </w:r>
      <w:proofErr w:type="spellStart"/>
      <w:r w:rsidRPr="006B40EB">
        <w:rPr>
          <w:rFonts w:ascii="Times New Roman" w:eastAsia="Calibri" w:hAnsi="Times New Roman" w:cs="Simplified Arabic"/>
          <w:sz w:val="24"/>
          <w:szCs w:val="28"/>
          <w:rtl/>
        </w:rPr>
        <w:t>المبحوثة</w:t>
      </w:r>
      <w:proofErr w:type="spellEnd"/>
      <w:r w:rsidRPr="006B40EB">
        <w:rPr>
          <w:rFonts w:ascii="Times New Roman" w:eastAsia="Calibri" w:hAnsi="Times New Roman" w:cs="Simplified Arabic"/>
          <w:sz w:val="24"/>
          <w:szCs w:val="28"/>
          <w:rtl/>
        </w:rPr>
        <w:t>، ومستوى متوسط لممارسات إدارة الموارد البشرية الخضراء. كما أظهرت النتائج وجود أثر إيجابي وذي دلالة إحصائية للقيادة المستدامة في تطبيق ممارسات إدارة الموارد البشرية الخضراء. وأوصت الدراسة بضرورة تبني المؤسسات لمفهوم القيادة المستدامة وتضمينه ضمن خططها الاستراتيجية.</w:t>
      </w:r>
    </w:p>
    <w:p w14:paraId="53B52CD0"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دراسة </w:t>
      </w:r>
      <w:proofErr w:type="spellStart"/>
      <w:r w:rsidRPr="006B40EB">
        <w:rPr>
          <w:rFonts w:ascii="Times New Roman" w:eastAsia="Calibri" w:hAnsi="Times New Roman" w:cs="Simplified Arabic"/>
          <w:b/>
          <w:bCs/>
          <w:sz w:val="24"/>
          <w:szCs w:val="28"/>
          <w:rtl/>
        </w:rPr>
        <w:t>البلشي</w:t>
      </w:r>
      <w:proofErr w:type="spellEnd"/>
      <w:r w:rsidRPr="006B40EB">
        <w:rPr>
          <w:rFonts w:ascii="Times New Roman" w:eastAsia="Calibri" w:hAnsi="Times New Roman" w:cs="Simplified Arabic"/>
          <w:b/>
          <w:bCs/>
          <w:sz w:val="24"/>
          <w:szCs w:val="28"/>
          <w:rtl/>
        </w:rPr>
        <w:t xml:space="preserve"> (2023م)، مصر،</w:t>
      </w:r>
      <w:r w:rsidRPr="006B40EB">
        <w:rPr>
          <w:rFonts w:ascii="Times New Roman" w:eastAsia="Calibri" w:hAnsi="Times New Roman" w:cs="Simplified Arabic"/>
          <w:sz w:val="24"/>
          <w:szCs w:val="28"/>
          <w:rtl/>
        </w:rPr>
        <w:t xml:space="preserve"> بعنوان: "دور القيادة المدرسية في تحقيق ممارسات المدرسة الخضراء المستدامة بمدارس التعليم الثانوي العام وفق مدخل الإنتاج الخالي من الهدر". استهدفت الدراسة تحديد دور القيادة المدرسية في تحقيق ممارسات المدرسة الخضراء المستدامة. وقد استخدم الباحث المنهج الوصفي، وقام بتطبيق استبانة على عينة من مديري ووكلاء المدارس الثانوية العامة بلغ قوامها (220) فرداً. وأظهرت النتائج أن مستوى ممارسة القيادة المدرسية لأدوارها في تحقيق ممارسات المدرسة الخضراء جاء بدرجة "متوسطة". كما كشفت عن وجود تحديات تواجه تطبيق هذه الممارسات. وأوصت الدراسة بضرورة تطوير برامج للتنمية المهنية لقيادات المدارس الثانوية لتعزيز وعيهم وكفاءتهم في مجال قيادة المدارس الخضراء.</w:t>
      </w:r>
    </w:p>
    <w:p w14:paraId="6884FCD4"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w:t>
      </w:r>
      <w:proofErr w:type="spellStart"/>
      <w:r w:rsidRPr="006B40EB">
        <w:rPr>
          <w:rFonts w:ascii="Times New Roman" w:eastAsia="Calibri" w:hAnsi="Times New Roman" w:cs="Simplified Arabic"/>
          <w:b/>
          <w:bCs/>
          <w:sz w:val="24"/>
          <w:szCs w:val="28"/>
          <w:rtl/>
        </w:rPr>
        <w:t>العوش</w:t>
      </w:r>
      <w:proofErr w:type="spellEnd"/>
      <w:r w:rsidRPr="006B40EB">
        <w:rPr>
          <w:rFonts w:ascii="Times New Roman" w:eastAsia="Calibri" w:hAnsi="Times New Roman" w:cs="Simplified Arabic"/>
          <w:b/>
          <w:bCs/>
          <w:sz w:val="24"/>
          <w:szCs w:val="28"/>
          <w:rtl/>
        </w:rPr>
        <w:t xml:space="preserve"> (2023م)، اليمن،</w:t>
      </w:r>
      <w:r w:rsidRPr="006B40EB">
        <w:rPr>
          <w:rFonts w:ascii="Times New Roman" w:eastAsia="Calibri" w:hAnsi="Times New Roman" w:cs="Simplified Arabic"/>
          <w:sz w:val="24"/>
          <w:szCs w:val="28"/>
          <w:rtl/>
        </w:rPr>
        <w:t xml:space="preserve"> بعنوان: "القيادة المستدامة وعلاقتها بالمناخ التنظيمي وكفاءة الأداء الإداري في الجامعات اليمنية الأهلية". سعت الدراسة إلى تحديد مستوى ممارسة القيادة المستدامة وعلاقتها بالمناخ التنظيمي وكفاءة الأداء الإداري. وقد اتبعت الباحثة المنهج الوصفي الارتباطي، مستخدمة الاستبانة كأداة لجمع البيانات من عينة مكونة من (275) من أعضاء هيئة التدريس والقيادات الأكاديمية. وتوصلت الدراسة إلى أن مستوى ممارسة أبعاد القيادة المستدامة جاء بدرجة "مرتفعة". كما أظهرت وجود علاقة ارتباطية موجبة ودالة إحصائياً بين القيادة المستدامة بكل من المناخ التنظيمي السائد وكفاءة الأداء الإداري. وأوصت الدراسة بضرورة تعزيز الجامعات لتبني ممارسات القيادة المستدامة من خلال السياسات والبرامج الداعمة.</w:t>
      </w:r>
    </w:p>
    <w:p w14:paraId="50E445FA"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دراسة عيسى (2023م)، مصر،</w:t>
      </w:r>
      <w:r w:rsidRPr="006B40EB">
        <w:rPr>
          <w:rFonts w:ascii="Times New Roman" w:eastAsia="Calibri" w:hAnsi="Times New Roman" w:cs="Simplified Arabic"/>
          <w:sz w:val="24"/>
          <w:szCs w:val="28"/>
          <w:rtl/>
        </w:rPr>
        <w:t xml:space="preserve"> بعنوان: "الدور الوسيط للقيادة المستدامة في العلاقة بين ممارسات إدارة الموارد البشرية الخضراء والأداء التنظيمي الأخضر: دراسة تطبيقية". هدفت الدراسة إلى اختبار الدور الوسيط للقيادة المستدامة في العلاقة بين ممارسات إدارة الموارد البشرية الخضراء والأداء التنظيمي الأخضر. وقد اعتمد الباحث على المنهج الوصفي التحليلي، حيث تم توزيع استبانات على عينة من مديري (310) فندقاً من فنادق الخمس نجوم. وأظهرت النتائج وجود تأثير إيجابي مباشر لممارسات إدارة الموارد البشرية الخضراء على القيادة المستدامة، ووجود تأثير إيجابي مباشر للقيادة المستدامة على الأداء التنظيمي </w:t>
      </w:r>
      <w:r w:rsidRPr="006B40EB">
        <w:rPr>
          <w:rFonts w:ascii="Times New Roman" w:eastAsia="Calibri" w:hAnsi="Times New Roman" w:cs="Simplified Arabic"/>
          <w:sz w:val="24"/>
          <w:szCs w:val="28"/>
          <w:rtl/>
        </w:rPr>
        <w:lastRenderedPageBreak/>
        <w:t>الأخضر. والأهم من ذلك، أثبتت النتائج أن القيادة المستدامة تؤدي دوراً وسيطاً كاملاً في العلاقة بين المتغيرين. وأوصت الدراسة بضرورة اهتمام الفنادق بتنمية وتطوير قادة يمتلكون سمات القيادة المستدامة.</w:t>
      </w:r>
    </w:p>
    <w:p w14:paraId="605D766A"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دراسة محمد (2023م)، مصر،</w:t>
      </w:r>
      <w:r w:rsidRPr="006B40EB">
        <w:rPr>
          <w:rFonts w:ascii="Times New Roman" w:eastAsia="Calibri" w:hAnsi="Times New Roman" w:cs="Simplified Arabic"/>
          <w:sz w:val="24"/>
          <w:szCs w:val="28"/>
          <w:rtl/>
        </w:rPr>
        <w:t xml:space="preserve"> بعنوان: "واقع ممارسة القيادة المستدامة وعلاقتها بتحقيق البراعة التنظيمية، دراسة ميدانية بجامعة سوهاج". استهدفت الدراسة التعرف على واقع ممارسة القيادة المستدامة وعلاقتها بتحقيق البراعة التنظيمية. وقد استخدمت الباحثة المنهج الوصفي الارتباطي، وتم تطبيق استبانة على عينة من أعضاء هيئة التدريس ومعاونيهم بلغ عددها (384) فرداً. وأظهرت النتائج أن درجة ممارسة القيادات الأكاديمية لأبعاد القيادة المستدامة جاءت "متوسطة". كما كشفت عن وجود علاقة ارتباطية موجبة ودالة إحصائياً بين ممارسة القيادة المستدامة وتحقيق البراعة التنظيمية. وأوصت الدراسة بضرورة عقد ورش عمل للقيادات الأكاديمية لتعميق فهمهم لمفهوم القيادة المستدامة وأهميتها.</w:t>
      </w:r>
    </w:p>
    <w:p w14:paraId="7C949E3D"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w:t>
      </w:r>
      <w:proofErr w:type="gramStart"/>
      <w:r w:rsidRPr="006B40EB">
        <w:rPr>
          <w:rFonts w:ascii="Times New Roman" w:eastAsia="Calibri" w:hAnsi="Times New Roman" w:cs="Simplified Arabic"/>
          <w:b/>
          <w:bCs/>
          <w:sz w:val="24"/>
          <w:szCs w:val="28"/>
          <w:rtl/>
        </w:rPr>
        <w:t>علي</w:t>
      </w:r>
      <w:proofErr w:type="gramEnd"/>
      <w:r w:rsidRPr="006B40EB">
        <w:rPr>
          <w:rFonts w:ascii="Times New Roman" w:eastAsia="Calibri" w:hAnsi="Times New Roman" w:cs="Simplified Arabic"/>
          <w:b/>
          <w:bCs/>
          <w:sz w:val="24"/>
          <w:szCs w:val="28"/>
          <w:rtl/>
        </w:rPr>
        <w:t xml:space="preserve"> (2022م)، مصر،</w:t>
      </w:r>
      <w:r w:rsidRPr="006B40EB">
        <w:rPr>
          <w:rFonts w:ascii="Times New Roman" w:eastAsia="Calibri" w:hAnsi="Times New Roman" w:cs="Simplified Arabic"/>
          <w:sz w:val="24"/>
          <w:szCs w:val="28"/>
          <w:rtl/>
        </w:rPr>
        <w:t xml:space="preserve"> بعنوان: "تطوير أداء القيادات الأكاديمية بجامعة الأزهر في ضوء أبعاد القيادة المستدامة". هدفت الدراسة إلى وضع تصور مقترح لتطوير أداء القيادات الأكاديمية بجامعة الأزهر في ضوء أبعاد القيادة المستدامة. وقد استخدم الباحث المنهج الوصفي، وقام بتطبيق استبانة على عينة من القيادات الأكاديمية وأعضاء هيئة التدريس بلغ عددها (520) فرداً. وكشفت النتائج أن درجة توافر أبعاد القيادة المستدامة لدى القيادات الأكاديمية بالجامعة جاءت بدرجة "متوسطة". وبناءً على النتائج، قدمت الدراسة تصوراً مقترحاً لتطوير الأداء. وأوصت الدراسة بضرورة تبني جامعة الأزهر لنموذج القيادة المستدامة كإطار لتقييم وتطوير قياداتها.</w:t>
      </w:r>
    </w:p>
    <w:p w14:paraId="6C879347"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دراسة عيد (2022م)، المملكة العربية السعودية،</w:t>
      </w:r>
      <w:r w:rsidRPr="006B40EB">
        <w:rPr>
          <w:rFonts w:ascii="Times New Roman" w:eastAsia="Calibri" w:hAnsi="Times New Roman" w:cs="Simplified Arabic"/>
          <w:sz w:val="24"/>
          <w:szCs w:val="28"/>
          <w:rtl/>
        </w:rPr>
        <w:t xml:space="preserve"> بعنوان: "واقع تطبيق القيادة المستدامة في ضوء نموذج افري </w:t>
      </w:r>
      <w:proofErr w:type="spellStart"/>
      <w:r w:rsidRPr="006B40EB">
        <w:rPr>
          <w:rFonts w:ascii="Times New Roman" w:eastAsia="Calibri" w:hAnsi="Times New Roman" w:cs="Simplified Arabic"/>
          <w:sz w:val="24"/>
          <w:szCs w:val="28"/>
          <w:rtl/>
        </w:rPr>
        <w:t>وبريجستنر</w:t>
      </w:r>
      <w:proofErr w:type="spellEnd"/>
      <w:r w:rsidRPr="006B40EB">
        <w:rPr>
          <w:rFonts w:ascii="Times New Roman" w:eastAsia="Calibri" w:hAnsi="Times New Roman" w:cs="Simplified Arabic"/>
          <w:sz w:val="24"/>
          <w:szCs w:val="28"/>
          <w:rtl/>
        </w:rPr>
        <w:t xml:space="preserve"> في جامعة أم القرى ومتطلبات تعزيزها". سعت الدراسة إلى تشخيص واقع تطبيق القيادة المستدامة في جامعة أم القرى من وجهة نظر أعضاء هيئة التدريس. وقد اتبعت الباحثة المنهج الوصفي المسحي، مستخدمة الاستبانة كأداة لجمع البيانات من عينة بلغ قوامها (381) عضواً. وأظهرت النتائج أن درجة تطبيق القيادة المستدامة في الجامعة جاءت "مرتفعة". كما كشفت الدراسة عن عدم وجود فروق ذات دلالة </w:t>
      </w:r>
      <w:r w:rsidRPr="006B40EB">
        <w:rPr>
          <w:rFonts w:ascii="Times New Roman" w:eastAsia="Calibri" w:hAnsi="Times New Roman" w:cs="Simplified Arabic"/>
          <w:sz w:val="24"/>
          <w:szCs w:val="28"/>
          <w:rtl/>
        </w:rPr>
        <w:lastRenderedPageBreak/>
        <w:t>إحصائية في استجابات أفراد العينة تعزى لمتغيراتهم الديموغرافية. وأوصت الدراسة بضرورة الاستمرار في دعم ممارسات القيادة المستدامة بالجامعة وتضمينها في عمليات التخطيط الاستراتيجي.</w:t>
      </w:r>
    </w:p>
    <w:p w14:paraId="2829F438" w14:textId="77777777" w:rsidR="006B40EB" w:rsidRPr="006B40EB" w:rsidRDefault="006B40EB" w:rsidP="006B40EB">
      <w:pPr>
        <w:numPr>
          <w:ilvl w:val="0"/>
          <w:numId w:val="76"/>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t xml:space="preserve">دراسة </w:t>
      </w:r>
      <w:proofErr w:type="spellStart"/>
      <w:r w:rsidRPr="006B40EB">
        <w:rPr>
          <w:rFonts w:ascii="Times New Roman" w:eastAsia="Calibri" w:hAnsi="Times New Roman" w:cs="Simplified Arabic"/>
          <w:b/>
          <w:bCs/>
          <w:sz w:val="24"/>
          <w:szCs w:val="28"/>
          <w:rtl/>
        </w:rPr>
        <w:t>الحدراوي</w:t>
      </w:r>
      <w:proofErr w:type="spellEnd"/>
      <w:r w:rsidRPr="006B40EB">
        <w:rPr>
          <w:rFonts w:ascii="Times New Roman" w:eastAsia="Calibri" w:hAnsi="Times New Roman" w:cs="Simplified Arabic"/>
          <w:b/>
          <w:bCs/>
          <w:sz w:val="24"/>
          <w:szCs w:val="28"/>
          <w:rtl/>
        </w:rPr>
        <w:t xml:space="preserve"> (2018م)، العراق،</w:t>
      </w:r>
      <w:r w:rsidRPr="006B40EB">
        <w:rPr>
          <w:rFonts w:ascii="Times New Roman" w:eastAsia="Calibri" w:hAnsi="Times New Roman" w:cs="Simplified Arabic"/>
          <w:sz w:val="24"/>
          <w:szCs w:val="28"/>
          <w:rtl/>
        </w:rPr>
        <w:t xml:space="preserve"> بعنوان: "دور القيادة المستدامة في تحقيق التفوق التنظيمي: دراسة تحليلية في مطار النجف الأشرف الدولي". استهدفت الدراسة بيان دور القيادة المستدامة في تحقيق التفوق التنظيمي. وقد اتبع الباحث المنهج الوصفي التحليلي، حيث تم توزيع استبانات على عينة من المديرين ورؤساء الأقسام في المطار بلغ عددها (55) فرداً. وتوصلت الدراسة إلى وجود علاقة ارتباط وتأثير معنوية بين القيادة المستدامة والتفوق التنظيمي، حيث تبين أن بُعد "التفكير طويل الأمد" كان الأكثر تأثيراً. وأوصت الدراسة بضرورة تبني إدارة المطار لفلسفة القيادة المستدامة وتطبيق أبعادها لما لها من دور فاعل في تحقيق التفوق.</w:t>
      </w:r>
    </w:p>
    <w:p w14:paraId="6C8AD1B2" w14:textId="77777777" w:rsidR="006B40EB" w:rsidRPr="006B40EB" w:rsidRDefault="006B40EB" w:rsidP="006B40EB">
      <w:pPr>
        <w:spacing w:after="240" w:line="276" w:lineRule="auto"/>
        <w:ind w:firstLine="510"/>
        <w:jc w:val="both"/>
        <w:rPr>
          <w:rFonts w:ascii="Times New Roman" w:eastAsia="Calibri" w:hAnsi="Times New Roman" w:cs="Simplified Arabic"/>
          <w:b/>
          <w:bCs/>
          <w:sz w:val="24"/>
          <w:szCs w:val="28"/>
        </w:rPr>
      </w:pPr>
      <w:r w:rsidRPr="006B40EB">
        <w:rPr>
          <w:rFonts w:ascii="Times New Roman" w:eastAsia="Calibri" w:hAnsi="Times New Roman" w:cs="Simplified Arabic"/>
          <w:b/>
          <w:bCs/>
          <w:sz w:val="24"/>
          <w:szCs w:val="28"/>
          <w:rtl/>
        </w:rPr>
        <w:t>ثانياً: دراسات سابقة (أجنبية) تناولت متغيرات الدراسة الحالية في سياق بيئات غربية ومتنوعة</w:t>
      </w:r>
    </w:p>
    <w:p w14:paraId="249B9333"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فيما يأتي عرض لأبرز الدراسات الأجنبية التي تمكن الباحث من الاطلاع عليها، مرتبة زمنياً من الأحدث إلى الأقدم:</w:t>
      </w:r>
    </w:p>
    <w:p w14:paraId="7F6AD6FA"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w:t>
      </w:r>
      <w:proofErr w:type="spellStart"/>
      <w:r w:rsidRPr="006B40EB">
        <w:rPr>
          <w:rFonts w:ascii="Times New Roman" w:eastAsia="Calibri" w:hAnsi="Times New Roman" w:cs="Simplified Arabic"/>
          <w:b/>
          <w:bCs/>
          <w:sz w:val="24"/>
          <w:szCs w:val="28"/>
          <w:rtl/>
        </w:rPr>
        <w:t>نيسار</w:t>
      </w:r>
      <w:proofErr w:type="spellEnd"/>
      <w:r w:rsidRPr="006B40EB">
        <w:rPr>
          <w:rFonts w:ascii="Times New Roman" w:eastAsia="Calibri" w:hAnsi="Times New Roman" w:cs="Simplified Arabic"/>
          <w:b/>
          <w:bCs/>
          <w:sz w:val="24"/>
          <w:szCs w:val="28"/>
          <w:rtl/>
        </w:rPr>
        <w:t xml:space="preserve"> وآخرون </w:t>
      </w:r>
      <w:r w:rsidRPr="006B40EB">
        <w:rPr>
          <w:rFonts w:ascii="Times New Roman" w:eastAsia="Calibri" w:hAnsi="Times New Roman" w:cs="Simplified Arabic"/>
          <w:b/>
          <w:bCs/>
          <w:sz w:val="24"/>
          <w:szCs w:val="28"/>
        </w:rPr>
        <w:t>(Nisar et al., 2025)</w:t>
      </w:r>
      <w:r w:rsidRPr="006B40EB">
        <w:rPr>
          <w:rFonts w:ascii="Times New Roman" w:eastAsia="Calibri" w:hAnsi="Times New Roman" w:cs="Simplified Arabic"/>
          <w:b/>
          <w:bCs/>
          <w:sz w:val="24"/>
          <w:szCs w:val="28"/>
          <w:rtl/>
        </w:rPr>
        <w:t>، باكستان،</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Sustainable leadership's impact on environmental performance: The mediating role of employee green behavior and the moderating influence of environmental knowledge</w:t>
      </w:r>
      <w:r w:rsidRPr="006B40EB">
        <w:rPr>
          <w:rFonts w:ascii="Times New Roman" w:eastAsia="Calibri" w:hAnsi="Times New Roman" w:cs="Simplified Arabic"/>
          <w:sz w:val="24"/>
          <w:szCs w:val="28"/>
          <w:rtl/>
        </w:rPr>
        <w:t xml:space="preserve"> (تأثير القيادة المستدامة على الأداء البيئي: الدور الوسيط للسلوك الأخضر للموظفين والتأثير المعدِّل للمعرفة البيئية). هدفت هذه الدراسة إلى فحص تأثير القيادة المستدامة على الأداء البيئي، مع اختبار الدور الوسيط للسلوك الأخضر للموظفين والدور المعدِّل للمعرفة البيئية. وقد اتبع الباحثون المنهج الكمي، حيث تم جمع البيانات باستخدام استبانة وزعت على عينة مكونة من (350) موظفاً في عدد من الشركات الصناعية. وأظهرت النتائج أن للقيادة المستدامة تأثيراً إيجابياً ومباشراً على الأداء البيئي، كما أثبتت أن السلوك الأخضر للموظفين يتوسط هذه العلاقة بشكل كبير. إضافة إلى ذلك، كشفت </w:t>
      </w:r>
      <w:r w:rsidRPr="006B40EB">
        <w:rPr>
          <w:rFonts w:ascii="Times New Roman" w:eastAsia="Calibri" w:hAnsi="Times New Roman" w:cs="Simplified Arabic"/>
          <w:sz w:val="24"/>
          <w:szCs w:val="28"/>
          <w:rtl/>
        </w:rPr>
        <w:lastRenderedPageBreak/>
        <w:t>النتائج أن المعرفة البيئية لدى الموظفين تعدل وتقوي العلاقة بين القيادة المستدامة وسلوكهم الأخضر. وأوصت الدراسة بضرورة استثمار المنظمات في تطوير قادة مستدامين بالتوازي مع تعزيز المعرفة البيئية لدى موظفيها لتحقيق أقصى أداء بيئي.</w:t>
      </w:r>
    </w:p>
    <w:p w14:paraId="40C631A7"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بارك وآخرون </w:t>
      </w:r>
      <w:r w:rsidRPr="006B40EB">
        <w:rPr>
          <w:rFonts w:ascii="Times New Roman" w:eastAsia="Calibri" w:hAnsi="Times New Roman" w:cs="Simplified Arabic"/>
          <w:b/>
          <w:bCs/>
          <w:sz w:val="24"/>
          <w:szCs w:val="28"/>
        </w:rPr>
        <w:t>(Park, Lee, and Ryu, 2025)</w:t>
      </w:r>
      <w:r w:rsidRPr="006B40EB">
        <w:rPr>
          <w:rFonts w:ascii="Times New Roman" w:eastAsia="Calibri" w:hAnsi="Times New Roman" w:cs="Simplified Arabic"/>
          <w:b/>
          <w:bCs/>
          <w:sz w:val="24"/>
          <w:szCs w:val="28"/>
          <w:rtl/>
        </w:rPr>
        <w:t>، كوريا الجنوبية،</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Impact of leadership styles and organizational citizenship behaviors on organizational green innovation performance: The moderating role of organizational legitimacy</w:t>
      </w:r>
      <w:r w:rsidRPr="006B40EB">
        <w:rPr>
          <w:rFonts w:ascii="Times New Roman" w:eastAsia="Calibri" w:hAnsi="Times New Roman" w:cs="Simplified Arabic"/>
          <w:sz w:val="24"/>
          <w:szCs w:val="28"/>
          <w:rtl/>
        </w:rPr>
        <w:t xml:space="preserve"> (تأثير أنماط القيادة وسلوكيات المواطنة التنظيمية على أداء الابتكار الأخضر التنظيمي: الدور المعدِّل للشرعية التنظيمية). سعت الدراسة إلى استكشاف تأثير أنماط القيادة (التحويلية والأخلاقية) وسلوكيات المواطنة التنظيمية على أداء الابتكار الأخضر، مع فحص الدور المعدِّل للشرعية التنظيمية. وقد استخدم الباحثون المنهج الوصفي التحليلي، وتم جمع البيانات عبر استبانة إلكترونية من عينة بلغت (285) موظفاً في شركات تكنولوجية. وتوصلت النتائج إلى أن كلاً من أنماط القيادة الداعمة وسلوكيات المواطنة التنظيمية يؤثران بشكل إيجابي على أداء الابتكار الأخضر. كما أظهرت النتائج أن الشرعية التنظيمية (المدركة من قبل الموظفين) تعزز من هذا التأثير الإيجابي. وأوصت الدراسة بأن على المنظمات تعزيز الشرعية التنظيمية من خلال الشفافية والمسؤولية لتعظيم العائد من ممارساتها القيادية الموجهة نحو الابتكار الأخضر.</w:t>
      </w:r>
    </w:p>
    <w:p w14:paraId="0E6B9ED3"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w:t>
      </w:r>
      <w:proofErr w:type="spellStart"/>
      <w:r w:rsidRPr="006B40EB">
        <w:rPr>
          <w:rFonts w:ascii="Times New Roman" w:eastAsia="Calibri" w:hAnsi="Times New Roman" w:cs="Simplified Arabic"/>
          <w:b/>
          <w:bCs/>
          <w:sz w:val="24"/>
          <w:szCs w:val="28"/>
          <w:rtl/>
        </w:rPr>
        <w:t>آصف</w:t>
      </w:r>
      <w:proofErr w:type="spellEnd"/>
      <w:r w:rsidRPr="006B40EB">
        <w:rPr>
          <w:rFonts w:ascii="Times New Roman" w:eastAsia="Calibri" w:hAnsi="Times New Roman" w:cs="Simplified Arabic"/>
          <w:b/>
          <w:bCs/>
          <w:sz w:val="24"/>
          <w:szCs w:val="28"/>
          <w:rtl/>
        </w:rPr>
        <w:t xml:space="preserve"> وبكر </w:t>
      </w:r>
      <w:r w:rsidRPr="006B40EB">
        <w:rPr>
          <w:rFonts w:ascii="Times New Roman" w:eastAsia="Calibri" w:hAnsi="Times New Roman" w:cs="Simplified Arabic"/>
          <w:b/>
          <w:bCs/>
          <w:sz w:val="24"/>
          <w:szCs w:val="28"/>
        </w:rPr>
        <w:t>(Asif and Bakar, 2025)</w:t>
      </w:r>
      <w:r w:rsidRPr="006B40EB">
        <w:rPr>
          <w:rFonts w:ascii="Times New Roman" w:eastAsia="Calibri" w:hAnsi="Times New Roman" w:cs="Simplified Arabic"/>
          <w:b/>
          <w:bCs/>
          <w:sz w:val="24"/>
          <w:szCs w:val="28"/>
          <w:rtl/>
        </w:rPr>
        <w:t>، ماليزيا،</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Green strategic orientation and sustainable performance of SMEs: Moderating role of environmental turbulence</w:t>
      </w:r>
      <w:r w:rsidRPr="006B40EB">
        <w:rPr>
          <w:rFonts w:ascii="Times New Roman" w:eastAsia="Calibri" w:hAnsi="Times New Roman" w:cs="Simplified Arabic"/>
          <w:sz w:val="24"/>
          <w:szCs w:val="28"/>
          <w:rtl/>
        </w:rPr>
        <w:t xml:space="preserve"> (التوجه الاستراتيجي الأخضر والأداء المستدام للمؤسسات الصغيرة والمتوسطة: الدور المعدِّل للاضطراب البيئي). هدفت الدراسة إلى التحقق من العلاقة بين التوجه الاستراتيجي الأخضر (الذي تضعه القيادة) والأداء المستدام بأبعاده الثلاثة (البيئي والاجتماعي والاقتصادي) في المؤسسات الصغيرة والمتوسطة، مع اختبار الدور المعدِّل للاضطراب البيئي. وقد تم اتباع المنهج الكمي، واستُخدمت الاستبانة لجمع البيانات من عينة مكونة من (210) من مديري الشركات الصغيرة والمتوسطة. وأظهرت النتائج وجود علاقة إيجابية وقوية بين التوجه الاستراتيجي الأخضر والأداء المستدام. كما كشفت النتائج أن الاضطراب البيئي (مثل: التغيرات السريعة في السوق أو التكنولوجيا) يقوي من هذه العلاقة، مما يعني أن أهمية التوجه الأخضر تزداد في البيئات غير المستقرة. </w:t>
      </w:r>
      <w:r w:rsidRPr="006B40EB">
        <w:rPr>
          <w:rFonts w:ascii="Times New Roman" w:eastAsia="Calibri" w:hAnsi="Times New Roman" w:cs="Simplified Arabic"/>
          <w:sz w:val="24"/>
          <w:szCs w:val="28"/>
          <w:rtl/>
        </w:rPr>
        <w:lastRenderedPageBreak/>
        <w:t>وأوصت الدراسة بضرورة تبني قيادات المؤسسات الصغيرة والمتوسطة لتوجه استراتيجي أخضر كأداة لبناء المرونة وتحقيق الأداء المستدام.</w:t>
      </w:r>
    </w:p>
    <w:p w14:paraId="51B8BF3F"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غارسيا-موراليس وآخرون </w:t>
      </w:r>
      <w:r w:rsidRPr="006B40EB">
        <w:rPr>
          <w:rFonts w:ascii="Times New Roman" w:eastAsia="Calibri" w:hAnsi="Times New Roman" w:cs="Simplified Arabic"/>
          <w:b/>
          <w:bCs/>
          <w:sz w:val="24"/>
          <w:szCs w:val="28"/>
        </w:rPr>
        <w:t>(García-Morales et al., 2024)</w:t>
      </w:r>
      <w:r w:rsidRPr="006B40EB">
        <w:rPr>
          <w:rFonts w:ascii="Times New Roman" w:eastAsia="Calibri" w:hAnsi="Times New Roman" w:cs="Simplified Arabic"/>
          <w:b/>
          <w:bCs/>
          <w:sz w:val="24"/>
          <w:szCs w:val="28"/>
          <w:rtl/>
        </w:rPr>
        <w:t>، إسبانيا،</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Guiding organizations toward sustainable success: The strategic role of leadership in environmental corporate governance in the wine industry</w:t>
      </w:r>
      <w:r w:rsidRPr="006B40EB">
        <w:rPr>
          <w:rFonts w:ascii="Times New Roman" w:eastAsia="Calibri" w:hAnsi="Times New Roman" w:cs="Simplified Arabic"/>
          <w:sz w:val="24"/>
          <w:szCs w:val="28"/>
          <w:rtl/>
        </w:rPr>
        <w:t xml:space="preserve"> (توجيه المنظمات نحو النجاح المستدام: الدور الاستراتيجي للقيادة في الحوكمة البيئية للشركات في صناعة النبيذ). استهدفت هذه الدراسة تحليل الدور الاستراتيجي الذي تؤديه القيادة في تنفيذ الحوكمة البيئية وتحقيق النجاح المستدام. وقد اعتمدت الدراسة على منهج دراسة الحالة المتعددة، حيث تم جمع البيانات من خلال مقابلات متعمقة مع (15) مديراً في قطاع صناعة النبيذ الإسباني. وكشفت النتائج أن القيادة التي تتمتع برؤية طويلة الأمد والتزام شخصي بالاستدامة هي العامل الأكثر حسماً في دمج الممارسات البيئية في استراتيجية الشركة وحوكمتها. كما بينت أن هؤلاء القادة ينجحون في خلق ثقافة تنظيمية تدعم الاستدامة. وأوصت الدراسة بضرورة التركيز على تطوير كفاءات القيادة المستدامة لدى المديرين كشرط مسبق لنجاح أي مبادرة للحوكمة البيئية.</w:t>
      </w:r>
    </w:p>
    <w:p w14:paraId="378DAF60"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لي وآخرون </w:t>
      </w:r>
      <w:r w:rsidRPr="006B40EB">
        <w:rPr>
          <w:rFonts w:ascii="Times New Roman" w:eastAsia="Calibri" w:hAnsi="Times New Roman" w:cs="Simplified Arabic"/>
          <w:b/>
          <w:bCs/>
          <w:sz w:val="24"/>
          <w:szCs w:val="28"/>
        </w:rPr>
        <w:t>(Li et al., 2024)</w:t>
      </w:r>
      <w:r w:rsidRPr="006B40EB">
        <w:rPr>
          <w:rFonts w:ascii="Times New Roman" w:eastAsia="Calibri" w:hAnsi="Times New Roman" w:cs="Simplified Arabic"/>
          <w:b/>
          <w:bCs/>
          <w:sz w:val="24"/>
          <w:szCs w:val="28"/>
          <w:rtl/>
        </w:rPr>
        <w:t>، الصين،</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Impact of environmental management on sustainable performance of entrepreneurial firms: The mediating role of green product innovation and the moderating effect of transformational leadership</w:t>
      </w:r>
      <w:r w:rsidRPr="006B40EB">
        <w:rPr>
          <w:rFonts w:ascii="Times New Roman" w:eastAsia="Calibri" w:hAnsi="Times New Roman" w:cs="Simplified Arabic"/>
          <w:sz w:val="24"/>
          <w:szCs w:val="28"/>
          <w:rtl/>
        </w:rPr>
        <w:t xml:space="preserve"> (تأثير الإدارة البيئية على الأداء المستدام للشركات الريادية: الدور الوسيط لابتكار المنتجات الخضراء والتأثير المعدِّل للقيادة التحويلية). سعت الدراسة إلى فحص تأثير ممارسات الإدارة البيئية على الأداء المستدام، مع اختبار ابتكار المنتجات الخضراء كمتغير وسيط والقيادة التحويلية كمتغير معدِّل. وقد تم استخدام المنهج الكمي، بجمع البيانات عبر استبانة من عينة قوامها (312) شركة ريادية. وأظهرت النتائج أن الإدارة البيئية تؤثر إيجاباً على الأداء المستدام، وأن هذا التأثير يتم بشكل كبير من خلال ابتكار المنتجات الخضراء. والأهم من ذلك، وجدت الدراسة أن القيادة التحويلية تعزز بشكل كبير العلاقة بين الإدارة البيئية وابتكار المنتجات الخضراء. وأوصت الدراسة بأن على الشركات الريادية التي تسعى للاستدامة أن تدعم ممارساتها البيئية بقيادة تحويلية قادرة على إلهام الموظفين نحو الابتكار الأخضر.</w:t>
      </w:r>
    </w:p>
    <w:p w14:paraId="518DC765"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دراسة </w:t>
      </w:r>
      <w:proofErr w:type="spellStart"/>
      <w:r w:rsidRPr="006B40EB">
        <w:rPr>
          <w:rFonts w:ascii="Times New Roman" w:eastAsia="Calibri" w:hAnsi="Times New Roman" w:cs="Simplified Arabic"/>
          <w:b/>
          <w:bCs/>
          <w:sz w:val="24"/>
          <w:szCs w:val="28"/>
          <w:rtl/>
        </w:rPr>
        <w:t>توزكو</w:t>
      </w:r>
      <w:proofErr w:type="spellEnd"/>
      <w:r w:rsidRPr="006B40EB">
        <w:rPr>
          <w:rFonts w:ascii="Times New Roman" w:eastAsia="Calibri" w:hAnsi="Times New Roman" w:cs="Simplified Arabic"/>
          <w:b/>
          <w:bCs/>
          <w:sz w:val="24"/>
          <w:szCs w:val="28"/>
          <w:rtl/>
        </w:rPr>
        <w:t xml:space="preserve"> وآخرون </w:t>
      </w:r>
      <w:r w:rsidRPr="006B40EB">
        <w:rPr>
          <w:rFonts w:ascii="Times New Roman" w:eastAsia="Calibri" w:hAnsi="Times New Roman" w:cs="Simplified Arabic"/>
          <w:b/>
          <w:bCs/>
          <w:sz w:val="24"/>
          <w:szCs w:val="28"/>
        </w:rPr>
        <w:t>(</w:t>
      </w:r>
      <w:proofErr w:type="spellStart"/>
      <w:r w:rsidRPr="006B40EB">
        <w:rPr>
          <w:rFonts w:ascii="Times New Roman" w:eastAsia="Calibri" w:hAnsi="Times New Roman" w:cs="Simplified Arabic"/>
          <w:b/>
          <w:bCs/>
          <w:sz w:val="24"/>
          <w:szCs w:val="28"/>
        </w:rPr>
        <w:t>Tuzcu</w:t>
      </w:r>
      <w:proofErr w:type="spellEnd"/>
      <w:r w:rsidRPr="006B40EB">
        <w:rPr>
          <w:rFonts w:ascii="Times New Roman" w:eastAsia="Calibri" w:hAnsi="Times New Roman" w:cs="Simplified Arabic"/>
          <w:b/>
          <w:bCs/>
          <w:sz w:val="24"/>
          <w:szCs w:val="28"/>
        </w:rPr>
        <w:t xml:space="preserve"> et al., 2024)</w:t>
      </w:r>
      <w:r w:rsidRPr="006B40EB">
        <w:rPr>
          <w:rFonts w:ascii="Times New Roman" w:eastAsia="Calibri" w:hAnsi="Times New Roman" w:cs="Simplified Arabic"/>
          <w:b/>
          <w:bCs/>
          <w:sz w:val="24"/>
          <w:szCs w:val="28"/>
          <w:rtl/>
        </w:rPr>
        <w:t>، تركيا،</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The mediating role of sustainable leadership in green human resource management practices and organizational commitment: A case study in Turkey</w:t>
      </w:r>
      <w:r w:rsidRPr="006B40EB">
        <w:rPr>
          <w:rFonts w:ascii="Times New Roman" w:eastAsia="Calibri" w:hAnsi="Times New Roman" w:cs="Simplified Arabic"/>
          <w:sz w:val="24"/>
          <w:szCs w:val="28"/>
          <w:rtl/>
        </w:rPr>
        <w:t xml:space="preserve"> (الدور الوسيط للقيادة المستدامة في ممارسات إدارة الموارد البشرية الخضراء والالتزام التنظيمي: دراسة حالة في تركيا). هدفت الدراسة إلى استكشاف الدور الوسيط للقيادة المستدامة في العلاقة بين ممارسات إدارة الموارد البشرية الخضراء والالتزام التنظيمي. وقد اعتمد الباحثون على المنهج الوصفي التحليلي، وتم جمع البيانات من خلال استبانة وزعت على عينة من (400) موظف في قطاع الفنادق. وأظهرت النتائج أن ممارسات إدارة الموارد البشرية الخضراء تؤثر إيجاباً على كل من القيادة المستدامة والالتزام التنظيمي. كما أثبتت النتائج أن القيادة المستدامة تتوسط جزئياً العلاقة بين المتغيرين، مما يعني أنها قناة مهمة تترجم من خلالها ممارسات الموارد البشرية الخضراء إلى التزام أعلى من قبل الموظفين. وأوصت الدراسة بضرورة أن تعمل إدارات الفنادق على تطوير قادتها لتبني نهج مستدام لتعظيم فائدة مبادراتها الخضراء.</w:t>
      </w:r>
    </w:p>
    <w:p w14:paraId="47275F82"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w:t>
      </w:r>
      <w:proofErr w:type="spellStart"/>
      <w:r w:rsidRPr="006B40EB">
        <w:rPr>
          <w:rFonts w:ascii="Times New Roman" w:eastAsia="Calibri" w:hAnsi="Times New Roman" w:cs="Simplified Arabic"/>
          <w:b/>
          <w:bCs/>
          <w:sz w:val="24"/>
          <w:szCs w:val="28"/>
          <w:rtl/>
        </w:rPr>
        <w:t>باكيرو</w:t>
      </w:r>
      <w:proofErr w:type="spellEnd"/>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b/>
          <w:bCs/>
          <w:sz w:val="24"/>
          <w:szCs w:val="28"/>
        </w:rPr>
        <w:t>(Baquero, 2024)</w:t>
      </w:r>
      <w:r w:rsidRPr="006B40EB">
        <w:rPr>
          <w:rFonts w:ascii="Times New Roman" w:eastAsia="Calibri" w:hAnsi="Times New Roman" w:cs="Simplified Arabic"/>
          <w:b/>
          <w:bCs/>
          <w:sz w:val="24"/>
          <w:szCs w:val="28"/>
          <w:rtl/>
        </w:rPr>
        <w:t>، كولومبيا،</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Linking green entrepreneurial orientation and ambidextrous green innovation to stimulate green performance: a moderated mediation approach</w:t>
      </w:r>
      <w:r w:rsidRPr="006B40EB">
        <w:rPr>
          <w:rFonts w:ascii="Times New Roman" w:eastAsia="Calibri" w:hAnsi="Times New Roman" w:cs="Simplified Arabic"/>
          <w:sz w:val="24"/>
          <w:szCs w:val="28"/>
          <w:rtl/>
        </w:rPr>
        <w:t xml:space="preserve"> (ربط التوجه الريادي الأخضر والابتكار الأخضر المزدوج لتحفيز الأداء الأخضر: نهج الوساطة المعدَّلة). استهدفت الدراسة فحص العلاقة بين التوجه الريادي الأخضر (الذي تقوده الإدارة العليا) والأداء الأخضر، مع اختبار دور الابتكار الأخضر المزدوج (الاستكشافي والاستغلالي) كوسيط، والقدرات الديناميكية كمتغير معدِّل. وقد استخدم الباحث المنهج الكمي، حيث تم جمع البيانات من (225) شركة صناعية. وأظهرت النتائج أن التوجه الريادي الأخضر يعزز الأداء الأخضر بشكل غير مباشر من خلال الابتكار الأخضر المزدوج. كما وجدت الدراسة أن القدرات الديناميكية للشركة تقوي من تأثير التوجه الريادي على الابتكار الأخضر. وأوصت الدراسة بأن على القادة الذين يتبنون توجهاً ريادياً أخضر أن </w:t>
      </w:r>
      <w:proofErr w:type="spellStart"/>
      <w:r w:rsidRPr="006B40EB">
        <w:rPr>
          <w:rFonts w:ascii="Times New Roman" w:eastAsia="Calibri" w:hAnsi="Times New Roman" w:cs="Simplified Arabic"/>
          <w:sz w:val="24"/>
          <w:szCs w:val="28"/>
          <w:rtl/>
        </w:rPr>
        <w:t>يستثمروا</w:t>
      </w:r>
      <w:proofErr w:type="spellEnd"/>
      <w:r w:rsidRPr="006B40EB">
        <w:rPr>
          <w:rFonts w:ascii="Times New Roman" w:eastAsia="Calibri" w:hAnsi="Times New Roman" w:cs="Simplified Arabic"/>
          <w:sz w:val="24"/>
          <w:szCs w:val="28"/>
          <w:rtl/>
        </w:rPr>
        <w:t xml:space="preserve"> في بناء قدرات ديناميكية وابتكار مزدوج لتحويل توجهاتهم إلى أداء بيئي ملموس.</w:t>
      </w:r>
    </w:p>
    <w:p w14:paraId="4C87D4B2"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هو وآخرون </w:t>
      </w:r>
      <w:r w:rsidRPr="006B40EB">
        <w:rPr>
          <w:rFonts w:ascii="Times New Roman" w:eastAsia="Calibri" w:hAnsi="Times New Roman" w:cs="Simplified Arabic"/>
          <w:b/>
          <w:bCs/>
          <w:sz w:val="24"/>
          <w:szCs w:val="28"/>
        </w:rPr>
        <w:t>(Hou et al., 2023)</w:t>
      </w:r>
      <w:r w:rsidRPr="006B40EB">
        <w:rPr>
          <w:rFonts w:ascii="Times New Roman" w:eastAsia="Calibri" w:hAnsi="Times New Roman" w:cs="Simplified Arabic"/>
          <w:b/>
          <w:bCs/>
          <w:sz w:val="24"/>
          <w:szCs w:val="28"/>
          <w:rtl/>
        </w:rPr>
        <w:t>، الصين،</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The impact of environmentally-specific servant leadership on organizational green performance: The mediating role of green creativity</w:t>
      </w:r>
      <w:r w:rsidRPr="006B40EB">
        <w:rPr>
          <w:rFonts w:ascii="Times New Roman" w:eastAsia="Calibri" w:hAnsi="Times New Roman" w:cs="Simplified Arabic"/>
          <w:sz w:val="24"/>
          <w:szCs w:val="28"/>
          <w:rtl/>
        </w:rPr>
        <w:t xml:space="preserve"> (تأثير القيادة الخادمة الموجهة </w:t>
      </w:r>
      <w:r w:rsidRPr="006B40EB">
        <w:rPr>
          <w:rFonts w:ascii="Times New Roman" w:eastAsia="Calibri" w:hAnsi="Times New Roman" w:cs="Simplified Arabic"/>
          <w:sz w:val="24"/>
          <w:szCs w:val="28"/>
          <w:rtl/>
        </w:rPr>
        <w:lastRenderedPageBreak/>
        <w:t>بيئياً على الأداء التنظيمي الأخضر: الدور الوسيط للإبداع الأخضر). هدفت الدراسة إلى بحث تأثير نمط القيادة الخادمة الموجهة نحو البيئة على الأداء التنظيمي الأخضر، ودراسة الدور الوسيط للإبداع الأخضر في هذه العلاقة. وقد اتبع الباحثون المنهج الكمي، حيث جمعوا البيانات من خلال استبانة ثنائية (من القادة والموظفين) من عينة بلغت (210) موظفاً وقائداً. وأظهرت النتائج أن القيادة الخادمة الموجهة بيئياً ترتبط بشكل إيجابي بالأداء التنظيمي الأخضر. كما أثبت التحليل أن الإبداع الأخضر لدى الموظفين يتوسط هذه العلاقة بشكل كامل، أي أن القادة الخادمين يحسنون الأداء الأخضر من خلال تعزيز قدرة موظفيهم على الإبداع في حل المشكلات البيئية. وأوصت الدراسة بتشجيع وتدريب المديرين على تبني سلوكيات القيادة الخادمة الموجهة بيئياً.</w:t>
      </w:r>
    </w:p>
    <w:p w14:paraId="11F77BAC"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دراسة إقبال وآخرون </w:t>
      </w:r>
      <w:r w:rsidRPr="006B40EB">
        <w:rPr>
          <w:rFonts w:ascii="Times New Roman" w:eastAsia="Calibri" w:hAnsi="Times New Roman" w:cs="Simplified Arabic"/>
          <w:b/>
          <w:bCs/>
          <w:sz w:val="24"/>
          <w:szCs w:val="28"/>
        </w:rPr>
        <w:t>(Iqbal et al., 2023)</w:t>
      </w:r>
      <w:r w:rsidRPr="006B40EB">
        <w:rPr>
          <w:rFonts w:ascii="Times New Roman" w:eastAsia="Calibri" w:hAnsi="Times New Roman" w:cs="Simplified Arabic"/>
          <w:b/>
          <w:bCs/>
          <w:sz w:val="24"/>
          <w:szCs w:val="28"/>
          <w:rtl/>
        </w:rPr>
        <w:t>، باكستان،</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Unlocking sustainable organizational performance: The role of sustainable leadership and sustainable culture</w:t>
      </w:r>
      <w:r w:rsidRPr="006B40EB">
        <w:rPr>
          <w:rFonts w:ascii="Times New Roman" w:eastAsia="Calibri" w:hAnsi="Times New Roman" w:cs="Simplified Arabic"/>
          <w:sz w:val="24"/>
          <w:szCs w:val="28"/>
          <w:rtl/>
        </w:rPr>
        <w:t xml:space="preserve"> (إطلاق العنان للأداء التنظيمي المستدام: دور القيادة المستدامة والثقافة المستدامة). سعت هذه الدراسة إلى فحص دور القيادة المستدامة في تعزيز الأداء التنظيمي المستدام، مع اختبار الثقافة المستدامة كمتغير وسيط. وقد استخدم الباحثون المنهج الوصفي التحليلي، وتم جمع البيانات عبر استبانة من عينة مكونة من (302) من المديرين والموظفين في قطاع الخدمات. وتوصلت النتائج إلى أن القيادة المستدامة تؤثر بشكل إيجابي وقوي على كل من الثقافة المستدامة والأداء التنظيمي المستدام. كما أثبتت النتائج أن الثقافة المستدامة تتوسط العلاقة بين القيادة المستدامة والأداء المستدام، مما يشير إلى أن القادة يؤثرون على الأداء من خلال تشكيل ثقافة تنظيمية داعمة للاستدامة. وأوصت الدراسة بضرورة أن يركز القادة على بناء ثقافة مستدامة كآلية أساسية لترجمة رؤيتهم إلى أداء ملموس.</w:t>
      </w:r>
    </w:p>
    <w:p w14:paraId="5E502224" w14:textId="77777777" w:rsidR="006B40EB" w:rsidRPr="006B40EB" w:rsidRDefault="006B40EB" w:rsidP="006B40EB">
      <w:pPr>
        <w:numPr>
          <w:ilvl w:val="0"/>
          <w:numId w:val="77"/>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t xml:space="preserve">دراسة سينغ وآخرون </w:t>
      </w:r>
      <w:r w:rsidRPr="006B40EB">
        <w:rPr>
          <w:rFonts w:ascii="Times New Roman" w:eastAsia="Calibri" w:hAnsi="Times New Roman" w:cs="Simplified Arabic"/>
          <w:b/>
          <w:bCs/>
          <w:sz w:val="24"/>
          <w:szCs w:val="28"/>
        </w:rPr>
        <w:t>(Singh et al., 2020)</w:t>
      </w:r>
      <w:r w:rsidRPr="006B40EB">
        <w:rPr>
          <w:rFonts w:ascii="Times New Roman" w:eastAsia="Calibri" w:hAnsi="Times New Roman" w:cs="Simplified Arabic"/>
          <w:b/>
          <w:bCs/>
          <w:sz w:val="24"/>
          <w:szCs w:val="28"/>
          <w:rtl/>
        </w:rPr>
        <w:t>، دراسة متعددة الدول (إيطاليا والهند)،</w:t>
      </w:r>
      <w:r w:rsidRPr="006B40EB">
        <w:rPr>
          <w:rFonts w:ascii="Times New Roman" w:eastAsia="Calibri" w:hAnsi="Times New Roman" w:cs="Simplified Arabic"/>
          <w:sz w:val="24"/>
          <w:szCs w:val="28"/>
          <w:rtl/>
        </w:rPr>
        <w:t xml:space="preserve"> بعنوان: </w:t>
      </w:r>
      <w:r w:rsidRPr="006B40EB">
        <w:rPr>
          <w:rFonts w:ascii="Times New Roman" w:eastAsia="Calibri" w:hAnsi="Times New Roman" w:cs="Simplified Arabic"/>
          <w:i/>
          <w:iCs/>
          <w:sz w:val="24"/>
          <w:szCs w:val="28"/>
        </w:rPr>
        <w:t>Green innovation and environmental performance: The role of green transformational leadership and green human resource management</w:t>
      </w:r>
      <w:r w:rsidRPr="006B40EB">
        <w:rPr>
          <w:rFonts w:ascii="Times New Roman" w:eastAsia="Calibri" w:hAnsi="Times New Roman" w:cs="Simplified Arabic"/>
          <w:sz w:val="24"/>
          <w:szCs w:val="28"/>
          <w:rtl/>
        </w:rPr>
        <w:t xml:space="preserve"> (الابتكار الأخضر والأداء البيئي: دور القيادة التحويلية الخضراء وإدارة الموارد البشرية الخضراء). هدفت الدراسة إلى استكشاف العلاقة بين الابتكار الأخضر والأداء البيئي، مع فحص دور </w:t>
      </w:r>
      <w:r w:rsidRPr="006B40EB">
        <w:rPr>
          <w:rFonts w:ascii="Times New Roman" w:eastAsia="Calibri" w:hAnsi="Times New Roman" w:cs="Simplified Arabic"/>
          <w:sz w:val="24"/>
          <w:szCs w:val="28"/>
          <w:rtl/>
        </w:rPr>
        <w:lastRenderedPageBreak/>
        <w:t>القيادة التحويلية الخضراء وإدارة الموارد البشرية الخضراء كعوامل ممكّنة. وقد استخدم الباحثون المنهج الكمي، حيث تم جمع البيانات من (210) من مديري الشركات الصناعية في إيطاليا والهند. وأظهرت النتائج أن كلاً من القيادة التحويلية الخضراء وإدارة الموارد البشرية الخضراء يؤديان إلى زيادة الابتكار الأخضر، والذي بدوره يعزز الأداء البيئي للشركة بشكل كبير. وأكدت النتائج على الدور المحفز والحاسم للقيادة في دفع عجلة الابتكار المستدام. وأوصت الدراسة بأن على الشركات التي تسعى لتحسين أدائها البيئي أن تبدأ بتطوير قيادات تحويلية خضراء وتبني ممارسات موارد بشرية داعمة.</w:t>
      </w:r>
    </w:p>
    <w:p w14:paraId="433AA2CF" w14:textId="77777777" w:rsidR="006B40EB" w:rsidRPr="006B40EB" w:rsidRDefault="006B40EB" w:rsidP="006B40EB">
      <w:pPr>
        <w:spacing w:after="240" w:line="276" w:lineRule="auto"/>
        <w:ind w:firstLine="510"/>
        <w:jc w:val="both"/>
        <w:rPr>
          <w:rFonts w:ascii="Times New Roman" w:eastAsia="Calibri" w:hAnsi="Times New Roman" w:cs="Simplified Arabic"/>
          <w:b/>
          <w:bCs/>
          <w:sz w:val="24"/>
          <w:szCs w:val="28"/>
        </w:rPr>
      </w:pPr>
      <w:r w:rsidRPr="006B40EB">
        <w:rPr>
          <w:rFonts w:ascii="Times New Roman" w:eastAsia="Calibri" w:hAnsi="Times New Roman" w:cs="Simplified Arabic"/>
          <w:b/>
          <w:bCs/>
          <w:sz w:val="24"/>
          <w:szCs w:val="28"/>
          <w:rtl/>
        </w:rPr>
        <w:t>ثالثاً: تعقيب تحليلي عام على الدراسات السابقة</w:t>
      </w:r>
    </w:p>
    <w:p w14:paraId="3B84AFF9"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بعد استعراض الأدبيات التجريبية العربية والأجنبية، يقدم هذا الجزء تعقيباً تحليلياً شاملاً يهدف إلى بلورة موقع الدراسة الحالية ضمن نسق البحوث ذات الصلة، وذلك على النحو الآتي:</w:t>
      </w:r>
    </w:p>
    <w:p w14:paraId="6C5FB5F3"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Pr>
        <w:t>1</w:t>
      </w:r>
      <w:r w:rsidRPr="006B40EB">
        <w:rPr>
          <w:rFonts w:ascii="Times New Roman" w:eastAsia="Calibri" w:hAnsi="Times New Roman" w:cs="Simplified Arabic"/>
          <w:b/>
          <w:bCs/>
          <w:sz w:val="24"/>
          <w:szCs w:val="28"/>
          <w:rtl/>
        </w:rPr>
        <w:t>. اتساق الدراسة الحالية مع الدراسات السابقة:</w:t>
      </w:r>
    </w:p>
    <w:p w14:paraId="2ED42AF5"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تتسق الدراسة الحالية مع التوجه العام السائد في الأدبيات الإدارية الحديثة، والذي يؤكد على الدور المحوري للقيادة كمتغير استراتيجي في دفع المنظمات نحو تبني ممارسات الاستدامة. فالدراسة تنطلق من نفس الفرضية العامة التي تبنتها غالبية الدراسات السابقة، مثل دراسة </w:t>
      </w:r>
      <w:r w:rsidRPr="006B40EB">
        <w:rPr>
          <w:rFonts w:ascii="Times New Roman" w:eastAsia="Calibri" w:hAnsi="Times New Roman" w:cs="Simplified Arabic"/>
          <w:sz w:val="24"/>
          <w:szCs w:val="28"/>
        </w:rPr>
        <w:t>(Iqbal et al., 2023)</w:t>
      </w:r>
      <w:r w:rsidRPr="006B40EB">
        <w:rPr>
          <w:rFonts w:ascii="Times New Roman" w:eastAsia="Calibri" w:hAnsi="Times New Roman" w:cs="Simplified Arabic"/>
          <w:sz w:val="24"/>
          <w:szCs w:val="28"/>
          <w:rtl/>
        </w:rPr>
        <w:t xml:space="preserve"> ودراسة </w:t>
      </w:r>
      <w:r w:rsidRPr="006B40EB">
        <w:rPr>
          <w:rFonts w:ascii="Times New Roman" w:eastAsia="Calibri" w:hAnsi="Times New Roman" w:cs="Simplified Arabic"/>
          <w:sz w:val="24"/>
          <w:szCs w:val="28"/>
        </w:rPr>
        <w:t>(Nisar et al., 2025)</w:t>
      </w:r>
      <w:r w:rsidRPr="006B40EB">
        <w:rPr>
          <w:rFonts w:ascii="Times New Roman" w:eastAsia="Calibri" w:hAnsi="Times New Roman" w:cs="Simplified Arabic"/>
          <w:sz w:val="24"/>
          <w:szCs w:val="28"/>
          <w:rtl/>
        </w:rPr>
        <w:t>، ومفادها أن سلوكيات وممارسات القادة تؤثر بشكل مباشر وجوهري على النتائج البيئية والمستدامة للمنظمة.</w:t>
      </w:r>
    </w:p>
    <w:p w14:paraId="1C80C043"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Pr>
        <w:t>2</w:t>
      </w:r>
      <w:r w:rsidRPr="006B40EB">
        <w:rPr>
          <w:rFonts w:ascii="Times New Roman" w:eastAsia="Calibri" w:hAnsi="Times New Roman" w:cs="Simplified Arabic"/>
          <w:b/>
          <w:bCs/>
          <w:sz w:val="24"/>
          <w:szCs w:val="28"/>
          <w:rtl/>
        </w:rPr>
        <w:t>. جوانب اتفاق الدراسة الحالية مع الدراسات السابقة:</w:t>
      </w:r>
    </w:p>
    <w:p w14:paraId="125C9A37"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تتفق الدراسة الحالية مع معظم الدراسات التي تم استعراضها في عدة جوانب رئيسية، أبرزها:</w:t>
      </w:r>
    </w:p>
    <w:p w14:paraId="0594FB96" w14:textId="77777777" w:rsidR="006B40EB" w:rsidRPr="006B40EB" w:rsidRDefault="006B40EB" w:rsidP="006B40EB">
      <w:pPr>
        <w:numPr>
          <w:ilvl w:val="0"/>
          <w:numId w:val="78"/>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العلاقة الإيجابية: </w:t>
      </w:r>
      <w:r w:rsidRPr="006B40EB">
        <w:rPr>
          <w:rFonts w:ascii="Times New Roman" w:eastAsia="Calibri" w:hAnsi="Times New Roman" w:cs="Simplified Arabic"/>
          <w:sz w:val="24"/>
          <w:szCs w:val="28"/>
          <w:rtl/>
        </w:rPr>
        <w:t>هناك شبه إجماع بين الدراسات على وجود علاقة ارتباط وتأثير إيجابية بين القيادة المستدامة (أو الأنماط القيادية القريبة منها) والأداء التنظيمي الأخضر أو المستدام، كما هو واضح في نتائج دراسة (</w:t>
      </w:r>
      <w:proofErr w:type="spellStart"/>
      <w:r w:rsidRPr="006B40EB">
        <w:rPr>
          <w:rFonts w:ascii="Times New Roman" w:eastAsia="Calibri" w:hAnsi="Times New Roman" w:cs="Simplified Arabic"/>
          <w:sz w:val="24"/>
          <w:szCs w:val="28"/>
          <w:rtl/>
        </w:rPr>
        <w:t>الذبحاوي</w:t>
      </w:r>
      <w:proofErr w:type="spellEnd"/>
      <w:r w:rsidRPr="006B40EB">
        <w:rPr>
          <w:rFonts w:ascii="Times New Roman" w:eastAsia="Calibri" w:hAnsi="Times New Roman" w:cs="Simplified Arabic"/>
          <w:sz w:val="24"/>
          <w:szCs w:val="28"/>
          <w:rtl/>
        </w:rPr>
        <w:t xml:space="preserve"> وآخرون، 2024)، ودراسة (عيسى، 2023)، ودراسة </w:t>
      </w:r>
      <w:r w:rsidRPr="006B40EB">
        <w:rPr>
          <w:rFonts w:ascii="Times New Roman" w:eastAsia="Calibri" w:hAnsi="Times New Roman" w:cs="Simplified Arabic"/>
          <w:sz w:val="24"/>
          <w:szCs w:val="28"/>
        </w:rPr>
        <w:t>(Singh et al., 2020)</w:t>
      </w:r>
      <w:r w:rsidRPr="006B40EB">
        <w:rPr>
          <w:rFonts w:ascii="Times New Roman" w:eastAsia="Calibri" w:hAnsi="Times New Roman" w:cs="Simplified Arabic"/>
          <w:sz w:val="24"/>
          <w:szCs w:val="28"/>
          <w:rtl/>
        </w:rPr>
        <w:t>.</w:t>
      </w:r>
    </w:p>
    <w:p w14:paraId="3F846788" w14:textId="77777777" w:rsidR="006B40EB" w:rsidRPr="006B40EB" w:rsidRDefault="006B40EB" w:rsidP="006B40EB">
      <w:pPr>
        <w:numPr>
          <w:ilvl w:val="0"/>
          <w:numId w:val="78"/>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الأهمية السببية: </w:t>
      </w:r>
      <w:r w:rsidRPr="006B40EB">
        <w:rPr>
          <w:rFonts w:ascii="Times New Roman" w:eastAsia="Calibri" w:hAnsi="Times New Roman" w:cs="Simplified Arabic"/>
          <w:sz w:val="24"/>
          <w:szCs w:val="28"/>
          <w:rtl/>
        </w:rPr>
        <w:t xml:space="preserve">تتفق الدراسة الحالية مع دراسات مثل دراسة </w:t>
      </w:r>
      <w:r w:rsidRPr="006B40EB">
        <w:rPr>
          <w:rFonts w:ascii="Times New Roman" w:eastAsia="Calibri" w:hAnsi="Times New Roman" w:cs="Simplified Arabic"/>
          <w:sz w:val="24"/>
          <w:szCs w:val="28"/>
        </w:rPr>
        <w:t>(García-Morales et al., 2024)</w:t>
      </w:r>
      <w:r w:rsidRPr="006B40EB">
        <w:rPr>
          <w:rFonts w:ascii="Times New Roman" w:eastAsia="Calibri" w:hAnsi="Times New Roman" w:cs="Simplified Arabic"/>
          <w:sz w:val="24"/>
          <w:szCs w:val="28"/>
          <w:rtl/>
        </w:rPr>
        <w:t xml:space="preserve"> في النظر إلى القيادة ليس كعامل مرتبط فحسب، بل كعامل ممكّن ومحفز أساسي للأداء الأخضر.</w:t>
      </w:r>
    </w:p>
    <w:p w14:paraId="5584B588" w14:textId="77777777" w:rsidR="006B40EB" w:rsidRPr="006B40EB" w:rsidRDefault="006B40EB" w:rsidP="006B40EB">
      <w:pPr>
        <w:numPr>
          <w:ilvl w:val="0"/>
          <w:numId w:val="78"/>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المنهجية: </w:t>
      </w:r>
      <w:r w:rsidRPr="006B40EB">
        <w:rPr>
          <w:rFonts w:ascii="Times New Roman" w:eastAsia="Calibri" w:hAnsi="Times New Roman" w:cs="Simplified Arabic"/>
          <w:sz w:val="24"/>
          <w:szCs w:val="28"/>
          <w:rtl/>
        </w:rPr>
        <w:t xml:space="preserve">تتبنى الدراسة الحالية المنهج الوصفي التحليلي واستخدام الاستبانة كأداة رئيسية، وهو النهج الذي اتبعته غالبية الدراسات الكمية في هذا المجال، مثل دراسة (السبيعي، 2024) ودراسة </w:t>
      </w:r>
      <w:r w:rsidRPr="006B40EB">
        <w:rPr>
          <w:rFonts w:ascii="Times New Roman" w:eastAsia="Calibri" w:hAnsi="Times New Roman" w:cs="Simplified Arabic"/>
          <w:sz w:val="24"/>
          <w:szCs w:val="28"/>
        </w:rPr>
        <w:t>(</w:t>
      </w:r>
      <w:proofErr w:type="spellStart"/>
      <w:r w:rsidRPr="006B40EB">
        <w:rPr>
          <w:rFonts w:ascii="Times New Roman" w:eastAsia="Calibri" w:hAnsi="Times New Roman" w:cs="Simplified Arabic"/>
          <w:sz w:val="24"/>
          <w:szCs w:val="28"/>
        </w:rPr>
        <w:t>Tuzcu</w:t>
      </w:r>
      <w:proofErr w:type="spellEnd"/>
      <w:r w:rsidRPr="006B40EB">
        <w:rPr>
          <w:rFonts w:ascii="Times New Roman" w:eastAsia="Calibri" w:hAnsi="Times New Roman" w:cs="Simplified Arabic"/>
          <w:sz w:val="24"/>
          <w:szCs w:val="28"/>
        </w:rPr>
        <w:t xml:space="preserve"> et al., 2024)</w:t>
      </w:r>
      <w:r w:rsidRPr="006B40EB">
        <w:rPr>
          <w:rFonts w:ascii="Times New Roman" w:eastAsia="Calibri" w:hAnsi="Times New Roman" w:cs="Simplified Arabic"/>
          <w:sz w:val="24"/>
          <w:szCs w:val="28"/>
          <w:rtl/>
        </w:rPr>
        <w:t>.</w:t>
      </w:r>
    </w:p>
    <w:p w14:paraId="5F34F62D" w14:textId="77777777" w:rsidR="006B40EB" w:rsidRPr="006B40EB" w:rsidRDefault="006B40EB" w:rsidP="006B40EB">
      <w:pPr>
        <w:numPr>
          <w:ilvl w:val="0"/>
          <w:numId w:val="74"/>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t>جوانب اختلاف الدراسة الحالية مع الدراسات السابقة:</w:t>
      </w:r>
    </w:p>
    <w:p w14:paraId="0DD4F90A"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على الرغم من الاتفاق في الإطار العام، تختلف الدراسة الحالية عن الدراسات السابقة في عدة جوانب جوهرية:</w:t>
      </w:r>
    </w:p>
    <w:p w14:paraId="3E629C32" w14:textId="77777777" w:rsidR="006B40EB" w:rsidRPr="006B40EB" w:rsidRDefault="006B40EB" w:rsidP="006B40EB">
      <w:pPr>
        <w:numPr>
          <w:ilvl w:val="0"/>
          <w:numId w:val="7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بيئة التطبيق: </w:t>
      </w:r>
      <w:r w:rsidRPr="006B40EB">
        <w:rPr>
          <w:rFonts w:ascii="Times New Roman" w:eastAsia="Calibri" w:hAnsi="Times New Roman" w:cs="Simplified Arabic"/>
          <w:sz w:val="24"/>
          <w:szCs w:val="28"/>
          <w:rtl/>
        </w:rPr>
        <w:t xml:space="preserve">تم تطبيق معظم الدراسات العربية في قطاعات التعليم العالي (علي، 2022؛ </w:t>
      </w:r>
      <w:proofErr w:type="spellStart"/>
      <w:r w:rsidRPr="006B40EB">
        <w:rPr>
          <w:rFonts w:ascii="Times New Roman" w:eastAsia="Calibri" w:hAnsi="Times New Roman" w:cs="Simplified Arabic"/>
          <w:sz w:val="24"/>
          <w:szCs w:val="28"/>
          <w:rtl/>
        </w:rPr>
        <w:t>العوش</w:t>
      </w:r>
      <w:proofErr w:type="spellEnd"/>
      <w:r w:rsidRPr="006B40EB">
        <w:rPr>
          <w:rFonts w:ascii="Times New Roman" w:eastAsia="Calibri" w:hAnsi="Times New Roman" w:cs="Simplified Arabic"/>
          <w:sz w:val="24"/>
          <w:szCs w:val="28"/>
          <w:rtl/>
        </w:rPr>
        <w:t>، 2023)، أو قطاع الاتصالات (</w:t>
      </w:r>
      <w:proofErr w:type="spellStart"/>
      <w:r w:rsidRPr="006B40EB">
        <w:rPr>
          <w:rFonts w:ascii="Times New Roman" w:eastAsia="Calibri" w:hAnsi="Times New Roman" w:cs="Simplified Arabic"/>
          <w:sz w:val="24"/>
          <w:szCs w:val="28"/>
          <w:rtl/>
        </w:rPr>
        <w:t>الذبحاوي</w:t>
      </w:r>
      <w:proofErr w:type="spellEnd"/>
      <w:r w:rsidRPr="006B40EB">
        <w:rPr>
          <w:rFonts w:ascii="Times New Roman" w:eastAsia="Calibri" w:hAnsi="Times New Roman" w:cs="Simplified Arabic"/>
          <w:sz w:val="24"/>
          <w:szCs w:val="28"/>
          <w:rtl/>
        </w:rPr>
        <w:t xml:space="preserve"> وآخرون، 2024)، أو الفنادق (عيسى، 2023)، بينما تم تطبيق الدراسات الأجنبية في قطاعات متنوعة كالصناعة والتكنولوجيا. وتنفرد الدراسة الحالية بتطبيقها في </w:t>
      </w:r>
      <w:r w:rsidRPr="006B40EB">
        <w:rPr>
          <w:rFonts w:ascii="Times New Roman" w:eastAsia="Calibri" w:hAnsi="Times New Roman" w:cs="Simplified Arabic"/>
          <w:b/>
          <w:bCs/>
          <w:sz w:val="24"/>
          <w:szCs w:val="28"/>
          <w:rtl/>
        </w:rPr>
        <w:t>قطاع المقاولات اليمني</w:t>
      </w:r>
      <w:r w:rsidRPr="006B40EB">
        <w:rPr>
          <w:rFonts w:ascii="Times New Roman" w:eastAsia="Calibri" w:hAnsi="Times New Roman" w:cs="Simplified Arabic"/>
          <w:sz w:val="24"/>
          <w:szCs w:val="28"/>
          <w:rtl/>
        </w:rPr>
        <w:t>، وهو سياق لم يتم التطرق إليه بشكل كافٍ في حدود اطلاع الباحث.</w:t>
      </w:r>
    </w:p>
    <w:p w14:paraId="680F0068" w14:textId="77777777" w:rsidR="006B40EB" w:rsidRPr="006B40EB" w:rsidRDefault="006B40EB" w:rsidP="006B40EB">
      <w:pPr>
        <w:numPr>
          <w:ilvl w:val="0"/>
          <w:numId w:val="7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طبيعة المتغيرات: </w:t>
      </w:r>
      <w:r w:rsidRPr="006B40EB">
        <w:rPr>
          <w:rFonts w:ascii="Times New Roman" w:eastAsia="Calibri" w:hAnsi="Times New Roman" w:cs="Simplified Arabic"/>
          <w:sz w:val="24"/>
          <w:szCs w:val="28"/>
          <w:rtl/>
        </w:rPr>
        <w:t xml:space="preserve">تناولت بعض الدراسات متغيرات قريبة ولكنها ليست متطابقة؛ فمثلاً، ركزت دراسة </w:t>
      </w:r>
      <w:r w:rsidRPr="006B40EB">
        <w:rPr>
          <w:rFonts w:ascii="Times New Roman" w:eastAsia="Calibri" w:hAnsi="Times New Roman" w:cs="Simplified Arabic"/>
          <w:sz w:val="24"/>
          <w:szCs w:val="28"/>
        </w:rPr>
        <w:t>(Hou et al., 2023)</w:t>
      </w:r>
      <w:r w:rsidRPr="006B40EB">
        <w:rPr>
          <w:rFonts w:ascii="Times New Roman" w:eastAsia="Calibri" w:hAnsi="Times New Roman" w:cs="Simplified Arabic"/>
          <w:sz w:val="24"/>
          <w:szCs w:val="28"/>
          <w:rtl/>
        </w:rPr>
        <w:t xml:space="preserve"> على "القيادة الخادمة الموجهة بيئياً"، بينما ركزت دراسة </w:t>
      </w:r>
      <w:r w:rsidRPr="006B40EB">
        <w:rPr>
          <w:rFonts w:ascii="Times New Roman" w:eastAsia="Calibri" w:hAnsi="Times New Roman" w:cs="Simplified Arabic"/>
          <w:sz w:val="24"/>
          <w:szCs w:val="28"/>
        </w:rPr>
        <w:t>(Li et al., 2024)</w:t>
      </w:r>
      <w:r w:rsidRPr="006B40EB">
        <w:rPr>
          <w:rFonts w:ascii="Times New Roman" w:eastAsia="Calibri" w:hAnsi="Times New Roman" w:cs="Simplified Arabic"/>
          <w:sz w:val="24"/>
          <w:szCs w:val="28"/>
          <w:rtl/>
        </w:rPr>
        <w:t xml:space="preserve"> على "القيادة التحويلية". وتتميز الدراسة الحالية بتركيزها المحدد على نموذج "القيادة المستدامة" بأبعاده الشاملة.</w:t>
      </w:r>
    </w:p>
    <w:p w14:paraId="228F723F" w14:textId="77777777" w:rsidR="006B40EB" w:rsidRPr="006B40EB" w:rsidRDefault="006B40EB" w:rsidP="006B40EB">
      <w:pPr>
        <w:numPr>
          <w:ilvl w:val="0"/>
          <w:numId w:val="7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نطاق العلاقة: </w:t>
      </w:r>
      <w:r w:rsidRPr="006B40EB">
        <w:rPr>
          <w:rFonts w:ascii="Times New Roman" w:eastAsia="Calibri" w:hAnsi="Times New Roman" w:cs="Simplified Arabic"/>
          <w:sz w:val="24"/>
          <w:szCs w:val="28"/>
          <w:rtl/>
        </w:rPr>
        <w:t xml:space="preserve">ركزت العديد من الدراسات السابقة على اختبار متغيرات وسيطة أو معدِّلة، مثل "السلوك الأخضر للموظفين" في دراسة </w:t>
      </w:r>
      <w:r w:rsidRPr="006B40EB">
        <w:rPr>
          <w:rFonts w:ascii="Times New Roman" w:eastAsia="Calibri" w:hAnsi="Times New Roman" w:cs="Simplified Arabic"/>
          <w:sz w:val="24"/>
          <w:szCs w:val="28"/>
        </w:rPr>
        <w:t>(Nisar et al., 2025)</w:t>
      </w:r>
      <w:r w:rsidRPr="006B40EB">
        <w:rPr>
          <w:rFonts w:ascii="Times New Roman" w:eastAsia="Calibri" w:hAnsi="Times New Roman" w:cs="Simplified Arabic"/>
          <w:sz w:val="24"/>
          <w:szCs w:val="28"/>
          <w:rtl/>
        </w:rPr>
        <w:t xml:space="preserve"> أو "الابتكار الأخضر" في دراسة </w:t>
      </w:r>
      <w:r w:rsidRPr="006B40EB">
        <w:rPr>
          <w:rFonts w:ascii="Times New Roman" w:eastAsia="Calibri" w:hAnsi="Times New Roman" w:cs="Simplified Arabic"/>
          <w:sz w:val="24"/>
          <w:szCs w:val="28"/>
        </w:rPr>
        <w:t>(Li et al., 2024)</w:t>
      </w:r>
      <w:r w:rsidRPr="006B40EB">
        <w:rPr>
          <w:rFonts w:ascii="Times New Roman" w:eastAsia="Calibri" w:hAnsi="Times New Roman" w:cs="Simplified Arabic"/>
          <w:sz w:val="24"/>
          <w:szCs w:val="28"/>
          <w:rtl/>
        </w:rPr>
        <w:t>. أما الدراسة الحالية فتركز على فحص العلاقة المباشرة والدور الذي تؤديه القيادة المستدامة في الأداء الأخضر، وهو ما يُعد خطوة تأسيسية ضرورية في بيئة بحثية جديدة.</w:t>
      </w:r>
    </w:p>
    <w:p w14:paraId="741E93E8" w14:textId="77777777" w:rsidR="006B40EB" w:rsidRPr="006B40EB" w:rsidRDefault="006B40EB" w:rsidP="006B40EB">
      <w:pPr>
        <w:numPr>
          <w:ilvl w:val="0"/>
          <w:numId w:val="74"/>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lastRenderedPageBreak/>
        <w:t>الفجوة البحثية:</w:t>
      </w:r>
    </w:p>
    <w:p w14:paraId="541D0DE3"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من خلال التحليل السابق، تتحدد الفجوة البحثية التي تسعى الدراسة الحالية لسدها في النقاط الآتية:</w:t>
      </w:r>
    </w:p>
    <w:p w14:paraId="79AA98CD" w14:textId="77777777" w:rsidR="006B40EB" w:rsidRPr="006B40EB" w:rsidRDefault="006B40EB" w:rsidP="006B40EB">
      <w:pPr>
        <w:numPr>
          <w:ilvl w:val="0"/>
          <w:numId w:val="80"/>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فجوة سياقية </w:t>
      </w:r>
      <w:r w:rsidRPr="006B40EB">
        <w:rPr>
          <w:rFonts w:ascii="Times New Roman" w:eastAsia="Calibri" w:hAnsi="Times New Roman" w:cs="Simplified Arabic"/>
          <w:b/>
          <w:bCs/>
          <w:sz w:val="24"/>
          <w:szCs w:val="28"/>
        </w:rPr>
        <w:t>(Contextual Gap)</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تتمثل في ندرة -إن لم يكن غياب- الدراسات التي تناولت العلاقة بين القيادة المستدامة والأداء التنظيمي الأخضر في البيئة اليمنية بشكل عام.</w:t>
      </w:r>
    </w:p>
    <w:p w14:paraId="20B4DA6C" w14:textId="77777777" w:rsidR="006B40EB" w:rsidRPr="006B40EB" w:rsidRDefault="006B40EB" w:rsidP="006B40EB">
      <w:pPr>
        <w:numPr>
          <w:ilvl w:val="0"/>
          <w:numId w:val="80"/>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فجوة قطاعية </w:t>
      </w:r>
      <w:r w:rsidRPr="006B40EB">
        <w:rPr>
          <w:rFonts w:ascii="Times New Roman" w:eastAsia="Calibri" w:hAnsi="Times New Roman" w:cs="Simplified Arabic"/>
          <w:b/>
          <w:bCs/>
          <w:sz w:val="24"/>
          <w:szCs w:val="28"/>
        </w:rPr>
        <w:t>(Sectoral Gap)</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هناك فجوة واضحة في الأدبيات المتعلقة بقطاع المقاولات على وجه الخصوص، فرغم أهميته وتأثيره البيئي الكبير، إلاّ أنه لم يحظ بالاهتمام البحثي الكافي مقارنة بقطاعات أخرى كالصناعة والخدمات.</w:t>
      </w:r>
    </w:p>
    <w:p w14:paraId="552C3514" w14:textId="77777777" w:rsidR="006B40EB" w:rsidRPr="006B40EB" w:rsidRDefault="006B40EB" w:rsidP="006B40EB">
      <w:pPr>
        <w:numPr>
          <w:ilvl w:val="0"/>
          <w:numId w:val="74"/>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t>جوانب استفادة الدراسة الحالية من الدراسات السابقة:</w:t>
      </w:r>
    </w:p>
    <w:p w14:paraId="1BFD23EC"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استفادت الدراسة الحالية من الأدبيات السابقة في عدة جوانب حيوية، منها:</w:t>
      </w:r>
    </w:p>
    <w:p w14:paraId="5957DE8A" w14:textId="77777777" w:rsidR="006B40EB" w:rsidRPr="006B40EB" w:rsidRDefault="006B40EB" w:rsidP="006B40EB">
      <w:pPr>
        <w:numPr>
          <w:ilvl w:val="0"/>
          <w:numId w:val="81"/>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بناء الإطار النظري: </w:t>
      </w:r>
      <w:r w:rsidRPr="006B40EB">
        <w:rPr>
          <w:rFonts w:ascii="Times New Roman" w:eastAsia="Calibri" w:hAnsi="Times New Roman" w:cs="Simplified Arabic"/>
          <w:sz w:val="24"/>
          <w:szCs w:val="28"/>
          <w:rtl/>
        </w:rPr>
        <w:t>شكلت الدراسات السابقة أساساً متيناً لبناء الإطار النظري وتأصيل مفاهيم الدراسة وأبعادها.</w:t>
      </w:r>
    </w:p>
    <w:p w14:paraId="1B012AC1" w14:textId="77777777" w:rsidR="006B40EB" w:rsidRPr="006B40EB" w:rsidRDefault="006B40EB" w:rsidP="006B40EB">
      <w:pPr>
        <w:numPr>
          <w:ilvl w:val="0"/>
          <w:numId w:val="81"/>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تطوير أداة الدراسة: </w:t>
      </w:r>
      <w:r w:rsidRPr="006B40EB">
        <w:rPr>
          <w:rFonts w:ascii="Times New Roman" w:eastAsia="Calibri" w:hAnsi="Times New Roman" w:cs="Simplified Arabic"/>
          <w:sz w:val="24"/>
          <w:szCs w:val="28"/>
          <w:rtl/>
        </w:rPr>
        <w:t xml:space="preserve">تم الاسترشاد بالمقاييس والاستبانات التي استخدمتها دراسات موثوقة، مثل دراسة (عيد، 2022) ودراسة </w:t>
      </w:r>
      <w:r w:rsidRPr="006B40EB">
        <w:rPr>
          <w:rFonts w:ascii="Times New Roman" w:eastAsia="Calibri" w:hAnsi="Times New Roman" w:cs="Simplified Arabic"/>
          <w:sz w:val="24"/>
          <w:szCs w:val="28"/>
        </w:rPr>
        <w:t>(Iqbal et al., 2023)</w:t>
      </w:r>
      <w:r w:rsidRPr="006B40EB">
        <w:rPr>
          <w:rFonts w:ascii="Times New Roman" w:eastAsia="Calibri" w:hAnsi="Times New Roman" w:cs="Simplified Arabic"/>
          <w:sz w:val="24"/>
          <w:szCs w:val="28"/>
          <w:rtl/>
        </w:rPr>
        <w:t>، في تطوير فقرات أداة الدراسة الحالية بُعد تكييفها لتناسب البيئة المستهدفة.</w:t>
      </w:r>
    </w:p>
    <w:p w14:paraId="16D1E0B1" w14:textId="77777777" w:rsidR="006B40EB" w:rsidRPr="006B40EB" w:rsidRDefault="006B40EB" w:rsidP="006B40EB">
      <w:pPr>
        <w:numPr>
          <w:ilvl w:val="0"/>
          <w:numId w:val="81"/>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صياغة الفرضيات: </w:t>
      </w:r>
      <w:r w:rsidRPr="006B40EB">
        <w:rPr>
          <w:rFonts w:ascii="Times New Roman" w:eastAsia="Calibri" w:hAnsi="Times New Roman" w:cs="Simplified Arabic"/>
          <w:sz w:val="24"/>
          <w:szCs w:val="28"/>
          <w:rtl/>
        </w:rPr>
        <w:t>ساعدت النتائج المتواترة في الدراسات السابقة على صياغة فرضيات الدراسة الحالية وتوجيهها بشكل منطقي وعلمي.</w:t>
      </w:r>
    </w:p>
    <w:p w14:paraId="0CA5B115" w14:textId="77777777" w:rsidR="006B40EB" w:rsidRPr="006B40EB" w:rsidRDefault="006B40EB" w:rsidP="006B40EB">
      <w:pPr>
        <w:numPr>
          <w:ilvl w:val="0"/>
          <w:numId w:val="81"/>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تفسير النتائج: </w:t>
      </w:r>
      <w:r w:rsidRPr="006B40EB">
        <w:rPr>
          <w:rFonts w:ascii="Times New Roman" w:eastAsia="Calibri" w:hAnsi="Times New Roman" w:cs="Simplified Arabic"/>
          <w:sz w:val="24"/>
          <w:szCs w:val="28"/>
          <w:rtl/>
        </w:rPr>
        <w:t>ستوفر نتائج الدراسات السابقة إطاراً مرجعياً مهماً عند مناقشة وتفسير النتائج التي ستتوصل إليها الدراسة الحالية، ومقارنتها مع نتائج بيئات وقطاعات أخرى.</w:t>
      </w:r>
    </w:p>
    <w:p w14:paraId="4B8730BE" w14:textId="77777777" w:rsidR="006B40EB" w:rsidRPr="006B40EB" w:rsidRDefault="006B40EB" w:rsidP="006B40EB">
      <w:pPr>
        <w:numPr>
          <w:ilvl w:val="0"/>
          <w:numId w:val="72"/>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t>الجوانب المميزة للدراسة الحالية عن الدراسات السابقة:</w:t>
      </w:r>
    </w:p>
    <w:p w14:paraId="1C65D91E"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lastRenderedPageBreak/>
        <w:t>تتميز هذه الدراسة بمجموعة من الجوانب التي تجعلها إضافة معرفية نوعية، وهي:</w:t>
      </w:r>
    </w:p>
    <w:p w14:paraId="0A47238D" w14:textId="77777777" w:rsidR="006B40EB" w:rsidRPr="006B40EB" w:rsidRDefault="006B40EB" w:rsidP="006B40EB">
      <w:pPr>
        <w:numPr>
          <w:ilvl w:val="0"/>
          <w:numId w:val="8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أصالة البيئة: </w:t>
      </w:r>
      <w:r w:rsidRPr="006B40EB">
        <w:rPr>
          <w:rFonts w:ascii="Times New Roman" w:eastAsia="Calibri" w:hAnsi="Times New Roman" w:cs="Simplified Arabic"/>
          <w:sz w:val="24"/>
          <w:szCs w:val="28"/>
          <w:rtl/>
        </w:rPr>
        <w:t>كونها من أوائل الدراسات التي تبحث في هذا الموضوع الحيوي ضمن قطاع المقاولات اليمني، مما سيوفر بيانات ورؤى أصيلة من سياق فريد يمر بمرحلة حرجة تتطلب إعادة إعمار مستدامة.</w:t>
      </w:r>
    </w:p>
    <w:p w14:paraId="662B8EEB" w14:textId="77777777" w:rsidR="006B40EB" w:rsidRPr="006B40EB" w:rsidRDefault="006B40EB" w:rsidP="006B40EB">
      <w:pPr>
        <w:numPr>
          <w:ilvl w:val="0"/>
          <w:numId w:val="8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التركيز والشمولية: </w:t>
      </w:r>
      <w:r w:rsidRPr="006B40EB">
        <w:rPr>
          <w:rFonts w:ascii="Times New Roman" w:eastAsia="Calibri" w:hAnsi="Times New Roman" w:cs="Simplified Arabic"/>
          <w:sz w:val="24"/>
          <w:szCs w:val="28"/>
          <w:rtl/>
        </w:rPr>
        <w:t>تركز الدراسة بشكل مباشر على العلاقة بين متغيرين رئيسيين (القيادة المستدامة والأداء الأخضر)، مع تبني نماذج شاملة ومتعددة الأبعاد لكل متغير، مما يوفر فهماً عميقاً لطبيعة هذه العلاقة.</w:t>
      </w:r>
    </w:p>
    <w:p w14:paraId="3016BE24" w14:textId="77777777" w:rsidR="006B40EB" w:rsidRPr="006B40EB" w:rsidRDefault="006B40EB" w:rsidP="006B40EB">
      <w:pPr>
        <w:numPr>
          <w:ilvl w:val="0"/>
          <w:numId w:val="8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الأهمية العملية: </w:t>
      </w:r>
      <w:r w:rsidRPr="006B40EB">
        <w:rPr>
          <w:rFonts w:ascii="Times New Roman" w:eastAsia="Calibri" w:hAnsi="Times New Roman" w:cs="Simplified Arabic"/>
          <w:sz w:val="24"/>
          <w:szCs w:val="28"/>
          <w:rtl/>
        </w:rPr>
        <w:t>تتجاوز الدراسة الجانب النظري لتقدم نتائج يمكن أن تكون ذات فائدة عملية مباشرة لصناع القرار وقادة شركات المقاولات في اليمن، من خلال تحديد الممارسات القيادية الأكثر فعالية لتعزيز التحول الأخضر في هذا القطاع الحيوي.</w:t>
      </w:r>
    </w:p>
    <w:p w14:paraId="73892CB6" w14:textId="77777777" w:rsidR="006B40EB" w:rsidRPr="006B40EB" w:rsidRDefault="006B40EB" w:rsidP="006B40EB">
      <w:pPr>
        <w:spacing w:after="240" w:line="276" w:lineRule="auto"/>
        <w:ind w:firstLine="510"/>
        <w:jc w:val="both"/>
        <w:rPr>
          <w:rFonts w:ascii="Times New Roman" w:eastAsia="Calibri" w:hAnsi="Times New Roman" w:cs="Simplified Arabic"/>
          <w:b/>
          <w:bCs/>
          <w:sz w:val="24"/>
          <w:szCs w:val="28"/>
          <w:rtl/>
        </w:rPr>
      </w:pPr>
      <w:r w:rsidRPr="006B40EB">
        <w:rPr>
          <w:rFonts w:ascii="Times New Roman" w:eastAsia="Calibri" w:hAnsi="Times New Roman" w:cs="Simplified Arabic"/>
          <w:b/>
          <w:bCs/>
          <w:sz w:val="24"/>
          <w:szCs w:val="28"/>
          <w:rtl/>
        </w:rPr>
        <w:br w:type="page"/>
      </w:r>
    </w:p>
    <w:p w14:paraId="708546D0" w14:textId="77777777" w:rsidR="006B40EB" w:rsidRPr="00335FC1" w:rsidRDefault="006B40EB" w:rsidP="00335FC1">
      <w:pPr>
        <w:spacing w:after="240" w:line="276" w:lineRule="auto"/>
        <w:ind w:firstLine="510"/>
        <w:jc w:val="center"/>
        <w:rPr>
          <w:rFonts w:ascii="Times New Roman" w:eastAsia="Calibri" w:hAnsi="Times New Roman" w:cs="Simplified Arabic"/>
          <w:b/>
          <w:bCs/>
          <w:sz w:val="28"/>
          <w:szCs w:val="32"/>
        </w:rPr>
      </w:pPr>
      <w:r w:rsidRPr="00335FC1">
        <w:rPr>
          <w:rFonts w:ascii="Times New Roman" w:eastAsia="Calibri" w:hAnsi="Times New Roman" w:cs="Simplified Arabic"/>
          <w:b/>
          <w:bCs/>
          <w:sz w:val="28"/>
          <w:szCs w:val="32"/>
          <w:rtl/>
        </w:rPr>
        <w:lastRenderedPageBreak/>
        <w:t>المحور الثاني: الإطار النظري للدراسة</w:t>
      </w:r>
    </w:p>
    <w:p w14:paraId="6F557959" w14:textId="77777777" w:rsidR="004B2971" w:rsidRPr="004B2971" w:rsidRDefault="004B2971" w:rsidP="00335FC1">
      <w:pPr>
        <w:spacing w:after="240" w:line="276" w:lineRule="auto"/>
        <w:ind w:firstLine="510"/>
        <w:jc w:val="center"/>
        <w:rPr>
          <w:rFonts w:ascii="Times New Roman" w:eastAsia="Calibri" w:hAnsi="Times New Roman" w:cs="Simplified Arabic"/>
          <w:b/>
          <w:bCs/>
          <w:sz w:val="4"/>
          <w:szCs w:val="8"/>
          <w:rtl/>
        </w:rPr>
      </w:pPr>
    </w:p>
    <w:p w14:paraId="43FA8DC7" w14:textId="6887989A" w:rsidR="006B40EB" w:rsidRPr="00335FC1" w:rsidRDefault="006B40EB" w:rsidP="00335FC1">
      <w:pPr>
        <w:spacing w:after="240" w:line="276" w:lineRule="auto"/>
        <w:ind w:firstLine="510"/>
        <w:jc w:val="center"/>
        <w:rPr>
          <w:rFonts w:ascii="Times New Roman" w:eastAsia="Calibri" w:hAnsi="Times New Roman" w:cs="Simplified Arabic"/>
          <w:b/>
          <w:bCs/>
          <w:sz w:val="26"/>
          <w:szCs w:val="30"/>
        </w:rPr>
      </w:pPr>
      <w:r w:rsidRPr="00335FC1">
        <w:rPr>
          <w:rFonts w:ascii="Times New Roman" w:eastAsia="Calibri" w:hAnsi="Times New Roman" w:cs="Simplified Arabic"/>
          <w:b/>
          <w:bCs/>
          <w:sz w:val="26"/>
          <w:szCs w:val="30"/>
          <w:rtl/>
        </w:rPr>
        <w:t>المبحث الأول: القيادة المستدامة</w:t>
      </w:r>
    </w:p>
    <w:p w14:paraId="5A59AD21" w14:textId="1BFF9122"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يتناول هذا المبحث المتغير المستقل للدراسة "القيادة المستدامة"، حيث يسعى إلى تفكيك المفهوم وتأصيله نظرياً، واستعراض تطوره، وتحليل أبعاده ومكوناته الأساسية، وصولاً إلى فهم شامل لطبيعته ومتطلبات تطبيقه في المنظمات المعاصرة.</w:t>
      </w:r>
    </w:p>
    <w:p w14:paraId="3D53A607"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أولاً: القيادة المستدامة: النشأة والتطور المفاهيمي</w:t>
      </w:r>
    </w:p>
    <w:p w14:paraId="4D15289E"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لم يظهر مفهوم القيادة المستدامة بمعزل عن السياقات الفكرية والتحولات العالمية التي شهدها الفكر الإداري والبيئي. إذ يمكن إرجاع جذوره الفكرية إلى تنامي الوعي بقضايا المسؤولية الاجتماعية للشركات </w:t>
      </w:r>
      <w:r w:rsidRPr="006B40EB">
        <w:rPr>
          <w:rFonts w:ascii="Times New Roman" w:eastAsia="Calibri" w:hAnsi="Times New Roman" w:cs="Simplified Arabic"/>
          <w:sz w:val="24"/>
          <w:szCs w:val="28"/>
        </w:rPr>
        <w:t>(CSR)</w:t>
      </w:r>
      <w:r w:rsidRPr="006B40EB">
        <w:rPr>
          <w:rFonts w:ascii="Times New Roman" w:eastAsia="Calibri" w:hAnsi="Times New Roman" w:cs="Simplified Arabic"/>
          <w:sz w:val="24"/>
          <w:szCs w:val="28"/>
          <w:rtl/>
        </w:rPr>
        <w:t xml:space="preserve">، والتي تطورت من مجرد فكرة هامشية إلى جزء لا يتجزأ من الاستراتيجية المؤسسية </w:t>
      </w:r>
      <w:r w:rsidRPr="006B40EB">
        <w:rPr>
          <w:rFonts w:ascii="Times New Roman" w:eastAsia="Calibri" w:hAnsi="Times New Roman" w:cs="Simplified Arabic"/>
          <w:sz w:val="24"/>
          <w:szCs w:val="28"/>
        </w:rPr>
        <w:t>(Carroll, 2021, p. 1260)</w:t>
      </w:r>
      <w:r w:rsidRPr="006B40EB">
        <w:rPr>
          <w:rFonts w:ascii="Times New Roman" w:eastAsia="Calibri" w:hAnsi="Times New Roman" w:cs="Simplified Arabic"/>
          <w:sz w:val="24"/>
          <w:szCs w:val="28"/>
          <w:rtl/>
        </w:rPr>
        <w:t xml:space="preserve">. وقد تبلور هذا الاهتمام بشكل أكبر مع ظهور مفهوم "التنمية المستدامة" الذي قدمه تقرير </w:t>
      </w:r>
      <w:proofErr w:type="spellStart"/>
      <w:r w:rsidRPr="006B40EB">
        <w:rPr>
          <w:rFonts w:ascii="Times New Roman" w:eastAsia="Calibri" w:hAnsi="Times New Roman" w:cs="Simplified Arabic"/>
          <w:sz w:val="24"/>
          <w:szCs w:val="28"/>
          <w:rtl/>
        </w:rPr>
        <w:t>برونتلاند</w:t>
      </w:r>
      <w:proofErr w:type="spellEnd"/>
      <w:r w:rsidRPr="006B40EB">
        <w:rPr>
          <w:rFonts w:ascii="Times New Roman" w:eastAsia="Calibri" w:hAnsi="Times New Roman" w:cs="Simplified Arabic"/>
          <w:sz w:val="24"/>
          <w:szCs w:val="28"/>
          <w:rtl/>
        </w:rPr>
        <w:t xml:space="preserve"> تاريخياً عام (1987م)، والذي عرّفها بأنها التنمية التي تلبي احتياجات الحاضر دون المساس بقدرة الأجيال القادمة على تلبية احتياجاتها الخاصة، وهو التعريف الذي لا يزال يمثل حجر الأساس في أدبيات الاستدامة.</w:t>
      </w:r>
    </w:p>
    <w:p w14:paraId="3FC41994"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وقد أدى هذا التحول في المنظور العالمي إلى إدراك أن النماذج القيادية التقليدية، التي تركز بشكل شبه حصري على تعظيم الأرباح للمساهمين، لم تُعد كافية لمواجهة تحديات القرن الحادي والعشرين </w:t>
      </w:r>
      <w:r w:rsidRPr="006B40EB">
        <w:rPr>
          <w:rFonts w:ascii="Times New Roman" w:eastAsia="Calibri" w:hAnsi="Times New Roman" w:cs="Simplified Arabic"/>
          <w:sz w:val="24"/>
          <w:szCs w:val="28"/>
        </w:rPr>
        <w:t>(Lozano, 2023, p. 15)</w:t>
      </w:r>
      <w:r w:rsidRPr="006B40EB">
        <w:rPr>
          <w:rFonts w:ascii="Times New Roman" w:eastAsia="Calibri" w:hAnsi="Times New Roman" w:cs="Simplified Arabic"/>
          <w:sz w:val="24"/>
          <w:szCs w:val="28"/>
          <w:rtl/>
        </w:rPr>
        <w:t>. فكان لا بد من الانتقال من القيادة التقليدية إلى نماذج أكثر شمولية ومسؤولية، قادرة على الموازنة بين ثلاثة أبعاد رئيسية تُعرف بـ "الخط السفلي الثلاثي</w:t>
      </w:r>
      <w:r w:rsidRPr="006B40EB">
        <w:rPr>
          <w:rFonts w:ascii="Times New Roman" w:eastAsia="Calibri" w:hAnsi="Times New Roman" w:cs="Simplified Arabic"/>
          <w:sz w:val="24"/>
          <w:szCs w:val="28"/>
        </w:rPr>
        <w:t>" (Triple Bottom Line)</w:t>
      </w:r>
      <w:r w:rsidRPr="006B40EB">
        <w:rPr>
          <w:rFonts w:ascii="Times New Roman" w:eastAsia="Calibri" w:hAnsi="Times New Roman" w:cs="Simplified Arabic"/>
          <w:sz w:val="24"/>
          <w:szCs w:val="28"/>
          <w:rtl/>
        </w:rPr>
        <w:t xml:space="preserve"> كما صاغها </w:t>
      </w:r>
      <w:r w:rsidRPr="006B40EB">
        <w:rPr>
          <w:rFonts w:ascii="Times New Roman" w:eastAsia="Calibri" w:hAnsi="Times New Roman" w:cs="Simplified Arabic"/>
          <w:sz w:val="24"/>
          <w:szCs w:val="28"/>
        </w:rPr>
        <w:t>Elkington</w:t>
      </w:r>
      <w:r w:rsidRPr="006B40EB">
        <w:rPr>
          <w:rFonts w:ascii="Times New Roman" w:eastAsia="Calibri" w:hAnsi="Times New Roman" w:cs="Simplified Arabic"/>
          <w:sz w:val="24"/>
          <w:szCs w:val="28"/>
          <w:rtl/>
        </w:rPr>
        <w:t xml:space="preserve"> في عمله التأسيسي، وهي: الأداء الاقتصادي (الربح)، والأداء الاجتماعي (الناس)، والأداء البيئي (الكوكب). وفي خضم هذا السياق، بزغ مفهوم القيادة المستدامة كنمط قيادي قادر على إدارة هذا التوازن المعقد.</w:t>
      </w:r>
    </w:p>
    <w:p w14:paraId="611616FC"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وقد تعددت تعريفات الباحثين للمفهوم بما يعكس تطوره؛ فيعرفها كل من </w:t>
      </w:r>
      <w:r w:rsidRPr="006B40EB">
        <w:rPr>
          <w:rFonts w:ascii="Times New Roman" w:eastAsia="Calibri" w:hAnsi="Times New Roman" w:cs="Simplified Arabic"/>
          <w:sz w:val="24"/>
          <w:szCs w:val="28"/>
        </w:rPr>
        <w:t>(Metcalf and Benn, 2023, p. 115)</w:t>
      </w:r>
      <w:r w:rsidRPr="006B40EB">
        <w:rPr>
          <w:rFonts w:ascii="Times New Roman" w:eastAsia="Calibri" w:hAnsi="Times New Roman" w:cs="Simplified Arabic"/>
          <w:sz w:val="24"/>
          <w:szCs w:val="28"/>
          <w:rtl/>
        </w:rPr>
        <w:t xml:space="preserve"> بأنها: "القدرة على التأثير في أصحاب المصلحة المتعددين، داخلياً وخارجياً، لخلق رؤية مشتركة للاستدامة وتنفيذ استراتيجيات تحقق قيمة اقتصادية واجتماعية وبيئية على المدى </w:t>
      </w:r>
      <w:r w:rsidRPr="006B40EB">
        <w:rPr>
          <w:rFonts w:ascii="Times New Roman" w:eastAsia="Calibri" w:hAnsi="Times New Roman" w:cs="Simplified Arabic"/>
          <w:sz w:val="24"/>
          <w:szCs w:val="28"/>
          <w:rtl/>
        </w:rPr>
        <w:lastRenderedPageBreak/>
        <w:t xml:space="preserve">الطويل". بينما يراها </w:t>
      </w:r>
      <w:r w:rsidRPr="006B40EB">
        <w:rPr>
          <w:rFonts w:ascii="Times New Roman" w:eastAsia="Calibri" w:hAnsi="Times New Roman" w:cs="Simplified Arabic"/>
          <w:sz w:val="24"/>
          <w:szCs w:val="28"/>
        </w:rPr>
        <w:t>(Ribeiro and Leitão, 2024, p. 2)</w:t>
      </w:r>
      <w:r w:rsidRPr="006B40EB">
        <w:rPr>
          <w:rFonts w:ascii="Times New Roman" w:eastAsia="Calibri" w:hAnsi="Times New Roman" w:cs="Simplified Arabic"/>
          <w:sz w:val="24"/>
          <w:szCs w:val="28"/>
          <w:rtl/>
        </w:rPr>
        <w:t xml:space="preserve"> على أنها: "عملية التأثير في الآخرين لتحقيق توازن بين الأهداف الاقتصادية والاجتماعية والبيئية على المدى الطويل". ومن المهم التمييز بين القيادة المستدامة وغيرها من الأنماط القيادية القريبة منها؛ فبينما تتشارك مع </w:t>
      </w:r>
      <w:r w:rsidRPr="006B40EB">
        <w:rPr>
          <w:rFonts w:ascii="Times New Roman" w:eastAsia="Calibri" w:hAnsi="Times New Roman" w:cs="Simplified Arabic"/>
          <w:b/>
          <w:bCs/>
          <w:sz w:val="24"/>
          <w:szCs w:val="28"/>
          <w:rtl/>
        </w:rPr>
        <w:t>القيادة التحويلية</w:t>
      </w:r>
      <w:r w:rsidRPr="006B40EB">
        <w:rPr>
          <w:rFonts w:ascii="Times New Roman" w:eastAsia="Calibri" w:hAnsi="Times New Roman" w:cs="Simplified Arabic"/>
          <w:sz w:val="24"/>
          <w:szCs w:val="28"/>
          <w:rtl/>
        </w:rPr>
        <w:t xml:space="preserve"> في أهمية الرؤية والإلهام، تتجاوزها القيادة المستدامة بالتركيز الصريح على الأبعاد البيئية والاجتماعية. وبينما تتقاطع مع </w:t>
      </w:r>
      <w:r w:rsidRPr="006B40EB">
        <w:rPr>
          <w:rFonts w:ascii="Times New Roman" w:eastAsia="Calibri" w:hAnsi="Times New Roman" w:cs="Simplified Arabic"/>
          <w:b/>
          <w:bCs/>
          <w:sz w:val="24"/>
          <w:szCs w:val="28"/>
          <w:rtl/>
        </w:rPr>
        <w:t>القيادة الأخلاقية</w:t>
      </w:r>
      <w:r w:rsidRPr="006B40EB">
        <w:rPr>
          <w:rFonts w:ascii="Times New Roman" w:eastAsia="Calibri" w:hAnsi="Times New Roman" w:cs="Simplified Arabic"/>
          <w:sz w:val="24"/>
          <w:szCs w:val="28"/>
          <w:rtl/>
        </w:rPr>
        <w:t xml:space="preserve"> في الالتزام بالمعايير السلوكية، توسع القيادة المستدامة نطاق هذا الالتزام ليشمل مسؤولية المنظمة تجاه الكوكب والأجيال القادمة (الزبيدي، 2021، ص. 55).</w:t>
      </w:r>
    </w:p>
    <w:p w14:paraId="277CA1AF"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يتضح من هذا التطور المفاهيمي أن القيادة المستدامة ليست مجرد نمط إداري، بل هي فلسفة ومنهجية استراتيجية تعيد تعريف غاية المنظمة وأساس نجاحها. وفي سياق قطاع المقاولات اليمني، الذي يواجه مهمة إعادة الإعمار والتنمية في ظل موارد محدودة وتحديات بيئية، فإن تبني هذه الفلسفة القيادية لم يُعد خياراً، بل ضرورة حتمية لضمان أن تكون عملية البناء والتنمية مستدامة في جوهرها، وقادرة على خلق قيمة حقيقية وطويلة الأمد للمجتمع والبيئة والاقتصاد على حد سواء.</w:t>
      </w:r>
    </w:p>
    <w:p w14:paraId="73536BC5"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ثانياً: المنطلقات النظرية المفسرة للقيادة المستدامة</w:t>
      </w:r>
    </w:p>
    <w:p w14:paraId="625A636B"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تستند ممارسات القيادة المستدامة إلى مجموعة من النظريات الإدارية الراسخة التي توفر لها أساساً فكرياً متيناً، ومن أبرز هذه النظريات ما يأتي:</w:t>
      </w:r>
    </w:p>
    <w:p w14:paraId="40A4EDA4" w14:textId="77777777" w:rsidR="006B40EB" w:rsidRPr="006B40EB" w:rsidRDefault="006B40EB" w:rsidP="006B40EB">
      <w:pPr>
        <w:numPr>
          <w:ilvl w:val="0"/>
          <w:numId w:val="6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نظرية أصحاب المصلحة </w:t>
      </w:r>
      <w:r w:rsidRPr="006B40EB">
        <w:rPr>
          <w:rFonts w:ascii="Times New Roman" w:eastAsia="Calibri" w:hAnsi="Times New Roman" w:cs="Simplified Arabic"/>
          <w:b/>
          <w:bCs/>
          <w:sz w:val="24"/>
          <w:szCs w:val="28"/>
        </w:rPr>
        <w:t>(Stakeholder Theory)</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تُعد هذه النظرية، التي قدمها </w:t>
      </w:r>
      <w:r w:rsidRPr="006B40EB">
        <w:rPr>
          <w:rFonts w:ascii="Times New Roman" w:eastAsia="Calibri" w:hAnsi="Times New Roman" w:cs="Simplified Arabic"/>
          <w:sz w:val="24"/>
          <w:szCs w:val="28"/>
        </w:rPr>
        <w:t>(Freeman)</w:t>
      </w:r>
      <w:r w:rsidRPr="006B40EB">
        <w:rPr>
          <w:rFonts w:ascii="Times New Roman" w:eastAsia="Calibri" w:hAnsi="Times New Roman" w:cs="Simplified Arabic"/>
          <w:sz w:val="24"/>
          <w:szCs w:val="28"/>
          <w:rtl/>
        </w:rPr>
        <w:t xml:space="preserve"> في عمله الأصيل، حجر الزاوية الفكري للقيادة المستدامة. وهي تتحدى الفكرة التقليدية القائلة بأن الهدف الوحيد للشركة هو خدمة مساهميها، وتقترح بدلاً من ذلك أن على المديرين اتخاذ قرارات توازن بين مصالح جميع أصحاب المصلحة. وفي تطورها الحديث، تؤكد النظرية على أن النجاح المستدام لا يمكن تحقيقه إلاّ من خلال خلق قيمة مشتركة ومتزامنة لجميع الأطراف </w:t>
      </w:r>
      <w:r w:rsidRPr="006B40EB">
        <w:rPr>
          <w:rFonts w:ascii="Times New Roman" w:eastAsia="Calibri" w:hAnsi="Times New Roman" w:cs="Simplified Arabic"/>
          <w:sz w:val="24"/>
          <w:szCs w:val="28"/>
        </w:rPr>
        <w:t>(Freeman et al., 2020, p. 48)</w:t>
      </w:r>
      <w:r w:rsidRPr="006B40EB">
        <w:rPr>
          <w:rFonts w:ascii="Times New Roman" w:eastAsia="Calibri" w:hAnsi="Times New Roman" w:cs="Simplified Arabic"/>
          <w:sz w:val="24"/>
          <w:szCs w:val="28"/>
          <w:rtl/>
        </w:rPr>
        <w:t>. وعليه، فإن القائد المستدام هو من يدير هذه الشبكة المعقدة من العلاقات بفعالية.</w:t>
      </w:r>
    </w:p>
    <w:p w14:paraId="123D8A64" w14:textId="77777777" w:rsidR="006B40EB" w:rsidRPr="006B40EB" w:rsidRDefault="006B40EB" w:rsidP="006B40EB">
      <w:pPr>
        <w:numPr>
          <w:ilvl w:val="0"/>
          <w:numId w:val="6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نظرية الإشراف </w:t>
      </w:r>
      <w:r w:rsidRPr="006B40EB">
        <w:rPr>
          <w:rFonts w:ascii="Times New Roman" w:eastAsia="Calibri" w:hAnsi="Times New Roman" w:cs="Simplified Arabic"/>
          <w:b/>
          <w:bCs/>
          <w:sz w:val="24"/>
          <w:szCs w:val="28"/>
        </w:rPr>
        <w:t>(Stewardship Theory)</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على عكس نظرية الوكالة التي تفترض أن المديرين تحركهم المصلحة الذاتية، تقترح نظرية الإشراف أن المديرين هم "مشرفون" أو "أوصياء" على موارد المنظمة، وتحركهم دوافع داخلية لتحقيق أهداف المنظمة وخدمة مصالح أصحاب المصلحة على المدى الطويل. وهذا المنظور يتوافق تماماً مع القيادة المستدامة، حيث يُنظر إلى القائد على أنه مسؤول عن حماية وتنمية رأس المال المالي والبشري والاجتماعي والطبيعي للمنظمة </w:t>
      </w:r>
      <w:r w:rsidRPr="006B40EB">
        <w:rPr>
          <w:rFonts w:ascii="Times New Roman" w:eastAsia="Calibri" w:hAnsi="Times New Roman" w:cs="Simplified Arabic"/>
          <w:sz w:val="24"/>
          <w:szCs w:val="28"/>
        </w:rPr>
        <w:t>(Caldwell et al., 2022, p. 112)</w:t>
      </w:r>
      <w:r w:rsidRPr="006B40EB">
        <w:rPr>
          <w:rFonts w:ascii="Times New Roman" w:eastAsia="Calibri" w:hAnsi="Times New Roman" w:cs="Simplified Arabic"/>
          <w:sz w:val="24"/>
          <w:szCs w:val="28"/>
          <w:rtl/>
        </w:rPr>
        <w:t>.</w:t>
      </w:r>
    </w:p>
    <w:p w14:paraId="5DF2E1B0" w14:textId="77777777" w:rsidR="006B40EB" w:rsidRPr="006B40EB" w:rsidRDefault="006B40EB" w:rsidP="006B40EB">
      <w:pPr>
        <w:numPr>
          <w:ilvl w:val="0"/>
          <w:numId w:val="6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نظرية الشرعية </w:t>
      </w:r>
      <w:r w:rsidRPr="006B40EB">
        <w:rPr>
          <w:rFonts w:ascii="Times New Roman" w:eastAsia="Calibri" w:hAnsi="Times New Roman" w:cs="Simplified Arabic"/>
          <w:b/>
          <w:bCs/>
          <w:sz w:val="24"/>
          <w:szCs w:val="28"/>
        </w:rPr>
        <w:t>(Legitimacy Theory)</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تفترض هذه النظرية أن المنظمات تسعى باستمرار للحصول على "الشرعية" أو القبول الاجتماعي من خلال العمل بطرق تتوافق مع قيم ومعايير المجتمع الذي تعمل فيه </w:t>
      </w:r>
      <w:r w:rsidRPr="006B40EB">
        <w:rPr>
          <w:rFonts w:ascii="Times New Roman" w:eastAsia="Calibri" w:hAnsi="Times New Roman" w:cs="Simplified Arabic"/>
          <w:sz w:val="24"/>
          <w:szCs w:val="28"/>
        </w:rPr>
        <w:t>(Deegan, 2019, p. 3)</w:t>
      </w:r>
      <w:r w:rsidRPr="006B40EB">
        <w:rPr>
          <w:rFonts w:ascii="Times New Roman" w:eastAsia="Calibri" w:hAnsi="Times New Roman" w:cs="Simplified Arabic"/>
          <w:sz w:val="24"/>
          <w:szCs w:val="28"/>
          <w:rtl/>
        </w:rPr>
        <w:t>. فالقائد المستدام يدرك أن بقاء المنظمة ونموها يعتمدان على الحفاظ على "رخصة التشغيل الاجتماعية والبيئية". وبالتالي، فإن تبني ممارسات مستدامة لا يُعد مجرد التزام أخلاقي، بل هو استراتيجية لإدارة السمعة وتأمين الشرعية اللازمة للاستمرارية (العمري، 2022، ص. 120).</w:t>
      </w:r>
    </w:p>
    <w:p w14:paraId="49C90217"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 xml:space="preserve">توفر هذه النظريات مجتمعة إطاراً تفسيرياً قوياً لدوافع وفعالية القيادة المستدامة. فهي توضح أن هذا النمط القيادي ليس مجرد سلوك "خيّر"، بل هو نهج عقلاني واستراتيجي. فمن خلال إدارة علاقات أصحاب المصلحة (نظرية أصحاب المصلحة)، والتصرف كأوصياء مسؤولين (نظرية الإشراف)، والسعي للحصول على القبول المجتمعي (نظرية الشرعية)، يتمكن القادة </w:t>
      </w:r>
      <w:proofErr w:type="spellStart"/>
      <w:r w:rsidRPr="006B40EB">
        <w:rPr>
          <w:rFonts w:ascii="Times New Roman" w:eastAsia="Calibri" w:hAnsi="Times New Roman" w:cs="Simplified Arabic"/>
          <w:sz w:val="24"/>
          <w:szCs w:val="28"/>
          <w:rtl/>
        </w:rPr>
        <w:t>المستدامون</w:t>
      </w:r>
      <w:proofErr w:type="spellEnd"/>
      <w:r w:rsidRPr="006B40EB">
        <w:rPr>
          <w:rFonts w:ascii="Times New Roman" w:eastAsia="Calibri" w:hAnsi="Times New Roman" w:cs="Simplified Arabic"/>
          <w:sz w:val="24"/>
          <w:szCs w:val="28"/>
          <w:rtl/>
        </w:rPr>
        <w:t xml:space="preserve"> من بناء منظمات مرنة وقادرة على تحقيق النجاح على المدى الطويل.</w:t>
      </w:r>
    </w:p>
    <w:p w14:paraId="3F620E70"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ثالثاً: خصائص وأهمية ومبادئ القيادة المستدامة</w:t>
      </w:r>
    </w:p>
    <w:p w14:paraId="2FD0AF9D"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لتحقيق أهدافها الشاملة، تتطلب القيادة المستدامة مجموعة فريدة من الخصائص لدى القادة، وتؤدي أدواراً حيوية للمنظمة، وتستند إلى مبادئ واضحة.</w:t>
      </w:r>
    </w:p>
    <w:p w14:paraId="73EDD41A" w14:textId="77777777" w:rsidR="006B40EB" w:rsidRPr="006B40EB" w:rsidRDefault="006B40EB" w:rsidP="006B40EB">
      <w:pPr>
        <w:numPr>
          <w:ilvl w:val="0"/>
          <w:numId w:val="63"/>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خصائص القادة المستدامين: </w:t>
      </w:r>
      <w:r w:rsidRPr="006B40EB">
        <w:rPr>
          <w:rFonts w:ascii="Times New Roman" w:eastAsia="Calibri" w:hAnsi="Times New Roman" w:cs="Simplified Arabic"/>
          <w:sz w:val="24"/>
          <w:szCs w:val="28"/>
          <w:rtl/>
        </w:rPr>
        <w:t xml:space="preserve">يتميز القادة </w:t>
      </w:r>
      <w:proofErr w:type="spellStart"/>
      <w:r w:rsidRPr="006B40EB">
        <w:rPr>
          <w:rFonts w:ascii="Times New Roman" w:eastAsia="Calibri" w:hAnsi="Times New Roman" w:cs="Simplified Arabic"/>
          <w:sz w:val="24"/>
          <w:szCs w:val="28"/>
          <w:rtl/>
        </w:rPr>
        <w:t>المستدامون</w:t>
      </w:r>
      <w:proofErr w:type="spellEnd"/>
      <w:r w:rsidRPr="006B40EB">
        <w:rPr>
          <w:rFonts w:ascii="Times New Roman" w:eastAsia="Calibri" w:hAnsi="Times New Roman" w:cs="Simplified Arabic"/>
          <w:sz w:val="24"/>
          <w:szCs w:val="28"/>
          <w:rtl/>
        </w:rPr>
        <w:t xml:space="preserve"> بسمات شخصية وكفاءات مهنية تمكنهم من التعامل مع التعقيدات المرتبطة بالاستدامة. ويوضح الجدول الآتي أبرز هذه الخصائص.</w:t>
      </w:r>
    </w:p>
    <w:p w14:paraId="05EEE0E3" w14:textId="77777777" w:rsidR="006B40EB" w:rsidRPr="000F1BB6" w:rsidRDefault="006B40EB" w:rsidP="000F1BB6">
      <w:pPr>
        <w:spacing w:after="0" w:line="276" w:lineRule="auto"/>
        <w:jc w:val="center"/>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جدول (1): الخصائص الرئيسية للقادة المستدامين</w:t>
      </w:r>
    </w:p>
    <w:tbl>
      <w:tblPr>
        <w:tblStyle w:val="4-2"/>
        <w:bidiVisual/>
        <w:tblW w:w="0" w:type="auto"/>
        <w:jc w:val="center"/>
        <w:tblLook w:val="04A0" w:firstRow="1" w:lastRow="0" w:firstColumn="1" w:lastColumn="0" w:noHBand="0" w:noVBand="1"/>
      </w:tblPr>
      <w:tblGrid>
        <w:gridCol w:w="1865"/>
        <w:gridCol w:w="6573"/>
      </w:tblGrid>
      <w:tr w:rsidR="006B40EB" w:rsidRPr="000F1BB6" w14:paraId="50DFA7E6" w14:textId="77777777" w:rsidTr="004B29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60642" w14:textId="77777777" w:rsidR="006B40EB" w:rsidRPr="000F1BB6" w:rsidRDefault="006B40EB" w:rsidP="00335FC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lastRenderedPageBreak/>
              <w:t>الخاصية</w:t>
            </w:r>
          </w:p>
        </w:tc>
        <w:tc>
          <w:tcPr>
            <w:tcW w:w="0" w:type="auto"/>
            <w:vAlign w:val="center"/>
            <w:hideMark/>
          </w:tcPr>
          <w:p w14:paraId="0B9AE8BF" w14:textId="77777777" w:rsidR="006B40EB" w:rsidRPr="000F1BB6" w:rsidRDefault="006B40EB" w:rsidP="00335FC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الوصف</w:t>
            </w:r>
          </w:p>
        </w:tc>
      </w:tr>
      <w:tr w:rsidR="006B40EB" w:rsidRPr="000F1BB6" w14:paraId="598D6D32" w14:textId="77777777" w:rsidTr="004B2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390B75" w14:textId="77777777" w:rsidR="006B40EB" w:rsidRPr="000F1BB6" w:rsidRDefault="006B40EB" w:rsidP="00335FC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التفكير الشمولي والنظمي</w:t>
            </w:r>
          </w:p>
        </w:tc>
        <w:tc>
          <w:tcPr>
            <w:tcW w:w="0" w:type="auto"/>
            <w:vAlign w:val="center"/>
            <w:hideMark/>
          </w:tcPr>
          <w:p w14:paraId="3A79465F" w14:textId="77777777" w:rsidR="006B40EB" w:rsidRPr="00060E62" w:rsidRDefault="006B40EB" w:rsidP="00335FC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tl/>
              </w:rPr>
            </w:pPr>
            <w:r w:rsidRPr="00060E62">
              <w:rPr>
                <w:rFonts w:ascii="Times New Roman" w:eastAsia="Calibri" w:hAnsi="Times New Roman" w:cs="Simplified Arabic"/>
                <w:sz w:val="20"/>
                <w:szCs w:val="24"/>
                <w:rtl/>
              </w:rPr>
              <w:t>القدرة على فهم الترابط بين الأنظمة الاقتصادية والاجتماعية والبيئية، ورؤية الصورة الكلية بدلاً من التركيز على أجزاء منعزلة.</w:t>
            </w:r>
          </w:p>
        </w:tc>
      </w:tr>
      <w:tr w:rsidR="006B40EB" w:rsidRPr="000F1BB6" w14:paraId="786852B3" w14:textId="77777777" w:rsidTr="004B2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A30A55" w14:textId="77777777" w:rsidR="006B40EB" w:rsidRPr="000F1BB6" w:rsidRDefault="006B40EB" w:rsidP="00335FC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البصيرة والرؤية طويلة الأمد</w:t>
            </w:r>
          </w:p>
        </w:tc>
        <w:tc>
          <w:tcPr>
            <w:tcW w:w="0" w:type="auto"/>
            <w:vAlign w:val="center"/>
            <w:hideMark/>
          </w:tcPr>
          <w:p w14:paraId="06D01954" w14:textId="77777777" w:rsidR="006B40EB" w:rsidRPr="00060E62" w:rsidRDefault="006B40EB" w:rsidP="00335FC1">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tl/>
              </w:rPr>
            </w:pPr>
            <w:r w:rsidRPr="00060E62">
              <w:rPr>
                <w:rFonts w:ascii="Times New Roman" w:eastAsia="Calibri" w:hAnsi="Times New Roman" w:cs="Simplified Arabic"/>
                <w:sz w:val="20"/>
                <w:szCs w:val="24"/>
                <w:rtl/>
              </w:rPr>
              <w:t>التركيز على النتائج المستقبلية وتأثيرات القرارات الحالية على الأجيال القادمة، بدلاً من الانشغال بالأرباح قصيرة المدى.</w:t>
            </w:r>
          </w:p>
        </w:tc>
      </w:tr>
      <w:tr w:rsidR="006B40EB" w:rsidRPr="000F1BB6" w14:paraId="50E9E50C" w14:textId="77777777" w:rsidTr="004B2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399D27" w14:textId="77777777" w:rsidR="006B40EB" w:rsidRPr="000F1BB6" w:rsidRDefault="006B40EB" w:rsidP="00335FC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الذكاء العاطفي والاجتماعي</w:t>
            </w:r>
          </w:p>
        </w:tc>
        <w:tc>
          <w:tcPr>
            <w:tcW w:w="0" w:type="auto"/>
            <w:vAlign w:val="center"/>
            <w:hideMark/>
          </w:tcPr>
          <w:p w14:paraId="1E4ED263" w14:textId="77777777" w:rsidR="006B40EB" w:rsidRPr="00060E62" w:rsidRDefault="006B40EB" w:rsidP="00335FC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tl/>
              </w:rPr>
            </w:pPr>
            <w:r w:rsidRPr="00060E62">
              <w:rPr>
                <w:rFonts w:ascii="Times New Roman" w:eastAsia="Calibri" w:hAnsi="Times New Roman" w:cs="Simplified Arabic"/>
                <w:sz w:val="20"/>
                <w:szCs w:val="24"/>
                <w:rtl/>
              </w:rPr>
              <w:t>القدرة على فهم وإدارة العواطف الشخصية، والتعاطف مع الآخرين، وبناء علاقات قوية ومبنية على الثقة مع أصحاب المصلحة.</w:t>
            </w:r>
          </w:p>
        </w:tc>
      </w:tr>
      <w:tr w:rsidR="006B40EB" w:rsidRPr="000F1BB6" w14:paraId="311F4475" w14:textId="77777777" w:rsidTr="004B2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04E955" w14:textId="77777777" w:rsidR="006B40EB" w:rsidRPr="000F1BB6" w:rsidRDefault="006B40EB" w:rsidP="00335FC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الشجاعة الأخلاقية</w:t>
            </w:r>
          </w:p>
        </w:tc>
        <w:tc>
          <w:tcPr>
            <w:tcW w:w="0" w:type="auto"/>
            <w:vAlign w:val="center"/>
            <w:hideMark/>
          </w:tcPr>
          <w:p w14:paraId="2F7831E7" w14:textId="77777777" w:rsidR="006B40EB" w:rsidRPr="00060E62" w:rsidRDefault="006B40EB" w:rsidP="00335FC1">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tl/>
              </w:rPr>
            </w:pPr>
            <w:r w:rsidRPr="00060E62">
              <w:rPr>
                <w:rFonts w:ascii="Times New Roman" w:eastAsia="Calibri" w:hAnsi="Times New Roman" w:cs="Simplified Arabic"/>
                <w:sz w:val="20"/>
                <w:szCs w:val="24"/>
                <w:rtl/>
              </w:rPr>
              <w:t>الاستعداد لاتخاذ قرارات صعبة ومبدئية حتى لو كانت لا تحظى بشعبية على المدى القصير، والالتزام بالشفافية والمساءلة.</w:t>
            </w:r>
          </w:p>
        </w:tc>
      </w:tr>
      <w:tr w:rsidR="006B40EB" w:rsidRPr="000F1BB6" w14:paraId="7035E293" w14:textId="77777777" w:rsidTr="004B2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9218AB" w14:textId="77777777" w:rsidR="006B40EB" w:rsidRPr="000F1BB6" w:rsidRDefault="006B40EB" w:rsidP="00335FC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القدرة على الإلهام والتمكين</w:t>
            </w:r>
          </w:p>
        </w:tc>
        <w:tc>
          <w:tcPr>
            <w:tcW w:w="0" w:type="auto"/>
            <w:vAlign w:val="center"/>
            <w:hideMark/>
          </w:tcPr>
          <w:p w14:paraId="5AC91BA1" w14:textId="77777777" w:rsidR="006B40EB" w:rsidRPr="00060E62" w:rsidRDefault="006B40EB" w:rsidP="00335FC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rtl/>
              </w:rPr>
            </w:pPr>
            <w:r w:rsidRPr="00060E62">
              <w:rPr>
                <w:rFonts w:ascii="Times New Roman" w:eastAsia="Calibri" w:hAnsi="Times New Roman" w:cs="Simplified Arabic"/>
                <w:sz w:val="20"/>
                <w:szCs w:val="24"/>
                <w:rtl/>
              </w:rPr>
              <w:t>إلهام الموظفين وحشدهم حول رؤية الاستدامة، وتمكينهم من خلال تفويض السلطة وتشجيع المبادرة والابتكار.</w:t>
            </w:r>
          </w:p>
        </w:tc>
      </w:tr>
    </w:tbl>
    <w:p w14:paraId="5E42219A" w14:textId="77777777" w:rsidR="006B40EB" w:rsidRPr="000F1BB6" w:rsidRDefault="006B40EB" w:rsidP="000F1BB6">
      <w:pPr>
        <w:spacing w:after="0" w:line="276" w:lineRule="auto"/>
        <w:jc w:val="center"/>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المصدر: من إعداد الباحث، بناءً على (</w:t>
      </w:r>
      <w:r w:rsidRPr="000F1BB6">
        <w:rPr>
          <w:rFonts w:ascii="Times New Roman" w:eastAsia="Calibri" w:hAnsi="Times New Roman" w:cs="Simplified Arabic"/>
          <w:b/>
          <w:bCs/>
          <w:sz w:val="20"/>
          <w:szCs w:val="24"/>
        </w:rPr>
        <w:t>Iqbal et al., 2023; Hallinger and Kovačević, 2023</w:t>
      </w:r>
      <w:r w:rsidRPr="000F1BB6">
        <w:rPr>
          <w:rFonts w:ascii="Times New Roman" w:eastAsia="Calibri" w:hAnsi="Times New Roman" w:cs="Simplified Arabic"/>
          <w:b/>
          <w:bCs/>
          <w:sz w:val="20"/>
          <w:szCs w:val="24"/>
          <w:rtl/>
        </w:rPr>
        <w:t>).</w:t>
      </w:r>
    </w:p>
    <w:p w14:paraId="2A10090F"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tl/>
        </w:rPr>
      </w:pPr>
      <w:r w:rsidRPr="006B40EB">
        <w:rPr>
          <w:rFonts w:ascii="Times New Roman" w:eastAsia="Calibri" w:hAnsi="Times New Roman" w:cs="Simplified Arabic"/>
          <w:sz w:val="24"/>
          <w:szCs w:val="28"/>
          <w:rtl/>
        </w:rPr>
        <w:t>يُستخلص من الجدول (1) أن القيادة المستدامة لا تقتصر على المهارات الفنية التقليدية، بل تمثل نموذجاً إدارياً متكاملاً يرتكز على البعد الأخلاقي والاستشرافي. إن تداخل هذه الخصائص يشير إلى أن القائد المستدام يعمل كـ "مهندس للأنظمة"؛ حيث يربط بين الأهداف الربحية للمنظمة والمسؤولية تجاه البيئة والمجتمع.</w:t>
      </w:r>
    </w:p>
    <w:p w14:paraId="44383E72"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ومن الناحية التحليلية، نجد أن الشجاعة الأخلاقية والرؤية طويلة الأمد تمثلان صمام الأمان لمواجهة ضغوط السوق المتقلبة، بينما يعمل الذكاء العاطفي والتمكين كمحركات أساسية لخلق ثقافة تنظيمية تدعم الابتكار المستدام. وبناءً على ذلك، فإن توفر هذه الخصائص مجتمعة يُعد شرطاً أساسياً لتحويل المنظمات من النمط التقليدي إلى النمط المستدام القادر على الصمود في ظل التحديات العالمية الراهنة.</w:t>
      </w:r>
    </w:p>
    <w:p w14:paraId="3CC06585" w14:textId="7F424530" w:rsidR="006B40EB" w:rsidRPr="006B40EB" w:rsidRDefault="006B40EB" w:rsidP="006B40EB">
      <w:pPr>
        <w:numPr>
          <w:ilvl w:val="0"/>
          <w:numId w:val="64"/>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أهمية القيادة المستدامة: </w:t>
      </w:r>
      <w:r w:rsidRPr="006B40EB">
        <w:rPr>
          <w:rFonts w:ascii="Times New Roman" w:eastAsia="Calibri" w:hAnsi="Times New Roman" w:cs="Simplified Arabic"/>
          <w:sz w:val="24"/>
          <w:szCs w:val="28"/>
          <w:rtl/>
        </w:rPr>
        <w:t xml:space="preserve">إن تبني هذا النمط القيادي يعود على المنظمة بفوائد استراتيجية جمة، منها: تعزيز السمعة المؤسسية، وزيادة القدرة على جذب واستبقاء المواهب، وتحسين إدارة المخاطر (خاصة البيئية والاجتماعية)، وفتح أسواق جديدة، وتعزيز الابتكار، وتحقيق ميزة </w:t>
      </w:r>
      <w:r w:rsidR="00060E62" w:rsidRPr="00060E62">
        <w:rPr>
          <w:rFonts w:ascii="Times New Roman" w:eastAsia="Calibri" w:hAnsi="Times New Roman" w:cs="Simplified Arabic"/>
          <w:sz w:val="24"/>
          <w:szCs w:val="28"/>
          <w:rtl/>
        </w:rPr>
        <w:t>تنافسية مستدامة (</w:t>
      </w:r>
      <w:proofErr w:type="spellStart"/>
      <w:r w:rsidR="00060E62" w:rsidRPr="00060E62">
        <w:rPr>
          <w:rFonts w:ascii="Times New Roman" w:eastAsia="Calibri" w:hAnsi="Times New Roman" w:cs="Simplified Arabic"/>
          <w:sz w:val="24"/>
          <w:szCs w:val="28"/>
        </w:rPr>
        <w:t>Schaltegger</w:t>
      </w:r>
      <w:proofErr w:type="spellEnd"/>
      <w:r w:rsidR="00060E62" w:rsidRPr="00060E62">
        <w:rPr>
          <w:rFonts w:ascii="Times New Roman" w:eastAsia="Calibri" w:hAnsi="Times New Roman" w:cs="Simplified Arabic"/>
          <w:sz w:val="24"/>
          <w:szCs w:val="28"/>
        </w:rPr>
        <w:t xml:space="preserve"> and Wagner, 2020, p. 225</w:t>
      </w:r>
      <w:r w:rsidR="00060E62" w:rsidRPr="00060E62">
        <w:rPr>
          <w:rFonts w:ascii="Times New Roman" w:eastAsia="Calibri" w:hAnsi="Times New Roman" w:cs="Simplified Arabic"/>
          <w:sz w:val="24"/>
          <w:szCs w:val="28"/>
          <w:rtl/>
        </w:rPr>
        <w:t>؛ الشريف والمالكي، 2023، ص. 15).</w:t>
      </w:r>
    </w:p>
    <w:p w14:paraId="3C036B72"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تحليل الباحث: </w:t>
      </w:r>
      <w:r w:rsidRPr="006B40EB">
        <w:rPr>
          <w:rFonts w:ascii="Times New Roman" w:eastAsia="Calibri" w:hAnsi="Times New Roman" w:cs="Simplified Arabic"/>
          <w:sz w:val="24"/>
          <w:szCs w:val="28"/>
          <w:rtl/>
        </w:rPr>
        <w:t>إن الخصائص المذكورة لا تُعد مجرد سمات شخصية، بل هي كفاءات يمكن تطويرها. وبالنسبة لشركات المقاولات اليمنية، فإن وجود قادة يمتلكون تفكيراً شمولياً ورؤية طويلة الأمد يُعد أمراً حاسماً، حيث يمكنهم من رؤية مشاريع البناء ليس ككيانات مادية منفصلة، بل كجزء من نسيج حضري وبيئي متكامل، مما يؤدي إلى قرارات تصميم وإنشاء أكثر مسؤولية واستدامة.</w:t>
      </w:r>
    </w:p>
    <w:p w14:paraId="6A3DBCDE"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رابعاً: تحليل معمق لأبعاد القيادة المستدامة</w:t>
      </w:r>
    </w:p>
    <w:p w14:paraId="5D83834A"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لفهم القيادة المستدامة بشكل كامل، لا بد من تحليل أبعادها المكونة لها، والتي تمثل مجالات الممارسة الرئيسية للقائد المستدام:</w:t>
      </w:r>
    </w:p>
    <w:p w14:paraId="19508447" w14:textId="77777777" w:rsidR="006B40EB" w:rsidRPr="006B40EB" w:rsidRDefault="006B40EB" w:rsidP="006B40EB">
      <w:pPr>
        <w:numPr>
          <w:ilvl w:val="0"/>
          <w:numId w:val="65"/>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الرؤية طويلة الأمد: </w:t>
      </w:r>
      <w:r w:rsidRPr="006B40EB">
        <w:rPr>
          <w:rFonts w:ascii="Times New Roman" w:eastAsia="Calibri" w:hAnsi="Times New Roman" w:cs="Simplified Arabic"/>
          <w:sz w:val="24"/>
          <w:szCs w:val="28"/>
          <w:rtl/>
        </w:rPr>
        <w:t xml:space="preserve">لا تقتصر هذه الرؤية على التخطيط المالي لسنوات قادمة، بل تشمل تصوراً لمستقبل تكون فيه المنظمة مزدهرة اقتصادياً ومساهمة بشكل إيجابي في المجتمع والبيئة. فالقائد المستدام يعمل على غرس هذه الرؤية في ثقافة المنظمة لتصبح البوصلة التي توجه كافة القرارات </w:t>
      </w:r>
      <w:r w:rsidRPr="006B40EB">
        <w:rPr>
          <w:rFonts w:ascii="Times New Roman" w:eastAsia="Calibri" w:hAnsi="Times New Roman" w:cs="Simplified Arabic"/>
          <w:sz w:val="24"/>
          <w:szCs w:val="28"/>
        </w:rPr>
        <w:t>(García-Morales et al., 2024, p. 1236)</w:t>
      </w:r>
      <w:r w:rsidRPr="006B40EB">
        <w:rPr>
          <w:rFonts w:ascii="Times New Roman" w:eastAsia="Calibri" w:hAnsi="Times New Roman" w:cs="Simplified Arabic"/>
          <w:sz w:val="24"/>
          <w:szCs w:val="28"/>
          <w:rtl/>
        </w:rPr>
        <w:t>.</w:t>
      </w:r>
    </w:p>
    <w:p w14:paraId="40EF5BD4" w14:textId="5E39831F" w:rsidR="006B40EB" w:rsidRPr="006B40EB" w:rsidRDefault="006B40EB" w:rsidP="006B40EB">
      <w:pPr>
        <w:numPr>
          <w:ilvl w:val="0"/>
          <w:numId w:val="65"/>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المسؤولية البيئية: </w:t>
      </w:r>
      <w:r w:rsidRPr="006B40EB">
        <w:rPr>
          <w:rFonts w:ascii="Times New Roman" w:eastAsia="Calibri" w:hAnsi="Times New Roman" w:cs="Simplified Arabic"/>
          <w:sz w:val="24"/>
          <w:szCs w:val="28"/>
          <w:rtl/>
        </w:rPr>
        <w:t xml:space="preserve">يتجاوز هذا البعد مجرد الامتثال للقوانين البيئية، ليصل إلى تبني نهج استباقي </w:t>
      </w:r>
      <w:r w:rsidR="00F55E41" w:rsidRPr="00F55E41">
        <w:rPr>
          <w:rFonts w:ascii="Times New Roman" w:eastAsia="Calibri" w:hAnsi="Times New Roman" w:cs="Simplified Arabic"/>
          <w:sz w:val="24"/>
          <w:szCs w:val="28"/>
          <w:rtl/>
        </w:rPr>
        <w:t>يهدف إلى تقليل البصمة البيئية للمنظمة. ويشمل ذلك السعي لتقليل استهلاك الموارد، وإدارة النفايات بكفاءة، والاستثمار في التكنولوجيا النظيفة (</w:t>
      </w:r>
      <w:r w:rsidR="00F55E41" w:rsidRPr="00F55E41">
        <w:rPr>
          <w:rFonts w:ascii="Times New Roman" w:eastAsia="Calibri" w:hAnsi="Times New Roman" w:cs="Simplified Arabic"/>
          <w:sz w:val="24"/>
          <w:szCs w:val="28"/>
        </w:rPr>
        <w:t>Nisar et al., 2025, p. 507</w:t>
      </w:r>
      <w:r w:rsidR="00F55E41" w:rsidRPr="00F55E41">
        <w:rPr>
          <w:rFonts w:ascii="Times New Roman" w:eastAsia="Calibri" w:hAnsi="Times New Roman" w:cs="Simplified Arabic"/>
          <w:sz w:val="24"/>
          <w:szCs w:val="28"/>
          <w:rtl/>
        </w:rPr>
        <w:t>).</w:t>
      </w:r>
    </w:p>
    <w:p w14:paraId="39A2AB28" w14:textId="5BEC9D06" w:rsidR="006B40EB" w:rsidRPr="006B40EB" w:rsidRDefault="006B40EB" w:rsidP="006B40EB">
      <w:pPr>
        <w:numPr>
          <w:ilvl w:val="0"/>
          <w:numId w:val="65"/>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المسؤولية الاجتماعية والأخلاقية: </w:t>
      </w:r>
      <w:r w:rsidRPr="006B40EB">
        <w:rPr>
          <w:rFonts w:ascii="Times New Roman" w:eastAsia="Calibri" w:hAnsi="Times New Roman" w:cs="Simplified Arabic"/>
          <w:sz w:val="24"/>
          <w:szCs w:val="28"/>
          <w:rtl/>
        </w:rPr>
        <w:t xml:space="preserve">يركز هذا البعد على التزام القائد تجاه أصحاب المصلحة الداخليين (الموظفين) والخارجيين (المجتمع). داخلياً، يتمثل ذلك في توفير بيئة عمل آمنة وعادلة ومنصفة. وخارجياً، يشمل المساهمة في تنمية المجتمع المحلي والالتزام بأعلى المعايير الأخلاقية في التعامل مع العملاء والموردين </w:t>
      </w:r>
      <w:r w:rsidRPr="006B40EB">
        <w:rPr>
          <w:rFonts w:ascii="Times New Roman" w:eastAsia="Calibri" w:hAnsi="Times New Roman" w:cs="Simplified Arabic"/>
          <w:sz w:val="24"/>
          <w:szCs w:val="28"/>
        </w:rPr>
        <w:t>(Iqbal et al., 2023)</w:t>
      </w:r>
      <w:r w:rsidRPr="006B40EB">
        <w:rPr>
          <w:rFonts w:ascii="Times New Roman" w:eastAsia="Calibri" w:hAnsi="Times New Roman" w:cs="Simplified Arabic"/>
          <w:sz w:val="24"/>
          <w:szCs w:val="28"/>
          <w:rtl/>
        </w:rPr>
        <w:t>.</w:t>
      </w:r>
    </w:p>
    <w:p w14:paraId="308D00E3" w14:textId="60410530" w:rsidR="006B40EB" w:rsidRPr="006B40EB" w:rsidRDefault="006B40EB" w:rsidP="006B40EB">
      <w:pPr>
        <w:numPr>
          <w:ilvl w:val="0"/>
          <w:numId w:val="65"/>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تنمية وتمكين الموظفين: </w:t>
      </w:r>
      <w:r w:rsidRPr="006B40EB">
        <w:rPr>
          <w:rFonts w:ascii="Times New Roman" w:eastAsia="Calibri" w:hAnsi="Times New Roman" w:cs="Simplified Arabic"/>
          <w:sz w:val="24"/>
          <w:szCs w:val="28"/>
          <w:rtl/>
        </w:rPr>
        <w:t xml:space="preserve">يدرك القائد المستدام أن الموظفين هم المحرك الرئيسي لتحقيق أهداف الاستدامة. لذا، يستثمر في تطوير مهاراتهم ومعارفهم، ويخلق بيئة عمل تشجع على المشاركة والمبادرة، </w:t>
      </w:r>
      <w:r w:rsidR="00060E62" w:rsidRPr="00060E62">
        <w:rPr>
          <w:rFonts w:ascii="Times New Roman" w:eastAsia="Calibri" w:hAnsi="Times New Roman" w:cs="Simplified Arabic"/>
          <w:sz w:val="24"/>
          <w:szCs w:val="28"/>
          <w:rtl/>
        </w:rPr>
        <w:t>ويمكنهم من دمج ممارسات الاستدامة في مهامهم اليومية (</w:t>
      </w:r>
      <w:proofErr w:type="spellStart"/>
      <w:r w:rsidR="00060E62" w:rsidRPr="00060E62">
        <w:rPr>
          <w:rFonts w:ascii="Times New Roman" w:eastAsia="Calibri" w:hAnsi="Times New Roman" w:cs="Simplified Arabic"/>
          <w:sz w:val="24"/>
          <w:szCs w:val="28"/>
        </w:rPr>
        <w:t>Tuzcu</w:t>
      </w:r>
      <w:proofErr w:type="spellEnd"/>
      <w:r w:rsidR="00060E62" w:rsidRPr="00060E62">
        <w:rPr>
          <w:rFonts w:ascii="Times New Roman" w:eastAsia="Calibri" w:hAnsi="Times New Roman" w:cs="Simplified Arabic"/>
          <w:sz w:val="24"/>
          <w:szCs w:val="28"/>
        </w:rPr>
        <w:t xml:space="preserve"> et al., 2024, p. 4993</w:t>
      </w:r>
      <w:r w:rsidR="00060E62" w:rsidRPr="00060E62">
        <w:rPr>
          <w:rFonts w:ascii="Times New Roman" w:eastAsia="Calibri" w:hAnsi="Times New Roman" w:cs="Simplified Arabic"/>
          <w:sz w:val="24"/>
          <w:szCs w:val="28"/>
          <w:rtl/>
        </w:rPr>
        <w:t>).</w:t>
      </w:r>
    </w:p>
    <w:p w14:paraId="2C67D8C3" w14:textId="77777777" w:rsidR="006B40EB" w:rsidRPr="006B40EB" w:rsidRDefault="006B40EB" w:rsidP="006B40EB">
      <w:pPr>
        <w:numPr>
          <w:ilvl w:val="0"/>
          <w:numId w:val="65"/>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إشراك أصحاب المصلحة: </w:t>
      </w:r>
      <w:r w:rsidRPr="006B40EB">
        <w:rPr>
          <w:rFonts w:ascii="Times New Roman" w:eastAsia="Calibri" w:hAnsi="Times New Roman" w:cs="Simplified Arabic"/>
          <w:sz w:val="24"/>
          <w:szCs w:val="28"/>
          <w:rtl/>
        </w:rPr>
        <w:t xml:space="preserve">بدلاً من اتخاذ القرارات بشكل منعزل، يسعى القائد المستدام إلى بناء حوار مفتوح وعلاقات شراكة مع جميع أصحاب المصلحة. وهذا النهج التشاركي يضمن أن قرارات المنظمة تأخذ في الاعتبار توقعات واهتمامات الأطراف المختلفة، مما يزيد من قبولها ونجاحها </w:t>
      </w:r>
      <w:r w:rsidRPr="006B40EB">
        <w:rPr>
          <w:rFonts w:ascii="Times New Roman" w:eastAsia="Calibri" w:hAnsi="Times New Roman" w:cs="Simplified Arabic"/>
          <w:sz w:val="24"/>
          <w:szCs w:val="28"/>
        </w:rPr>
        <w:t>(Khan and Mahmood, 2024, p. 1237)</w:t>
      </w:r>
      <w:r w:rsidRPr="006B40EB">
        <w:rPr>
          <w:rFonts w:ascii="Times New Roman" w:eastAsia="Calibri" w:hAnsi="Times New Roman" w:cs="Simplified Arabic"/>
          <w:sz w:val="24"/>
          <w:szCs w:val="28"/>
          <w:rtl/>
        </w:rPr>
        <w:t>.</w:t>
      </w:r>
    </w:p>
    <w:p w14:paraId="26F37194" w14:textId="77777777" w:rsidR="006B40EB" w:rsidRPr="006B40EB" w:rsidRDefault="006B40EB" w:rsidP="006B40EB">
      <w:pPr>
        <w:numPr>
          <w:ilvl w:val="0"/>
          <w:numId w:val="65"/>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الابتكار والجودة: </w:t>
      </w:r>
      <w:r w:rsidRPr="006B40EB">
        <w:rPr>
          <w:rFonts w:ascii="Times New Roman" w:eastAsia="Calibri" w:hAnsi="Times New Roman" w:cs="Simplified Arabic"/>
          <w:sz w:val="24"/>
          <w:szCs w:val="28"/>
          <w:rtl/>
        </w:rPr>
        <w:t xml:space="preserve">يُعد الابتكار محركاً أساسياً للاستدامة، حيث يشجع القادة على البحث عن طرق جديدة وأكثر كفاءة لإنتاج السلع وتقديم الخدمات، بما يقلل من التكاليف والأثر البيئي ويرفع من الجودة في آن واحد </w:t>
      </w:r>
      <w:r w:rsidRPr="006B40EB">
        <w:rPr>
          <w:rFonts w:ascii="Times New Roman" w:eastAsia="Calibri" w:hAnsi="Times New Roman" w:cs="Simplified Arabic"/>
          <w:sz w:val="24"/>
          <w:szCs w:val="28"/>
        </w:rPr>
        <w:t>(Lehtimäki et al., 2025, p. 5)</w:t>
      </w:r>
      <w:r w:rsidRPr="006B40EB">
        <w:rPr>
          <w:rFonts w:ascii="Times New Roman" w:eastAsia="Calibri" w:hAnsi="Times New Roman" w:cs="Simplified Arabic"/>
          <w:sz w:val="24"/>
          <w:szCs w:val="28"/>
          <w:rtl/>
        </w:rPr>
        <w:t>.</w:t>
      </w:r>
    </w:p>
    <w:p w14:paraId="64591234"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تتكامل هذه الأبعاد لتشكل إطار عمل متماسكاً للقيادة المستدامة. فلا يمكن تحقيق مسؤولية بيئية حقيقية (البعد الثاني) دون وجود رؤية طويلة الأمد توجهها (البعد الأول)، وموظفين ممكنين لتنفيذها (البعد الرابع)، وابتكار يدعمها (البعد السادس). وهذا التكامل هو ما يمنح هذا النمط القيادي قوته وقدرته على إحداث تغيير حقيقي ومستدام.</w:t>
      </w:r>
    </w:p>
    <w:p w14:paraId="481C541E"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خامساً: نماذج تطبيق وقياس القيادة المستدامة</w:t>
      </w:r>
    </w:p>
    <w:p w14:paraId="01D3ED13"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سعى العديد من الباحثين إلى وضع نماذج لتأطير ممارسات القيادة المستدامة. ولعل من أبرزها نموذج </w:t>
      </w:r>
      <w:r w:rsidRPr="006B40EB">
        <w:rPr>
          <w:rFonts w:ascii="Times New Roman" w:eastAsia="Calibri" w:hAnsi="Times New Roman" w:cs="Simplified Arabic"/>
          <w:sz w:val="24"/>
          <w:szCs w:val="28"/>
        </w:rPr>
        <w:t xml:space="preserve">(Avery and </w:t>
      </w:r>
      <w:proofErr w:type="spellStart"/>
      <w:r w:rsidRPr="006B40EB">
        <w:rPr>
          <w:rFonts w:ascii="Times New Roman" w:eastAsia="Calibri" w:hAnsi="Times New Roman" w:cs="Simplified Arabic"/>
          <w:sz w:val="24"/>
          <w:szCs w:val="28"/>
        </w:rPr>
        <w:t>Bergsteiner</w:t>
      </w:r>
      <w:proofErr w:type="spellEnd"/>
      <w:r w:rsidRPr="006B40EB">
        <w:rPr>
          <w:rFonts w:ascii="Times New Roman" w:eastAsia="Calibri" w:hAnsi="Times New Roman" w:cs="Simplified Arabic"/>
          <w:sz w:val="24"/>
          <w:szCs w:val="28"/>
        </w:rPr>
        <w:t>)</w:t>
      </w:r>
      <w:r w:rsidRPr="006B40EB">
        <w:rPr>
          <w:rFonts w:ascii="Times New Roman" w:eastAsia="Calibri" w:hAnsi="Times New Roman" w:cs="Simplified Arabic"/>
          <w:sz w:val="24"/>
          <w:szCs w:val="28"/>
          <w:rtl/>
        </w:rPr>
        <w:t xml:space="preserve"> الذي لا يزال يستشهد به في الأدبيات الحديثة كنموذج تأسيسي (عيد، 2022). يقوم هذا النموذج على فكرة أن الممارسات المستدامة تؤدي إلى أداء متفوق على المدى الطويل. ويحدد النموذج (23) ممارسة رئيسية، موزعة على مستويات مختلفة تبدأ من تطوير رأس المال البشري وصولاً إلى تحقيق الاستدامة طويلة الأمد.</w:t>
      </w:r>
    </w:p>
    <w:p w14:paraId="23436C2B"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أما من حيث القياس، فقد تم تطوير العديد من المقاييس الكمية لتقييم مدى ممارسة القادة لسلوكيات القيادة المستدامة، والتي تعتمد غالباً على استبيانات موجهة للموظفين لتقييم قادتهم بناءً على الأبعاد المختلفة للمفهوم </w:t>
      </w:r>
      <w:r w:rsidRPr="006B40EB">
        <w:rPr>
          <w:rFonts w:ascii="Times New Roman" w:eastAsia="Calibri" w:hAnsi="Times New Roman" w:cs="Simplified Arabic"/>
          <w:sz w:val="24"/>
          <w:szCs w:val="28"/>
        </w:rPr>
        <w:t>(Stanescu and Tinca, 2023, p. 7)</w:t>
      </w:r>
      <w:r w:rsidRPr="006B40EB">
        <w:rPr>
          <w:rFonts w:ascii="Times New Roman" w:eastAsia="Calibri" w:hAnsi="Times New Roman" w:cs="Simplified Arabic"/>
          <w:sz w:val="24"/>
          <w:szCs w:val="28"/>
          <w:rtl/>
        </w:rPr>
        <w:t>.</w:t>
      </w:r>
    </w:p>
    <w:p w14:paraId="6C997925"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ومع ذلك، يواجه تطبيق القيادة المستدامة تحديات جمة، أبرزها: ضغوط تحقيق أرباح سريعة، ومقاومة التغيير داخل المنظمة، ونقص الوعي والمعرفة بأهمية الاستدامة، بالإضافة إلى ضعف الأطر التشريعية الداعمة في بعض الدول (عبد القادر والجبوري، 2020، ص. 315).</w:t>
      </w:r>
    </w:p>
    <w:p w14:paraId="56C9843D"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تحليل الباحث: </w:t>
      </w:r>
      <w:r w:rsidRPr="006B40EB">
        <w:rPr>
          <w:rFonts w:ascii="Times New Roman" w:eastAsia="Calibri" w:hAnsi="Times New Roman" w:cs="Simplified Arabic"/>
          <w:sz w:val="24"/>
          <w:szCs w:val="28"/>
          <w:rtl/>
        </w:rPr>
        <w:t>تقدم النماذج النظرية خارطة طريق عملية للمنظمات الساعية نحو الاستدامة. ولكن، يجب التأكيد على أن التطبيق الناجح لهذه النماذج في قطاع المقاولات اليمني يتطلب تكييفاً واعياً للسياق المحلي. فالتحديات الاقتصادية والأمنية قد تفرض أولويات مختلفة، مما يستدعي من القادة حكمة في الموازنة بين المثالية والواقعية، والبدء بالممارسات التي تحقق "مكاسب سريعة" في مجال الاستدامة لبناء الزخم والثقة قبل الانتقال إلى مبادرات أكثر تعقيداً وتكلفة.</w:t>
      </w:r>
    </w:p>
    <w:p w14:paraId="0BE3057C"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p>
    <w:p w14:paraId="1F561A0D" w14:textId="20B6E006" w:rsidR="006B40EB" w:rsidRPr="00445A1F" w:rsidRDefault="006B40EB" w:rsidP="00445A1F">
      <w:pPr>
        <w:spacing w:after="240" w:line="276" w:lineRule="auto"/>
        <w:ind w:firstLine="510"/>
        <w:jc w:val="center"/>
        <w:rPr>
          <w:rFonts w:ascii="Times New Roman" w:eastAsia="Calibri" w:hAnsi="Times New Roman" w:cs="Simplified Arabic"/>
          <w:b/>
          <w:bCs/>
          <w:sz w:val="28"/>
          <w:szCs w:val="32"/>
        </w:rPr>
      </w:pPr>
      <w:r w:rsidRPr="00445A1F">
        <w:rPr>
          <w:rFonts w:ascii="Times New Roman" w:eastAsia="Calibri" w:hAnsi="Times New Roman" w:cs="Simplified Arabic"/>
          <w:b/>
          <w:bCs/>
          <w:sz w:val="28"/>
          <w:szCs w:val="32"/>
          <w:rtl/>
        </w:rPr>
        <w:t>المبحث الثاني: الأداء التنظيمي الأخضر</w:t>
      </w:r>
    </w:p>
    <w:p w14:paraId="45321A72" w14:textId="22BCFAEE"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يركز هذا المبحث على المتغير التابع "الأداء التنظيمي الأخضر"، حيث يقدم تأصيلاً شاملاً للمفهوم، ويحلل أبعاده المختلفة، ويستعرض النظريات التي تفسر دوافع تبنيه، والمؤشرات المستخدمة في قياسه، والتحديات التي تواجه المنظمات في سبيل تحقيقه.</w:t>
      </w:r>
    </w:p>
    <w:p w14:paraId="2E2D6A52"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أولاً: مدخل إلى الأداء التنظيمي الأخضر</w:t>
      </w:r>
    </w:p>
    <w:p w14:paraId="1F549CA4" w14:textId="58C6DA8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شهدت العقود </w:t>
      </w:r>
      <w:r w:rsidR="004B2971" w:rsidRPr="004B2971">
        <w:rPr>
          <w:rFonts w:ascii="Times New Roman" w:eastAsia="Calibri" w:hAnsi="Times New Roman" w:cs="Simplified Arabic"/>
          <w:sz w:val="24"/>
          <w:szCs w:val="28"/>
          <w:rtl/>
        </w:rPr>
        <w:t>الأخيرة تحولاً جوهرياً في نظرة المنظمات إلى مسؤولياتها البيئية، حيث انتقلت من مجرد الامتثال التفاعلي للتشريعات إلى تبني نهج استباقي يرى في الإدارة البيئية مصدراً للقيمة والميزة التنافسية. وفي قلب هذا التحول يقع مفهوم "الأداء التنظيمي الأخضر"، الذي برز كمقياس رئيسي لمدى نجاح المنظمات في دمج الاستدامة البيئية ضمن استراتيجياتها وعملياتها (</w:t>
      </w:r>
      <w:proofErr w:type="spellStart"/>
      <w:r w:rsidR="004B2971" w:rsidRPr="004B2971">
        <w:rPr>
          <w:rFonts w:ascii="Times New Roman" w:eastAsia="Calibri" w:hAnsi="Times New Roman" w:cs="Simplified Arabic"/>
          <w:sz w:val="24"/>
          <w:szCs w:val="28"/>
        </w:rPr>
        <w:t>Afum</w:t>
      </w:r>
      <w:proofErr w:type="spellEnd"/>
      <w:r w:rsidR="004B2971" w:rsidRPr="004B2971">
        <w:rPr>
          <w:rFonts w:ascii="Times New Roman" w:eastAsia="Calibri" w:hAnsi="Times New Roman" w:cs="Simplified Arabic"/>
          <w:sz w:val="24"/>
          <w:szCs w:val="28"/>
        </w:rPr>
        <w:t xml:space="preserve"> et al., 2020, p. 2</w:t>
      </w:r>
      <w:r w:rsidR="004B2971" w:rsidRPr="004B2971">
        <w:rPr>
          <w:rFonts w:ascii="Times New Roman" w:eastAsia="Calibri" w:hAnsi="Times New Roman" w:cs="Simplified Arabic"/>
          <w:sz w:val="24"/>
          <w:szCs w:val="28"/>
          <w:rtl/>
        </w:rPr>
        <w:t>). فتاريخياً، كان يُنظر إلى الأداء البيئي على أنه تكلفة إضافية، إلاّ أن الفكر الإداري المعاصر أثبت أن تحسين هذا الأداء يمكن أن يؤدي إلى خفض التكاليف من خلال زيادة كفاءة الموارد، وتعزيز الابتكار، وتحسين صورة المنظمة (</w:t>
      </w:r>
      <w:r w:rsidR="004B2971" w:rsidRPr="004B2971">
        <w:rPr>
          <w:rFonts w:ascii="Times New Roman" w:eastAsia="Calibri" w:hAnsi="Times New Roman" w:cs="Simplified Arabic"/>
          <w:sz w:val="24"/>
          <w:szCs w:val="28"/>
        </w:rPr>
        <w:t>Singh et al., 2020, p. 3</w:t>
      </w:r>
      <w:r w:rsidR="004B2971" w:rsidRPr="004B2971">
        <w:rPr>
          <w:rFonts w:ascii="Times New Roman" w:eastAsia="Calibri" w:hAnsi="Times New Roman" w:cs="Simplified Arabic"/>
          <w:sz w:val="24"/>
          <w:szCs w:val="28"/>
          <w:rtl/>
        </w:rPr>
        <w:t>).</w:t>
      </w:r>
    </w:p>
    <w:p w14:paraId="0C09F2AF"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ويُعرّف الأداء التنظيمي الأخضر بأنه: "النتائج البيئية للمنظمة المتعلقة بإدارة عملياتها ومنتجاتها وخدماتها، والتي تهدف إلى تقليل التأثيرات البيئية الضارة وزيادة التأثيرات الإيجابية</w:t>
      </w:r>
      <w:r w:rsidRPr="006B40EB">
        <w:rPr>
          <w:rFonts w:ascii="Times New Roman" w:eastAsia="Calibri" w:hAnsi="Times New Roman" w:cs="Simplified Arabic"/>
          <w:sz w:val="24"/>
          <w:szCs w:val="28"/>
        </w:rPr>
        <w:t>" (Li et al., 2024, p. 3)</w:t>
      </w:r>
      <w:r w:rsidRPr="006B40EB">
        <w:rPr>
          <w:rFonts w:ascii="Times New Roman" w:eastAsia="Calibri" w:hAnsi="Times New Roman" w:cs="Simplified Arabic"/>
          <w:sz w:val="24"/>
          <w:szCs w:val="28"/>
          <w:rtl/>
        </w:rPr>
        <w:t xml:space="preserve">. وبصيغة أخرى، هو "مقياس شامل لفعالية المنظمة في تحقيق أهدافها البيئية، ويشمل ذلك كفاءة استخدام الموارد، وتقليل التلوث، وتطوير منتجات وخدمات صديقة للبيئة" (الخزرجي والجبوري، 2021، ص. 115). وتكمن أهمية السعي نحو تحقيق أداء أخضر متميز في كونه لم يُعد يمثل مجرد التزام أخلاقي، بل أصبح ضرورة استراتيجية للبقاء والنمو في أسواق عالمية </w:t>
      </w:r>
      <w:r w:rsidRPr="006B40EB">
        <w:rPr>
          <w:rFonts w:ascii="Times New Roman" w:eastAsia="Calibri" w:hAnsi="Times New Roman" w:cs="Simplified Arabic"/>
          <w:sz w:val="24"/>
          <w:szCs w:val="28"/>
          <w:rtl/>
        </w:rPr>
        <w:lastRenderedPageBreak/>
        <w:t xml:space="preserve">تتزايد فيها أهمية المعايير البيئية لدى العملاء والمستثمرين والجهات التنظيمية على حد سواء </w:t>
      </w:r>
      <w:r w:rsidRPr="006B40EB">
        <w:rPr>
          <w:rFonts w:ascii="Times New Roman" w:eastAsia="Calibri" w:hAnsi="Times New Roman" w:cs="Simplified Arabic"/>
          <w:sz w:val="24"/>
          <w:szCs w:val="28"/>
        </w:rPr>
        <w:t>(Anwar et al., 2024, p. 2)</w:t>
      </w:r>
      <w:r w:rsidRPr="006B40EB">
        <w:rPr>
          <w:rFonts w:ascii="Times New Roman" w:eastAsia="Calibri" w:hAnsi="Times New Roman" w:cs="Simplified Arabic"/>
          <w:sz w:val="24"/>
          <w:szCs w:val="28"/>
          <w:rtl/>
        </w:rPr>
        <w:t>.</w:t>
      </w:r>
    </w:p>
    <w:p w14:paraId="74AFD267"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إن مفهوم الأداء التنظيمي الأخضر يكتسب أهمية مضاعفة في سياق قطاع المقاولات اليمني. فهذا القطاع، بطبيعته، كثيف الاستهلاك للموارد وكثيف الإنتاج للنفايات. وبالتالي، فإن تبني ممارسات تعزز الأداء الأخضر لا يمثل فقط مساهمة في حماية البيئة المحلية الهشة، بل هو أيضاً مدخل أساسي لتحقيق الكفاءة التشغيلية وخفض التكاليف في ظل ظروف اقتصادية صعبة. كما أن الشركات التي تنجح في بناء سجل أداء أخضر جيد ستكون في وضع أفضل للمنافسة على مشاريع إعادة الإعمار التي قد تمولها جهات دولية تشترط الالتزام بمعايير بيئية واضحة.</w:t>
      </w:r>
    </w:p>
    <w:p w14:paraId="1827A76A"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ثانياً: المنطلقات النظرية المفسرة للأداء التنظيمي الأخضر</w:t>
      </w:r>
    </w:p>
    <w:p w14:paraId="444E59DC"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يمكن فهم دوافع المنظمات لتبني ممارسات الأداء الأخضر من خلال عدة أطر نظرية رئيسية، أبرزها:</w:t>
      </w:r>
    </w:p>
    <w:p w14:paraId="0CDA2A49" w14:textId="3F6AC04B" w:rsidR="006B40EB" w:rsidRPr="006B40EB" w:rsidRDefault="006B40EB" w:rsidP="006B40EB">
      <w:pPr>
        <w:numPr>
          <w:ilvl w:val="0"/>
          <w:numId w:val="68"/>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نظرية المنظمة القائمة على الموارد </w:t>
      </w:r>
      <w:r w:rsidRPr="006B40EB">
        <w:rPr>
          <w:rFonts w:ascii="Times New Roman" w:eastAsia="Calibri" w:hAnsi="Times New Roman" w:cs="Simplified Arabic"/>
          <w:b/>
          <w:bCs/>
          <w:sz w:val="24"/>
          <w:szCs w:val="28"/>
        </w:rPr>
        <w:t>(Resource-Based View - RBV)</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تقترح هذه النظرية </w:t>
      </w:r>
      <w:r w:rsidR="00445A1F" w:rsidRPr="00445A1F">
        <w:rPr>
          <w:rFonts w:ascii="Times New Roman" w:eastAsia="Calibri" w:hAnsi="Times New Roman" w:cs="Simplified Arabic"/>
          <w:sz w:val="24"/>
          <w:szCs w:val="28"/>
          <w:rtl/>
        </w:rPr>
        <w:t>أن الميزة التنافسية المستدامة للمنظمة تنبع من مواردها وقدراتها الفريدة التي يصعب على المنافسين تقليدها. وفي سياق الاستدامة، تُعد القدرات الخضراء - مثل: المعرفة بكيفية تصميم عمليات منخفضة الكربون، أو امتلاك تكنولوجيا نظيفة، أو بناء سلسلة إمداد خضراء - موارد استراتيجية نادرة وقيمة. فالمنظمات التي تستثمر في تطوير هذه القدرات لا تحسن أداءها البيئي فحسب، بل تبني أيضاً ميزة تنافسية يصعب محاكاتها (</w:t>
      </w:r>
      <w:r w:rsidR="00445A1F" w:rsidRPr="00445A1F">
        <w:rPr>
          <w:rFonts w:ascii="Times New Roman" w:eastAsia="Calibri" w:hAnsi="Times New Roman" w:cs="Simplified Arabic"/>
          <w:sz w:val="24"/>
          <w:szCs w:val="28"/>
        </w:rPr>
        <w:t>Fernando et al., 2019, p. 357</w:t>
      </w:r>
      <w:r w:rsidR="00445A1F" w:rsidRPr="00445A1F">
        <w:rPr>
          <w:rFonts w:ascii="Times New Roman" w:eastAsia="Calibri" w:hAnsi="Times New Roman" w:cs="Simplified Arabic"/>
          <w:sz w:val="24"/>
          <w:szCs w:val="28"/>
          <w:rtl/>
        </w:rPr>
        <w:t>).</w:t>
      </w:r>
    </w:p>
    <w:p w14:paraId="2894F26F" w14:textId="77777777" w:rsidR="006B40EB" w:rsidRPr="006B40EB" w:rsidRDefault="006B40EB" w:rsidP="006B40EB">
      <w:pPr>
        <w:numPr>
          <w:ilvl w:val="0"/>
          <w:numId w:val="68"/>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النظرية المؤسسية </w:t>
      </w:r>
      <w:r w:rsidRPr="006B40EB">
        <w:rPr>
          <w:rFonts w:ascii="Times New Roman" w:eastAsia="Calibri" w:hAnsi="Times New Roman" w:cs="Simplified Arabic"/>
          <w:b/>
          <w:bCs/>
          <w:sz w:val="24"/>
          <w:szCs w:val="28"/>
        </w:rPr>
        <w:t>(Institutional Theory)</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تفسر هذه النظرية سلوك المنظمات كرد فعل للضغوط التي تمارسها البيئة المؤسسية المحيطة بها. وتتخذ هذه الضغوط ثلاثة أشكال رئيسية: (أ) </w:t>
      </w:r>
      <w:r w:rsidRPr="006B40EB">
        <w:rPr>
          <w:rFonts w:ascii="Times New Roman" w:eastAsia="Calibri" w:hAnsi="Times New Roman" w:cs="Simplified Arabic"/>
          <w:b/>
          <w:bCs/>
          <w:sz w:val="24"/>
          <w:szCs w:val="28"/>
          <w:rtl/>
        </w:rPr>
        <w:t>الضغوط القسرية</w:t>
      </w:r>
      <w:r w:rsidRPr="006B40EB">
        <w:rPr>
          <w:rFonts w:ascii="Times New Roman" w:eastAsia="Calibri" w:hAnsi="Times New Roman" w:cs="Simplified Arabic"/>
          <w:sz w:val="24"/>
          <w:szCs w:val="28"/>
          <w:rtl/>
        </w:rPr>
        <w:t xml:space="preserve">، الناجمة عن القوانين والتشريعات الحكومية البيئية. (ب) </w:t>
      </w:r>
      <w:r w:rsidRPr="006B40EB">
        <w:rPr>
          <w:rFonts w:ascii="Times New Roman" w:eastAsia="Calibri" w:hAnsi="Times New Roman" w:cs="Simplified Arabic"/>
          <w:b/>
          <w:bCs/>
          <w:sz w:val="24"/>
          <w:szCs w:val="28"/>
          <w:rtl/>
        </w:rPr>
        <w:t>الضغوط المعيارية</w:t>
      </w:r>
      <w:r w:rsidRPr="006B40EB">
        <w:rPr>
          <w:rFonts w:ascii="Times New Roman" w:eastAsia="Calibri" w:hAnsi="Times New Roman" w:cs="Simplified Arabic"/>
          <w:sz w:val="24"/>
          <w:szCs w:val="28"/>
          <w:rtl/>
        </w:rPr>
        <w:t xml:space="preserve">، التي تنشأ من التوقعات المهنية والأخلاقية في الصناعة والمجتمع. (ج) </w:t>
      </w:r>
      <w:r w:rsidRPr="006B40EB">
        <w:rPr>
          <w:rFonts w:ascii="Times New Roman" w:eastAsia="Calibri" w:hAnsi="Times New Roman" w:cs="Simplified Arabic"/>
          <w:b/>
          <w:bCs/>
          <w:sz w:val="24"/>
          <w:szCs w:val="28"/>
          <w:rtl/>
        </w:rPr>
        <w:t>الضغوط المقلِّدة</w:t>
      </w:r>
      <w:r w:rsidRPr="006B40EB">
        <w:rPr>
          <w:rFonts w:ascii="Times New Roman" w:eastAsia="Calibri" w:hAnsi="Times New Roman" w:cs="Simplified Arabic"/>
          <w:sz w:val="24"/>
          <w:szCs w:val="28"/>
          <w:rtl/>
        </w:rPr>
        <w:t xml:space="preserve">، حيث تميل المنظمات إلى تقليد ممارسات الشركات الرائدة والناجحة في مجال الاستدامة لتكتسب الشرعية وتتجنب المخاطر </w:t>
      </w:r>
      <w:r w:rsidRPr="006B40EB">
        <w:rPr>
          <w:rFonts w:ascii="Times New Roman" w:eastAsia="Calibri" w:hAnsi="Times New Roman" w:cs="Simplified Arabic"/>
          <w:sz w:val="24"/>
          <w:szCs w:val="28"/>
        </w:rPr>
        <w:t>(Al-</w:t>
      </w:r>
      <w:proofErr w:type="spellStart"/>
      <w:r w:rsidRPr="006B40EB">
        <w:rPr>
          <w:rFonts w:ascii="Times New Roman" w:eastAsia="Calibri" w:hAnsi="Times New Roman" w:cs="Simplified Arabic"/>
          <w:sz w:val="24"/>
          <w:szCs w:val="28"/>
        </w:rPr>
        <w:t>Swidi</w:t>
      </w:r>
      <w:proofErr w:type="spellEnd"/>
      <w:r w:rsidRPr="006B40EB">
        <w:rPr>
          <w:rFonts w:ascii="Times New Roman" w:eastAsia="Calibri" w:hAnsi="Times New Roman" w:cs="Simplified Arabic"/>
          <w:sz w:val="24"/>
          <w:szCs w:val="28"/>
        </w:rPr>
        <w:t xml:space="preserve"> et al., 2022, p. 4)</w:t>
      </w:r>
      <w:r w:rsidRPr="006B40EB">
        <w:rPr>
          <w:rFonts w:ascii="Times New Roman" w:eastAsia="Calibri" w:hAnsi="Times New Roman" w:cs="Simplified Arabic"/>
          <w:sz w:val="24"/>
          <w:szCs w:val="28"/>
          <w:rtl/>
        </w:rPr>
        <w:t xml:space="preserve">. وعليه، </w:t>
      </w:r>
      <w:r w:rsidRPr="006B40EB">
        <w:rPr>
          <w:rFonts w:ascii="Times New Roman" w:eastAsia="Calibri" w:hAnsi="Times New Roman" w:cs="Simplified Arabic"/>
          <w:sz w:val="24"/>
          <w:szCs w:val="28"/>
          <w:rtl/>
        </w:rPr>
        <w:lastRenderedPageBreak/>
        <w:t>فإن تبني ممارسات الأداء الأخضر قد يكون نتيجة لهذه الضغوط الخارجية أكثر من كونه قراراً استراتيجياً داخلياً بحتاً.</w:t>
      </w:r>
    </w:p>
    <w:p w14:paraId="752563D6" w14:textId="098E3A8D" w:rsidR="006B40EB" w:rsidRPr="006B40EB" w:rsidRDefault="006B40EB" w:rsidP="006B40EB">
      <w:pPr>
        <w:numPr>
          <w:ilvl w:val="0"/>
          <w:numId w:val="68"/>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منظور التحديث البيئي </w:t>
      </w:r>
      <w:r w:rsidRPr="006B40EB">
        <w:rPr>
          <w:rFonts w:ascii="Times New Roman" w:eastAsia="Calibri" w:hAnsi="Times New Roman" w:cs="Simplified Arabic"/>
          <w:b/>
          <w:bCs/>
          <w:sz w:val="24"/>
          <w:szCs w:val="28"/>
        </w:rPr>
        <w:t>(Ecological Modernization Theory)</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يقدم هذا المنظور رؤية متفائلة، حيث يرى أن التحديات البيئية يمكن أن تكون حافزاً للابتكار والنمو الاقتصادي. فبدلاً من النظر إلى حماية البيئة والتنمية الاقتصادية كهدفين متعارضين، تقترح النظرية أن الاستثمار </w:t>
      </w:r>
      <w:r w:rsidR="00445A1F" w:rsidRPr="00445A1F">
        <w:rPr>
          <w:rFonts w:ascii="Times New Roman" w:eastAsia="Calibri" w:hAnsi="Times New Roman" w:cs="Simplified Arabic"/>
          <w:sz w:val="24"/>
          <w:szCs w:val="28"/>
          <w:rtl/>
        </w:rPr>
        <w:t>في التكنولوجيا النظيفة وتحسين الكفاءة البيئية يمكن أن يؤدي إلى "تحديث" الصناعات وجعلها أكثر قدرة على المنافسة والربحية على المدى الطويل (</w:t>
      </w:r>
      <w:r w:rsidR="00445A1F" w:rsidRPr="00445A1F">
        <w:rPr>
          <w:rFonts w:ascii="Times New Roman" w:eastAsia="Calibri" w:hAnsi="Times New Roman" w:cs="Simplified Arabic"/>
          <w:sz w:val="24"/>
          <w:szCs w:val="28"/>
        </w:rPr>
        <w:t>Mol et al., 2020, p. 18</w:t>
      </w:r>
      <w:r w:rsidR="00445A1F" w:rsidRPr="00445A1F">
        <w:rPr>
          <w:rFonts w:ascii="Times New Roman" w:eastAsia="Calibri" w:hAnsi="Times New Roman" w:cs="Simplified Arabic"/>
          <w:sz w:val="24"/>
          <w:szCs w:val="28"/>
          <w:rtl/>
        </w:rPr>
        <w:t>).</w:t>
      </w:r>
    </w:p>
    <w:p w14:paraId="36740EF1"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تقدم هذه النظريات رؤى متكاملة وليست متعارضة. فالقرار بتبني ممارسات خضراء في شركة مقاولات قد يبدأ كاستجابة لضغوط مؤسسية (مثل اشتراطات جهة مانحة لمشروع)، ولكنه لكي ينجح ويستمر، يجب أن يتطور ليصبح قدرة استراتيجية داخلية (من منظور نظرية الموارد)، وهو ما قد يفتح لاحقاً فرصاً للابتكار والنمو (من منظور التحديث البيئي). وإن فهم هذه الدوافع المتعددة يساعد على تصميم سياسات وحوافز أكثر فعالية لتشجيع التحول الأخضر في القطاع.</w:t>
      </w:r>
    </w:p>
    <w:p w14:paraId="1D6DF351"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ثالثاً: تحليل متعمق لأبعاد ومؤشرات الأداء التنظيمي الأخضر</w:t>
      </w:r>
    </w:p>
    <w:p w14:paraId="1E1C3402"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tl/>
        </w:rPr>
      </w:pPr>
      <w:r w:rsidRPr="006B40EB">
        <w:rPr>
          <w:rFonts w:ascii="Times New Roman" w:eastAsia="Calibri" w:hAnsi="Times New Roman" w:cs="Simplified Arabic"/>
          <w:sz w:val="24"/>
          <w:szCs w:val="28"/>
          <w:rtl/>
        </w:rPr>
        <w:t>يتكون الأداء التنظيمي الأخضر من عدة أبعاد مترابطة، يمكن من خلالها تقييم مدى التزام المنظمة بالاستدامة البيئية. ويوضح الجدول الآتي الأبعاد التي تبنتها الدراسة الحالية مع تعريفاتها ومؤشرات قياسها الرئيسية.</w:t>
      </w:r>
    </w:p>
    <w:p w14:paraId="3B03F270" w14:textId="77777777" w:rsidR="006B40EB" w:rsidRPr="000F1BB6" w:rsidRDefault="006B40EB" w:rsidP="000F1BB6">
      <w:pPr>
        <w:spacing w:after="0" w:line="276" w:lineRule="auto"/>
        <w:jc w:val="center"/>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جدول (2): أبعاد الأداء التنظيمي الأخضر ومؤشراتها</w:t>
      </w:r>
    </w:p>
    <w:tbl>
      <w:tblPr>
        <w:tblStyle w:val="4-2"/>
        <w:bidiVisual/>
        <w:tblW w:w="0" w:type="auto"/>
        <w:jc w:val="center"/>
        <w:tblLook w:val="04A0" w:firstRow="1" w:lastRow="0" w:firstColumn="1" w:lastColumn="0" w:noHBand="0" w:noVBand="1"/>
      </w:tblPr>
      <w:tblGrid>
        <w:gridCol w:w="1135"/>
        <w:gridCol w:w="3514"/>
        <w:gridCol w:w="3663"/>
      </w:tblGrid>
      <w:tr w:rsidR="006B40EB" w:rsidRPr="000F1BB6" w14:paraId="4B326142" w14:textId="77777777" w:rsidTr="004B29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5" w:type="dxa"/>
            <w:vAlign w:val="center"/>
            <w:hideMark/>
          </w:tcPr>
          <w:p w14:paraId="217897FE" w14:textId="77777777" w:rsidR="006B40EB" w:rsidRPr="000F1BB6" w:rsidRDefault="006B40EB" w:rsidP="00F55E4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البعد</w:t>
            </w:r>
          </w:p>
        </w:tc>
        <w:tc>
          <w:tcPr>
            <w:tcW w:w="3514" w:type="dxa"/>
            <w:vAlign w:val="center"/>
            <w:hideMark/>
          </w:tcPr>
          <w:p w14:paraId="2A6BB4EE" w14:textId="77777777" w:rsidR="006B40EB" w:rsidRPr="000F1BB6" w:rsidRDefault="006B40EB" w:rsidP="00F55E4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التعريف الاصطلاحي</w:t>
            </w:r>
          </w:p>
        </w:tc>
        <w:tc>
          <w:tcPr>
            <w:tcW w:w="3663" w:type="dxa"/>
            <w:vAlign w:val="center"/>
            <w:hideMark/>
          </w:tcPr>
          <w:p w14:paraId="0108D725" w14:textId="77777777" w:rsidR="006B40EB" w:rsidRPr="000F1BB6" w:rsidRDefault="006B40EB" w:rsidP="00F55E4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مؤشرات الأداء الرئيسية (</w:t>
            </w:r>
            <w:r w:rsidRPr="000F1BB6">
              <w:rPr>
                <w:rFonts w:ascii="Times New Roman" w:eastAsia="Calibri" w:hAnsi="Times New Roman" w:cs="Simplified Arabic"/>
                <w:sz w:val="20"/>
                <w:szCs w:val="24"/>
              </w:rPr>
              <w:t>KPIs</w:t>
            </w:r>
            <w:r w:rsidRPr="000F1BB6">
              <w:rPr>
                <w:rFonts w:ascii="Times New Roman" w:eastAsia="Calibri" w:hAnsi="Times New Roman" w:cs="Simplified Arabic"/>
                <w:sz w:val="20"/>
                <w:szCs w:val="24"/>
                <w:rtl/>
              </w:rPr>
              <w:t>)</w:t>
            </w:r>
          </w:p>
        </w:tc>
      </w:tr>
      <w:tr w:rsidR="006B40EB" w:rsidRPr="000F1BB6" w14:paraId="326DF40F" w14:textId="77777777" w:rsidTr="004B2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5" w:type="dxa"/>
            <w:vAlign w:val="center"/>
            <w:hideMark/>
          </w:tcPr>
          <w:p w14:paraId="66CA115E" w14:textId="77777777" w:rsidR="006B40EB" w:rsidRPr="000F1BB6" w:rsidRDefault="006B40EB" w:rsidP="00F55E4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كفاءة العمليات الخضراء</w:t>
            </w:r>
          </w:p>
        </w:tc>
        <w:tc>
          <w:tcPr>
            <w:tcW w:w="3514" w:type="dxa"/>
            <w:vAlign w:val="center"/>
            <w:hideMark/>
          </w:tcPr>
          <w:p w14:paraId="71093A22" w14:textId="77777777" w:rsidR="006B40EB" w:rsidRPr="000F1BB6" w:rsidRDefault="006B40EB" w:rsidP="00F55E4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"مدى نجاح المنظمة في تحسين عملياتها الداخلية لتقليل استهلاك الطاقة والمياه والمواد الخام، وخفض الانبعاثات الملوثة للبيئة" (</w:t>
            </w:r>
            <w:r w:rsidRPr="000F1BB6">
              <w:rPr>
                <w:rFonts w:ascii="Times New Roman" w:eastAsia="Calibri" w:hAnsi="Times New Roman" w:cs="Simplified Arabic"/>
                <w:b/>
                <w:bCs/>
                <w:sz w:val="20"/>
                <w:szCs w:val="24"/>
              </w:rPr>
              <w:t>Hou et al., 2023</w:t>
            </w:r>
            <w:r w:rsidRPr="000F1BB6">
              <w:rPr>
                <w:rFonts w:ascii="Times New Roman" w:eastAsia="Calibri" w:hAnsi="Times New Roman" w:cs="Simplified Arabic"/>
                <w:b/>
                <w:bCs/>
                <w:sz w:val="20"/>
                <w:szCs w:val="24"/>
                <w:rtl/>
              </w:rPr>
              <w:t>).</w:t>
            </w:r>
          </w:p>
        </w:tc>
        <w:tc>
          <w:tcPr>
            <w:tcW w:w="3663" w:type="dxa"/>
            <w:vAlign w:val="center"/>
            <w:hideMark/>
          </w:tcPr>
          <w:p w14:paraId="7325000F" w14:textId="2AF9E61D"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خفض استهلاك الطاقة لكل وحدة إنتاج.</w:t>
            </w:r>
          </w:p>
          <w:p w14:paraId="6A3C70D4" w14:textId="503DC8EC"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تقليل استهلاك المياه وإعادة استخدامها.</w:t>
            </w:r>
          </w:p>
          <w:p w14:paraId="2BC151DA" w14:textId="455C7C91"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xml:space="preserve">• خفض الانبعاثات الغازية (مثل </w:t>
            </w:r>
            <w:r w:rsidRPr="000F1BB6">
              <w:rPr>
                <w:rFonts w:ascii="Times New Roman" w:eastAsia="Calibri" w:hAnsi="Times New Roman" w:cs="Simplified Arabic"/>
                <w:b/>
                <w:bCs/>
                <w:sz w:val="20"/>
                <w:szCs w:val="24"/>
              </w:rPr>
              <w:t>CO_2</w:t>
            </w:r>
            <w:r w:rsidRPr="000F1BB6">
              <w:rPr>
                <w:rFonts w:ascii="Times New Roman" w:eastAsia="Calibri" w:hAnsi="Times New Roman" w:cs="Simplified Arabic"/>
                <w:b/>
                <w:bCs/>
                <w:sz w:val="20"/>
                <w:szCs w:val="24"/>
                <w:rtl/>
              </w:rPr>
              <w:t>).</w:t>
            </w:r>
          </w:p>
        </w:tc>
      </w:tr>
      <w:tr w:rsidR="006B40EB" w:rsidRPr="000F1BB6" w14:paraId="4141F833" w14:textId="77777777" w:rsidTr="004B2971">
        <w:trPr>
          <w:jc w:val="center"/>
        </w:trPr>
        <w:tc>
          <w:tcPr>
            <w:cnfStyle w:val="001000000000" w:firstRow="0" w:lastRow="0" w:firstColumn="1" w:lastColumn="0" w:oddVBand="0" w:evenVBand="0" w:oddHBand="0" w:evenHBand="0" w:firstRowFirstColumn="0" w:firstRowLastColumn="0" w:lastRowFirstColumn="0" w:lastRowLastColumn="0"/>
            <w:tcW w:w="1135" w:type="dxa"/>
            <w:vAlign w:val="center"/>
            <w:hideMark/>
          </w:tcPr>
          <w:p w14:paraId="3F38B173" w14:textId="77777777" w:rsidR="006B40EB" w:rsidRPr="000F1BB6" w:rsidRDefault="006B40EB" w:rsidP="00F55E4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lastRenderedPageBreak/>
              <w:t>إدارة النفايات وإعادة التدوير</w:t>
            </w:r>
          </w:p>
        </w:tc>
        <w:tc>
          <w:tcPr>
            <w:tcW w:w="3514" w:type="dxa"/>
            <w:vAlign w:val="center"/>
            <w:hideMark/>
          </w:tcPr>
          <w:p w14:paraId="7CFC65FC" w14:textId="77777777" w:rsidR="006B40EB" w:rsidRPr="000F1BB6" w:rsidRDefault="006B40EB" w:rsidP="00F55E41">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"الممارسات المنهجية لتقليل كمية النفايات الناتجة عن العمليات، وتعظيم الاستفادة من المواد عبر إعادة استخدامها أو تدويرها" (</w:t>
            </w:r>
            <w:r w:rsidRPr="000F1BB6">
              <w:rPr>
                <w:rFonts w:ascii="Times New Roman" w:eastAsia="Calibri" w:hAnsi="Times New Roman" w:cs="Simplified Arabic"/>
                <w:b/>
                <w:bCs/>
                <w:sz w:val="20"/>
                <w:szCs w:val="24"/>
              </w:rPr>
              <w:t>Asif and Bakar, 2025</w:t>
            </w:r>
            <w:r w:rsidRPr="000F1BB6">
              <w:rPr>
                <w:rFonts w:ascii="Times New Roman" w:eastAsia="Calibri" w:hAnsi="Times New Roman" w:cs="Simplified Arabic"/>
                <w:b/>
                <w:bCs/>
                <w:sz w:val="20"/>
                <w:szCs w:val="24"/>
                <w:rtl/>
              </w:rPr>
              <w:t>).</w:t>
            </w:r>
          </w:p>
        </w:tc>
        <w:tc>
          <w:tcPr>
            <w:tcW w:w="3663" w:type="dxa"/>
            <w:vAlign w:val="center"/>
            <w:hideMark/>
          </w:tcPr>
          <w:p w14:paraId="590F3E15" w14:textId="5B78469D" w:rsidR="006B40EB" w:rsidRPr="000F1BB6" w:rsidRDefault="006B40EB" w:rsidP="00F55E41">
            <w:pPr>
              <w:spacing w:after="0"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نسبة المواد المعاد تدويرها من إجمالي النفايات.</w:t>
            </w:r>
          </w:p>
          <w:p w14:paraId="415D890E" w14:textId="35E48BFC" w:rsidR="006B40EB" w:rsidRPr="000F1BB6" w:rsidRDefault="006B40EB" w:rsidP="00F55E41">
            <w:pPr>
              <w:spacing w:after="0"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كمية النفايات المرسلة إلى المكبات.</w:t>
            </w:r>
          </w:p>
          <w:p w14:paraId="3C5FC629" w14:textId="77777777" w:rsidR="006B40EB" w:rsidRPr="000F1BB6" w:rsidRDefault="006B40EB" w:rsidP="00F55E41">
            <w:pPr>
              <w:spacing w:after="0"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تطبيق برامج لفرز النفايات من المصدر.</w:t>
            </w:r>
          </w:p>
        </w:tc>
      </w:tr>
      <w:tr w:rsidR="006B40EB" w:rsidRPr="000F1BB6" w14:paraId="3FC17519" w14:textId="77777777" w:rsidTr="004B2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5" w:type="dxa"/>
            <w:vAlign w:val="center"/>
            <w:hideMark/>
          </w:tcPr>
          <w:p w14:paraId="1ADB862F" w14:textId="77777777" w:rsidR="006B40EB" w:rsidRPr="000F1BB6" w:rsidRDefault="006B40EB" w:rsidP="00F55E4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الابتكار في المنتجات والخدمات الخضراء</w:t>
            </w:r>
          </w:p>
        </w:tc>
        <w:tc>
          <w:tcPr>
            <w:tcW w:w="3514" w:type="dxa"/>
            <w:vAlign w:val="center"/>
            <w:hideMark/>
          </w:tcPr>
          <w:p w14:paraId="72B781C0" w14:textId="77777777" w:rsidR="006B40EB" w:rsidRPr="000F1BB6" w:rsidRDefault="006B40EB" w:rsidP="00F55E4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"قدرة المنظمة على تطوير وتصميم منتجات ذات خصائص بيئية محسنة، تلبي احتياجات العملاء وتحد من الأثر البيئي" (</w:t>
            </w:r>
            <w:r w:rsidRPr="000F1BB6">
              <w:rPr>
                <w:rFonts w:ascii="Times New Roman" w:eastAsia="Calibri" w:hAnsi="Times New Roman" w:cs="Simplified Arabic"/>
                <w:b/>
                <w:bCs/>
                <w:sz w:val="20"/>
                <w:szCs w:val="24"/>
              </w:rPr>
              <w:t>Li et al., 2024</w:t>
            </w:r>
            <w:r w:rsidRPr="000F1BB6">
              <w:rPr>
                <w:rFonts w:ascii="Times New Roman" w:eastAsia="Calibri" w:hAnsi="Times New Roman" w:cs="Simplified Arabic"/>
                <w:b/>
                <w:bCs/>
                <w:sz w:val="20"/>
                <w:szCs w:val="24"/>
                <w:rtl/>
              </w:rPr>
              <w:t>).</w:t>
            </w:r>
          </w:p>
        </w:tc>
        <w:tc>
          <w:tcPr>
            <w:tcW w:w="3663" w:type="dxa"/>
            <w:vAlign w:val="center"/>
            <w:hideMark/>
          </w:tcPr>
          <w:p w14:paraId="7906EFB6" w14:textId="40A8EA74"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عدد المشاريع التي تستخدم مواد بناء مستدامة.</w:t>
            </w:r>
          </w:p>
          <w:p w14:paraId="66F52820" w14:textId="03655FEF"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تطبيق تقنيات التصميم الموفر للطاقة.</w:t>
            </w:r>
          </w:p>
          <w:p w14:paraId="66114643" w14:textId="77777777"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تقديم خدمات استشارية بيئية للعملاء.</w:t>
            </w:r>
          </w:p>
        </w:tc>
      </w:tr>
      <w:tr w:rsidR="006B40EB" w:rsidRPr="000F1BB6" w14:paraId="27E5D07C" w14:textId="77777777" w:rsidTr="004B2971">
        <w:trPr>
          <w:jc w:val="center"/>
        </w:trPr>
        <w:tc>
          <w:tcPr>
            <w:cnfStyle w:val="001000000000" w:firstRow="0" w:lastRow="0" w:firstColumn="1" w:lastColumn="0" w:oddVBand="0" w:evenVBand="0" w:oddHBand="0" w:evenHBand="0" w:firstRowFirstColumn="0" w:firstRowLastColumn="0" w:lastRowFirstColumn="0" w:lastRowLastColumn="0"/>
            <w:tcW w:w="1135" w:type="dxa"/>
            <w:vAlign w:val="center"/>
            <w:hideMark/>
          </w:tcPr>
          <w:p w14:paraId="7BB6041D" w14:textId="77777777" w:rsidR="006B40EB" w:rsidRPr="000F1BB6" w:rsidRDefault="006B40EB" w:rsidP="00F55E4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الصورة البيئية والسمعة الخضراء</w:t>
            </w:r>
          </w:p>
        </w:tc>
        <w:tc>
          <w:tcPr>
            <w:tcW w:w="3514" w:type="dxa"/>
            <w:vAlign w:val="center"/>
            <w:hideMark/>
          </w:tcPr>
          <w:p w14:paraId="10C8CA0B" w14:textId="77777777" w:rsidR="006B40EB" w:rsidRPr="000F1BB6" w:rsidRDefault="006B40EB" w:rsidP="00F55E41">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"الانطباع الإيجابي لدى أصحاب المصلحة حول التزام المنظمة بالمسؤولية البيئية، مما يسهم في بناء سمعة قوية" (</w:t>
            </w:r>
            <w:r w:rsidRPr="000F1BB6">
              <w:rPr>
                <w:rFonts w:ascii="Times New Roman" w:eastAsia="Calibri" w:hAnsi="Times New Roman" w:cs="Simplified Arabic"/>
                <w:b/>
                <w:bCs/>
                <w:sz w:val="20"/>
                <w:szCs w:val="24"/>
              </w:rPr>
              <w:t>Anwar et al., 2024</w:t>
            </w:r>
            <w:r w:rsidRPr="000F1BB6">
              <w:rPr>
                <w:rFonts w:ascii="Times New Roman" w:eastAsia="Calibri" w:hAnsi="Times New Roman" w:cs="Simplified Arabic"/>
                <w:b/>
                <w:bCs/>
                <w:sz w:val="20"/>
                <w:szCs w:val="24"/>
                <w:rtl/>
              </w:rPr>
              <w:t>).</w:t>
            </w:r>
          </w:p>
        </w:tc>
        <w:tc>
          <w:tcPr>
            <w:tcW w:w="3663" w:type="dxa"/>
            <w:vAlign w:val="center"/>
            <w:hideMark/>
          </w:tcPr>
          <w:p w14:paraId="32C3D214" w14:textId="12B47F04" w:rsidR="006B40EB" w:rsidRPr="000F1BB6" w:rsidRDefault="006B40EB" w:rsidP="00F55E41">
            <w:pPr>
              <w:spacing w:after="0"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xml:space="preserve">• الحصول على شهادات بيئية (مثل </w:t>
            </w:r>
            <w:r w:rsidRPr="000F1BB6">
              <w:rPr>
                <w:rFonts w:ascii="Times New Roman" w:eastAsia="Calibri" w:hAnsi="Times New Roman" w:cs="Simplified Arabic"/>
                <w:b/>
                <w:bCs/>
                <w:sz w:val="20"/>
                <w:szCs w:val="24"/>
              </w:rPr>
              <w:t>ISO 14001</w:t>
            </w:r>
            <w:r w:rsidRPr="000F1BB6">
              <w:rPr>
                <w:rFonts w:ascii="Times New Roman" w:eastAsia="Calibri" w:hAnsi="Times New Roman" w:cs="Simplified Arabic"/>
                <w:b/>
                <w:bCs/>
                <w:sz w:val="20"/>
                <w:szCs w:val="24"/>
                <w:rtl/>
              </w:rPr>
              <w:t>).</w:t>
            </w:r>
          </w:p>
          <w:p w14:paraId="61719DEB" w14:textId="1E850412" w:rsidR="006B40EB" w:rsidRPr="000F1BB6" w:rsidRDefault="006B40EB" w:rsidP="00F55E41">
            <w:pPr>
              <w:spacing w:after="0"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التغطية الإعلامية الإيجابية للمبادرات البيئية.</w:t>
            </w:r>
          </w:p>
          <w:p w14:paraId="5EC43303" w14:textId="77777777" w:rsidR="006B40EB" w:rsidRPr="000F1BB6" w:rsidRDefault="006B40EB" w:rsidP="00F55E41">
            <w:pPr>
              <w:spacing w:after="0"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درجة رضا العملاء عن الأداء البيئي.</w:t>
            </w:r>
          </w:p>
        </w:tc>
      </w:tr>
      <w:tr w:rsidR="006B40EB" w:rsidRPr="000F1BB6" w14:paraId="0F72928F" w14:textId="77777777" w:rsidTr="004B2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5" w:type="dxa"/>
            <w:vAlign w:val="center"/>
            <w:hideMark/>
          </w:tcPr>
          <w:p w14:paraId="367BE915" w14:textId="77777777" w:rsidR="006B40EB" w:rsidRPr="000F1BB6" w:rsidRDefault="006B40EB" w:rsidP="00F55E41">
            <w:pPr>
              <w:spacing w:after="0" w:line="276" w:lineRule="auto"/>
              <w:jc w:val="center"/>
              <w:rPr>
                <w:rFonts w:ascii="Times New Roman" w:eastAsia="Calibri" w:hAnsi="Times New Roman" w:cs="Simplified Arabic"/>
                <w:b w:val="0"/>
                <w:bCs w:val="0"/>
                <w:sz w:val="20"/>
                <w:szCs w:val="24"/>
                <w:rtl/>
              </w:rPr>
            </w:pPr>
            <w:r w:rsidRPr="000F1BB6">
              <w:rPr>
                <w:rFonts w:ascii="Times New Roman" w:eastAsia="Calibri" w:hAnsi="Times New Roman" w:cs="Simplified Arabic"/>
                <w:sz w:val="20"/>
                <w:szCs w:val="24"/>
                <w:rtl/>
              </w:rPr>
              <w:t>الامتثال والتوافق البيئي</w:t>
            </w:r>
          </w:p>
        </w:tc>
        <w:tc>
          <w:tcPr>
            <w:tcW w:w="3514" w:type="dxa"/>
            <w:vAlign w:val="center"/>
            <w:hideMark/>
          </w:tcPr>
          <w:p w14:paraId="4AA9A1C5" w14:textId="77777777" w:rsidR="006B40EB" w:rsidRPr="000F1BB6" w:rsidRDefault="006B40EB" w:rsidP="00F55E4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"مدى التزام المنظمة بالقوانين والمعايير البيئية، وسعيها لتجاوز الحد الأدنى من المتطلبات التشريعية" (</w:t>
            </w:r>
            <w:r w:rsidRPr="000F1BB6">
              <w:rPr>
                <w:rFonts w:ascii="Times New Roman" w:eastAsia="Calibri" w:hAnsi="Times New Roman" w:cs="Simplified Arabic"/>
                <w:b/>
                <w:bCs/>
                <w:sz w:val="20"/>
                <w:szCs w:val="24"/>
              </w:rPr>
              <w:t>García-Morales et al., 2024</w:t>
            </w:r>
            <w:r w:rsidRPr="000F1BB6">
              <w:rPr>
                <w:rFonts w:ascii="Times New Roman" w:eastAsia="Calibri" w:hAnsi="Times New Roman" w:cs="Simplified Arabic"/>
                <w:b/>
                <w:bCs/>
                <w:sz w:val="20"/>
                <w:szCs w:val="24"/>
                <w:rtl/>
              </w:rPr>
              <w:t>).</w:t>
            </w:r>
          </w:p>
        </w:tc>
        <w:tc>
          <w:tcPr>
            <w:tcW w:w="3663" w:type="dxa"/>
            <w:vAlign w:val="center"/>
            <w:hideMark/>
          </w:tcPr>
          <w:p w14:paraId="3F146307" w14:textId="606CAEC5"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عدد المخالفات أو الغرامات البيئية.</w:t>
            </w:r>
          </w:p>
          <w:p w14:paraId="72619361" w14:textId="07C7440F"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وجود نظام داخلي للرقابة والمراجعة البيئية.</w:t>
            </w:r>
          </w:p>
          <w:p w14:paraId="245FEF78" w14:textId="77777777" w:rsidR="006B40EB" w:rsidRPr="000F1BB6" w:rsidRDefault="006B40EB" w:rsidP="00F55E41">
            <w:pPr>
              <w:spacing w:after="0"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 سرعة الاستجابة للحوادث البيئية.</w:t>
            </w:r>
          </w:p>
        </w:tc>
      </w:tr>
    </w:tbl>
    <w:p w14:paraId="396D21C3" w14:textId="77777777" w:rsidR="006B40EB" w:rsidRPr="000F1BB6" w:rsidRDefault="006B40EB" w:rsidP="000F1BB6">
      <w:pPr>
        <w:spacing w:after="0" w:line="276" w:lineRule="auto"/>
        <w:jc w:val="center"/>
        <w:rPr>
          <w:rFonts w:ascii="Times New Roman" w:eastAsia="Calibri" w:hAnsi="Times New Roman" w:cs="Simplified Arabic"/>
          <w:b/>
          <w:bCs/>
          <w:sz w:val="20"/>
          <w:szCs w:val="24"/>
          <w:rtl/>
        </w:rPr>
      </w:pPr>
      <w:r w:rsidRPr="000F1BB6">
        <w:rPr>
          <w:rFonts w:ascii="Times New Roman" w:eastAsia="Calibri" w:hAnsi="Times New Roman" w:cs="Simplified Arabic"/>
          <w:b/>
          <w:bCs/>
          <w:sz w:val="20"/>
          <w:szCs w:val="24"/>
          <w:rtl/>
        </w:rPr>
        <w:t>المصدر: من إعداد الباحث، بناءً على الأدبيات المذكورة في الجدول.</w:t>
      </w:r>
    </w:p>
    <w:p w14:paraId="2AB4F6F4"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tl/>
        </w:rPr>
      </w:pPr>
      <w:r w:rsidRPr="006B40EB">
        <w:rPr>
          <w:rFonts w:ascii="Times New Roman" w:eastAsia="Calibri" w:hAnsi="Times New Roman" w:cs="Simplified Arabic"/>
          <w:sz w:val="24"/>
          <w:szCs w:val="28"/>
          <w:rtl/>
        </w:rPr>
        <w:t>تشكل الأبعاد الواردة في الجدول (2) إطاراً مرجعياً متكاملاً لقياس وتحسين الأداء الأخضر، حيث تنتقل بالمنظمة من مجرد "الالتزام السلبي" بالقوانين إلى "المبادرة الاستراتيجية" التي تحقق ميزة تنافسية.</w:t>
      </w:r>
    </w:p>
    <w:p w14:paraId="7B72C28F" w14:textId="77777777" w:rsidR="006B40EB" w:rsidRPr="00794FC5" w:rsidRDefault="006B40EB" w:rsidP="006B40EB">
      <w:pPr>
        <w:spacing w:after="240" w:line="276" w:lineRule="auto"/>
        <w:ind w:firstLine="510"/>
        <w:jc w:val="both"/>
        <w:rPr>
          <w:rFonts w:ascii="Times New Roman" w:eastAsia="Calibri" w:hAnsi="Times New Roman" w:cs="Simplified Arabic"/>
          <w:sz w:val="24"/>
          <w:szCs w:val="28"/>
          <w:rtl/>
        </w:rPr>
      </w:pPr>
      <w:r w:rsidRPr="00794FC5">
        <w:rPr>
          <w:rFonts w:ascii="Times New Roman" w:eastAsia="Calibri" w:hAnsi="Times New Roman" w:cs="Simplified Arabic"/>
          <w:sz w:val="24"/>
          <w:szCs w:val="28"/>
          <w:rtl/>
        </w:rPr>
        <w:t>ويمكن تقديم التحليل من خلال النقاط التالية:</w:t>
      </w:r>
    </w:p>
    <w:p w14:paraId="7C9ED292" w14:textId="77777777" w:rsidR="006B40EB" w:rsidRPr="006B40EB" w:rsidRDefault="006B40EB" w:rsidP="006B40EB">
      <w:pPr>
        <w:numPr>
          <w:ilvl w:val="0"/>
          <w:numId w:val="99"/>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t>الأولوية التشغيلية:</w:t>
      </w:r>
      <w:r w:rsidRPr="006B40EB">
        <w:rPr>
          <w:rFonts w:ascii="Times New Roman" w:eastAsia="Calibri" w:hAnsi="Times New Roman" w:cs="Simplified Arabic"/>
          <w:sz w:val="24"/>
          <w:szCs w:val="28"/>
          <w:rtl/>
        </w:rPr>
        <w:t xml:space="preserve"> في قطاع المقاولات تحديداً، يبرز بُعدا "كفاءة العمليات" و"إدارة النفايات" كركائز أساسية؛ فالهدر في مواد البناء واستهلاك الطاقة لا يمثلان ضرراً بيئياً فحسب، بل يشكلان عبئاً مالياً مباشراً. لذا، فإن تحسين هذه المؤشرات يؤدي إلى "كفاءة مزدوجة" (بيئية واقتصادية).</w:t>
      </w:r>
    </w:p>
    <w:p w14:paraId="74011728" w14:textId="77777777" w:rsidR="006B40EB" w:rsidRPr="006B40EB" w:rsidRDefault="006B40EB" w:rsidP="006B40EB">
      <w:pPr>
        <w:numPr>
          <w:ilvl w:val="0"/>
          <w:numId w:val="99"/>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lastRenderedPageBreak/>
        <w:t>التمايز التنافسي:</w:t>
      </w:r>
      <w:r w:rsidRPr="006B40EB">
        <w:rPr>
          <w:rFonts w:ascii="Times New Roman" w:eastAsia="Calibri" w:hAnsi="Times New Roman" w:cs="Simplified Arabic"/>
          <w:sz w:val="24"/>
          <w:szCs w:val="28"/>
          <w:rtl/>
        </w:rPr>
        <w:t xml:space="preserve"> يمثل "الابتكار الأخضر" قاطرة التحول نحو المستقبل، حيث يسمح لشركات المقاولات بالتميز في سوق يتزايد فيه الطلب على الأبنية الذكية والمستدامة، مما يحول البيئة من قيد قانوني إلى فرصة استثمارية.</w:t>
      </w:r>
    </w:p>
    <w:p w14:paraId="68E25DED" w14:textId="77777777" w:rsidR="006B40EB" w:rsidRPr="006B40EB" w:rsidRDefault="006B40EB" w:rsidP="006B40EB">
      <w:pPr>
        <w:numPr>
          <w:ilvl w:val="0"/>
          <w:numId w:val="99"/>
        </w:numPr>
        <w:spacing w:after="240" w:line="276" w:lineRule="auto"/>
        <w:jc w:val="both"/>
        <w:rPr>
          <w:rFonts w:ascii="Times New Roman" w:eastAsia="Calibri" w:hAnsi="Times New Roman" w:cs="Simplified Arabic"/>
          <w:sz w:val="24"/>
          <w:szCs w:val="28"/>
          <w:rtl/>
        </w:rPr>
      </w:pPr>
      <w:r w:rsidRPr="006B40EB">
        <w:rPr>
          <w:rFonts w:ascii="Times New Roman" w:eastAsia="Calibri" w:hAnsi="Times New Roman" w:cs="Simplified Arabic"/>
          <w:b/>
          <w:bCs/>
          <w:sz w:val="24"/>
          <w:szCs w:val="28"/>
          <w:rtl/>
        </w:rPr>
        <w:t>الأثر المعنوي والقانوني:</w:t>
      </w:r>
      <w:r w:rsidRPr="006B40EB">
        <w:rPr>
          <w:rFonts w:ascii="Times New Roman" w:eastAsia="Calibri" w:hAnsi="Times New Roman" w:cs="Simplified Arabic"/>
          <w:sz w:val="24"/>
          <w:szCs w:val="28"/>
          <w:rtl/>
        </w:rPr>
        <w:t xml:space="preserve"> يضمن "الامتثال البيئي" استمرارية العمل وتجنب المخاطر القانونية، بينما تعمل "السمعة الخضراء" كأصل غير ملموس يعزز من ثقة المستثمرين والعملاء، مما يسهل الوصول إلى المناقصات الكبرى التي تشترط معايير استدامة صارمة.</w:t>
      </w:r>
    </w:p>
    <w:p w14:paraId="4F3A4BCD"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رابعاً: محركات ومعوقات تحقيق الأداء التنظيمي الأخضر</w:t>
      </w:r>
    </w:p>
    <w:p w14:paraId="0A7AD73C"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إن رحلة المنظمة نحو تحقيق أداء أخضر متميز لا تخلو من عوامل دافعة وأخرى معيقة. وفهم هذه العوامل يُعد ضرورياً لوضع استراتيجيات ناجحة للتحول الأخضر.</w:t>
      </w:r>
    </w:p>
    <w:p w14:paraId="259FD185" w14:textId="77777777" w:rsidR="006B40EB" w:rsidRPr="006B40EB" w:rsidRDefault="006B40EB" w:rsidP="006B40EB">
      <w:pPr>
        <w:numPr>
          <w:ilvl w:val="0"/>
          <w:numId w:val="6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المحركات الرئيسية </w:t>
      </w:r>
      <w:r w:rsidRPr="006B40EB">
        <w:rPr>
          <w:rFonts w:ascii="Times New Roman" w:eastAsia="Calibri" w:hAnsi="Times New Roman" w:cs="Simplified Arabic"/>
          <w:b/>
          <w:bCs/>
          <w:sz w:val="24"/>
          <w:szCs w:val="28"/>
        </w:rPr>
        <w:t>(Drivers)</w:t>
      </w:r>
      <w:r w:rsidRPr="006B40EB">
        <w:rPr>
          <w:rFonts w:ascii="Times New Roman" w:eastAsia="Calibri" w:hAnsi="Times New Roman" w:cs="Simplified Arabic"/>
          <w:b/>
          <w:bCs/>
          <w:sz w:val="24"/>
          <w:szCs w:val="28"/>
          <w:rtl/>
        </w:rPr>
        <w:t>:</w:t>
      </w:r>
    </w:p>
    <w:p w14:paraId="7F35A20C" w14:textId="77777777" w:rsidR="006B40EB" w:rsidRPr="006B40EB" w:rsidRDefault="006B40EB" w:rsidP="006B40EB">
      <w:pPr>
        <w:numPr>
          <w:ilvl w:val="1"/>
          <w:numId w:val="6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محركات داخلية: </w:t>
      </w:r>
      <w:r w:rsidRPr="006B40EB">
        <w:rPr>
          <w:rFonts w:ascii="Times New Roman" w:eastAsia="Calibri" w:hAnsi="Times New Roman" w:cs="Simplified Arabic"/>
          <w:sz w:val="24"/>
          <w:szCs w:val="28"/>
          <w:rtl/>
        </w:rPr>
        <w:t xml:space="preserve">وتشمل وجود قيادة ملتزمة ومستدامة (وهو محور هذه الدراسة)، وثقافة تنظيمية داعمة للاستدامة، وسلوكيات الموظفين البيئية الإيجابية، وتوافر الموارد والقدرات التكنولوجية اللازمة </w:t>
      </w:r>
      <w:r w:rsidRPr="006B40EB">
        <w:rPr>
          <w:rFonts w:ascii="Times New Roman" w:eastAsia="Calibri" w:hAnsi="Times New Roman" w:cs="Simplified Arabic"/>
          <w:sz w:val="24"/>
          <w:szCs w:val="28"/>
        </w:rPr>
        <w:t>(Nisar et al., 2025, p. 506)</w:t>
      </w:r>
      <w:r w:rsidRPr="006B40EB">
        <w:rPr>
          <w:rFonts w:ascii="Times New Roman" w:eastAsia="Calibri" w:hAnsi="Times New Roman" w:cs="Simplified Arabic"/>
          <w:sz w:val="24"/>
          <w:szCs w:val="28"/>
          <w:rtl/>
        </w:rPr>
        <w:t>.</w:t>
      </w:r>
    </w:p>
    <w:p w14:paraId="4796922E" w14:textId="77777777" w:rsidR="006B40EB" w:rsidRPr="006B40EB" w:rsidRDefault="006B40EB" w:rsidP="006B40EB">
      <w:pPr>
        <w:numPr>
          <w:ilvl w:val="1"/>
          <w:numId w:val="6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محركات خارجية: </w:t>
      </w:r>
      <w:r w:rsidRPr="006B40EB">
        <w:rPr>
          <w:rFonts w:ascii="Times New Roman" w:eastAsia="Calibri" w:hAnsi="Times New Roman" w:cs="Simplified Arabic"/>
          <w:sz w:val="24"/>
          <w:szCs w:val="28"/>
          <w:rtl/>
        </w:rPr>
        <w:t xml:space="preserve">وتتمثل في التشريعات والسياسات الحكومية الصارمة، وضغوط العملاء والمستهلكين الذين يفضلون المنتجات والخدمات الصديقة للبيئة، والممارسات التنافسية في السوق، وتوقعات أصحاب المصلحة الآخرين كالمستثمرين والمجتمع المحلي </w:t>
      </w:r>
      <w:r w:rsidRPr="006B40EB">
        <w:rPr>
          <w:rFonts w:ascii="Times New Roman" w:eastAsia="Calibri" w:hAnsi="Times New Roman" w:cs="Simplified Arabic"/>
          <w:sz w:val="24"/>
          <w:szCs w:val="28"/>
        </w:rPr>
        <w:t>(Anwar et al., 2024, p. 3)</w:t>
      </w:r>
      <w:r w:rsidRPr="006B40EB">
        <w:rPr>
          <w:rFonts w:ascii="Times New Roman" w:eastAsia="Calibri" w:hAnsi="Times New Roman" w:cs="Simplified Arabic"/>
          <w:sz w:val="24"/>
          <w:szCs w:val="28"/>
          <w:rtl/>
        </w:rPr>
        <w:t>.</w:t>
      </w:r>
    </w:p>
    <w:p w14:paraId="7672D73C" w14:textId="77777777" w:rsidR="006B40EB" w:rsidRPr="006B40EB" w:rsidRDefault="006B40EB" w:rsidP="006B40EB">
      <w:pPr>
        <w:numPr>
          <w:ilvl w:val="0"/>
          <w:numId w:val="6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المعوقات الرئيسية </w:t>
      </w:r>
      <w:r w:rsidRPr="006B40EB">
        <w:rPr>
          <w:rFonts w:ascii="Times New Roman" w:eastAsia="Calibri" w:hAnsi="Times New Roman" w:cs="Simplified Arabic"/>
          <w:b/>
          <w:bCs/>
          <w:sz w:val="24"/>
          <w:szCs w:val="28"/>
        </w:rPr>
        <w:t>(Barriers)</w:t>
      </w:r>
      <w:r w:rsidRPr="006B40EB">
        <w:rPr>
          <w:rFonts w:ascii="Times New Roman" w:eastAsia="Calibri" w:hAnsi="Times New Roman" w:cs="Simplified Arabic"/>
          <w:b/>
          <w:bCs/>
          <w:sz w:val="24"/>
          <w:szCs w:val="28"/>
          <w:rtl/>
        </w:rPr>
        <w:t>:</w:t>
      </w:r>
    </w:p>
    <w:p w14:paraId="2EB8018C" w14:textId="77777777" w:rsidR="006B40EB" w:rsidRPr="006B40EB" w:rsidRDefault="006B40EB" w:rsidP="006B40EB">
      <w:pPr>
        <w:numPr>
          <w:ilvl w:val="1"/>
          <w:numId w:val="6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معوقات مالية: </w:t>
      </w:r>
      <w:r w:rsidRPr="006B40EB">
        <w:rPr>
          <w:rFonts w:ascii="Times New Roman" w:eastAsia="Calibri" w:hAnsi="Times New Roman" w:cs="Simplified Arabic"/>
          <w:sz w:val="24"/>
          <w:szCs w:val="28"/>
          <w:rtl/>
        </w:rPr>
        <w:t>مثل ارتفاع التكاليف الأولية للاستثمار في التكنولوجيا النظيفة أو المواد المستدامة، وصعوبة قياس العائد المالي المباشر للمبادرات البيئية (أبو زيد، 2022، ص. 95).</w:t>
      </w:r>
    </w:p>
    <w:p w14:paraId="64202F4C" w14:textId="77777777" w:rsidR="006B40EB" w:rsidRPr="006B40EB" w:rsidRDefault="006B40EB" w:rsidP="006B40EB">
      <w:pPr>
        <w:numPr>
          <w:ilvl w:val="1"/>
          <w:numId w:val="6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معوقات معرفية وتنظيمية: </w:t>
      </w:r>
      <w:r w:rsidRPr="006B40EB">
        <w:rPr>
          <w:rFonts w:ascii="Times New Roman" w:eastAsia="Calibri" w:hAnsi="Times New Roman" w:cs="Simplified Arabic"/>
          <w:sz w:val="24"/>
          <w:szCs w:val="28"/>
          <w:rtl/>
        </w:rPr>
        <w:t xml:space="preserve">وتشمل نقص الوعي والمعرفة بأهمية وفوائد الممارسات الخضراء، ومقاومة التغيير من قبل الموظفين، وغياب الدعم من الإدارة العليا، وضعف التنسيق بين الأقسام المختلفة </w:t>
      </w:r>
      <w:r w:rsidRPr="006B40EB">
        <w:rPr>
          <w:rFonts w:ascii="Times New Roman" w:eastAsia="Calibri" w:hAnsi="Times New Roman" w:cs="Simplified Arabic"/>
          <w:sz w:val="24"/>
          <w:szCs w:val="28"/>
        </w:rPr>
        <w:t>(</w:t>
      </w:r>
      <w:proofErr w:type="spellStart"/>
      <w:r w:rsidRPr="006B40EB">
        <w:rPr>
          <w:rFonts w:ascii="Times New Roman" w:eastAsia="Calibri" w:hAnsi="Times New Roman" w:cs="Simplified Arabic"/>
          <w:sz w:val="24"/>
          <w:szCs w:val="28"/>
        </w:rPr>
        <w:t>Sartal</w:t>
      </w:r>
      <w:proofErr w:type="spellEnd"/>
      <w:r w:rsidRPr="006B40EB">
        <w:rPr>
          <w:rFonts w:ascii="Times New Roman" w:eastAsia="Calibri" w:hAnsi="Times New Roman" w:cs="Simplified Arabic"/>
          <w:sz w:val="24"/>
          <w:szCs w:val="28"/>
        </w:rPr>
        <w:t xml:space="preserve"> et al., 2020, p. 8)</w:t>
      </w:r>
      <w:r w:rsidRPr="006B40EB">
        <w:rPr>
          <w:rFonts w:ascii="Times New Roman" w:eastAsia="Calibri" w:hAnsi="Times New Roman" w:cs="Simplified Arabic"/>
          <w:sz w:val="24"/>
          <w:szCs w:val="28"/>
          <w:rtl/>
        </w:rPr>
        <w:t>.</w:t>
      </w:r>
    </w:p>
    <w:p w14:paraId="41C375D6" w14:textId="77777777" w:rsidR="006B40EB" w:rsidRPr="006B40EB" w:rsidRDefault="006B40EB" w:rsidP="006B40EB">
      <w:pPr>
        <w:numPr>
          <w:ilvl w:val="1"/>
          <w:numId w:val="69"/>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معوقات خارجية: </w:t>
      </w:r>
      <w:r w:rsidRPr="006B40EB">
        <w:rPr>
          <w:rFonts w:ascii="Times New Roman" w:eastAsia="Calibri" w:hAnsi="Times New Roman" w:cs="Simplified Arabic"/>
          <w:sz w:val="24"/>
          <w:szCs w:val="28"/>
          <w:rtl/>
        </w:rPr>
        <w:t>وتتضمن ضعف إنفاذ القوانين البيئية، وعدم وجود حوافز حكومية كافية، ومحدودية الطلب في السوق على المنتجات الخضراء في بعض السياقات، ونقص الموردين الذين يقدمون مواد أو خدمات صديقة للبيئة (الدليمي، 2021، ص. 250).</w:t>
      </w:r>
    </w:p>
    <w:p w14:paraId="028C7CEB"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في السياق اليمني، من المرجح أن تكون المعوقات، خاصة المالية والتنظيمية والخارجية (ضعف التشريعات)، ذات تأثير كبير على شركات المقاولات. وهذا يضاعف من أهمية المحركات الداخلية، وعلى رأسها وجود قيادة مستدامة تمتلك الرؤية والإرادة للتغلب على هذه العقبات. فالقائد المستدام هو من يستطيع تحويل التحدي إلى فرصة، من خلال البحث عن حلول مبتكرة ومنخفضة التكلفة، وبناء الوعي لدى الموظفين، والتركيز على الفوائد طويلة الأمد للأداء الأخضر بدلاً من التركيز فقط على التكاليف الأولية.</w:t>
      </w:r>
    </w:p>
    <w:p w14:paraId="62A1059B"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p>
    <w:p w14:paraId="5660FB07" w14:textId="6C0E9E13" w:rsidR="006B40EB" w:rsidRPr="00065A5D" w:rsidRDefault="006B40EB" w:rsidP="00065A5D">
      <w:pPr>
        <w:spacing w:after="240" w:line="276" w:lineRule="auto"/>
        <w:ind w:firstLine="510"/>
        <w:jc w:val="center"/>
        <w:rPr>
          <w:rFonts w:ascii="Times New Roman" w:eastAsia="Calibri" w:hAnsi="Times New Roman" w:cs="Simplified Arabic"/>
          <w:b/>
          <w:bCs/>
          <w:sz w:val="28"/>
          <w:szCs w:val="32"/>
        </w:rPr>
      </w:pPr>
      <w:r w:rsidRPr="00065A5D">
        <w:rPr>
          <w:rFonts w:ascii="Times New Roman" w:eastAsia="Calibri" w:hAnsi="Times New Roman" w:cs="Simplified Arabic"/>
          <w:b/>
          <w:bCs/>
          <w:sz w:val="28"/>
          <w:szCs w:val="32"/>
          <w:rtl/>
        </w:rPr>
        <w:t>المبحث الثالث: العلاقة بين القيادة المستدامة والأداء التنظيمي الأخضر</w:t>
      </w:r>
    </w:p>
    <w:p w14:paraId="618B25B7" w14:textId="07D3373E"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يهدف هذا المبحث إلى بناء الجسر المفاهيمي بين المتغيرين المستقل والتابع، من خلال تحليل طبيعة العلاقة بينهما، واستعراض الآليات التي تؤثر من خلالها القيادة المستدامة على الأداء الأخضر، وتقديم نموذج نظري مقترح يوضح مسارات هذا التأثير، مع التركيز على خصوصية هذه العلاقة في قطاع المقاولات.</w:t>
      </w:r>
    </w:p>
    <w:p w14:paraId="3232C615"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أولاً: تأصيل العلاقة بين القيادة المستدامة والأداء التنظيمي الأخضر في الأدبيات</w:t>
      </w:r>
    </w:p>
    <w:p w14:paraId="60E5DCFB" w14:textId="2AC5EBF9"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تؤكد الأدبيات الإدارية المعاصرة على وجود علاقة سببية قوية ومباشرة بين القيادة والأداء البيئي للمنظمة. فالتحول نحو الاستدامة لا يحدث بشكل تلقائي أو عشوائي؛ بل يتطلب وجود قوة دافعة وموجهة تتمثل في قيادة واعية وملتزمة. وفي هذا السياق، تُعد القيادة المستدامة، على وجه </w:t>
      </w:r>
      <w:r w:rsidRPr="006B40EB">
        <w:rPr>
          <w:rFonts w:ascii="Times New Roman" w:eastAsia="Calibri" w:hAnsi="Times New Roman" w:cs="Simplified Arabic"/>
          <w:sz w:val="24"/>
          <w:szCs w:val="28"/>
          <w:rtl/>
        </w:rPr>
        <w:lastRenderedPageBreak/>
        <w:t xml:space="preserve">الخصوص، المتغير التفسيري الأكثر أهمية في قدرة المنظمة على تبني استراتيجيات خضراء ناجحة وتحقيق أداء بيئي متميز </w:t>
      </w:r>
      <w:r w:rsidRPr="006B40EB">
        <w:rPr>
          <w:rFonts w:ascii="Times New Roman" w:eastAsia="Calibri" w:hAnsi="Times New Roman" w:cs="Simplified Arabic"/>
          <w:sz w:val="24"/>
          <w:szCs w:val="28"/>
        </w:rPr>
        <w:t>(Iqbal et al., 2023)</w:t>
      </w:r>
      <w:r w:rsidRPr="006B40EB">
        <w:rPr>
          <w:rFonts w:ascii="Times New Roman" w:eastAsia="Calibri" w:hAnsi="Times New Roman" w:cs="Simplified Arabic"/>
          <w:sz w:val="24"/>
          <w:szCs w:val="28"/>
          <w:rtl/>
        </w:rPr>
        <w:t>.</w:t>
      </w:r>
    </w:p>
    <w:p w14:paraId="6D5B82B7" w14:textId="194CE7EF" w:rsidR="006B40EB" w:rsidRPr="006B40EB" w:rsidRDefault="006B40EB" w:rsidP="00794FC5">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وقد </w:t>
      </w:r>
      <w:r w:rsidR="00794FC5" w:rsidRPr="00794FC5">
        <w:rPr>
          <w:rFonts w:ascii="Times New Roman" w:eastAsia="Calibri" w:hAnsi="Times New Roman" w:cs="Simplified Arabic"/>
          <w:sz w:val="24"/>
          <w:szCs w:val="28"/>
          <w:rtl/>
        </w:rPr>
        <w:t>أظهرت دراسات تجريبية عديدة هذه العلاقة؛ فعلى سبيل المثال، وجدت دراسة (عيسى، 2023، ص. 165) أن القيادة المستدامة تؤدي دوراً وسيطاً كاملاً في العلاقة بين ممارسات الموارد البشرية الخضراء والأداء التنظيمي الأخضر، مما يعني أن تأثير تلك الممارسات لا يمكن أن يترجم إلى أداء فعلي دون وجود قيادة مستدامة توجهها وتدعمها. كما توصلت دراسة (</w:t>
      </w:r>
      <w:r w:rsidR="00794FC5" w:rsidRPr="00794FC5">
        <w:rPr>
          <w:rFonts w:ascii="Times New Roman" w:eastAsia="Calibri" w:hAnsi="Times New Roman" w:cs="Simplified Arabic"/>
          <w:sz w:val="24"/>
          <w:szCs w:val="28"/>
        </w:rPr>
        <w:t>Nisar et al., 2025, p. 514</w:t>
      </w:r>
      <w:r w:rsidR="00794FC5" w:rsidRPr="00794FC5">
        <w:rPr>
          <w:rFonts w:ascii="Times New Roman" w:eastAsia="Calibri" w:hAnsi="Times New Roman" w:cs="Simplified Arabic"/>
          <w:sz w:val="24"/>
          <w:szCs w:val="28"/>
          <w:rtl/>
        </w:rPr>
        <w:t>) إلى أن القيادة المستدامة تؤثر بشكل إيجابي ومباشر على الأداء البيئي للمنظمة. ويدعم هذا التوجه ما ذهب إليه (</w:t>
      </w:r>
      <w:r w:rsidR="00794FC5" w:rsidRPr="00794FC5">
        <w:rPr>
          <w:rFonts w:ascii="Times New Roman" w:eastAsia="Calibri" w:hAnsi="Times New Roman" w:cs="Simplified Arabic"/>
          <w:sz w:val="24"/>
          <w:szCs w:val="28"/>
        </w:rPr>
        <w:t>Singh et al., 2020, p. 8</w:t>
      </w:r>
      <w:r w:rsidR="00794FC5" w:rsidRPr="00794FC5">
        <w:rPr>
          <w:rFonts w:ascii="Times New Roman" w:eastAsia="Calibri" w:hAnsi="Times New Roman" w:cs="Simplified Arabic"/>
          <w:sz w:val="24"/>
          <w:szCs w:val="28"/>
          <w:rtl/>
        </w:rPr>
        <w:t>) من أن القيادة التحويلية الخضراء (وهي نمط قريب من القيادة المستدامة) تُعد محفزاً رئيسياً للابتكار الأخضر، والذي بدوره ينعكس إيجاباً على الأداء البيئي. وبالمثل، أكدت دراسة (الأغا والشاعر، 2023، ص. 22) على الدور الجوهري للقيادة المستدامة في تعزيز الأبعاد المختلفة للاستدامة التنظيمية، بما فيها البعد البيئي.</w:t>
      </w:r>
    </w:p>
    <w:p w14:paraId="6AB29825"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يتضح من هذا الاستعراض وجود شبه إجماع في الأدبيات الحديثة على أن القيادة المستدامة ليست مجرد عامل مساعد، بل هي شرط ضروري وممكّن أساسي لتحقيق الأداء التنظيمي الأخضر. فالقيادة هي التي تضع الرؤية، وتخصص الموارد، وتبني الثقافة، وتحفز الموظفين، وتدير العلاقات مع الأطراف الخارجية بطريقة تخدم الأهداف البيئية. وبدون هذا الدور القيادي الفاعل، تظل المبادرات الخضراء مجرد جهود مجزأة وقصيرة الأجل وغير قادرة على إحداث تغيير استراتيجي حقيقي ومستدام.</w:t>
      </w:r>
    </w:p>
    <w:p w14:paraId="6083B269"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ثانياً: آليات تأثير القيادة المستدامة في تعزيز الأداء التنظيمي الأخضر</w:t>
      </w:r>
    </w:p>
    <w:p w14:paraId="3760405C"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إن تأثير القيادة المستدامة على الأداء الأخضر لا يتم بشكل مباشر فحسب، بل من خلال مجموعة من الآليات والقنوات المترابطة التي تنبع من أبعادها الممارسة. ويمكن تفصيل هذه الآليات على النحو الآتي:</w:t>
      </w:r>
    </w:p>
    <w:p w14:paraId="0291D793" w14:textId="77777777" w:rsidR="006B40EB" w:rsidRPr="006B40EB" w:rsidRDefault="006B40EB" w:rsidP="006B40EB">
      <w:pPr>
        <w:numPr>
          <w:ilvl w:val="0"/>
          <w:numId w:val="7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دور الرؤية طويلة الأمد: </w:t>
      </w:r>
      <w:r w:rsidRPr="006B40EB">
        <w:rPr>
          <w:rFonts w:ascii="Times New Roman" w:eastAsia="Calibri" w:hAnsi="Times New Roman" w:cs="Simplified Arabic"/>
          <w:sz w:val="24"/>
          <w:szCs w:val="28"/>
          <w:rtl/>
        </w:rPr>
        <w:t xml:space="preserve">القادة الذين يتبنون رؤية طويلة الأمد يوجهون استراتيجيات المنظمة نحو الاستمرارية بدلاً من الربح قصير المدى. وهذا يدفعهم إلى تبرير وتخصيص الاستثمارات اللازمة في التقنيات النظيفة، وتطوير العمليات الموفرة للطاقة، واستخدام المواد المستدامة، </w:t>
      </w:r>
      <w:r w:rsidRPr="006B40EB">
        <w:rPr>
          <w:rFonts w:ascii="Times New Roman" w:eastAsia="Calibri" w:hAnsi="Times New Roman" w:cs="Simplified Arabic"/>
          <w:sz w:val="24"/>
          <w:szCs w:val="28"/>
          <w:rtl/>
        </w:rPr>
        <w:lastRenderedPageBreak/>
        <w:t xml:space="preserve">حتى لو كانت تكاليفها الأولية أعلى، إدراكاً منهم لعوائدها الاستراتيجية والبيئية المستقبلية </w:t>
      </w:r>
      <w:r w:rsidRPr="006B40EB">
        <w:rPr>
          <w:rFonts w:ascii="Times New Roman" w:eastAsia="Calibri" w:hAnsi="Times New Roman" w:cs="Simplified Arabic"/>
          <w:sz w:val="24"/>
          <w:szCs w:val="28"/>
        </w:rPr>
        <w:t>(Mehta et al., 2025, p. 3)</w:t>
      </w:r>
      <w:r w:rsidRPr="006B40EB">
        <w:rPr>
          <w:rFonts w:ascii="Times New Roman" w:eastAsia="Calibri" w:hAnsi="Times New Roman" w:cs="Simplified Arabic"/>
          <w:sz w:val="24"/>
          <w:szCs w:val="28"/>
          <w:rtl/>
        </w:rPr>
        <w:t>.</w:t>
      </w:r>
    </w:p>
    <w:p w14:paraId="3007E730" w14:textId="77777777" w:rsidR="006B40EB" w:rsidRPr="006B40EB" w:rsidRDefault="006B40EB" w:rsidP="006B40EB">
      <w:pPr>
        <w:numPr>
          <w:ilvl w:val="0"/>
          <w:numId w:val="7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تأثير المسؤولية البيئية والاجتماعية: </w:t>
      </w:r>
      <w:r w:rsidRPr="006B40EB">
        <w:rPr>
          <w:rFonts w:ascii="Times New Roman" w:eastAsia="Calibri" w:hAnsi="Times New Roman" w:cs="Simplified Arabic"/>
          <w:sz w:val="24"/>
          <w:szCs w:val="28"/>
          <w:rtl/>
        </w:rPr>
        <w:t xml:space="preserve">عندما يظهر القادة التزاماً حقيقياً بالمسؤولية البيئية، فإنهم يصبحون قدوة للموظفين، مما يعزز من سلوكياتهم البيئية الإيجابية. كما أن هذا الالتزام يدفع المنظمة إلى تجاوز مجرد الامتثال للقوانين، والسعي نحو تحقيق شهادات بيئية مرموقة (مثل </w:t>
      </w:r>
      <w:r w:rsidRPr="006B40EB">
        <w:rPr>
          <w:rFonts w:ascii="Times New Roman" w:eastAsia="Calibri" w:hAnsi="Times New Roman" w:cs="Simplified Arabic"/>
          <w:sz w:val="24"/>
          <w:szCs w:val="28"/>
        </w:rPr>
        <w:t>ISO 14001</w:t>
      </w:r>
      <w:r w:rsidRPr="006B40EB">
        <w:rPr>
          <w:rFonts w:ascii="Times New Roman" w:eastAsia="Calibri" w:hAnsi="Times New Roman" w:cs="Simplified Arabic"/>
          <w:sz w:val="24"/>
          <w:szCs w:val="28"/>
          <w:rtl/>
        </w:rPr>
        <w:t>)، وهو ما يحسن من سمعتها الخضراء ويفتح لها أسواقاً جديدة (</w:t>
      </w:r>
      <w:r w:rsidRPr="006B40EB">
        <w:rPr>
          <w:rFonts w:ascii="Times New Roman" w:eastAsia="Calibri" w:hAnsi="Times New Roman" w:cs="Simplified Arabic"/>
          <w:sz w:val="24"/>
          <w:szCs w:val="28"/>
        </w:rPr>
        <w:t>García-Morales et al., 2024, p. 1240</w:t>
      </w:r>
      <w:r w:rsidRPr="006B40EB">
        <w:rPr>
          <w:rFonts w:ascii="Times New Roman" w:eastAsia="Calibri" w:hAnsi="Times New Roman" w:cs="Simplified Arabic"/>
          <w:sz w:val="24"/>
          <w:szCs w:val="28"/>
          <w:rtl/>
        </w:rPr>
        <w:t>).</w:t>
      </w:r>
    </w:p>
    <w:p w14:paraId="3A3CEC8A" w14:textId="77777777" w:rsidR="006B40EB" w:rsidRPr="006B40EB" w:rsidRDefault="006B40EB" w:rsidP="006B40EB">
      <w:pPr>
        <w:numPr>
          <w:ilvl w:val="0"/>
          <w:numId w:val="7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دور تمكين الموظفين: </w:t>
      </w:r>
      <w:r w:rsidRPr="006B40EB">
        <w:rPr>
          <w:rFonts w:ascii="Times New Roman" w:eastAsia="Calibri" w:hAnsi="Times New Roman" w:cs="Simplified Arabic"/>
          <w:sz w:val="24"/>
          <w:szCs w:val="28"/>
          <w:rtl/>
        </w:rPr>
        <w:t xml:space="preserve">القائد المستدام يدرك أن الأفكار الخضراء يمكن أن تأتي من جميع مستويات المنظمة. فمن خلال تمكين الموظفين، وتشجيعهم على المبادرة، وإشراكهم في حل المشكلات البيئية، فإنه يطلق العنان لطاقاتهم الإبداعية، مما يؤدي إلى "ابتكار أخضر قاعدي" وتحسينات مستمرة في العمليات اليومية </w:t>
      </w:r>
      <w:r w:rsidRPr="006B40EB">
        <w:rPr>
          <w:rFonts w:ascii="Times New Roman" w:eastAsia="Calibri" w:hAnsi="Times New Roman" w:cs="Simplified Arabic"/>
          <w:sz w:val="24"/>
          <w:szCs w:val="28"/>
        </w:rPr>
        <w:t>(</w:t>
      </w:r>
      <w:proofErr w:type="spellStart"/>
      <w:r w:rsidRPr="006B40EB">
        <w:rPr>
          <w:rFonts w:ascii="Times New Roman" w:eastAsia="Calibri" w:hAnsi="Times New Roman" w:cs="Simplified Arabic"/>
          <w:sz w:val="24"/>
          <w:szCs w:val="28"/>
        </w:rPr>
        <w:t>Tuzcu</w:t>
      </w:r>
      <w:proofErr w:type="spellEnd"/>
      <w:r w:rsidRPr="006B40EB">
        <w:rPr>
          <w:rFonts w:ascii="Times New Roman" w:eastAsia="Calibri" w:hAnsi="Times New Roman" w:cs="Simplified Arabic"/>
          <w:sz w:val="24"/>
          <w:szCs w:val="28"/>
        </w:rPr>
        <w:t xml:space="preserve"> et al., 2024, p. 4995)</w:t>
      </w:r>
      <w:r w:rsidRPr="006B40EB">
        <w:rPr>
          <w:rFonts w:ascii="Times New Roman" w:eastAsia="Calibri" w:hAnsi="Times New Roman" w:cs="Simplified Arabic"/>
          <w:sz w:val="24"/>
          <w:szCs w:val="28"/>
          <w:rtl/>
        </w:rPr>
        <w:t>.</w:t>
      </w:r>
    </w:p>
    <w:p w14:paraId="4E4B3B48" w14:textId="760BE519" w:rsidR="006B40EB" w:rsidRPr="006B40EB" w:rsidRDefault="006B40EB" w:rsidP="006B40EB">
      <w:pPr>
        <w:numPr>
          <w:ilvl w:val="0"/>
          <w:numId w:val="7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أثر إشراك أصحاب المصلحة: </w:t>
      </w:r>
      <w:r w:rsidRPr="006B40EB">
        <w:rPr>
          <w:rFonts w:ascii="Times New Roman" w:eastAsia="Calibri" w:hAnsi="Times New Roman" w:cs="Simplified Arabic"/>
          <w:sz w:val="24"/>
          <w:szCs w:val="28"/>
          <w:rtl/>
        </w:rPr>
        <w:t xml:space="preserve">من خلال الحوار المستمر مع العملاء والموردين والمجتمع المحلي والجهات </w:t>
      </w:r>
      <w:r w:rsidR="00065A5D" w:rsidRPr="00065A5D">
        <w:rPr>
          <w:rFonts w:ascii="Times New Roman" w:eastAsia="Calibri" w:hAnsi="Times New Roman" w:cs="Simplified Arabic"/>
          <w:sz w:val="24"/>
          <w:szCs w:val="28"/>
          <w:rtl/>
        </w:rPr>
        <w:t>التنظيمية، يتمكن القائد المستدام من فهم التوقعات والضغوط البيئية الخارجية والاستجابة لها بفعالية. وهذا يمكّن المنظمة من بناء سلاسل إمداد خضراء، وتلبية طلب العملاء على المنتجات المستدامة، والحفاظ على "رخصة التشغيل الاجتماعية" (</w:t>
      </w:r>
      <w:r w:rsidR="00065A5D" w:rsidRPr="00065A5D">
        <w:rPr>
          <w:rFonts w:ascii="Times New Roman" w:eastAsia="Calibri" w:hAnsi="Times New Roman" w:cs="Simplified Arabic"/>
          <w:sz w:val="24"/>
          <w:szCs w:val="28"/>
        </w:rPr>
        <w:t>Khan and Mahmood, 2024, p. 1237</w:t>
      </w:r>
      <w:r w:rsidR="00065A5D" w:rsidRPr="00065A5D">
        <w:rPr>
          <w:rFonts w:ascii="Times New Roman" w:eastAsia="Calibri" w:hAnsi="Times New Roman" w:cs="Simplified Arabic"/>
          <w:sz w:val="24"/>
          <w:szCs w:val="28"/>
          <w:rtl/>
        </w:rPr>
        <w:t>).</w:t>
      </w:r>
    </w:p>
    <w:p w14:paraId="372E0822" w14:textId="77777777" w:rsidR="006B40EB" w:rsidRPr="006B40EB" w:rsidRDefault="006B40EB" w:rsidP="006B40EB">
      <w:pPr>
        <w:numPr>
          <w:ilvl w:val="0"/>
          <w:numId w:val="72"/>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دور الابتكار والجودة: </w:t>
      </w:r>
      <w:r w:rsidRPr="006B40EB">
        <w:rPr>
          <w:rFonts w:ascii="Times New Roman" w:eastAsia="Calibri" w:hAnsi="Times New Roman" w:cs="Simplified Arabic"/>
          <w:sz w:val="24"/>
          <w:szCs w:val="28"/>
          <w:rtl/>
        </w:rPr>
        <w:t xml:space="preserve">القيادة المستدامة تربط بشكل منهجي بين الاستدامة والابتكار. فهي تحفز فرق العمل على البحث عن حلول مبتكرة للمشكلات البيئية، مثل: تصميم منتجات قابلة لإعادة التدوير، أو تطوير عمليات تقلل من النفايات، مما يؤدي في النهاية إلى تحسين الأداء الأخضر والكفاءة التشغيلية في آن واحد </w:t>
      </w:r>
      <w:r w:rsidRPr="006B40EB">
        <w:rPr>
          <w:rFonts w:ascii="Times New Roman" w:eastAsia="Calibri" w:hAnsi="Times New Roman" w:cs="Simplified Arabic"/>
          <w:sz w:val="24"/>
          <w:szCs w:val="28"/>
        </w:rPr>
        <w:t>(Lehtimäki et al., 2025, p. 5)</w:t>
      </w:r>
      <w:r w:rsidRPr="006B40EB">
        <w:rPr>
          <w:rFonts w:ascii="Times New Roman" w:eastAsia="Calibri" w:hAnsi="Times New Roman" w:cs="Simplified Arabic"/>
          <w:sz w:val="24"/>
          <w:szCs w:val="28"/>
          <w:rtl/>
        </w:rPr>
        <w:t>.</w:t>
      </w:r>
    </w:p>
    <w:p w14:paraId="7BFAC50F"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إن هذه الآليات تعمل بشكل متكامل. فالرؤية التي يضعها القائد (الآلية 1) لا يمكن أن تتحقق دون موظفين ممكنين ومبدعين (الآلية 3) يعملون ضمن ثقافة المسؤولية (الآلية 2)، ويستجيبون لتوقعات أصحاب المصلحة (الآلية 4)، ويستخدمون الابتكار كأداة رئيسية (الآلية 5). وهذا يوضح أن تأثير القيادة المستدامة هو تأثير شمولي ومنهجي يطال كافة جوانب المنظمة.</w:t>
      </w:r>
    </w:p>
    <w:p w14:paraId="5E66BFF1"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ثالثاً: دور المتغيرات الوسيطة والمعدِّلة في العلاقة (منظور نظري)</w:t>
      </w:r>
    </w:p>
    <w:p w14:paraId="26DE652E"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 xml:space="preserve">لتقديم فهم أعمق وأكثر دقة للعلاقة، من المهم الإشارة إلى أن تأثير القيادة المستدامة على الأداء الأخضر قد لا يكون مباشراً بالكامل، بل قد يتم عبر متغيرات وسيطة </w:t>
      </w:r>
      <w:r w:rsidRPr="006B40EB">
        <w:rPr>
          <w:rFonts w:ascii="Times New Roman" w:eastAsia="Calibri" w:hAnsi="Times New Roman" w:cs="Simplified Arabic"/>
          <w:sz w:val="24"/>
          <w:szCs w:val="28"/>
        </w:rPr>
        <w:t>(Mediating Variables)</w:t>
      </w:r>
      <w:r w:rsidRPr="006B40EB">
        <w:rPr>
          <w:rFonts w:ascii="Times New Roman" w:eastAsia="Calibri" w:hAnsi="Times New Roman" w:cs="Simplified Arabic"/>
          <w:sz w:val="24"/>
          <w:szCs w:val="28"/>
          <w:rtl/>
        </w:rPr>
        <w:t xml:space="preserve">، كما قد تختلف قوة هذا التأثير باختلاف الظروف السياقية أو ما يعرف بالمتغيرات المعدِّلة </w:t>
      </w:r>
      <w:r w:rsidRPr="006B40EB">
        <w:rPr>
          <w:rFonts w:ascii="Times New Roman" w:eastAsia="Calibri" w:hAnsi="Times New Roman" w:cs="Simplified Arabic"/>
          <w:sz w:val="24"/>
          <w:szCs w:val="28"/>
        </w:rPr>
        <w:t>(Moderating Variables)</w:t>
      </w:r>
      <w:r w:rsidRPr="006B40EB">
        <w:rPr>
          <w:rFonts w:ascii="Times New Roman" w:eastAsia="Calibri" w:hAnsi="Times New Roman" w:cs="Simplified Arabic"/>
          <w:sz w:val="24"/>
          <w:szCs w:val="28"/>
          <w:rtl/>
        </w:rPr>
        <w:t>.</w:t>
      </w:r>
    </w:p>
    <w:p w14:paraId="3CDC6D61" w14:textId="77777777" w:rsidR="006B40EB" w:rsidRPr="006B40EB" w:rsidRDefault="006B40EB" w:rsidP="006B40EB">
      <w:pPr>
        <w:numPr>
          <w:ilvl w:val="0"/>
          <w:numId w:val="73"/>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المتغيرات الوسيطة المحتملة:</w:t>
      </w:r>
    </w:p>
    <w:p w14:paraId="6F5CE9A4" w14:textId="77777777" w:rsidR="006B40EB" w:rsidRPr="006B40EB" w:rsidRDefault="006B40EB" w:rsidP="006B40EB">
      <w:pPr>
        <w:numPr>
          <w:ilvl w:val="1"/>
          <w:numId w:val="73"/>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الابتكار الأخضر </w:t>
      </w:r>
      <w:r w:rsidRPr="006B40EB">
        <w:rPr>
          <w:rFonts w:ascii="Times New Roman" w:eastAsia="Calibri" w:hAnsi="Times New Roman" w:cs="Simplified Arabic"/>
          <w:b/>
          <w:bCs/>
          <w:sz w:val="24"/>
          <w:szCs w:val="28"/>
        </w:rPr>
        <w:t>(Green Innovation)</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يُعد من أهم المتغيرات الوسيطة. فالقيادة المستدامة لا تنتج أداءً أخضر بشكل مباشر، بل هي تخلق بيئة وثقافة تشجع على الابتكار الأخضر (في العمليات والمنتجات)، وهذا الابتكار هو الذي يؤدي بدوره إلى تحسين الأداء البيئي (</w:t>
      </w:r>
      <w:r w:rsidRPr="006B40EB">
        <w:rPr>
          <w:rFonts w:ascii="Times New Roman" w:eastAsia="Calibri" w:hAnsi="Times New Roman" w:cs="Simplified Arabic"/>
          <w:sz w:val="24"/>
          <w:szCs w:val="28"/>
        </w:rPr>
        <w:t>Asad et al., 2024, p. 2</w:t>
      </w:r>
      <w:r w:rsidRPr="006B40EB">
        <w:rPr>
          <w:rFonts w:ascii="Times New Roman" w:eastAsia="Calibri" w:hAnsi="Times New Roman" w:cs="Simplified Arabic"/>
          <w:sz w:val="24"/>
          <w:szCs w:val="28"/>
          <w:rtl/>
        </w:rPr>
        <w:t xml:space="preserve">؛ </w:t>
      </w:r>
      <w:r w:rsidRPr="006B40EB">
        <w:rPr>
          <w:rFonts w:ascii="Times New Roman" w:eastAsia="Calibri" w:hAnsi="Times New Roman" w:cs="Simplified Arabic"/>
          <w:sz w:val="24"/>
          <w:szCs w:val="28"/>
        </w:rPr>
        <w:t>Li et al., 2024, p. 12</w:t>
      </w:r>
      <w:r w:rsidRPr="006B40EB">
        <w:rPr>
          <w:rFonts w:ascii="Times New Roman" w:eastAsia="Calibri" w:hAnsi="Times New Roman" w:cs="Simplified Arabic"/>
          <w:sz w:val="24"/>
          <w:szCs w:val="28"/>
          <w:rtl/>
        </w:rPr>
        <w:t>).</w:t>
      </w:r>
    </w:p>
    <w:p w14:paraId="5A7C3CC0" w14:textId="18055AB8" w:rsidR="006B40EB" w:rsidRPr="006B40EB" w:rsidRDefault="006B40EB" w:rsidP="006B40EB">
      <w:pPr>
        <w:numPr>
          <w:ilvl w:val="1"/>
          <w:numId w:val="73"/>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الثقافة التنظيمية الخضراء </w:t>
      </w:r>
      <w:r w:rsidRPr="006B40EB">
        <w:rPr>
          <w:rFonts w:ascii="Times New Roman" w:eastAsia="Calibri" w:hAnsi="Times New Roman" w:cs="Simplified Arabic"/>
          <w:b/>
          <w:bCs/>
          <w:sz w:val="24"/>
          <w:szCs w:val="28"/>
        </w:rPr>
        <w:t>(Green Organizational Culture)</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يعمل القادة </w:t>
      </w:r>
      <w:proofErr w:type="spellStart"/>
      <w:r w:rsidRPr="006B40EB">
        <w:rPr>
          <w:rFonts w:ascii="Times New Roman" w:eastAsia="Calibri" w:hAnsi="Times New Roman" w:cs="Simplified Arabic"/>
          <w:sz w:val="24"/>
          <w:szCs w:val="28"/>
          <w:rtl/>
        </w:rPr>
        <w:t>المستدامون</w:t>
      </w:r>
      <w:proofErr w:type="spellEnd"/>
      <w:r w:rsidRPr="006B40EB">
        <w:rPr>
          <w:rFonts w:ascii="Times New Roman" w:eastAsia="Calibri" w:hAnsi="Times New Roman" w:cs="Simplified Arabic"/>
          <w:sz w:val="24"/>
          <w:szCs w:val="28"/>
          <w:rtl/>
        </w:rPr>
        <w:t xml:space="preserve"> على غرس قيم ومعتقدات بيئية مشتركة داخل المنظمة، مما يخلق ثقافة خضراء. وهذه الثقافة هي التي توجه سلوكيات الموظفين اليومية وتدفعهم لتبني ممارسات صديقة للبيئة بشكل طوعي، مما يتوسط العلاقة بين القيادة والأداء </w:t>
      </w:r>
      <w:r w:rsidRPr="006B40EB">
        <w:rPr>
          <w:rFonts w:ascii="Times New Roman" w:eastAsia="Calibri" w:hAnsi="Times New Roman" w:cs="Simplified Arabic"/>
          <w:sz w:val="24"/>
          <w:szCs w:val="28"/>
        </w:rPr>
        <w:t>(Iqbal et al., 2023)</w:t>
      </w:r>
      <w:r w:rsidRPr="006B40EB">
        <w:rPr>
          <w:rFonts w:ascii="Times New Roman" w:eastAsia="Calibri" w:hAnsi="Times New Roman" w:cs="Simplified Arabic"/>
          <w:sz w:val="24"/>
          <w:szCs w:val="28"/>
          <w:rtl/>
        </w:rPr>
        <w:t>.</w:t>
      </w:r>
    </w:p>
    <w:p w14:paraId="6B337B79" w14:textId="77777777" w:rsidR="006B40EB" w:rsidRPr="006B40EB" w:rsidRDefault="006B40EB" w:rsidP="006B40EB">
      <w:pPr>
        <w:numPr>
          <w:ilvl w:val="0"/>
          <w:numId w:val="73"/>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المتغيرات المعدِّلة المحتملة:</w:t>
      </w:r>
    </w:p>
    <w:p w14:paraId="3114B61D" w14:textId="77777777" w:rsidR="006B40EB" w:rsidRPr="006B40EB" w:rsidRDefault="006B40EB" w:rsidP="006B40EB">
      <w:pPr>
        <w:numPr>
          <w:ilvl w:val="1"/>
          <w:numId w:val="73"/>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الاضطراب البيئي </w:t>
      </w:r>
      <w:r w:rsidRPr="006B40EB">
        <w:rPr>
          <w:rFonts w:ascii="Times New Roman" w:eastAsia="Calibri" w:hAnsi="Times New Roman" w:cs="Simplified Arabic"/>
          <w:b/>
          <w:bCs/>
          <w:sz w:val="24"/>
          <w:szCs w:val="28"/>
        </w:rPr>
        <w:t>(Environmental Turbulence)</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في البيئات التي تتسم بدرجة عالية من عدم اليقين والتغير (مثل تقلب أسعار المواد، أو تغير التشريعات)، قد يكون دور القيادة المستدامة في توجيه السفينة نحو الأهداف الخضراء أكثر أهمية وحسماً. فقدرة القائد على التكيف ووضع رؤية واضحة تعزز من تأثير ممارساته على الأداء </w:t>
      </w:r>
      <w:r w:rsidRPr="006B40EB">
        <w:rPr>
          <w:rFonts w:ascii="Times New Roman" w:eastAsia="Calibri" w:hAnsi="Times New Roman" w:cs="Simplified Arabic"/>
          <w:sz w:val="24"/>
          <w:szCs w:val="28"/>
        </w:rPr>
        <w:t>(Asif and Bakar, 2025, p. 15)</w:t>
      </w:r>
      <w:r w:rsidRPr="006B40EB">
        <w:rPr>
          <w:rFonts w:ascii="Times New Roman" w:eastAsia="Calibri" w:hAnsi="Times New Roman" w:cs="Simplified Arabic"/>
          <w:sz w:val="24"/>
          <w:szCs w:val="28"/>
          <w:rtl/>
        </w:rPr>
        <w:t>.</w:t>
      </w:r>
    </w:p>
    <w:p w14:paraId="029B3268" w14:textId="77777777" w:rsidR="006B40EB" w:rsidRPr="006B40EB" w:rsidRDefault="006B40EB" w:rsidP="006B40EB">
      <w:pPr>
        <w:numPr>
          <w:ilvl w:val="1"/>
          <w:numId w:val="73"/>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ضغط أصحاب المصلحة </w:t>
      </w:r>
      <w:r w:rsidRPr="006B40EB">
        <w:rPr>
          <w:rFonts w:ascii="Times New Roman" w:eastAsia="Calibri" w:hAnsi="Times New Roman" w:cs="Simplified Arabic"/>
          <w:b/>
          <w:bCs/>
          <w:sz w:val="24"/>
          <w:szCs w:val="28"/>
        </w:rPr>
        <w:t>(Stakeholder Pressure)</w:t>
      </w:r>
      <w:r w:rsidRPr="006B40EB">
        <w:rPr>
          <w:rFonts w:ascii="Times New Roman" w:eastAsia="Calibri" w:hAnsi="Times New Roman" w:cs="Simplified Arabic"/>
          <w:b/>
          <w:bCs/>
          <w:sz w:val="24"/>
          <w:szCs w:val="28"/>
          <w:rtl/>
        </w:rPr>
        <w:t xml:space="preserve">: </w:t>
      </w:r>
      <w:r w:rsidRPr="006B40EB">
        <w:rPr>
          <w:rFonts w:ascii="Times New Roman" w:eastAsia="Calibri" w:hAnsi="Times New Roman" w:cs="Simplified Arabic"/>
          <w:sz w:val="24"/>
          <w:szCs w:val="28"/>
          <w:rtl/>
        </w:rPr>
        <w:t xml:space="preserve">عندما يكون ضغط العملاء أو المستثمرين أو المجتمع قوياً باتجاه تبني ممارسات خضراء، فإن جهود القائد </w:t>
      </w:r>
      <w:r w:rsidRPr="006B40EB">
        <w:rPr>
          <w:rFonts w:ascii="Times New Roman" w:eastAsia="Calibri" w:hAnsi="Times New Roman" w:cs="Simplified Arabic"/>
          <w:sz w:val="24"/>
          <w:szCs w:val="28"/>
          <w:rtl/>
        </w:rPr>
        <w:lastRenderedPageBreak/>
        <w:t>المستدام ستجد صدى أكبر وستترجم إلى تحسينات أسرع في الأداء الأخضر، مما يعني أن هذا الضغط يعدل ويقوي من العلاقة بين القيادة والأداء (</w:t>
      </w:r>
      <w:r w:rsidRPr="006B40EB">
        <w:rPr>
          <w:rFonts w:ascii="Times New Roman" w:eastAsia="Calibri" w:hAnsi="Times New Roman" w:cs="Simplified Arabic"/>
          <w:sz w:val="24"/>
          <w:szCs w:val="28"/>
        </w:rPr>
        <w:t>Anwar et al., 2024, p. 12</w:t>
      </w:r>
      <w:r w:rsidRPr="006B40EB">
        <w:rPr>
          <w:rFonts w:ascii="Times New Roman" w:eastAsia="Calibri" w:hAnsi="Times New Roman" w:cs="Simplified Arabic"/>
          <w:sz w:val="24"/>
          <w:szCs w:val="28"/>
          <w:rtl/>
        </w:rPr>
        <w:t>).</w:t>
      </w:r>
    </w:p>
    <w:p w14:paraId="16E97848"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تحليل الباحث: </w:t>
      </w:r>
      <w:r w:rsidRPr="006B40EB">
        <w:rPr>
          <w:rFonts w:ascii="Times New Roman" w:eastAsia="Calibri" w:hAnsi="Times New Roman" w:cs="Simplified Arabic"/>
          <w:sz w:val="24"/>
          <w:szCs w:val="28"/>
          <w:rtl/>
        </w:rPr>
        <w:t>إن إدراج هذه المتغيرات الوسيطة والمعدِّلة في التحليل النظري يضيف عمقاً وواقعية لفهم العلاقة. فهو يوضح أن القيادة المستدامة لا تعمل في فراغ، بل إن فعاليتها تعتمد على قدرتها على بناء قدرات داخلية (كالابتكار والثقافة) وتفاعلها مع الظروف الخارجية (كالاضطراب والضغوط). ورغم أن الدراسة الحالية تركز على العلاقة المباشرة، فإن هذا المنظور يفتح آفاقاً مهمة لدراسات مستقبلية.</w:t>
      </w:r>
    </w:p>
    <w:p w14:paraId="15B813FD"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رابعاً: خصوصية العلاقة في قطاع المقاولات</w:t>
      </w:r>
    </w:p>
    <w:p w14:paraId="51E3935F"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يكتسب تحليل العلاقة بين القيادة المستدامة والأداء الأخضر أهمية خاصة في قطاع المقاولات نظراً لخصائصه الفريدة:</w:t>
      </w:r>
    </w:p>
    <w:p w14:paraId="229981C6" w14:textId="77777777" w:rsidR="006B40EB" w:rsidRPr="006B40EB" w:rsidRDefault="006B40EB" w:rsidP="006B40EB">
      <w:pPr>
        <w:numPr>
          <w:ilvl w:val="0"/>
          <w:numId w:val="74"/>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الأثر البيئي الكبير: </w:t>
      </w:r>
      <w:r w:rsidRPr="006B40EB">
        <w:rPr>
          <w:rFonts w:ascii="Times New Roman" w:eastAsia="Calibri" w:hAnsi="Times New Roman" w:cs="Simplified Arabic"/>
          <w:sz w:val="24"/>
          <w:szCs w:val="28"/>
          <w:rtl/>
        </w:rPr>
        <w:t>يُعد القطاع من أكبر مستهلكي الموارد الطبيعية (مثل: الرمل، الحصى، المياه، الطاقة) ومن أكبر منتجي النفايات الصلبة. وهذا يجعل من دور القائد في تبني ممارسات لترشيد الاستهلاك وإدارة النفايات (كفاءة العمليات الخضراء وإدارة النفايات) أمراً حاسماً ومباشر التأثير.</w:t>
      </w:r>
    </w:p>
    <w:p w14:paraId="76144FBC" w14:textId="77777777" w:rsidR="006B40EB" w:rsidRPr="006B40EB" w:rsidRDefault="006B40EB" w:rsidP="006B40EB">
      <w:pPr>
        <w:numPr>
          <w:ilvl w:val="0"/>
          <w:numId w:val="74"/>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طبيعة العمل القائمة على المشاريع: </w:t>
      </w:r>
      <w:r w:rsidRPr="006B40EB">
        <w:rPr>
          <w:rFonts w:ascii="Times New Roman" w:eastAsia="Calibri" w:hAnsi="Times New Roman" w:cs="Simplified Arabic"/>
          <w:sz w:val="24"/>
          <w:szCs w:val="28"/>
          <w:rtl/>
        </w:rPr>
        <w:t>تتطلب إدارة كل مشروع على حدة اتخاذ قرارات ميدانية مستمرة. وهنا يبرز دور القائد المستدام في تمكين مديري المشاريع والمهندسين من اتخاذ قرارات صديقة للبيئة في الموقع، مثل: اختيار مواد بديلة، أو تحسين لوجستيات النقل لتقليل الانبعاثات.</w:t>
      </w:r>
    </w:p>
    <w:p w14:paraId="0443D217" w14:textId="77777777" w:rsidR="006B40EB" w:rsidRPr="006B40EB" w:rsidRDefault="006B40EB" w:rsidP="006B40EB">
      <w:pPr>
        <w:numPr>
          <w:ilvl w:val="0"/>
          <w:numId w:val="74"/>
        </w:numPr>
        <w:spacing w:after="240" w:line="276" w:lineRule="auto"/>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t xml:space="preserve">سلاسل الإمداد المعقدة: </w:t>
      </w:r>
      <w:r w:rsidRPr="006B40EB">
        <w:rPr>
          <w:rFonts w:ascii="Times New Roman" w:eastAsia="Calibri" w:hAnsi="Times New Roman" w:cs="Simplified Arabic"/>
          <w:sz w:val="24"/>
          <w:szCs w:val="28"/>
          <w:rtl/>
        </w:rPr>
        <w:t>يعتمد القطاع على شبكة واسعة من الموردين والمقاولين من الباطن. ويتجلى دور القائد المستدام في ممارسة "إشراك أصحاب المصلحة" من خلال التأثير على هؤلاء الشركاء وتشجيعهم على تبني معايير بيئية، مما يخلق تأثيراً مضاعفاً على الأداء الأخضر للسلسلة بأكملها.</w:t>
      </w:r>
    </w:p>
    <w:p w14:paraId="38DF7A52" w14:textId="77777777" w:rsidR="006B40EB" w:rsidRPr="006B40EB" w:rsidRDefault="006B40EB" w:rsidP="006B40EB">
      <w:pPr>
        <w:spacing w:after="24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b/>
          <w:bCs/>
          <w:sz w:val="24"/>
          <w:szCs w:val="28"/>
          <w:rtl/>
        </w:rPr>
        <w:lastRenderedPageBreak/>
        <w:t xml:space="preserve">تحليل الباحث: </w:t>
      </w:r>
      <w:r w:rsidRPr="006B40EB">
        <w:rPr>
          <w:rFonts w:ascii="Times New Roman" w:eastAsia="Calibri" w:hAnsi="Times New Roman" w:cs="Simplified Arabic"/>
          <w:sz w:val="24"/>
          <w:szCs w:val="28"/>
          <w:rtl/>
        </w:rPr>
        <w:t>في قطاع المقاولات، لا يمكن أن تكون القيادة المستدامة مجرد مفهوم استراتيجي يُناقش في المكاتب العليا، بل يجب أن تترجم إلى إجراءات وممارسات ملموسة في كل موقع من مواقع المشاريع. فالقائد المستدام في هذا القطاع هو من ينجح في تحويل كل مشروع إلى "مشروع أخضر"، من خلال دمج الأبعاد البيئية في كافة مراحل المشروع: من التصميم، إلى شراء المواد، إلى التنفيذ، وحتى التسليم.</w:t>
      </w:r>
    </w:p>
    <w:p w14:paraId="4B5C8848" w14:textId="3365FFCD" w:rsidR="006B40EB" w:rsidRPr="006B40EB" w:rsidRDefault="006B40EB" w:rsidP="006B40EB">
      <w:pPr>
        <w:spacing w:after="240" w:line="276" w:lineRule="auto"/>
        <w:ind w:firstLine="510"/>
        <w:jc w:val="both"/>
        <w:rPr>
          <w:rFonts w:ascii="Times New Roman" w:eastAsia="Calibri" w:hAnsi="Times New Roman" w:cs="Simplified Arabic"/>
          <w:b/>
          <w:bCs/>
          <w:sz w:val="24"/>
          <w:szCs w:val="28"/>
        </w:rPr>
      </w:pPr>
      <w:r w:rsidRPr="006B40EB">
        <w:rPr>
          <w:rFonts w:ascii="Times New Roman" w:eastAsia="Calibri" w:hAnsi="Times New Roman" w:cs="Simplified Arabic"/>
          <w:b/>
          <w:bCs/>
          <w:sz w:val="24"/>
          <w:szCs w:val="28"/>
          <w:rtl/>
        </w:rPr>
        <w:t>خاتمة الإطار النظري</w:t>
      </w:r>
    </w:p>
    <w:p w14:paraId="37E50E65" w14:textId="77777777" w:rsidR="006B40EB" w:rsidRPr="006B40EB" w:rsidRDefault="006B40EB" w:rsidP="00833038">
      <w:pPr>
        <w:spacing w:after="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يتضح مما سبق أن الإطار النظري قد أرسى أساساً معرفياً متيناً لفهم متغيرات الدراسة والعلاقة المقترحة بينها. فمن خلال المباحث الثلاثة، تم تفكيك مفهوم "القيادة المستدامة"، وتأصيله ضمن نظريات إدارية راسخة كنظرية أصحاب المصلحة ونظرية الإشراف، مما أبرزها ليس كنمط إداري فحسب، بل كفلسفة استراتيجية ضرورية لمنظمات القرن الحادي والعشرين. وبالمثل، تم تحليل مفهوم "الأداء التنظيمي الأخضر" كغاية استراتيجية ومحصلة نهائية لجهود المنظمة البيئية، مع الاستناد إلى نظريات مفسرة لدوافعه، كنظرية المنظمة القائمة على الموارد والنظرية المؤسسية.</w:t>
      </w:r>
    </w:p>
    <w:p w14:paraId="6966032B" w14:textId="77777777" w:rsidR="006B40EB" w:rsidRPr="006B40EB" w:rsidRDefault="006B40EB" w:rsidP="00833038">
      <w:pPr>
        <w:spacing w:after="0" w:line="276" w:lineRule="auto"/>
        <w:ind w:firstLine="510"/>
        <w:jc w:val="both"/>
        <w:rPr>
          <w:rFonts w:ascii="Times New Roman" w:eastAsia="Calibri" w:hAnsi="Times New Roman" w:cs="Simplified Arabic"/>
          <w:sz w:val="24"/>
          <w:szCs w:val="28"/>
        </w:rPr>
      </w:pPr>
      <w:r w:rsidRPr="006B40EB">
        <w:rPr>
          <w:rFonts w:ascii="Times New Roman" w:eastAsia="Calibri" w:hAnsi="Times New Roman" w:cs="Simplified Arabic"/>
          <w:sz w:val="24"/>
          <w:szCs w:val="28"/>
          <w:rtl/>
        </w:rPr>
        <w:t>ويخلص الإطار النظري إلى أن العلاقة بين القيادة المستدامة والأداء التنظيمي الأخضر هي علاقة سببية وتكاملية؛ فالقيادة المستدامة، بأبعادها المتمثلة في الرؤية طويلة الأمد والمسؤولية الشاملة وتمكين الموظفين والابتكار، تُعد المحرك الأساسي والقوة الدافعة التي تمكّن المنظمة من بناء القدرات وتبني الممارسات اللازمة لتحقيق أداء أخضر متميز. وقد تُوج هذا التحليل النظري بتقديم نموذج فرضي يوضح مسارات التأثير المقترحة، والذي سيشكل خارطة الطريق للاختبار التجريبي في الجزء الميداني من هذه الدراسة.</w:t>
      </w:r>
    </w:p>
    <w:p w14:paraId="1D46CE76" w14:textId="2B0CE12C" w:rsidR="00586478" w:rsidRPr="00B14A8D" w:rsidRDefault="006B40EB" w:rsidP="00833038">
      <w:pPr>
        <w:spacing w:after="0" w:line="276" w:lineRule="auto"/>
        <w:ind w:firstLine="510"/>
        <w:jc w:val="both"/>
        <w:rPr>
          <w:rFonts w:ascii="Times New Roman" w:eastAsia="Calibri" w:hAnsi="Times New Roman" w:cs="Simplified Arabic"/>
          <w:sz w:val="24"/>
          <w:szCs w:val="28"/>
          <w:rtl/>
        </w:rPr>
      </w:pPr>
      <w:r w:rsidRPr="006B40EB">
        <w:rPr>
          <w:rFonts w:ascii="Times New Roman" w:eastAsia="Calibri" w:hAnsi="Times New Roman" w:cs="Simplified Arabic"/>
          <w:sz w:val="24"/>
          <w:szCs w:val="28"/>
          <w:rtl/>
        </w:rPr>
        <w:t>وبعد أن تم إرساء هذه الدعائم النظرية، سينتقل الفصل في محوره الثاني إلى استعراض وتحليل الدراسات السابقة ذات الصلة، بهدف تحديد موقع الدراسة الحالية ضمن الحقل المعرفي، وتأكيد الفجوة البحثية التي تسعى إلى سدها.</w:t>
      </w:r>
      <w:r w:rsidR="00AF10DA" w:rsidRPr="00B14A8D">
        <w:rPr>
          <w:rFonts w:ascii="Times New Roman" w:eastAsia="Calibri" w:hAnsi="Times New Roman" w:cs="Simplified Arabic"/>
          <w:sz w:val="24"/>
          <w:szCs w:val="28"/>
          <w:rtl/>
        </w:rPr>
        <w:t xml:space="preserve"> </w:t>
      </w:r>
      <w:bookmarkEnd w:id="5"/>
    </w:p>
    <w:p w14:paraId="4CC2C96B" w14:textId="7AD5DEAB" w:rsidR="00217D8D" w:rsidRPr="00B14A8D" w:rsidRDefault="00217D8D" w:rsidP="00E214FC">
      <w:pPr>
        <w:spacing w:after="240" w:line="276" w:lineRule="auto"/>
        <w:jc w:val="both"/>
        <w:rPr>
          <w:rFonts w:ascii="Times New Roman" w:eastAsia="Calibri" w:hAnsi="Times New Roman" w:cs="Simplified Arabic"/>
          <w:sz w:val="24"/>
          <w:szCs w:val="28"/>
          <w:rtl/>
        </w:rPr>
      </w:pPr>
    </w:p>
    <w:p w14:paraId="32AD0747" w14:textId="669F4BA6" w:rsidR="00794FC5" w:rsidRDefault="00794FC5">
      <w:pPr>
        <w:bidi w:val="0"/>
        <w:spacing w:after="200" w:line="276" w:lineRule="auto"/>
        <w:rPr>
          <w:rFonts w:ascii="Times New Roman" w:eastAsia="Calibri" w:hAnsi="Times New Roman" w:cs="Simplified Arabic"/>
          <w:b/>
          <w:bCs/>
          <w:sz w:val="24"/>
          <w:szCs w:val="70"/>
        </w:rPr>
      </w:pPr>
      <w:bookmarkStart w:id="6" w:name="_Hlk200814431"/>
      <w:bookmarkEnd w:id="6"/>
    </w:p>
    <w:sectPr w:rsidR="00794FC5"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2BAC2" w14:textId="77777777" w:rsidR="0043029A" w:rsidRDefault="0043029A">
      <w:pPr>
        <w:spacing w:after="0" w:line="240" w:lineRule="auto"/>
      </w:pPr>
      <w:r>
        <w:separator/>
      </w:r>
    </w:p>
  </w:endnote>
  <w:endnote w:type="continuationSeparator" w:id="0">
    <w:p w14:paraId="37B38741" w14:textId="77777777" w:rsidR="0043029A" w:rsidRDefault="00430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29636" w14:textId="77777777" w:rsidR="0043029A" w:rsidRDefault="0043029A">
      <w:pPr>
        <w:spacing w:after="0" w:line="240" w:lineRule="auto"/>
      </w:pPr>
      <w:r>
        <w:separator/>
      </w:r>
    </w:p>
  </w:footnote>
  <w:footnote w:type="continuationSeparator" w:id="0">
    <w:p w14:paraId="60BCBCFE" w14:textId="77777777" w:rsidR="0043029A" w:rsidRDefault="004302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07B6"/>
    <w:multiLevelType w:val="multilevel"/>
    <w:tmpl w:val="1550F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27C31"/>
    <w:multiLevelType w:val="multilevel"/>
    <w:tmpl w:val="5A528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E84CB8"/>
    <w:multiLevelType w:val="multilevel"/>
    <w:tmpl w:val="FCF85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C77BAB"/>
    <w:multiLevelType w:val="hybridMultilevel"/>
    <w:tmpl w:val="381C176E"/>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6"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896DD1"/>
    <w:multiLevelType w:val="multilevel"/>
    <w:tmpl w:val="854E75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815E85"/>
    <w:multiLevelType w:val="multilevel"/>
    <w:tmpl w:val="A282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0815A1"/>
    <w:multiLevelType w:val="multilevel"/>
    <w:tmpl w:val="CD62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465FA6"/>
    <w:multiLevelType w:val="multilevel"/>
    <w:tmpl w:val="6B7E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FA4185"/>
    <w:multiLevelType w:val="multilevel"/>
    <w:tmpl w:val="ACEE9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9C71BD"/>
    <w:multiLevelType w:val="multilevel"/>
    <w:tmpl w:val="42F62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185B69"/>
    <w:multiLevelType w:val="multilevel"/>
    <w:tmpl w:val="311C7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5558D2"/>
    <w:multiLevelType w:val="multilevel"/>
    <w:tmpl w:val="6B96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1C4136"/>
    <w:multiLevelType w:val="multilevel"/>
    <w:tmpl w:val="D34A6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C212B6"/>
    <w:multiLevelType w:val="multilevel"/>
    <w:tmpl w:val="E9202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5F6ED7"/>
    <w:multiLevelType w:val="multilevel"/>
    <w:tmpl w:val="E88CD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920AAF"/>
    <w:multiLevelType w:val="multilevel"/>
    <w:tmpl w:val="28C6A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07056F"/>
    <w:multiLevelType w:val="multilevel"/>
    <w:tmpl w:val="23C48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A47D42"/>
    <w:multiLevelType w:val="multilevel"/>
    <w:tmpl w:val="50285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1D2297D"/>
    <w:multiLevelType w:val="multilevel"/>
    <w:tmpl w:val="A16AF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32"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701044A"/>
    <w:multiLevelType w:val="multilevel"/>
    <w:tmpl w:val="52504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813A2D"/>
    <w:multiLevelType w:val="multilevel"/>
    <w:tmpl w:val="01545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BB4974"/>
    <w:multiLevelType w:val="multilevel"/>
    <w:tmpl w:val="78D4D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D72881"/>
    <w:multiLevelType w:val="multilevel"/>
    <w:tmpl w:val="1D34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503DC7"/>
    <w:multiLevelType w:val="multilevel"/>
    <w:tmpl w:val="5AEC9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3EB770A"/>
    <w:multiLevelType w:val="multilevel"/>
    <w:tmpl w:val="24F6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C405F9"/>
    <w:multiLevelType w:val="multilevel"/>
    <w:tmpl w:val="975AF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4E4F36"/>
    <w:multiLevelType w:val="multilevel"/>
    <w:tmpl w:val="4406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880833"/>
    <w:multiLevelType w:val="multilevel"/>
    <w:tmpl w:val="8EA0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AC007D2"/>
    <w:multiLevelType w:val="multilevel"/>
    <w:tmpl w:val="4BAE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795FF3"/>
    <w:multiLevelType w:val="multilevel"/>
    <w:tmpl w:val="6C0C7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0B6FFD"/>
    <w:multiLevelType w:val="multilevel"/>
    <w:tmpl w:val="F3CE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EC95C22"/>
    <w:multiLevelType w:val="multilevel"/>
    <w:tmpl w:val="92A0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55" w15:restartNumberingAfterBreak="0">
    <w:nsid w:val="42E74D46"/>
    <w:multiLevelType w:val="multilevel"/>
    <w:tmpl w:val="61FEA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31715BA"/>
    <w:multiLevelType w:val="multilevel"/>
    <w:tmpl w:val="5A665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1F5F41"/>
    <w:multiLevelType w:val="multilevel"/>
    <w:tmpl w:val="3A507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64176E0"/>
    <w:multiLevelType w:val="multilevel"/>
    <w:tmpl w:val="93824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7250817"/>
    <w:multiLevelType w:val="multilevel"/>
    <w:tmpl w:val="FEF0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7A138CF"/>
    <w:multiLevelType w:val="multilevel"/>
    <w:tmpl w:val="50007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8757AA8"/>
    <w:multiLevelType w:val="multilevel"/>
    <w:tmpl w:val="8F8C8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A77711A"/>
    <w:multiLevelType w:val="hybridMultilevel"/>
    <w:tmpl w:val="6C986D08"/>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65"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CD53F4E"/>
    <w:multiLevelType w:val="multilevel"/>
    <w:tmpl w:val="93F6D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01D2691"/>
    <w:multiLevelType w:val="multilevel"/>
    <w:tmpl w:val="9196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203E5C"/>
    <w:multiLevelType w:val="multilevel"/>
    <w:tmpl w:val="FF9E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AD1B54"/>
    <w:multiLevelType w:val="multilevel"/>
    <w:tmpl w:val="4BA4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7" w15:restartNumberingAfterBreak="0">
    <w:nsid w:val="57C61560"/>
    <w:multiLevelType w:val="multilevel"/>
    <w:tmpl w:val="71101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79" w15:restartNumberingAfterBreak="0">
    <w:nsid w:val="58C845FE"/>
    <w:multiLevelType w:val="multilevel"/>
    <w:tmpl w:val="E5323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C723E01"/>
    <w:multiLevelType w:val="hybridMultilevel"/>
    <w:tmpl w:val="E62EF5A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1" w15:restartNumberingAfterBreak="0">
    <w:nsid w:val="5CEE51E2"/>
    <w:multiLevelType w:val="multilevel"/>
    <w:tmpl w:val="3D123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F4772C0"/>
    <w:multiLevelType w:val="multilevel"/>
    <w:tmpl w:val="FEEC3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14B4DCA"/>
    <w:multiLevelType w:val="multilevel"/>
    <w:tmpl w:val="EC2E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21C25A6"/>
    <w:multiLevelType w:val="multilevel"/>
    <w:tmpl w:val="F5D6C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23975FB"/>
    <w:multiLevelType w:val="multilevel"/>
    <w:tmpl w:val="FAD8D9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3574DDA"/>
    <w:multiLevelType w:val="hybridMultilevel"/>
    <w:tmpl w:val="F1201E20"/>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92" w15:restartNumberingAfterBreak="0">
    <w:nsid w:val="648B0266"/>
    <w:multiLevelType w:val="multilevel"/>
    <w:tmpl w:val="8656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5AD57CF"/>
    <w:multiLevelType w:val="multilevel"/>
    <w:tmpl w:val="E990C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6941482"/>
    <w:multiLevelType w:val="hybridMultilevel"/>
    <w:tmpl w:val="039CC5F8"/>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97" w15:restartNumberingAfterBreak="0">
    <w:nsid w:val="66F45A57"/>
    <w:multiLevelType w:val="multilevel"/>
    <w:tmpl w:val="053AD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501C32"/>
    <w:multiLevelType w:val="multilevel"/>
    <w:tmpl w:val="B0BA5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1080275"/>
    <w:multiLevelType w:val="multilevel"/>
    <w:tmpl w:val="CB22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90076B"/>
    <w:multiLevelType w:val="multilevel"/>
    <w:tmpl w:val="8526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8F22ADF"/>
    <w:multiLevelType w:val="hybridMultilevel"/>
    <w:tmpl w:val="B78E5E62"/>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109" w15:restartNumberingAfterBreak="0">
    <w:nsid w:val="7A0B568D"/>
    <w:multiLevelType w:val="multilevel"/>
    <w:tmpl w:val="348C3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CF22298"/>
    <w:multiLevelType w:val="hybridMultilevel"/>
    <w:tmpl w:val="C6A8D40A"/>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11" w15:restartNumberingAfterBreak="0">
    <w:nsid w:val="7EA43520"/>
    <w:multiLevelType w:val="multilevel"/>
    <w:tmpl w:val="A07882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8293">
    <w:abstractNumId w:val="54"/>
  </w:num>
  <w:num w:numId="2" w16cid:durableId="2129541181">
    <w:abstractNumId w:val="31"/>
  </w:num>
  <w:num w:numId="3" w16cid:durableId="1352954896">
    <w:abstractNumId w:val="76"/>
  </w:num>
  <w:num w:numId="4" w16cid:durableId="1463964379">
    <w:abstractNumId w:val="82"/>
  </w:num>
  <w:num w:numId="5" w16cid:durableId="1852523126">
    <w:abstractNumId w:val="101"/>
  </w:num>
  <w:num w:numId="6" w16cid:durableId="650252179">
    <w:abstractNumId w:val="2"/>
  </w:num>
  <w:num w:numId="7" w16cid:durableId="251861357">
    <w:abstractNumId w:val="93"/>
  </w:num>
  <w:num w:numId="8" w16cid:durableId="13195516">
    <w:abstractNumId w:val="15"/>
  </w:num>
  <w:num w:numId="9" w16cid:durableId="504319135">
    <w:abstractNumId w:val="107"/>
  </w:num>
  <w:num w:numId="10" w16cid:durableId="1957517621">
    <w:abstractNumId w:val="33"/>
  </w:num>
  <w:num w:numId="11" w16cid:durableId="1966420689">
    <w:abstractNumId w:val="7"/>
  </w:num>
  <w:num w:numId="12" w16cid:durableId="322703937">
    <w:abstractNumId w:val="43"/>
  </w:num>
  <w:num w:numId="13" w16cid:durableId="2142266153">
    <w:abstractNumId w:val="104"/>
  </w:num>
  <w:num w:numId="14" w16cid:durableId="490563651">
    <w:abstractNumId w:val="85"/>
  </w:num>
  <w:num w:numId="15" w16cid:durableId="1968315205">
    <w:abstractNumId w:val="74"/>
  </w:num>
  <w:num w:numId="16" w16cid:durableId="51000871">
    <w:abstractNumId w:val="98"/>
  </w:num>
  <w:num w:numId="17" w16cid:durableId="159466258">
    <w:abstractNumId w:val="25"/>
  </w:num>
  <w:num w:numId="18" w16cid:durableId="1732188788">
    <w:abstractNumId w:val="50"/>
  </w:num>
  <w:num w:numId="19" w16cid:durableId="2013948564">
    <w:abstractNumId w:val="6"/>
  </w:num>
  <w:num w:numId="20" w16cid:durableId="1056006242">
    <w:abstractNumId w:val="102"/>
  </w:num>
  <w:num w:numId="21" w16cid:durableId="352196021">
    <w:abstractNumId w:val="57"/>
  </w:num>
  <w:num w:numId="22" w16cid:durableId="919950166">
    <w:abstractNumId w:val="61"/>
  </w:num>
  <w:num w:numId="23" w16cid:durableId="967858425">
    <w:abstractNumId w:val="66"/>
  </w:num>
  <w:num w:numId="24" w16cid:durableId="937979412">
    <w:abstractNumId w:val="21"/>
  </w:num>
  <w:num w:numId="25" w16cid:durableId="735781023">
    <w:abstractNumId w:val="72"/>
  </w:num>
  <w:num w:numId="26" w16cid:durableId="2146964918">
    <w:abstractNumId w:val="106"/>
  </w:num>
  <w:num w:numId="27" w16cid:durableId="652686835">
    <w:abstractNumId w:val="36"/>
  </w:num>
  <w:num w:numId="28" w16cid:durableId="1367413872">
    <w:abstractNumId w:val="44"/>
  </w:num>
  <w:num w:numId="29" w16cid:durableId="294338633">
    <w:abstractNumId w:val="95"/>
  </w:num>
  <w:num w:numId="30" w16cid:durableId="1761024022">
    <w:abstractNumId w:val="86"/>
  </w:num>
  <w:num w:numId="31" w16cid:durableId="72941838">
    <w:abstractNumId w:val="71"/>
  </w:num>
  <w:num w:numId="32" w16cid:durableId="125440643">
    <w:abstractNumId w:val="47"/>
  </w:num>
  <w:num w:numId="33" w16cid:durableId="2090497330">
    <w:abstractNumId w:val="17"/>
  </w:num>
  <w:num w:numId="34" w16cid:durableId="1370761751">
    <w:abstractNumId w:val="41"/>
  </w:num>
  <w:num w:numId="35" w16cid:durableId="1568177666">
    <w:abstractNumId w:val="65"/>
  </w:num>
  <w:num w:numId="36" w16cid:durableId="503781703">
    <w:abstractNumId w:val="90"/>
  </w:num>
  <w:num w:numId="37" w16cid:durableId="1317949551">
    <w:abstractNumId w:val="88"/>
  </w:num>
  <w:num w:numId="38" w16cid:durableId="768769799">
    <w:abstractNumId w:val="9"/>
  </w:num>
  <w:num w:numId="39" w16cid:durableId="518660538">
    <w:abstractNumId w:val="8"/>
  </w:num>
  <w:num w:numId="40" w16cid:durableId="874512468">
    <w:abstractNumId w:val="30"/>
  </w:num>
  <w:num w:numId="41" w16cid:durableId="2095855828">
    <w:abstractNumId w:val="68"/>
  </w:num>
  <w:num w:numId="42" w16cid:durableId="1987123039">
    <w:abstractNumId w:val="69"/>
  </w:num>
  <w:num w:numId="43" w16cid:durableId="365717571">
    <w:abstractNumId w:val="52"/>
  </w:num>
  <w:num w:numId="44" w16cid:durableId="467432745">
    <w:abstractNumId w:val="32"/>
  </w:num>
  <w:num w:numId="45" w16cid:durableId="1726488743">
    <w:abstractNumId w:val="4"/>
  </w:num>
  <w:num w:numId="46" w16cid:durableId="1406565027">
    <w:abstractNumId w:val="18"/>
  </w:num>
  <w:num w:numId="47" w16cid:durableId="2023628543">
    <w:abstractNumId w:val="78"/>
  </w:num>
  <w:num w:numId="48" w16cid:durableId="1764840132">
    <w:abstractNumId w:val="100"/>
  </w:num>
  <w:num w:numId="49" w16cid:durableId="1092550910">
    <w:abstractNumId w:val="105"/>
  </w:num>
  <w:num w:numId="50" w16cid:durableId="1935700752">
    <w:abstractNumId w:val="55"/>
  </w:num>
  <w:num w:numId="51" w16cid:durableId="1958365315">
    <w:abstractNumId w:val="24"/>
  </w:num>
  <w:num w:numId="52" w16cid:durableId="1753312205">
    <w:abstractNumId w:val="26"/>
  </w:num>
  <w:num w:numId="53" w16cid:durableId="2132017664">
    <w:abstractNumId w:val="103"/>
  </w:num>
  <w:num w:numId="54" w16cid:durableId="1474373959">
    <w:abstractNumId w:val="79"/>
  </w:num>
  <w:num w:numId="55" w16cid:durableId="1596941635">
    <w:abstractNumId w:val="59"/>
  </w:num>
  <w:num w:numId="56" w16cid:durableId="533076830">
    <w:abstractNumId w:val="10"/>
  </w:num>
  <w:num w:numId="57" w16cid:durableId="1568540293">
    <w:abstractNumId w:val="13"/>
  </w:num>
  <w:num w:numId="58" w16cid:durableId="39138214">
    <w:abstractNumId w:val="75"/>
  </w:num>
  <w:num w:numId="59" w16cid:durableId="1513297167">
    <w:abstractNumId w:val="29"/>
  </w:num>
  <w:num w:numId="60" w16cid:durableId="1958103379">
    <w:abstractNumId w:val="60"/>
  </w:num>
  <w:num w:numId="61" w16cid:durableId="2105683648">
    <w:abstractNumId w:val="45"/>
  </w:num>
  <w:num w:numId="62" w16cid:durableId="803042987">
    <w:abstractNumId w:val="94"/>
  </w:num>
  <w:num w:numId="63" w16cid:durableId="1930506459">
    <w:abstractNumId w:val="73"/>
  </w:num>
  <w:num w:numId="64" w16cid:durableId="2071922663">
    <w:abstractNumId w:val="12"/>
  </w:num>
  <w:num w:numId="65" w16cid:durableId="1708219826">
    <w:abstractNumId w:val="99"/>
  </w:num>
  <w:num w:numId="66" w16cid:durableId="652104814">
    <w:abstractNumId w:val="56"/>
  </w:num>
  <w:num w:numId="67" w16cid:durableId="1834106197">
    <w:abstractNumId w:val="67"/>
  </w:num>
  <w:num w:numId="68" w16cid:durableId="514655442">
    <w:abstractNumId w:val="35"/>
  </w:num>
  <w:num w:numId="69" w16cid:durableId="664670445">
    <w:abstractNumId w:val="19"/>
  </w:num>
  <w:num w:numId="70" w16cid:durableId="1767339094">
    <w:abstractNumId w:val="1"/>
  </w:num>
  <w:num w:numId="71" w16cid:durableId="846673250">
    <w:abstractNumId w:val="58"/>
  </w:num>
  <w:num w:numId="72" w16cid:durableId="1352148801">
    <w:abstractNumId w:val="22"/>
  </w:num>
  <w:num w:numId="73" w16cid:durableId="1528450658">
    <w:abstractNumId w:val="34"/>
  </w:num>
  <w:num w:numId="74" w16cid:durableId="289941253">
    <w:abstractNumId w:val="62"/>
  </w:num>
  <w:num w:numId="75" w16cid:durableId="865102584">
    <w:abstractNumId w:val="16"/>
  </w:num>
  <w:num w:numId="76" w16cid:durableId="508720663">
    <w:abstractNumId w:val="46"/>
  </w:num>
  <w:num w:numId="77" w16cid:durableId="315450308">
    <w:abstractNumId w:val="53"/>
  </w:num>
  <w:num w:numId="78" w16cid:durableId="770590675">
    <w:abstractNumId w:val="84"/>
  </w:num>
  <w:num w:numId="79" w16cid:durableId="1357855015">
    <w:abstractNumId w:val="20"/>
  </w:num>
  <w:num w:numId="80" w16cid:durableId="326833885">
    <w:abstractNumId w:val="51"/>
  </w:num>
  <w:num w:numId="81" w16cid:durableId="2064213425">
    <w:abstractNumId w:val="92"/>
  </w:num>
  <w:num w:numId="82" w16cid:durableId="1378162710">
    <w:abstractNumId w:val="11"/>
  </w:num>
  <w:num w:numId="83" w16cid:durableId="661396616">
    <w:abstractNumId w:val="42"/>
  </w:num>
  <w:num w:numId="84" w16cid:durableId="919632803">
    <w:abstractNumId w:val="40"/>
  </w:num>
  <w:num w:numId="85" w16cid:durableId="1414933603">
    <w:abstractNumId w:val="89"/>
  </w:num>
  <w:num w:numId="86" w16cid:durableId="1433820709">
    <w:abstractNumId w:val="111"/>
  </w:num>
  <w:num w:numId="87" w16cid:durableId="2121215651">
    <w:abstractNumId w:val="48"/>
  </w:num>
  <w:num w:numId="88" w16cid:durableId="466432429">
    <w:abstractNumId w:val="70"/>
  </w:num>
  <w:num w:numId="89" w16cid:durableId="149562846">
    <w:abstractNumId w:val="37"/>
  </w:num>
  <w:num w:numId="90" w16cid:durableId="221327883">
    <w:abstractNumId w:val="77"/>
  </w:num>
  <w:num w:numId="91" w16cid:durableId="44762782">
    <w:abstractNumId w:val="14"/>
  </w:num>
  <w:num w:numId="92" w16cid:durableId="1136408068">
    <w:abstractNumId w:val="3"/>
  </w:num>
  <w:num w:numId="93" w16cid:durableId="1020208193">
    <w:abstractNumId w:val="0"/>
  </w:num>
  <w:num w:numId="94" w16cid:durableId="1965915819">
    <w:abstractNumId w:val="83"/>
  </w:num>
  <w:num w:numId="95" w16cid:durableId="911698013">
    <w:abstractNumId w:val="38"/>
  </w:num>
  <w:num w:numId="96" w16cid:durableId="844785909">
    <w:abstractNumId w:val="87"/>
  </w:num>
  <w:num w:numId="97" w16cid:durableId="1010914396">
    <w:abstractNumId w:val="28"/>
  </w:num>
  <w:num w:numId="98" w16cid:durableId="1765565152">
    <w:abstractNumId w:val="110"/>
  </w:num>
  <w:num w:numId="99" w16cid:durableId="450979104">
    <w:abstractNumId w:val="63"/>
  </w:num>
  <w:num w:numId="100" w16cid:durableId="596452089">
    <w:abstractNumId w:val="81"/>
  </w:num>
  <w:num w:numId="101" w16cid:durableId="391777781">
    <w:abstractNumId w:val="109"/>
  </w:num>
  <w:num w:numId="102" w16cid:durableId="720860177">
    <w:abstractNumId w:val="97"/>
  </w:num>
  <w:num w:numId="103" w16cid:durableId="1534028074">
    <w:abstractNumId w:val="49"/>
  </w:num>
  <w:num w:numId="104" w16cid:durableId="1245802905">
    <w:abstractNumId w:val="27"/>
  </w:num>
  <w:num w:numId="105" w16cid:durableId="1804037692">
    <w:abstractNumId w:val="39"/>
  </w:num>
  <w:num w:numId="106" w16cid:durableId="716860235">
    <w:abstractNumId w:val="80"/>
  </w:num>
  <w:num w:numId="107" w16cid:durableId="702050165">
    <w:abstractNumId w:val="23"/>
  </w:num>
  <w:num w:numId="108" w16cid:durableId="58479860">
    <w:abstractNumId w:val="91"/>
  </w:num>
  <w:num w:numId="109" w16cid:durableId="1861821788">
    <w:abstractNumId w:val="108"/>
  </w:num>
  <w:num w:numId="110" w16cid:durableId="262227944">
    <w:abstractNumId w:val="64"/>
  </w:num>
  <w:num w:numId="111" w16cid:durableId="996418598">
    <w:abstractNumId w:val="5"/>
  </w:num>
  <w:num w:numId="112" w16cid:durableId="1433624447">
    <w:abstractNumId w:val="9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0E62"/>
    <w:rsid w:val="00063007"/>
    <w:rsid w:val="00063012"/>
    <w:rsid w:val="000638E5"/>
    <w:rsid w:val="000652C1"/>
    <w:rsid w:val="000653B0"/>
    <w:rsid w:val="000654D5"/>
    <w:rsid w:val="00065A5D"/>
    <w:rsid w:val="0006642F"/>
    <w:rsid w:val="00067CC1"/>
    <w:rsid w:val="00070F82"/>
    <w:rsid w:val="00072936"/>
    <w:rsid w:val="00073193"/>
    <w:rsid w:val="00075581"/>
    <w:rsid w:val="00076DF9"/>
    <w:rsid w:val="00081E36"/>
    <w:rsid w:val="0008266A"/>
    <w:rsid w:val="0008432F"/>
    <w:rsid w:val="0008520B"/>
    <w:rsid w:val="00086B2C"/>
    <w:rsid w:val="00086BD5"/>
    <w:rsid w:val="00093603"/>
    <w:rsid w:val="000944D5"/>
    <w:rsid w:val="0009488D"/>
    <w:rsid w:val="000963A6"/>
    <w:rsid w:val="00096829"/>
    <w:rsid w:val="00096B66"/>
    <w:rsid w:val="00096C04"/>
    <w:rsid w:val="000A0774"/>
    <w:rsid w:val="000A08FD"/>
    <w:rsid w:val="000A4822"/>
    <w:rsid w:val="000A53CF"/>
    <w:rsid w:val="000A6CF6"/>
    <w:rsid w:val="000B225D"/>
    <w:rsid w:val="000B2775"/>
    <w:rsid w:val="000B31C9"/>
    <w:rsid w:val="000B4F2C"/>
    <w:rsid w:val="000B5034"/>
    <w:rsid w:val="000B508C"/>
    <w:rsid w:val="000B5C5D"/>
    <w:rsid w:val="000B7024"/>
    <w:rsid w:val="000B7DE8"/>
    <w:rsid w:val="000C0421"/>
    <w:rsid w:val="000C1AF9"/>
    <w:rsid w:val="000C1C21"/>
    <w:rsid w:val="000C1F67"/>
    <w:rsid w:val="000C3E7B"/>
    <w:rsid w:val="000C7B8C"/>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1BB6"/>
    <w:rsid w:val="000F2BB8"/>
    <w:rsid w:val="000F3C4E"/>
    <w:rsid w:val="000F5D23"/>
    <w:rsid w:val="000F604D"/>
    <w:rsid w:val="00100C9F"/>
    <w:rsid w:val="00100F50"/>
    <w:rsid w:val="00101C36"/>
    <w:rsid w:val="00102705"/>
    <w:rsid w:val="00103295"/>
    <w:rsid w:val="00103450"/>
    <w:rsid w:val="0011106A"/>
    <w:rsid w:val="00111107"/>
    <w:rsid w:val="001115A3"/>
    <w:rsid w:val="00112C66"/>
    <w:rsid w:val="00116C0D"/>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478"/>
    <w:rsid w:val="00141BBE"/>
    <w:rsid w:val="00144B3D"/>
    <w:rsid w:val="001469D8"/>
    <w:rsid w:val="0014721E"/>
    <w:rsid w:val="00151119"/>
    <w:rsid w:val="00151467"/>
    <w:rsid w:val="00152750"/>
    <w:rsid w:val="00154EAB"/>
    <w:rsid w:val="001565D3"/>
    <w:rsid w:val="00160229"/>
    <w:rsid w:val="001618FC"/>
    <w:rsid w:val="00162334"/>
    <w:rsid w:val="00162864"/>
    <w:rsid w:val="00163E75"/>
    <w:rsid w:val="001658FF"/>
    <w:rsid w:val="0016598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0D65"/>
    <w:rsid w:val="001C11C1"/>
    <w:rsid w:val="001C24DE"/>
    <w:rsid w:val="001C28A1"/>
    <w:rsid w:val="001C28D1"/>
    <w:rsid w:val="001C39D6"/>
    <w:rsid w:val="001C427F"/>
    <w:rsid w:val="001C447D"/>
    <w:rsid w:val="001C4719"/>
    <w:rsid w:val="001D06B6"/>
    <w:rsid w:val="001D12AE"/>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3F26"/>
    <w:rsid w:val="001F6A0A"/>
    <w:rsid w:val="0020024D"/>
    <w:rsid w:val="00200DCE"/>
    <w:rsid w:val="00201A1E"/>
    <w:rsid w:val="00202EC8"/>
    <w:rsid w:val="00203CFC"/>
    <w:rsid w:val="0020647A"/>
    <w:rsid w:val="002068D8"/>
    <w:rsid w:val="00206BFC"/>
    <w:rsid w:val="002071CD"/>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0F37"/>
    <w:rsid w:val="002318C1"/>
    <w:rsid w:val="00233441"/>
    <w:rsid w:val="002338B2"/>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0025"/>
    <w:rsid w:val="00292D1A"/>
    <w:rsid w:val="00294BF9"/>
    <w:rsid w:val="00296A44"/>
    <w:rsid w:val="00296AB4"/>
    <w:rsid w:val="002A2507"/>
    <w:rsid w:val="002A2842"/>
    <w:rsid w:val="002A46BB"/>
    <w:rsid w:val="002A5439"/>
    <w:rsid w:val="002A659A"/>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A17"/>
    <w:rsid w:val="0030422D"/>
    <w:rsid w:val="0030429D"/>
    <w:rsid w:val="00306F63"/>
    <w:rsid w:val="003109BF"/>
    <w:rsid w:val="00311C23"/>
    <w:rsid w:val="00313562"/>
    <w:rsid w:val="00315FED"/>
    <w:rsid w:val="003171B7"/>
    <w:rsid w:val="00321AA1"/>
    <w:rsid w:val="00321E54"/>
    <w:rsid w:val="003220EB"/>
    <w:rsid w:val="003230E3"/>
    <w:rsid w:val="00324E88"/>
    <w:rsid w:val="003264C3"/>
    <w:rsid w:val="0033123A"/>
    <w:rsid w:val="00332A14"/>
    <w:rsid w:val="00332C78"/>
    <w:rsid w:val="00332D36"/>
    <w:rsid w:val="00332F12"/>
    <w:rsid w:val="003341D5"/>
    <w:rsid w:val="0033531C"/>
    <w:rsid w:val="00335FC1"/>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3FA4"/>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029A"/>
    <w:rsid w:val="00431344"/>
    <w:rsid w:val="0043189E"/>
    <w:rsid w:val="00433507"/>
    <w:rsid w:val="00437C71"/>
    <w:rsid w:val="00440600"/>
    <w:rsid w:val="004423AC"/>
    <w:rsid w:val="00443B62"/>
    <w:rsid w:val="0044444F"/>
    <w:rsid w:val="00445A1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136"/>
    <w:rsid w:val="004929CA"/>
    <w:rsid w:val="0049465E"/>
    <w:rsid w:val="00496422"/>
    <w:rsid w:val="004A03F8"/>
    <w:rsid w:val="004A0923"/>
    <w:rsid w:val="004A0E11"/>
    <w:rsid w:val="004A2084"/>
    <w:rsid w:val="004A2C59"/>
    <w:rsid w:val="004A4153"/>
    <w:rsid w:val="004A44AE"/>
    <w:rsid w:val="004A4C02"/>
    <w:rsid w:val="004A4D82"/>
    <w:rsid w:val="004A52D4"/>
    <w:rsid w:val="004A562B"/>
    <w:rsid w:val="004A5FEA"/>
    <w:rsid w:val="004A63F5"/>
    <w:rsid w:val="004A77D6"/>
    <w:rsid w:val="004B2971"/>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29C"/>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2099"/>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67C7D"/>
    <w:rsid w:val="00570261"/>
    <w:rsid w:val="00570D9C"/>
    <w:rsid w:val="00570DA2"/>
    <w:rsid w:val="00572F06"/>
    <w:rsid w:val="00574861"/>
    <w:rsid w:val="00575A25"/>
    <w:rsid w:val="00576378"/>
    <w:rsid w:val="0057680B"/>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969"/>
    <w:rsid w:val="005A373C"/>
    <w:rsid w:val="005A3E74"/>
    <w:rsid w:val="005A4F9A"/>
    <w:rsid w:val="005A6900"/>
    <w:rsid w:val="005A7A25"/>
    <w:rsid w:val="005B08D0"/>
    <w:rsid w:val="005B3264"/>
    <w:rsid w:val="005B40C0"/>
    <w:rsid w:val="005B4A7D"/>
    <w:rsid w:val="005B5E96"/>
    <w:rsid w:val="005B63D0"/>
    <w:rsid w:val="005B72D6"/>
    <w:rsid w:val="005B76F1"/>
    <w:rsid w:val="005C0DB8"/>
    <w:rsid w:val="005C0E3E"/>
    <w:rsid w:val="005C1DC9"/>
    <w:rsid w:val="005C25FE"/>
    <w:rsid w:val="005C3290"/>
    <w:rsid w:val="005C4E99"/>
    <w:rsid w:val="005C6876"/>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1A49"/>
    <w:rsid w:val="005E20FA"/>
    <w:rsid w:val="005E250A"/>
    <w:rsid w:val="005E2E80"/>
    <w:rsid w:val="005E2ECB"/>
    <w:rsid w:val="005E399A"/>
    <w:rsid w:val="005E3EC5"/>
    <w:rsid w:val="005E6A5D"/>
    <w:rsid w:val="005E6AC9"/>
    <w:rsid w:val="005E7C66"/>
    <w:rsid w:val="005F0041"/>
    <w:rsid w:val="005F00AF"/>
    <w:rsid w:val="005F0437"/>
    <w:rsid w:val="005F2A2E"/>
    <w:rsid w:val="005F4DA8"/>
    <w:rsid w:val="00600363"/>
    <w:rsid w:val="006016B0"/>
    <w:rsid w:val="006016B8"/>
    <w:rsid w:val="006016C0"/>
    <w:rsid w:val="00602DC3"/>
    <w:rsid w:val="00603A73"/>
    <w:rsid w:val="00604D75"/>
    <w:rsid w:val="00605EDD"/>
    <w:rsid w:val="00606EA4"/>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0EB"/>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0DB6"/>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4FC5"/>
    <w:rsid w:val="00795E4F"/>
    <w:rsid w:val="00796312"/>
    <w:rsid w:val="00797FC3"/>
    <w:rsid w:val="007A1EC6"/>
    <w:rsid w:val="007A22C5"/>
    <w:rsid w:val="007A4A50"/>
    <w:rsid w:val="007A4ACB"/>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1FCB"/>
    <w:rsid w:val="007E2307"/>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39C"/>
    <w:rsid w:val="00806A29"/>
    <w:rsid w:val="00806B43"/>
    <w:rsid w:val="00810EC9"/>
    <w:rsid w:val="00814BFD"/>
    <w:rsid w:val="00815899"/>
    <w:rsid w:val="00815AD6"/>
    <w:rsid w:val="0081678C"/>
    <w:rsid w:val="00820731"/>
    <w:rsid w:val="0082095C"/>
    <w:rsid w:val="00820A2B"/>
    <w:rsid w:val="0082209E"/>
    <w:rsid w:val="0082243C"/>
    <w:rsid w:val="00825888"/>
    <w:rsid w:val="00826D1A"/>
    <w:rsid w:val="00830433"/>
    <w:rsid w:val="00830E88"/>
    <w:rsid w:val="0083303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439"/>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08FC"/>
    <w:rsid w:val="0088127E"/>
    <w:rsid w:val="0088181F"/>
    <w:rsid w:val="00881C6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B7A"/>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5A0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355"/>
    <w:rsid w:val="0094065F"/>
    <w:rsid w:val="009423E0"/>
    <w:rsid w:val="00943A9C"/>
    <w:rsid w:val="00943E28"/>
    <w:rsid w:val="00944546"/>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A19"/>
    <w:rsid w:val="00A03BD4"/>
    <w:rsid w:val="00A057F4"/>
    <w:rsid w:val="00A06BCD"/>
    <w:rsid w:val="00A10CC1"/>
    <w:rsid w:val="00A143DB"/>
    <w:rsid w:val="00A16290"/>
    <w:rsid w:val="00A176CB"/>
    <w:rsid w:val="00A23298"/>
    <w:rsid w:val="00A23AFA"/>
    <w:rsid w:val="00A23B61"/>
    <w:rsid w:val="00A23D2D"/>
    <w:rsid w:val="00A25E94"/>
    <w:rsid w:val="00A30646"/>
    <w:rsid w:val="00A30CBD"/>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7EF"/>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0DA"/>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A8D"/>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15B"/>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6771"/>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57E0"/>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63E7"/>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45C26"/>
    <w:rsid w:val="00C507E2"/>
    <w:rsid w:val="00C5332F"/>
    <w:rsid w:val="00C541EC"/>
    <w:rsid w:val="00C611CC"/>
    <w:rsid w:val="00C61F22"/>
    <w:rsid w:val="00C62860"/>
    <w:rsid w:val="00C62E41"/>
    <w:rsid w:val="00C6520C"/>
    <w:rsid w:val="00C65C9A"/>
    <w:rsid w:val="00C6620E"/>
    <w:rsid w:val="00C66B7A"/>
    <w:rsid w:val="00C66C62"/>
    <w:rsid w:val="00C70515"/>
    <w:rsid w:val="00C72BA7"/>
    <w:rsid w:val="00C72D5A"/>
    <w:rsid w:val="00C73292"/>
    <w:rsid w:val="00C75B7B"/>
    <w:rsid w:val="00C77470"/>
    <w:rsid w:val="00C8148C"/>
    <w:rsid w:val="00C81F9E"/>
    <w:rsid w:val="00C82C44"/>
    <w:rsid w:val="00C83254"/>
    <w:rsid w:val="00C83DC2"/>
    <w:rsid w:val="00C84334"/>
    <w:rsid w:val="00C84DB0"/>
    <w:rsid w:val="00C862CD"/>
    <w:rsid w:val="00C870DB"/>
    <w:rsid w:val="00C8767D"/>
    <w:rsid w:val="00C87F7D"/>
    <w:rsid w:val="00C9190F"/>
    <w:rsid w:val="00C93589"/>
    <w:rsid w:val="00C93B31"/>
    <w:rsid w:val="00CA01E8"/>
    <w:rsid w:val="00CA0C59"/>
    <w:rsid w:val="00CA1334"/>
    <w:rsid w:val="00CA288D"/>
    <w:rsid w:val="00CA2F36"/>
    <w:rsid w:val="00CA347D"/>
    <w:rsid w:val="00CA5160"/>
    <w:rsid w:val="00CA5C67"/>
    <w:rsid w:val="00CA68E9"/>
    <w:rsid w:val="00CA69DB"/>
    <w:rsid w:val="00CB0BBE"/>
    <w:rsid w:val="00CB44ED"/>
    <w:rsid w:val="00CB4F64"/>
    <w:rsid w:val="00CB72D1"/>
    <w:rsid w:val="00CC0BB7"/>
    <w:rsid w:val="00CC14A8"/>
    <w:rsid w:val="00CC2468"/>
    <w:rsid w:val="00CC33B6"/>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BE"/>
    <w:rsid w:val="00CF30DF"/>
    <w:rsid w:val="00CF3503"/>
    <w:rsid w:val="00CF383F"/>
    <w:rsid w:val="00CF3F93"/>
    <w:rsid w:val="00CF4244"/>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04E3"/>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56E4"/>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2610"/>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2364"/>
    <w:rsid w:val="00E13C70"/>
    <w:rsid w:val="00E14CEA"/>
    <w:rsid w:val="00E16C53"/>
    <w:rsid w:val="00E1725D"/>
    <w:rsid w:val="00E214FC"/>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CD8"/>
    <w:rsid w:val="00E92C79"/>
    <w:rsid w:val="00E93589"/>
    <w:rsid w:val="00E95041"/>
    <w:rsid w:val="00E9581E"/>
    <w:rsid w:val="00E96463"/>
    <w:rsid w:val="00EA0CA3"/>
    <w:rsid w:val="00EA2906"/>
    <w:rsid w:val="00EA2ADB"/>
    <w:rsid w:val="00EA2DC4"/>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77E"/>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4EC"/>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55E41"/>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2CF0"/>
    <w:rsid w:val="00F84863"/>
    <w:rsid w:val="00F84B28"/>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53EE"/>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33BB"/>
    <w:rsid w:val="00FD3C7A"/>
    <w:rsid w:val="00FD40C2"/>
    <w:rsid w:val="00FD5DDA"/>
    <w:rsid w:val="00FD5F67"/>
    <w:rsid w:val="00FD6FA8"/>
    <w:rsid w:val="00FD7665"/>
    <w:rsid w:val="00FE0F17"/>
    <w:rsid w:val="00FE1010"/>
    <w:rsid w:val="00FE2A94"/>
    <w:rsid w:val="00FE5420"/>
    <w:rsid w:val="00FE593B"/>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41">
    <w:name w:val="بلا قائمة4"/>
    <w:next w:val="a2"/>
    <w:uiPriority w:val="99"/>
    <w:semiHidden/>
    <w:unhideWhenUsed/>
    <w:rsid w:val="001659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10501</Words>
  <Characters>59856</Characters>
  <Application>Microsoft Office Word</Application>
  <DocSecurity>0</DocSecurity>
  <Lines>498</Lines>
  <Paragraphs>140</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70217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بشار</dc:creator>
  <cp:lastModifiedBy>mans good</cp:lastModifiedBy>
  <cp:revision>4</cp:revision>
  <cp:lastPrinted>2026-03-08T21:58:00Z</cp:lastPrinted>
  <dcterms:created xsi:type="dcterms:W3CDTF">2026-03-08T21:57:00Z</dcterms:created>
  <dcterms:modified xsi:type="dcterms:W3CDTF">2026-03-08T22:00:00Z</dcterms:modified>
</cp:coreProperties>
</file>