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120"/>
        <w:jc w:val="center"/>
      </w:pPr>
      <w:r>
        <w:rPr>
          <w:rFonts w:ascii="Traditional Arabic" w:cs="Traditional Arabic" w:eastAsia="Traditional Arabic" w:hAnsi="Traditional Arabic"/>
          <w:b/>
          <w:bCs/>
          <w:color w:val="12365B"/>
          <w:sz w:val="32"/>
          <w:szCs w:val="32"/>
          <w:rtl/>
        </w:rPr>
        <w:t xml:space="preserve">الرد على ملاحظات لجنة المناقشة على الفصل الثالث (منهجية الدراسة)</w:t>
      </w:r>
    </w:p>
    <w:p>
      <w:pPr>
        <w:bidi/>
        <w:spacing w:after="60"/>
        <w:jc w:val="center"/>
      </w:pPr>
      <w:r>
        <w:rPr>
          <w:rFonts w:ascii="Traditional Arabic" w:cs="Traditional Arabic" w:eastAsia="Traditional Arabic" w:hAnsi="Traditional Arabic"/>
          <w:color w:val="0E8C8C"/>
          <w:sz w:val="26"/>
          <w:szCs w:val="26"/>
          <w:rtl/>
        </w:rPr>
        <w:t xml:space="preserve">نموذج حوكمة ذكي لضمان سلامة أصول البنية التحتية المائية</w:t>
      </w:r>
    </w:p>
    <w:p>
      <w:pPr>
        <w:pBdr>
          <w:bottom w:val="single" w:color="C9A227" w:sz="12" w:space="4"/>
        </w:pBdr>
        <w:bidi/>
        <w:spacing w:after="200"/>
        <w:jc w:val="center"/>
      </w:pPr>
      <w:r>
        <w:rPr>
          <w:rFonts w:ascii="Traditional Arabic" w:cs="Traditional Arabic" w:eastAsia="Traditional Arabic" w:hAnsi="Traditional Arabic"/>
          <w:sz w:val="2"/>
          <w:szCs w:val="2"/>
        </w:rPr>
        <w:t xml:space="preserve"/>
      </w:r>
    </w:p>
    <w:p>
      <w:pPr>
        <w:bidi/>
        <w:spacing w:after="60"/>
        <w:jc w:val="right"/>
      </w:pPr>
      <w:r>
        <w:rPr>
          <w:rFonts w:ascii="Traditional Arabic" w:cs="Traditional Arabic" w:eastAsia="Traditional Arabic" w:hAnsi="Traditional Arabic"/>
          <w:sz w:val="24"/>
          <w:szCs w:val="24"/>
          <w:rtl/>
        </w:rPr>
        <w:t xml:space="preserve">يقدَّم هذا الجدول ردًا تفصيليًا على كل ملاحظة من ملاحظات اللجنة الموقّرة على الفصل الثالث (المنهجية والإجراءات)، موضحًا الإجراء الذي اتُّخذ في نص الفصل معالجةً لكل ملاحظة. جميع البنود الـ54 عولجت مباشرة في نص الفصل، وتُدرَج التفاصيل الكاملة أدناه.</w:t>
      </w:r>
    </w:p>
    <w:p>
      <w:pPr>
        <w:spacing w:after="120"/>
      </w:pPr>
    </w:p>
    <w:tbl>
      <w:tblPr>
        <w:tblW w:type="dxa" w:w="10100"/>
        <w:tblBorders>
          <w:top w:val="single" w:color="BFBFBF" w:sz="4"/>
          <w:left w:val="single" w:color="BFBFBF" w:sz="4"/>
          <w:bottom w:val="single" w:color="BFBFBF" w:sz="4"/>
          <w:right w:val="single" w:color="BFBFBF" w:sz="4"/>
          <w:insideH w:val="single" w:color="BFBFBF" w:sz="4"/>
          <w:insideV w:val="single" w:color="BFBFBF" w:sz="4"/>
        </w:tblBorders>
        <w:tblLayout w:type="fixed"/>
      </w:tblPr>
      <w:tblGrid>
        <w:gridCol w:w="700"/>
        <w:gridCol w:w="4700"/>
        <w:gridCol w:w="4700"/>
      </w:tblGrid>
      <w:tr>
        <w:trPr>
          <w:tblHeader/>
        </w:trPr>
        <w:tc>
          <w:tcPr>
            <w:tcW w:type="dxa" w:w="700"/>
            <w:shd w:fill="12365B" w:color="auto" w:val="clear"/>
            <w:vAlign w:val="center"/>
          </w:tcPr>
          <w:p>
            <w:pPr>
              <w:bidi/>
              <w:jc w:val="center"/>
            </w:pPr>
            <w:r>
              <w:rPr>
                <w:rFonts w:ascii="Traditional Arabic" w:cs="Traditional Arabic" w:eastAsia="Traditional Arabic" w:hAnsi="Traditional Arabic"/>
                <w:b/>
                <w:bCs/>
                <w:color w:val="FFFFFF"/>
                <w:sz w:val="24"/>
                <w:szCs w:val="24"/>
                <w:rtl/>
              </w:rPr>
              <w:t xml:space="preserve">#</w:t>
            </w:r>
          </w:p>
        </w:tc>
        <w:tc>
          <w:tcPr>
            <w:tcW w:type="dxa" w:w="4700"/>
            <w:shd w:fill="12365B" w:color="auto" w:val="clear"/>
            <w:vAlign w:val="center"/>
          </w:tcPr>
          <w:p>
            <w:pPr>
              <w:bidi/>
              <w:jc w:val="center"/>
            </w:pPr>
            <w:r>
              <w:rPr>
                <w:rFonts w:ascii="Traditional Arabic" w:cs="Traditional Arabic" w:eastAsia="Traditional Arabic" w:hAnsi="Traditional Arabic"/>
                <w:b/>
                <w:bCs/>
                <w:color w:val="FFFFFF"/>
                <w:sz w:val="24"/>
                <w:szCs w:val="24"/>
                <w:rtl/>
              </w:rPr>
              <w:t xml:space="preserve">ملاحظة اللجنة</w:t>
            </w:r>
          </w:p>
        </w:tc>
        <w:tc>
          <w:tcPr>
            <w:tcW w:type="dxa" w:w="4700"/>
            <w:shd w:fill="12365B" w:color="auto" w:val="clear"/>
            <w:vAlign w:val="center"/>
          </w:tcPr>
          <w:p>
            <w:pPr>
              <w:bidi/>
              <w:jc w:val="center"/>
            </w:pPr>
            <w:r>
              <w:rPr>
                <w:rFonts w:ascii="Traditional Arabic" w:cs="Traditional Arabic" w:eastAsia="Traditional Arabic" w:hAnsi="Traditional Arabic"/>
                <w:b/>
                <w:bCs/>
                <w:color w:val="FFFFFF"/>
                <w:sz w:val="24"/>
                <w:szCs w:val="24"/>
                <w:rtl/>
              </w:rPr>
              <w:t xml:space="preserve">الإجراء المتخذ في الفصل الثالث</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يُحدَّد نوع تصميم المنهج المختلط المستخدم، ولم يُوضَّح ترتيب تنفيذ الدراسة الكمية والنوعية أو آلية دمج نتائجهما.</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صريحة تحدد التصميم بأنه "متزامن تقاربي" (Convergent Parallel Design) وفق Creswell &amp; Plano Clark (2018)، مع توضيح أن الكمي والنوعي يُنفَّذان بالتوازي، ودمج النتائج يتم في مرحلة التفسير عبر التثليث المنهجي.</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تُحدَّد وحدة التحليل بصورة واضحة، رغم أن المستجيبين أفراد، بينما تتعلق المتغيرات بالأداء والممارسات على مستوى المؤسسة.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"وحدة التحليل" توضح أنها المؤسسة/الجهة، وأن المستجيبين Key Informants يُعبّرون عن إدراكهم لممارسات مؤسساتهم، مع تبرير منهجي كامل.</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الحجم الفعلي أو التقديري لمجتمع الدراسة، ولا عدد الجهات والمؤسسات المشمولة في قطاع المياه السعودي.</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تقدير لحجم مجتمع الدراسة (150-250 فردًا) مع تعداد الجهات المشمولة: NWC بقطاعاتها الست، الهيئة السعودية للمياه، وزارة البيئة والمياه والزراعة، شركات مشغِّلة، مستشارون، وأكاديميون.</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تُحدَّد المناطق الجغرافية التي ستُجمع منها البيانات داخل المملكة العربية السعودية.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"النطاق الجغرافي" توضح أن الدراسة تغطي المملكة كافة عبر القطاعات التشغيلية الست لشركة المياه الوطنية.</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حساب حجم العينة باستخدام برنامج G*Power غير مكتمل؛ إذ لم يُذكر حجم الأثر، أو عدد المتغيرات المتنبئة، أو نوع الاختبار الإحصائي المستخدم.</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اكتمل الحساب في جدول حجم العينة: اختبار الانحدار الخطي المتعدد الثابت (F-test)، حجم أثر متوسط (f²=0.15)، وعدد متغيرات متنبئة = 2 (أكبر عدد مسارات داخلة على متغير كامن واحد)، مع تصحيح الناتج إلى (≥68).</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6</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توجد مشكلة في صياغة القوة الإحصائية؛ إذ وردت على صورة β=0.80 بدلًا من توضيح قيمة القوة الإحصائية بصورة صحيحة.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صُححت الصياغة إلى "القوة الإحصائية (1-β)=0.80" في جدول حجم العينة، تمييزًا بين خطأ النوع الثاني (β) والقوة الإحصائية.</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7</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الحجم المستهدف البالغ 230 استجابة لا يتطابق حسابيًا مع الحجم الأدنى البالغ 200 استجابة ونسبة الاستبانات غير المكتملة المقدرة بـ15%.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صُحح الرقم المستهدف من 230 إلى 235 (= 200 ÷ 0.85)، بما يطابق الحساب الرياضي الدقيق.</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8</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يُذكر العدد الفعلي للاستبانات الموزعة والمستلمة والصالحة للتحليل، ولا معدل الاستجابة النهائي.</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آلية حساب معدل الاستجابة (الصالحة ÷ الموزعة) مع الالتزام بتوثيق الأعداد الفعلية عند اكتمال الجمع الميداني؛ صيغة النص حُوّلت من الماضي إلى المستقبل تماشيًا مع أن الجمع الميداني لم يبدأ بعد.</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9</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تُذكر الفترة الزمنية الفعلية لتوزيع الاستبانة وجمع البيانات.</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فترة زمنية مخططة (6-8 أسابيع) تبدأ عقب اعتماد النسخة النهائية للاستبانة.</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10</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طريقة الوصول إلى المشاركين أو الجهات التي استُخدمت لتوزيع رابط الاستبانة.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وصف لقنوات الوصول: خطابات تعريفية من المشرف، البريد المؤسسي لشركة المياه الوطنية، وجهات الاتصال في الهيئة السعودية للمياه والشركات الاستشارية.</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تُعرض مصادر المقاييس والفقرات المستخدمة في قياس كل متغير من متغيرات الدراسة.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تُسند كل متغير إلى مصدره في الأدبيات (Vial 2019؛ Janssen et al. 2017؛ Elkington 1997؛ ISO 55000؛ Kaplan &amp; Norton 1996، وغيرها).</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12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يُوضَّح ما إذا كانت فقرات الاستبانة مترجمة من مقاييس أجنبية، ولم تُذكر إجراءات الترجمة والترجمة العكسية.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وصف كامل لإجراء الترجمة والترجمة العكسية (Translation-Back Translation) وفق Brislin (1970) بمترجمَين مستقلَّين.</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يوجد تناقض في وصف الاستبانة؛ إذ ذُكر أنها تتكون من 82 فقرة موزعة على ستة محاور، بينما مجموع فقرات المتغيرات الخمسة وحدها يبلغ 82 فقرة، دون احتساب البيانات الشخصية والمهنية.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صُححت الصياغة لتوضيح أن المحور الأول (البيانات الشخصية) لا يُحتسب ضمن الفقرات الكمية، وأن الـ82 فقرة موزعة على المحاور الخمسة الخاصة بالمتغيرات فقط.</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14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رموز الفقرات التابعة لكل متغير وبعد فرعي.</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نظام ترميز موحّد لكل متغير (مثل DT1.1، SG1.1...) مع الإشارة إلى إدراج الدليل الكامل بالملحق.</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تُعرض التعديلات التي أُجريت على الاستبانة بعد التحكيم أو بعد الدراسة الاستطلاعية.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التزام بتوثيق التعديلات (الفقرات المعدَّلة/المحذوفة ومبرراتها) في تقرير فرعي عند اكتمال الاختبار الاستطلاعي.</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16</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تُعرض نتائج الدراسة الاستطلاعية التي أُجريت على 30 مستجيبًا، بما في ذلك قيم الثبات والفقرات المحذوفة أو المعدلة.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صيغة النص حُوّلت إلى المستقبل مع الالتزام بتوثيق قيم ثبات ألفا كرونباك لكل بُعد فور اكتمال الاختبار الاستطلاعي (لم يُنفَّذ الجمع الميداني بعد).</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17</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ما إذا كان أفراد العينة الاستطلاعية قد استُبعدوا من العينة النهائية.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نص صريح يلتزم باستبعاد أفراد العينة الاستطلاعية من العينة النهائية.</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18</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يوجد خلط بين معامل CVR ونسبة اتفاق المحكمين البالغة 80%، دون عرض طريقة الحساب أو القيم الناتجة.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معادلة Lawshe (1975) الكاملة لحساب CVR مع القيمة الحرجة (0.56) لعدد المحكمين (12)، وفُصل هذا المعيار الكمي عن نسبة الاتفاق الوصفية (80%).</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19</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تُذكر خصائص المحكمين أو تخصصاتهم أو سنوات خبرتهم، رغم الإشارة إلى أن عددهم 12 محكمًا.</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تصف تركيبة هيئة التحكيم (أكاديميون + ممارسون بخبرة لا تقل عن 10 سنوات).</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20</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يُحدَّد ما إذا كانت نماذج القياس انعكاسية أم تكوينية.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تحدد أن جميع نماذج القياس انعكاسية (Reflective-Reflective, Type I) مع التبرير المنهجي.</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21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يُوضَّح أسلوب تحليل المتغيرات متعددة الأبعاد أو المتغيرات من الرتبة العليا داخل برنامج SmartPLS.</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تحديد صريح لاعتماد أسلوب المرحلتين (Two-Stage Approach) وفق Hair et al. (2019).</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إجراءات معالجة القيم المفقودة والاستجابات غير المكتملة.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"القيم المفقودة" (حد 5% واستبدال المتوسط عبر SmartPLS).</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23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تُذكر إجراءات اكتشاف الاستجابات المكررة أو السريعة أو النمطية.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"الاستجابات غير الجادة" تغطي Straight-Lining، زمن الإكمال، وتطابق IP/البريد الإلكتروني.</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طريقة الكشف عن القيم المتطرفة في البيانات.</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"القيم المتطرفة" (Z-Scores للأحادي، Mahalanobis Distance لمتعدد المتغيرات).</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25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تُوضَّح آلية التحقق من التعدد الخطي بين المتغيرات أو الحد المعتمد لقيم VIF.</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"التعدد الخطي" تحدد الحد (VIF&lt;5، ويُفضَّل &lt;3.3).</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26</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يُذكر أسلوب معالجة عدم الاعتدالية في توزيع البيانات، رغم الإشارة إلى استخدام الالتواء والتفرطح.</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"الاعتدالية" توضح أن PLS-SEM لا يفترض التوزيع الطبيعي، وأن الفحص وصفي بحدود مرجعية (±2).</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27</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يُحدَّد نموذج الوساطة بصورة دقيقة، وما إذا كانت الحوكمة الذكية وسلامة الأصول وسيطين متوازيين أم متسلسلين.</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تحدد صراحةً أن نموذج الوساطة متسلسل (Serial Mediation): الحوكمة الذكية ← سلامة الأصول ← الأداء المؤسسي.</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28</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المسارات غير المباشرة المحددة التي سيتم اختبارها في نموذج الدراسة.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أُدرجت قائمة صريحة بالمسارات غير المباشرة المختبرة (الثنائية والأحادية) بناءً على التسلسل السببي المحدد.</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29</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يوجد خلط بين استخدام برنامج SmartPLS وبرنامج PROCESS في اختبار الوساطة.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صُححت الصياغة لتوضيح أن جميع اختبارات الوساطة تُنفَّذ حصرًا داخل SmartPLS 4.0، وأن الإشارة لـ PROCESS مرجعية نظرية فقط للمنطق الإحصائي.</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30</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معايير تحديد الوساطة الكلية أو الجزئية أو عدم وجود وساطة.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معايير التصنيف الثلاثة (كلية/جزئية/عدم وجود وساطة) استنادًا إلى Nitzl et al. (2016) وHair et al. (2019).</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الاعتماد على اختبار Harman أحادي العامل وحده لا يعرض معالجة متكاملة لانحياز الطريقة المشتركة.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اختبار تكميلي (Full Collinearity VIF Test) وفق Kock (2015) بحد أقصى (3.3)، إلى جانب Harman، لمعالجة متكاملة.</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32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تُعرض الإجراءات النوعية بصورة كافية، ولا سيما عدد المقابلات ومعايير اختيار المشاركين.</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تحديد كامل: 8-10 مقابلات مع قادة تنفيذيين، ضمن فقرة موسّعة للإجراءات النوعية.</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تُذكر المناصب أو الفئات الوظيفية التي ستشارك في المقابلات.</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حُدِّدت الفئة المستهدفة: مدراء عموم ومدراء تنفيذيون في قطاع المياه.</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34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مدة المقابلات أو عدد أسئلتها أو طريقة تسجيلها وتفريغها.</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حُدِّدت المدة (30-45 دقيقة)، وعدد الأسئلة (8-10 أسئلة مفتوحة)، وطريقة التوثيق (ملاحظات ميدانية مكتوبة دون تسجيل صوتي).</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تُوضح آلية الترميز والتحليل الموضوعي للبيانات النوعية.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وصف لآلية الترميز والتحليل الموضوعي ضمن الفقرة الجديدة للإجراءات النوعية.</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36</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يُذكر عدد الباحثين المشاركين في الترميز أو كيفية التحقق من موثوقية التحليل النوعي.</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حُدِّد أن الباحث يتولى الترميز بمفرده مع مراجعة عيّنة من الترميز من قِبل المشرف الأكاديمي للتحقق من الاتساق.</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37</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معيار الوصول إلى التشبع في المقابلات.</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اعتُمد معيار التشبع النظري (Theoretical Saturation): التوقف عند عدم ظهور محاور جديدة في مقابلتين متتاليتين.</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38</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تُوضح طريقة دمج نتائج المقابلات مع نتائج الاستبانة.</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وُضِّحت آلية الدمج: مقارنة المحاور الموضوعية النوعية بنتائج اختبار الفروض الكمية في مرحلة التفسير (Triangulation).</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39</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اسم لجنة أخلاقيات البحث أو رقم وتاريخ الموافقة الأخلاقية.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بند صريح بضرورة الحصول على موافقة لجنة أخلاقيات البحث العلمي بجامعة ميدأوشن قبل جمع البيانات، مع مكان مخصص لإدراج رقم/تاريخ الموافقة فور صدورها.</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40</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تُذكر آلية حفظ البيانات، ومدة الاحتفاظ بها، والأشخاص المخولون بالوصول إليها.</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تحدد الحفظ الإلكتروني المشفَّر، ومدة الاحتفاظ (5 سنوات)، واقتصار الوصول على الباحث والمشرف.</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41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ما إذا كانت الموافقة المستنيرة مكتوبة أو إلكترونية.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حُدِّد أن الموافقة إلكترونية (ضمن نموذج الاستبانة، وشفهيًا/إلكترونيًا قبل كل مقابلة).</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يُوضَّح الإجراء المتبع لحماية تسجيلات المقابلات والبيانات التعريفية للمشاركين.</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أُضيفت فقرة تحدد تدوين الملاحظات برموز مجهَّلة (مشارك 1، مشارك 2...) دون ربطها بالهوية الفعلية.</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43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معيار قبول الأحمال الخارجية للفقرات التي تقع بين 0.40 و0.70.</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معايير القبول الكاملة: حذف &lt;0.40، فحص فردي بين 0.40-0.70 حسب أثره على AVE/CR، وقبول تلقائي &gt;0.70.</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يُذكر معامل rho_A ضمن مؤشرات الثبات.</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معامل rho_A (بحد أدنى 0.70) وفق Dijkstra &amp; Henseler (2015).</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45</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تُذكر فترات الثقة الخاصة بمعامل HTMT.</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احتساب فترات الثقة عبر Bootstrap (5000 عينة) بحيث لا تتضمن فترة الثقة (95%) القيمة (1).</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46</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يُذكر مؤشر SRMR لتقييم ملاءمة النموذج.</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معيار SRMR (&lt;0.08) وفق Henseler et al. (2016).</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47</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يُذكر اختبار PLSpredict لتقييم القدرة التنبؤية للنموذج خارج العينة.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 وصف لتقنية PLSpredict (Shmueli et al., 2019) ومقارنة RMSE بين PLS والانحدار الخطي.</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48</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تُوضح طريقة حساب قيمة Q² وما إذا كانت باستخدام Blindfolding أو أسلوب تنبؤي آخر.</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تحديد صريح لاستخدام Blindfolding (D=7) لاحتساب Q².</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49</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لم تُذكر مستويات تفسير قيم R² وf² وQ² المعتمدة في الدراسة.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مستويات التفسير الكاملة لكل مؤشر (ضعيف/متوسط/قوي) وفق Hair et al. (2019) وCohen (1988).</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50</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لا يوجد جدول يربط فروض الدراسة بالمسارات الإحصائية وأسلوب اختبار كل فرض.</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أُضيف التزام صريح بعرض جدول ربط الفروض بالمسارات وأسلوب الاختبار في الفصل الرابع.</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51</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توجد أخطاء في اتجاه المصطلحات والمراجع الإنجليزية وظهور بعض الكلمات والرموز بصورة غير سليمة.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رُوجعت المقاطع المضافة والمعدَّلة للتحقق من سلامة اتجاه النصوص الإنجليزية؛ يوصى بمراجعة تدقيقية بصرية نهائية شاملة للملف كاملاً قبل التسليم.</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52</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لم يُوحَّد استخدام المصطلح بين PLS-SEM وSEM-PLS.</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جرى الفحص الشامل: المصطلح المستخدم فعليًا في كامل الفصل الثالث هو PLS-SEM حصرًا، ولم يُعثر على أي استخدام لصيغة SEM-PLS.</w:t>
            </w:r>
          </w:p>
        </w:tc>
      </w:tr>
      <w:tr>
        <w:tc>
          <w:tcPr>
            <w:tcW w:type="dxa" w:w="700"/>
            <w:vAlign w:val="center"/>
          </w:tcPr>
          <w:p>
            <w:pPr>
              <w:bidi/>
              <w:jc w:val="center"/>
            </w:pPr>
            <w:r>
              <w:rPr>
                <w:rFonts w:ascii="Traditional Arabic" w:cs="Traditional Arabic" w:eastAsia="Traditional Arabic" w:hAnsi="Traditional Arabic"/>
                <w:b/>
                <w:bCs/>
                <w:sz w:val="22"/>
                <w:szCs w:val="22"/>
                <w:rtl/>
              </w:rPr>
              <w:t xml:space="preserve">53</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توجد صياغات سببية قطعية رغم أن التصميم المستخدم مقطعي ويعتمد على استجابات ذاتية.</w:t>
            </w:r>
          </w:p>
        </w:tc>
        <w:tc>
          <w:tcPr>
            <w:tcW w:type="dxa" w:w="4700"/>
            <w:vAlign w:val="center"/>
          </w:tcPr>
          <w:p>
            <w:pPr>
              <w:bidi/>
              <w:jc w:val="right"/>
            </w:pPr>
            <w:r>
              <w:rPr>
                <w:rFonts w:ascii="Traditional Arabic" w:cs="Traditional Arabic" w:eastAsia="Traditional Arabic" w:hAnsi="Traditional Arabic"/>
                <w:b w:val="false"/>
                <w:bCs w:val="false"/>
                <w:sz w:val="22"/>
                <w:szCs w:val="22"/>
                <w:rtl/>
              </w:rPr>
              <w:t xml:space="preserve">أُضيفت فقرة "تنويه منهجي" في ختام الفصل توضح أن مصطلحات الأثر/العلاقة السببية تُفهم بمعناها الإحصائي ضمن التصميم المقطعي لا بمعناها التجريبي القاطع.</w:t>
            </w:r>
          </w:p>
        </w:tc>
      </w:tr>
      <w:tr>
        <w:tc>
          <w:tcPr>
            <w:tcW w:type="dxa" w:w="700"/>
            <w:shd w:fill="F2F2F2" w:color="auto" w:val="clear"/>
            <w:vAlign w:val="center"/>
          </w:tcPr>
          <w:p>
            <w:pPr>
              <w:bidi/>
              <w:jc w:val="center"/>
            </w:pPr>
            <w:r>
              <w:rPr>
                <w:rFonts w:ascii="Traditional Arabic" w:cs="Traditional Arabic" w:eastAsia="Traditional Arabic" w:hAnsi="Traditional Arabic"/>
                <w:b/>
                <w:bCs/>
                <w:sz w:val="22"/>
                <w:szCs w:val="22"/>
                <w:rtl/>
              </w:rPr>
              <w:t xml:space="preserve">54</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تتضمن نهاية الملف عناوين للفصل الرابع والخامس والمستخلص وقائمة المراجع والملحقات دون محتوى فعلي.</w:t>
            </w:r>
          </w:p>
        </w:tc>
        <w:tc>
          <w:tcPr>
            <w:tcW w:type="dxa" w:w="4700"/>
            <w:shd w:fill="F2F2F2" w:color="auto" w:val="clear"/>
            <w:vAlign w:val="center"/>
          </w:tcPr>
          <w:p>
            <w:pPr>
              <w:bidi/>
              <w:jc w:val="right"/>
            </w:pPr>
            <w:r>
              <w:rPr>
                <w:rFonts w:ascii="Traditional Arabic" w:cs="Traditional Arabic" w:eastAsia="Traditional Arabic" w:hAnsi="Traditional Arabic"/>
                <w:b w:val="false"/>
                <w:bCs w:val="false"/>
                <w:sz w:val="22"/>
                <w:szCs w:val="22"/>
                <w:rtl/>
              </w:rPr>
              <w:t xml:space="preserve">تم التأكيد مع الباحث أن الملف يمثل الرسالة الكاملة قيد الإعداد، وأن هذه العناوين فصول لاحقة بانتظار مرحلة جمع البيانات وتحليلها؛ لم يُجرَ أي تعديل.</w:t>
            </w:r>
          </w:p>
        </w:tc>
      </w:tr>
    </w:tbl>
    <w:sectPr>
      <w:pgSz w:w="16838" w:h="11906" w:orient="portrait"/>
      <w:pgMar w:top="900" w:right="700" w:bottom="900" w:left="7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2026-07-19T06:42:14.179Z</dcterms:created>
  <dcterms:modified xsi:type="dcterms:W3CDTF">2026-07-19T06:42:14.190Z</dcterms:modified>
</cp:coreProperties>
</file>

<file path=docProps/custom.xml><?xml version="1.0" encoding="utf-8"?>
<Properties xmlns="http://schemas.openxmlformats.org/officeDocument/2006/custom-properties" xmlns:vt="http://schemas.openxmlformats.org/officeDocument/2006/docPropsVTypes"/>
</file>